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1"/>
          <w:szCs w:val="31"/>
          <w:b w:val="1"/>
          <w:bCs w:val="1"/>
          <w:color w:val="auto"/>
        </w:rPr>
        <w:drawing>
          <wp:anchor simplePos="0" relativeHeight="251657728" behindDoc="1" locked="0" layoutInCell="0" allowOverlap="1">
            <wp:simplePos x="0" y="0"/>
            <wp:positionH relativeFrom="page">
              <wp:posOffset>213360</wp:posOffset>
            </wp:positionH>
            <wp:positionV relativeFrom="page">
              <wp:posOffset>801370</wp:posOffset>
            </wp:positionV>
            <wp:extent cx="7122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22160" cy="8255"/>
                    </a:xfrm>
                    <a:prstGeom prst="rect">
                      <a:avLst/>
                    </a:prstGeom>
                    <a:noFill/>
                  </pic:spPr>
                </pic:pic>
              </a:graphicData>
            </a:graphic>
          </wp:anchor>
        </w:drawing>
        <w:drawing>
          <wp:anchor simplePos="0" relativeHeight="251657728" behindDoc="1" locked="0" layoutInCell="0" allowOverlap="1">
            <wp:simplePos x="0" y="0"/>
            <wp:positionH relativeFrom="page">
              <wp:posOffset>213360</wp:posOffset>
            </wp:positionH>
            <wp:positionV relativeFrom="page">
              <wp:posOffset>768350</wp:posOffset>
            </wp:positionV>
            <wp:extent cx="7122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22160" cy="825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ind w:left="4380"/>
        <w:spacing w:after="0"/>
        <w:rPr>
          <w:sz w:val="20"/>
          <w:szCs w:val="20"/>
          <w:color w:val="auto"/>
        </w:rPr>
      </w:pPr>
      <w:r>
        <w:rPr>
          <w:rFonts w:ascii="Arial" w:cs="Arial" w:eastAsia="Arial" w:hAnsi="Arial"/>
          <w:sz w:val="17"/>
          <w:szCs w:val="17"/>
          <w:color w:val="auto"/>
        </w:rPr>
        <w:t>__________________________</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FORM 10-K</w:t>
      </w:r>
    </w:p>
    <w:p>
      <w:pPr>
        <w:spacing w:after="0" w:line="153" w:lineRule="exact"/>
        <w:rPr>
          <w:sz w:val="24"/>
          <w:szCs w:val="24"/>
          <w:color w:val="auto"/>
        </w:rPr>
      </w:pPr>
    </w:p>
    <w:p>
      <w:pPr>
        <w:spacing w:after="0"/>
        <w:rPr>
          <w:sz w:val="20"/>
          <w:szCs w:val="20"/>
          <w:color w:val="auto"/>
        </w:rPr>
      </w:pPr>
      <w:r>
        <w:rPr>
          <w:rFonts w:ascii="Arial" w:cs="Arial" w:eastAsia="Arial" w:hAnsi="Arial"/>
          <w:sz w:val="17"/>
          <w:szCs w:val="17"/>
          <w:color w:val="auto"/>
        </w:rPr>
        <w:t>(Mark One)</w:t>
      </w:r>
    </w:p>
    <w:p>
      <w:pPr>
        <w:spacing w:after="0" w:line="40" w:lineRule="exact"/>
        <w:rPr>
          <w:sz w:val="24"/>
          <w:szCs w:val="24"/>
          <w:color w:val="auto"/>
        </w:rPr>
      </w:pPr>
    </w:p>
    <w:p>
      <w:pPr>
        <w:ind w:left="680" w:hanging="660"/>
        <w:spacing w:after="0"/>
        <w:tabs>
          <w:tab w:leader="none" w:pos="680" w:val="left"/>
        </w:tabs>
        <w:numPr>
          <w:ilvl w:val="0"/>
          <w:numId w:val="1"/>
        </w:numPr>
        <w:rPr>
          <w:rFonts w:ascii="MS PGothic" w:cs="MS PGothic" w:eastAsia="MS PGothic" w:hAnsi="MS PGothic"/>
          <w:sz w:val="21"/>
          <w:szCs w:val="21"/>
          <w:color w:val="auto"/>
        </w:rPr>
      </w:pPr>
      <w:r>
        <w:rPr>
          <w:rFonts w:ascii="Arial" w:cs="Arial" w:eastAsia="Arial" w:hAnsi="Arial"/>
          <w:sz w:val="21"/>
          <w:szCs w:val="21"/>
          <w:b w:val="1"/>
          <w:bCs w:val="1"/>
          <w:color w:val="auto"/>
        </w:rPr>
        <w:t>ANNUAL REPORT PURSUANT TO SECTION 13 OR 15(d) OF THE SECURITIES EXCHANGE ACT OF 1934</w:t>
      </w:r>
    </w:p>
    <w:p>
      <w:pPr>
        <w:spacing w:after="0" w:line="352" w:lineRule="exact"/>
        <w:rPr>
          <w:sz w:val="24"/>
          <w:szCs w:val="24"/>
          <w:color w:val="auto"/>
        </w:rPr>
      </w:pPr>
    </w:p>
    <w:p>
      <w:pPr>
        <w:jc w:val="center"/>
        <w:ind w:left="520"/>
        <w:spacing w:after="0"/>
        <w:rPr>
          <w:sz w:val="20"/>
          <w:szCs w:val="20"/>
          <w:color w:val="auto"/>
        </w:rPr>
      </w:pPr>
      <w:r>
        <w:rPr>
          <w:rFonts w:ascii="Arial" w:cs="Arial" w:eastAsia="Arial" w:hAnsi="Arial"/>
          <w:sz w:val="21"/>
          <w:szCs w:val="21"/>
          <w:color w:val="auto"/>
        </w:rPr>
        <w:t>or</w:t>
      </w:r>
    </w:p>
    <w:p>
      <w:pPr>
        <w:spacing w:after="0" w:line="31" w:lineRule="exact"/>
        <w:rPr>
          <w:sz w:val="24"/>
          <w:szCs w:val="24"/>
          <w:color w:val="auto"/>
        </w:rPr>
      </w:pPr>
    </w:p>
    <w:p>
      <w:pPr>
        <w:ind w:left="700" w:right="20" w:hanging="667"/>
        <w:spacing w:after="0" w:line="244" w:lineRule="auto"/>
        <w:tabs>
          <w:tab w:leader="none" w:pos="700" w:val="left"/>
        </w:tabs>
        <w:numPr>
          <w:ilvl w:val="0"/>
          <w:numId w:val="2"/>
        </w:numPr>
        <w:rPr>
          <w:rFonts w:ascii="MS PGothic" w:cs="MS PGothic" w:eastAsia="MS PGothic" w:hAnsi="MS PGothic"/>
          <w:sz w:val="21"/>
          <w:szCs w:val="21"/>
          <w:color w:val="auto"/>
        </w:rPr>
      </w:pPr>
      <w:r>
        <w:rPr>
          <w:rFonts w:ascii="Arial" w:cs="Arial" w:eastAsia="Arial" w:hAnsi="Arial"/>
          <w:sz w:val="21"/>
          <w:szCs w:val="21"/>
          <w:b w:val="1"/>
          <w:bCs w:val="1"/>
          <w:color w:val="auto"/>
        </w:rPr>
        <w:t>TRANSITION REPORT PURSUANT TO SECTION 13 OR 15(d) OF THE SECURITIES EXCHANGE ACT OF 1934</w:t>
      </w:r>
    </w:p>
    <w:p>
      <w:pPr>
        <w:spacing w:after="0" w:line="107" w:lineRule="exact"/>
        <w:rPr>
          <w:sz w:val="24"/>
          <w:szCs w:val="24"/>
          <w:color w:val="auto"/>
        </w:rPr>
      </w:pPr>
    </w:p>
    <w:p>
      <w:pPr>
        <w:ind w:left="3700"/>
        <w:spacing w:after="0"/>
        <w:tabs>
          <w:tab w:leader="none" w:pos="6760" w:val="left"/>
        </w:tabs>
        <w:rPr>
          <w:sz w:val="20"/>
          <w:szCs w:val="20"/>
          <w:color w:val="auto"/>
        </w:rPr>
      </w:pPr>
      <w:r>
        <w:rPr>
          <w:rFonts w:ascii="Arial" w:cs="Arial" w:eastAsia="Arial" w:hAnsi="Arial"/>
          <w:sz w:val="17"/>
          <w:szCs w:val="17"/>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3907790</wp:posOffset>
            </wp:positionH>
            <wp:positionV relativeFrom="paragraph">
              <wp:posOffset>-5080</wp:posOffset>
            </wp:positionV>
            <wp:extent cx="89090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90905" cy="8255"/>
                    </a:xfrm>
                    <a:prstGeom prst="rect">
                      <a:avLst/>
                    </a:prstGeom>
                    <a:noFill/>
                  </pic:spPr>
                </pic:pic>
              </a:graphicData>
            </a:graphic>
          </wp:anchor>
        </w:drawing>
      </w:r>
    </w:p>
    <w:p>
      <w:pPr>
        <w:spacing w:after="0" w:line="94" w:lineRule="exact"/>
        <w:rPr>
          <w:sz w:val="24"/>
          <w:szCs w:val="24"/>
          <w:color w:val="auto"/>
        </w:rPr>
      </w:pPr>
    </w:p>
    <w:p>
      <w:pPr>
        <w:jc w:val="center"/>
        <w:ind w:right="40"/>
        <w:spacing w:after="0"/>
        <w:rPr>
          <w:sz w:val="20"/>
          <w:szCs w:val="20"/>
          <w:color w:val="auto"/>
        </w:rPr>
      </w:pPr>
      <w:r>
        <w:rPr>
          <w:rFonts w:ascii="Arial" w:cs="Arial" w:eastAsia="Arial" w:hAnsi="Arial"/>
          <w:sz w:val="17"/>
          <w:szCs w:val="17"/>
          <w:b w:val="1"/>
          <w:bCs w:val="1"/>
          <w:color w:val="auto"/>
        </w:rPr>
        <w:t xml:space="preserve">Commission File Number: </w:t>
      </w:r>
      <w:r>
        <w:rPr>
          <w:rFonts w:ascii="Arial" w:cs="Arial" w:eastAsia="Arial" w:hAnsi="Arial"/>
          <w:sz w:val="17"/>
          <w:szCs w:val="17"/>
          <w:b w:val="1"/>
          <w:bCs w:val="1"/>
          <w:u w:val="single" w:color="auto"/>
          <w:color w:val="auto"/>
        </w:rPr>
        <w:t>1-8929</w:t>
      </w:r>
    </w:p>
    <w:p>
      <w:pPr>
        <w:spacing w:after="0" w:line="200" w:lineRule="exact"/>
        <w:rPr>
          <w:sz w:val="24"/>
          <w:szCs w:val="24"/>
          <w:color w:val="auto"/>
        </w:rPr>
      </w:pPr>
    </w:p>
    <w:p>
      <w:pPr>
        <w:spacing w:after="0" w:line="291" w:lineRule="exact"/>
        <w:rPr>
          <w:sz w:val="24"/>
          <w:szCs w:val="24"/>
          <w:color w:val="auto"/>
        </w:rPr>
      </w:pPr>
    </w:p>
    <w:p>
      <w:pPr>
        <w:jc w:val="center"/>
        <w:spacing w:after="0"/>
        <w:rPr>
          <w:sz w:val="20"/>
          <w:szCs w:val="20"/>
          <w:color w:val="auto"/>
        </w:rPr>
      </w:pPr>
      <w:r>
        <w:rPr>
          <w:rFonts w:ascii="Arial" w:cs="Arial" w:eastAsia="Arial" w:hAnsi="Arial"/>
          <w:sz w:val="41"/>
          <w:szCs w:val="41"/>
          <w:b w:val="1"/>
          <w:bCs w:val="1"/>
          <w:color w:val="auto"/>
        </w:rPr>
        <w:t>ABM INDUSTRIES INCORPORATED</w:t>
      </w:r>
    </w:p>
    <w:p>
      <w:pPr>
        <w:spacing w:after="0" w:line="185"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2948940</wp:posOffset>
            </wp:positionH>
            <wp:positionV relativeFrom="paragraph">
              <wp:posOffset>238760</wp:posOffset>
            </wp:positionV>
            <wp:extent cx="1244600" cy="6305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4600" cy="6305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tbl>
      <w:tblPr>
        <w:tblLayout w:type="fixed"/>
        <w:tblInd w:w="20" w:type="dxa"/>
        <w:tblCellMar>
          <w:top w:w="0" w:type="dxa"/>
          <w:left w:w="0" w:type="dxa"/>
          <w:bottom w:w="0" w:type="dxa"/>
          <w:right w:w="0" w:type="dxa"/>
        </w:tblCellMar>
      </w:tblPr>
      <w:tr>
        <w:trPr>
          <w:trHeight w:val="221"/>
        </w:trPr>
        <w:tc>
          <w:tcPr>
            <w:tcW w:w="3260" w:type="dxa"/>
            <w:vAlign w:val="bottom"/>
          </w:tcPr>
          <w:p>
            <w:pPr>
              <w:jc w:val="center"/>
              <w:ind w:right="114"/>
              <w:spacing w:after="0"/>
              <w:rPr>
                <w:sz w:val="20"/>
                <w:szCs w:val="20"/>
                <w:color w:val="auto"/>
              </w:rPr>
            </w:pPr>
            <w:r>
              <w:rPr>
                <w:rFonts w:ascii="Arial" w:cs="Arial" w:eastAsia="Arial" w:hAnsi="Arial"/>
                <w:sz w:val="17"/>
                <w:szCs w:val="17"/>
                <w:b w:val="1"/>
                <w:bCs w:val="1"/>
                <w:color w:val="auto"/>
                <w:w w:val="99"/>
              </w:rPr>
              <w:t>Delaware</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60" w:type="dxa"/>
            <w:vAlign w:val="bottom"/>
          </w:tcPr>
          <w:p>
            <w:pPr>
              <w:jc w:val="center"/>
              <w:ind w:left="894"/>
              <w:spacing w:after="0"/>
              <w:rPr>
                <w:sz w:val="20"/>
                <w:szCs w:val="20"/>
                <w:color w:val="auto"/>
              </w:rPr>
            </w:pPr>
            <w:r>
              <w:rPr>
                <w:rFonts w:ascii="Arial" w:cs="Arial" w:eastAsia="Arial" w:hAnsi="Arial"/>
                <w:sz w:val="17"/>
                <w:szCs w:val="17"/>
                <w:b w:val="1"/>
                <w:bCs w:val="1"/>
                <w:color w:val="auto"/>
              </w:rPr>
              <w:t>94-1369354</w:t>
            </w:r>
          </w:p>
        </w:tc>
      </w:tr>
      <w:tr>
        <w:trPr>
          <w:trHeight w:val="180"/>
        </w:trPr>
        <w:tc>
          <w:tcPr>
            <w:tcW w:w="3260" w:type="dxa"/>
            <w:vAlign w:val="bottom"/>
          </w:tcPr>
          <w:p>
            <w:pPr>
              <w:jc w:val="center"/>
              <w:ind w:right="114"/>
              <w:spacing w:after="0" w:line="180" w:lineRule="exact"/>
              <w:rPr>
                <w:sz w:val="20"/>
                <w:szCs w:val="20"/>
                <w:color w:val="auto"/>
              </w:rPr>
            </w:pPr>
            <w:r>
              <w:rPr>
                <w:rFonts w:ascii="Arial" w:cs="Arial" w:eastAsia="Arial" w:hAnsi="Arial"/>
                <w:sz w:val="17"/>
                <w:szCs w:val="17"/>
                <w:color w:val="auto"/>
              </w:rPr>
              <w:t>(State or other jurisdiction of</w:t>
            </w: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60" w:type="dxa"/>
            <w:vAlign w:val="bottom"/>
          </w:tcPr>
          <w:p>
            <w:pPr>
              <w:jc w:val="center"/>
              <w:ind w:left="874"/>
              <w:spacing w:after="0" w:line="180" w:lineRule="exact"/>
              <w:rPr>
                <w:sz w:val="20"/>
                <w:szCs w:val="20"/>
                <w:color w:val="auto"/>
              </w:rPr>
            </w:pPr>
            <w:r>
              <w:rPr>
                <w:rFonts w:ascii="Arial" w:cs="Arial" w:eastAsia="Arial" w:hAnsi="Arial"/>
                <w:sz w:val="17"/>
                <w:szCs w:val="17"/>
                <w:color w:val="auto"/>
              </w:rPr>
              <w:t>(I.R.S. Employer</w:t>
            </w:r>
          </w:p>
        </w:tc>
      </w:tr>
      <w:tr>
        <w:trPr>
          <w:trHeight w:val="226"/>
        </w:trPr>
        <w:tc>
          <w:tcPr>
            <w:tcW w:w="3260" w:type="dxa"/>
            <w:vAlign w:val="bottom"/>
          </w:tcPr>
          <w:p>
            <w:pPr>
              <w:jc w:val="center"/>
              <w:ind w:right="114"/>
              <w:spacing w:after="0"/>
              <w:rPr>
                <w:sz w:val="20"/>
                <w:szCs w:val="20"/>
                <w:color w:val="auto"/>
              </w:rPr>
            </w:pPr>
            <w:r>
              <w:rPr>
                <w:rFonts w:ascii="Arial" w:cs="Arial" w:eastAsia="Arial" w:hAnsi="Arial"/>
                <w:sz w:val="17"/>
                <w:szCs w:val="17"/>
                <w:color w:val="auto"/>
              </w:rPr>
              <w:t>incorporation or organization)</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60" w:type="dxa"/>
            <w:vAlign w:val="bottom"/>
          </w:tcPr>
          <w:p>
            <w:pPr>
              <w:jc w:val="center"/>
              <w:ind w:left="874"/>
              <w:spacing w:after="0"/>
              <w:rPr>
                <w:sz w:val="20"/>
                <w:szCs w:val="20"/>
                <w:color w:val="auto"/>
              </w:rPr>
            </w:pPr>
            <w:r>
              <w:rPr>
                <w:rFonts w:ascii="Arial" w:cs="Arial" w:eastAsia="Arial" w:hAnsi="Arial"/>
                <w:sz w:val="17"/>
                <w:szCs w:val="17"/>
                <w:color w:val="auto"/>
              </w:rPr>
              <w:t>Identification No.)</w:t>
            </w:r>
          </w:p>
        </w:tc>
      </w:tr>
      <w:tr>
        <w:trPr>
          <w:trHeight w:val="441"/>
        </w:trPr>
        <w:tc>
          <w:tcPr>
            <w:tcW w:w="3260" w:type="dxa"/>
            <w:vAlign w:val="bottom"/>
          </w:tcPr>
          <w:p>
            <w:pPr>
              <w:spacing w:after="0"/>
              <w:rPr>
                <w:sz w:val="24"/>
                <w:szCs w:val="24"/>
                <w:color w:val="auto"/>
              </w:rPr>
            </w:pPr>
          </w:p>
        </w:tc>
        <w:tc>
          <w:tcPr>
            <w:tcW w:w="3900" w:type="dxa"/>
            <w:vAlign w:val="bottom"/>
            <w:gridSpan w:val="7"/>
          </w:tcPr>
          <w:p>
            <w:pPr>
              <w:jc w:val="center"/>
              <w:ind w:left="694"/>
              <w:spacing w:after="0"/>
              <w:rPr>
                <w:sz w:val="20"/>
                <w:szCs w:val="20"/>
                <w:color w:val="auto"/>
              </w:rPr>
            </w:pPr>
            <w:r>
              <w:rPr>
                <w:rFonts w:ascii="Arial" w:cs="Arial" w:eastAsia="Arial" w:hAnsi="Arial"/>
                <w:sz w:val="17"/>
                <w:szCs w:val="17"/>
                <w:color w:val="auto"/>
              </w:rPr>
              <w:t>__________________________</w:t>
            </w:r>
          </w:p>
        </w:tc>
        <w:tc>
          <w:tcPr>
            <w:tcW w:w="4060" w:type="dxa"/>
            <w:vAlign w:val="bottom"/>
          </w:tcPr>
          <w:p>
            <w:pPr>
              <w:spacing w:after="0"/>
              <w:rPr>
                <w:sz w:val="24"/>
                <w:szCs w:val="24"/>
                <w:color w:val="auto"/>
              </w:rPr>
            </w:pPr>
          </w:p>
        </w:tc>
      </w:tr>
      <w:tr>
        <w:trPr>
          <w:trHeight w:val="208"/>
        </w:trPr>
        <w:tc>
          <w:tcPr>
            <w:tcW w:w="3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380" w:type="dxa"/>
            <w:vAlign w:val="bottom"/>
            <w:gridSpan w:val="5"/>
          </w:tcPr>
          <w:p>
            <w:pPr>
              <w:jc w:val="center"/>
              <w:ind w:left="194"/>
              <w:spacing w:after="0" w:line="208" w:lineRule="exact"/>
              <w:rPr>
                <w:sz w:val="20"/>
                <w:szCs w:val="20"/>
                <w:color w:val="auto"/>
              </w:rPr>
            </w:pPr>
            <w:r>
              <w:rPr>
                <w:rFonts w:ascii="Arial" w:cs="Arial" w:eastAsia="Arial" w:hAnsi="Arial"/>
                <w:sz w:val="17"/>
                <w:szCs w:val="17"/>
                <w:b w:val="1"/>
                <w:bCs w:val="1"/>
                <w:color w:val="auto"/>
                <w:w w:val="99"/>
              </w:rPr>
              <w:t>One Liberty Plaza, 7</w:t>
            </w:r>
            <w:r>
              <w:rPr>
                <w:rFonts w:ascii="Arial" w:cs="Arial" w:eastAsia="Arial" w:hAnsi="Arial"/>
                <w:sz w:val="22"/>
                <w:szCs w:val="22"/>
                <w:b w:val="1"/>
                <w:bCs w:val="1"/>
                <w:color w:val="auto"/>
                <w:w w:val="99"/>
                <w:vertAlign w:val="superscript"/>
              </w:rPr>
              <w:t>th</w:t>
            </w:r>
            <w:r>
              <w:rPr>
                <w:rFonts w:ascii="Arial" w:cs="Arial" w:eastAsia="Arial" w:hAnsi="Arial"/>
                <w:sz w:val="17"/>
                <w:szCs w:val="17"/>
                <w:b w:val="1"/>
                <w:bCs w:val="1"/>
                <w:color w:val="auto"/>
                <w:w w:val="99"/>
              </w:rPr>
              <w:t xml:space="preserve"> Floor</w:t>
            </w:r>
          </w:p>
        </w:tc>
        <w:tc>
          <w:tcPr>
            <w:tcW w:w="4060" w:type="dxa"/>
            <w:vAlign w:val="bottom"/>
          </w:tcPr>
          <w:p>
            <w:pPr>
              <w:spacing w:after="0"/>
              <w:rPr>
                <w:sz w:val="18"/>
                <w:szCs w:val="18"/>
                <w:color w:val="auto"/>
              </w:rPr>
            </w:pPr>
          </w:p>
        </w:tc>
      </w:tr>
      <w:tr>
        <w:trPr>
          <w:trHeight w:val="238"/>
        </w:trPr>
        <w:tc>
          <w:tcPr>
            <w:tcW w:w="3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380" w:type="dxa"/>
            <w:vAlign w:val="bottom"/>
            <w:gridSpan w:val="5"/>
          </w:tcPr>
          <w:p>
            <w:pPr>
              <w:jc w:val="center"/>
              <w:ind w:left="174"/>
              <w:spacing w:after="0"/>
              <w:rPr>
                <w:sz w:val="20"/>
                <w:szCs w:val="20"/>
                <w:color w:val="auto"/>
              </w:rPr>
            </w:pPr>
            <w:r>
              <w:rPr>
                <w:rFonts w:ascii="Arial" w:cs="Arial" w:eastAsia="Arial" w:hAnsi="Arial"/>
                <w:sz w:val="17"/>
                <w:szCs w:val="17"/>
                <w:b w:val="1"/>
                <w:bCs w:val="1"/>
                <w:color w:val="auto"/>
                <w:w w:val="99"/>
              </w:rPr>
              <w:t>New York, New York 10006</w:t>
            </w:r>
          </w:p>
        </w:tc>
        <w:tc>
          <w:tcPr>
            <w:tcW w:w="4060" w:type="dxa"/>
            <w:vAlign w:val="bottom"/>
          </w:tcPr>
          <w:p>
            <w:pPr>
              <w:spacing w:after="0"/>
              <w:rPr>
                <w:sz w:val="20"/>
                <w:szCs w:val="20"/>
                <w:color w:val="auto"/>
              </w:rPr>
            </w:pPr>
          </w:p>
        </w:tc>
      </w:tr>
      <w:tr>
        <w:trPr>
          <w:trHeight w:val="299"/>
        </w:trPr>
        <w:tc>
          <w:tcPr>
            <w:tcW w:w="3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380" w:type="dxa"/>
            <w:vAlign w:val="bottom"/>
            <w:gridSpan w:val="5"/>
          </w:tcPr>
          <w:p>
            <w:pPr>
              <w:jc w:val="center"/>
              <w:ind w:left="194"/>
              <w:spacing w:after="0"/>
              <w:rPr>
                <w:sz w:val="20"/>
                <w:szCs w:val="20"/>
                <w:color w:val="auto"/>
              </w:rPr>
            </w:pPr>
            <w:r>
              <w:rPr>
                <w:rFonts w:ascii="Arial" w:cs="Arial" w:eastAsia="Arial" w:hAnsi="Arial"/>
                <w:sz w:val="17"/>
                <w:szCs w:val="17"/>
                <w:color w:val="auto"/>
              </w:rPr>
              <w:t>(Address of principal executive offices)</w:t>
            </w:r>
          </w:p>
        </w:tc>
        <w:tc>
          <w:tcPr>
            <w:tcW w:w="4060" w:type="dxa"/>
            <w:vAlign w:val="bottom"/>
          </w:tcPr>
          <w:p>
            <w:pPr>
              <w:spacing w:after="0"/>
              <w:rPr>
                <w:sz w:val="24"/>
                <w:szCs w:val="24"/>
                <w:color w:val="auto"/>
              </w:rPr>
            </w:pPr>
          </w:p>
        </w:tc>
      </w:tr>
      <w:tr>
        <w:trPr>
          <w:trHeight w:val="500"/>
        </w:trPr>
        <w:tc>
          <w:tcPr>
            <w:tcW w:w="3260" w:type="dxa"/>
            <w:vAlign w:val="bottom"/>
          </w:tcPr>
          <w:p>
            <w:pPr>
              <w:spacing w:after="0"/>
              <w:rPr>
                <w:sz w:val="24"/>
                <w:szCs w:val="24"/>
                <w:color w:val="auto"/>
              </w:rPr>
            </w:pPr>
          </w:p>
        </w:tc>
        <w:tc>
          <w:tcPr>
            <w:tcW w:w="2940" w:type="dxa"/>
            <w:vAlign w:val="bottom"/>
            <w:gridSpan w:val="4"/>
          </w:tcPr>
          <w:p>
            <w:pPr>
              <w:jc w:val="center"/>
              <w:ind w:left="1674"/>
              <w:spacing w:after="0"/>
              <w:rPr>
                <w:sz w:val="20"/>
                <w:szCs w:val="20"/>
                <w:color w:val="auto"/>
              </w:rPr>
            </w:pPr>
            <w:r>
              <w:rPr>
                <w:rFonts w:ascii="Arial" w:cs="Arial" w:eastAsia="Arial" w:hAnsi="Arial"/>
                <w:sz w:val="17"/>
                <w:szCs w:val="17"/>
                <w:b w:val="1"/>
                <w:bCs w:val="1"/>
                <w:color w:val="auto"/>
              </w:rPr>
              <w:t>(212) 297-0200</w:t>
            </w: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60" w:type="dxa"/>
            <w:vAlign w:val="bottom"/>
          </w:tcPr>
          <w:p>
            <w:pPr>
              <w:spacing w:after="0"/>
              <w:rPr>
                <w:sz w:val="24"/>
                <w:szCs w:val="24"/>
                <w:color w:val="auto"/>
              </w:rPr>
            </w:pPr>
          </w:p>
        </w:tc>
      </w:tr>
      <w:tr>
        <w:trPr>
          <w:trHeight w:val="20"/>
        </w:trPr>
        <w:tc>
          <w:tcPr>
            <w:tcW w:w="3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540" w:type="dxa"/>
            <w:vAlign w:val="bottom"/>
            <w:gridSpan w:val="2"/>
          </w:tcPr>
          <w:p>
            <w:pPr>
              <w:spacing w:after="0" w:line="20" w:lineRule="exact"/>
              <w:rPr>
                <w:sz w:val="1"/>
                <w:szCs w:val="1"/>
                <w:color w:val="auto"/>
              </w:rPr>
            </w:pPr>
          </w:p>
        </w:tc>
      </w:tr>
      <w:tr>
        <w:trPr>
          <w:trHeight w:val="279"/>
        </w:trPr>
        <w:tc>
          <w:tcPr>
            <w:tcW w:w="3260" w:type="dxa"/>
            <w:vAlign w:val="bottom"/>
          </w:tcPr>
          <w:p>
            <w:pPr>
              <w:spacing w:after="0"/>
              <w:rPr>
                <w:sz w:val="24"/>
                <w:szCs w:val="24"/>
                <w:color w:val="auto"/>
              </w:rPr>
            </w:pPr>
          </w:p>
        </w:tc>
        <w:tc>
          <w:tcPr>
            <w:tcW w:w="7960" w:type="dxa"/>
            <w:vAlign w:val="bottom"/>
            <w:gridSpan w:val="8"/>
          </w:tcPr>
          <w:p>
            <w:pPr>
              <w:jc w:val="center"/>
              <w:ind w:right="3174"/>
              <w:spacing w:after="0"/>
              <w:rPr>
                <w:sz w:val="20"/>
                <w:szCs w:val="20"/>
                <w:color w:val="auto"/>
              </w:rPr>
            </w:pPr>
            <w:r>
              <w:rPr>
                <w:rFonts w:ascii="Arial" w:cs="Arial" w:eastAsia="Arial" w:hAnsi="Arial"/>
                <w:sz w:val="17"/>
                <w:szCs w:val="17"/>
                <w:color w:val="auto"/>
              </w:rPr>
              <w:t>(Registrant’s telephone number, including area code)</w:t>
            </w:r>
          </w:p>
        </w:tc>
      </w:tr>
      <w:tr>
        <w:trPr>
          <w:trHeight w:val="361"/>
        </w:trPr>
        <w:tc>
          <w:tcPr>
            <w:tcW w:w="3260" w:type="dxa"/>
            <w:vAlign w:val="bottom"/>
          </w:tcPr>
          <w:p>
            <w:pPr>
              <w:spacing w:after="0"/>
              <w:rPr>
                <w:sz w:val="24"/>
                <w:szCs w:val="24"/>
                <w:color w:val="auto"/>
              </w:rPr>
            </w:pPr>
          </w:p>
        </w:tc>
        <w:tc>
          <w:tcPr>
            <w:tcW w:w="3280" w:type="dxa"/>
            <w:vAlign w:val="bottom"/>
            <w:gridSpan w:val="5"/>
          </w:tcPr>
          <w:p>
            <w:pPr>
              <w:jc w:val="center"/>
              <w:ind w:left="1314"/>
              <w:spacing w:after="0"/>
              <w:rPr>
                <w:sz w:val="20"/>
                <w:szCs w:val="20"/>
                <w:color w:val="auto"/>
              </w:rPr>
            </w:pPr>
            <w:r>
              <w:rPr>
                <w:rFonts w:ascii="Arial" w:cs="Arial" w:eastAsia="Arial" w:hAnsi="Arial"/>
                <w:sz w:val="17"/>
                <w:szCs w:val="17"/>
                <w:color w:val="auto"/>
              </w:rPr>
              <w:t>__________________</w:t>
            </w: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60" w:type="dxa"/>
            <w:vAlign w:val="bottom"/>
          </w:tcPr>
          <w:p>
            <w:pPr>
              <w:spacing w:after="0"/>
              <w:rPr>
                <w:sz w:val="24"/>
                <w:szCs w:val="24"/>
                <w:color w:val="auto"/>
              </w:rPr>
            </w:pPr>
          </w:p>
        </w:tc>
      </w:tr>
      <w:tr>
        <w:trPr>
          <w:trHeight w:val="361"/>
        </w:trPr>
        <w:tc>
          <w:tcPr>
            <w:tcW w:w="3260" w:type="dxa"/>
            <w:vAlign w:val="bottom"/>
          </w:tcPr>
          <w:p>
            <w:pPr>
              <w:spacing w:after="0"/>
              <w:rPr>
                <w:sz w:val="24"/>
                <w:szCs w:val="24"/>
                <w:color w:val="auto"/>
              </w:rPr>
            </w:pPr>
          </w:p>
        </w:tc>
        <w:tc>
          <w:tcPr>
            <w:tcW w:w="7960" w:type="dxa"/>
            <w:vAlign w:val="bottom"/>
            <w:gridSpan w:val="8"/>
          </w:tcPr>
          <w:p>
            <w:pPr>
              <w:jc w:val="center"/>
              <w:ind w:right="3194"/>
              <w:spacing w:after="0"/>
              <w:rPr>
                <w:sz w:val="20"/>
                <w:szCs w:val="20"/>
                <w:color w:val="auto"/>
              </w:rPr>
            </w:pPr>
            <w:r>
              <w:rPr>
                <w:rFonts w:ascii="Arial" w:cs="Arial" w:eastAsia="Arial" w:hAnsi="Arial"/>
                <w:sz w:val="17"/>
                <w:szCs w:val="17"/>
                <w:color w:val="auto"/>
              </w:rPr>
              <w:t>Securities registered pursuant to Section 12(b) of the Act:</w:t>
            </w:r>
          </w:p>
        </w:tc>
      </w:tr>
      <w:tr>
        <w:trPr>
          <w:trHeight w:val="243"/>
        </w:trPr>
        <w:tc>
          <w:tcPr>
            <w:tcW w:w="3260" w:type="dxa"/>
            <w:vAlign w:val="bottom"/>
          </w:tcPr>
          <w:p>
            <w:pPr>
              <w:jc w:val="center"/>
              <w:ind w:left="274"/>
              <w:spacing w:after="0"/>
              <w:rPr>
                <w:sz w:val="20"/>
                <w:szCs w:val="20"/>
                <w:color w:val="auto"/>
              </w:rPr>
            </w:pPr>
            <w:r>
              <w:rPr>
                <w:rFonts w:ascii="Arial" w:cs="Arial" w:eastAsia="Arial" w:hAnsi="Arial"/>
                <w:sz w:val="17"/>
                <w:szCs w:val="17"/>
                <w:color w:val="auto"/>
              </w:rPr>
              <w:t>Title of each class</w:t>
            </w:r>
          </w:p>
        </w:tc>
        <w:tc>
          <w:tcPr>
            <w:tcW w:w="3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380" w:type="dxa"/>
            <w:vAlign w:val="bottom"/>
            <w:gridSpan w:val="5"/>
          </w:tcPr>
          <w:p>
            <w:pPr>
              <w:jc w:val="center"/>
              <w:ind w:right="620"/>
              <w:spacing w:after="0"/>
              <w:rPr>
                <w:sz w:val="20"/>
                <w:szCs w:val="20"/>
                <w:color w:val="auto"/>
              </w:rPr>
            </w:pPr>
            <w:r>
              <w:rPr>
                <w:rFonts w:ascii="Arial" w:cs="Arial" w:eastAsia="Arial" w:hAnsi="Arial"/>
                <w:sz w:val="17"/>
                <w:szCs w:val="17"/>
                <w:color w:val="auto"/>
              </w:rPr>
              <w:t>Trading Symbol</w:t>
            </w:r>
          </w:p>
        </w:tc>
        <w:tc>
          <w:tcPr>
            <w:tcW w:w="4060" w:type="dxa"/>
            <w:vAlign w:val="bottom"/>
          </w:tcPr>
          <w:p>
            <w:pPr>
              <w:jc w:val="center"/>
              <w:ind w:right="414"/>
              <w:spacing w:after="0"/>
              <w:rPr>
                <w:sz w:val="20"/>
                <w:szCs w:val="20"/>
                <w:color w:val="auto"/>
              </w:rPr>
            </w:pPr>
            <w:r>
              <w:rPr>
                <w:rFonts w:ascii="Arial" w:cs="Arial" w:eastAsia="Arial" w:hAnsi="Arial"/>
                <w:sz w:val="17"/>
                <w:szCs w:val="17"/>
                <w:color w:val="auto"/>
              </w:rPr>
              <w:t>Name of each exchange on which registered</w:t>
            </w:r>
          </w:p>
        </w:tc>
      </w:tr>
      <w:tr>
        <w:trPr>
          <w:trHeight w:val="230"/>
        </w:trPr>
        <w:tc>
          <w:tcPr>
            <w:tcW w:w="3260" w:type="dxa"/>
            <w:vAlign w:val="bottom"/>
            <w:tcBorders>
              <w:top w:val="single" w:sz="8" w:color="auto"/>
            </w:tcBorders>
          </w:tcPr>
          <w:p>
            <w:pPr>
              <w:jc w:val="center"/>
              <w:ind w:left="274"/>
              <w:spacing w:after="0"/>
              <w:rPr>
                <w:sz w:val="20"/>
                <w:szCs w:val="20"/>
                <w:color w:val="auto"/>
              </w:rPr>
            </w:pPr>
            <w:r>
              <w:rPr>
                <w:rFonts w:ascii="Arial" w:cs="Arial" w:eastAsia="Arial" w:hAnsi="Arial"/>
                <w:sz w:val="17"/>
                <w:szCs w:val="17"/>
                <w:b w:val="1"/>
                <w:bCs w:val="1"/>
                <w:color w:val="auto"/>
              </w:rPr>
              <w:t>Common Stock, $0.01 par value</w:t>
            </w:r>
          </w:p>
        </w:tc>
        <w:tc>
          <w:tcPr>
            <w:tcW w:w="38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760" w:type="dxa"/>
            <w:vAlign w:val="bottom"/>
            <w:tcBorders>
              <w:top w:val="single" w:sz="8" w:color="auto"/>
            </w:tcBorders>
            <w:gridSpan w:val="3"/>
          </w:tcPr>
          <w:p>
            <w:pPr>
              <w:jc w:val="center"/>
              <w:spacing w:after="0"/>
              <w:rPr>
                <w:sz w:val="20"/>
                <w:szCs w:val="20"/>
                <w:color w:val="auto"/>
              </w:rPr>
            </w:pPr>
            <w:r>
              <w:rPr>
                <w:rFonts w:ascii="Arial" w:cs="Arial" w:eastAsia="Arial" w:hAnsi="Arial"/>
                <w:sz w:val="17"/>
                <w:szCs w:val="17"/>
                <w:b w:val="1"/>
                <w:bCs w:val="1"/>
                <w:color w:val="auto"/>
                <w:w w:val="98"/>
              </w:rPr>
              <w:t>ABM</w:t>
            </w:r>
          </w:p>
        </w:tc>
        <w:tc>
          <w:tcPr>
            <w:tcW w:w="14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4060" w:type="dxa"/>
            <w:vAlign w:val="bottom"/>
            <w:tcBorders>
              <w:top w:val="single" w:sz="8" w:color="auto"/>
            </w:tcBorders>
          </w:tcPr>
          <w:p>
            <w:pPr>
              <w:jc w:val="center"/>
              <w:ind w:right="394"/>
              <w:spacing w:after="0"/>
              <w:rPr>
                <w:sz w:val="20"/>
                <w:szCs w:val="20"/>
                <w:color w:val="auto"/>
              </w:rPr>
            </w:pPr>
            <w:r>
              <w:rPr>
                <w:rFonts w:ascii="Arial" w:cs="Arial" w:eastAsia="Arial" w:hAnsi="Arial"/>
                <w:sz w:val="17"/>
                <w:szCs w:val="17"/>
                <w:b w:val="1"/>
                <w:bCs w:val="1"/>
                <w:color w:val="auto"/>
              </w:rPr>
              <w:t>New York Stock Exchange</w:t>
            </w:r>
          </w:p>
        </w:tc>
      </w:tr>
    </w:tbl>
    <w:p>
      <w:pPr>
        <w:spacing w:after="0" w:line="210" w:lineRule="exact"/>
        <w:rPr>
          <w:sz w:val="24"/>
          <w:szCs w:val="24"/>
          <w:color w:val="auto"/>
        </w:rPr>
      </w:pPr>
    </w:p>
    <w:p>
      <w:pPr>
        <w:ind w:left="4380"/>
        <w:spacing w:after="0"/>
        <w:rPr>
          <w:sz w:val="20"/>
          <w:szCs w:val="20"/>
          <w:color w:val="auto"/>
        </w:rPr>
      </w:pPr>
      <w:r>
        <w:rPr>
          <w:rFonts w:ascii="Arial" w:cs="Arial" w:eastAsia="Arial" w:hAnsi="Arial"/>
          <w:sz w:val="17"/>
          <w:szCs w:val="17"/>
          <w:color w:val="auto"/>
        </w:rPr>
        <w:t>__________________________</w:t>
      </w:r>
    </w:p>
    <w:p>
      <w:pPr>
        <w:spacing w:after="0" w:line="165"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Securities registered pursuant to Section 12(g) of the Act: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1273810</wp:posOffset>
            </wp:positionV>
            <wp:extent cx="7164070"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1" w:name="page2"/>
    <w:bookmarkEnd w:id="1"/>
    <w:p>
      <w:pPr>
        <w:spacing w:after="0" w:line="40" w:lineRule="exact"/>
        <w:rPr>
          <w:sz w:val="20"/>
          <w:szCs w:val="20"/>
          <w:color w:val="auto"/>
        </w:rPr>
      </w:pPr>
    </w:p>
    <w:p>
      <w:pPr>
        <w:spacing w:after="0"/>
        <w:rPr>
          <w:sz w:val="20"/>
          <w:szCs w:val="20"/>
          <w:color w:val="auto"/>
        </w:rPr>
      </w:pPr>
      <w:r>
        <w:rPr>
          <w:rFonts w:ascii="Arial" w:cs="Arial" w:eastAsia="Arial" w:hAnsi="Arial"/>
          <w:sz w:val="17"/>
          <w:szCs w:val="17"/>
          <w:color w:val="auto"/>
        </w:rPr>
        <w:t>Indicate by check mark if the registrant is a well-known seasoned issuer, as defined in Rule 405 of the Securities Act.</w:t>
      </w:r>
    </w:p>
    <w:p>
      <w:pPr>
        <w:spacing w:after="0" w:line="20" w:lineRule="exact"/>
        <w:rPr>
          <w:sz w:val="20"/>
          <w:szCs w:val="20"/>
          <w:color w:val="auto"/>
        </w:rPr>
      </w:pPr>
      <w:r>
        <w:rPr>
          <w:sz w:val="20"/>
          <w:szCs w:val="20"/>
          <w:color w:val="auto"/>
        </w:rPr>
        <w:br w:type="column"/>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Yes</w:t>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0"/>
          <w:szCs w:val="20"/>
          <w:color w:val="auto"/>
        </w:rPr>
      </w:pPr>
      <w:r>
        <w:rPr>
          <w:sz w:val="20"/>
          <w:szCs w:val="20"/>
          <w:color w:val="auto"/>
        </w:rPr>
        <w:br w:type="column"/>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No</w:t>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95" w:lineRule="exact"/>
        <w:rPr>
          <w:sz w:val="20"/>
          <w:szCs w:val="20"/>
          <w:color w:val="auto"/>
        </w:rPr>
      </w:pPr>
    </w:p>
    <w:p>
      <w:pPr>
        <w:sectPr>
          <w:pgSz w:w="11900" w:h="16838" w:orient="portrait"/>
          <w:cols w:equalWidth="0" w:num="5">
            <w:col w:w="8880" w:space="140"/>
            <w:col w:w="280" w:space="100"/>
            <w:col w:w="140" w:space="340"/>
            <w:col w:w="220" w:space="100"/>
            <w:col w:w="1040"/>
          </w:cols>
          <w:pgMar w:left="320" w:top="972" w:right="339" w:bottom="1440" w:gutter="0" w:footer="0" w:header="0"/>
        </w:sectPr>
      </w:pP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Indicate by check mark if the registrant is not required to file reports pursuant to Section 13 or Section 15(d) of the Act.</w:t>
      </w:r>
    </w:p>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Yes</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No</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r>
        <w:rPr>
          <w:rFonts w:ascii="MS PGothic" w:cs="MS PGothic" w:eastAsia="MS PGothic" w:hAnsi="MS PGothic"/>
          <w:sz w:val="16"/>
          <w:szCs w:val="16"/>
          <w:color w:val="auto"/>
        </w:rPr>
        <w:t>☑</w:t>
      </w:r>
    </w:p>
    <w:p>
      <w:pPr>
        <w:spacing w:after="0" w:line="275" w:lineRule="exact"/>
        <w:rPr>
          <w:sz w:val="20"/>
          <w:szCs w:val="20"/>
          <w:color w:val="auto"/>
        </w:rPr>
      </w:pPr>
    </w:p>
    <w:p>
      <w:pPr>
        <w:sectPr>
          <w:pgSz w:w="11900" w:h="16838" w:orient="portrait"/>
          <w:cols w:equalWidth="0" w:num="5">
            <w:col w:w="8980" w:space="180"/>
            <w:col w:w="280" w:space="100"/>
            <w:col w:w="160" w:space="180"/>
            <w:col w:w="220" w:space="100"/>
            <w:col w:w="1040"/>
          </w:cols>
          <w:pgMar w:left="320" w:top="972" w:right="339" w:bottom="1440" w:gutter="0" w:footer="0" w:header="0"/>
          <w:type w:val="continuous"/>
        </w:sectPr>
      </w:pPr>
    </w:p>
    <w:p>
      <w:pPr>
        <w:spacing w:after="0" w:line="43" w:lineRule="exact"/>
        <w:rPr>
          <w:sz w:val="20"/>
          <w:szCs w:val="20"/>
          <w:color w:val="auto"/>
        </w:rPr>
      </w:pPr>
    </w:p>
    <w:p>
      <w:pPr>
        <w:jc w:val="both"/>
        <w:spacing w:after="0" w:line="220"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191" w:lineRule="exact"/>
        <w:rPr>
          <w:sz w:val="20"/>
          <w:szCs w:val="20"/>
          <w:color w:val="auto"/>
        </w:rPr>
      </w:pPr>
    </w:p>
    <w:p>
      <w:pPr>
        <w:jc w:val="both"/>
        <w:spacing w:after="0" w:line="220" w:lineRule="exact"/>
        <w:rPr>
          <w:sz w:val="20"/>
          <w:szCs w:val="20"/>
          <w:color w:val="auto"/>
        </w:rPr>
      </w:pPr>
      <w:r>
        <w:rPr>
          <w:rFonts w:ascii="Arial" w:cs="Arial" w:eastAsia="Arial" w:hAnsi="Arial"/>
          <w:sz w:val="17"/>
          <w:szCs w:val="17"/>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191"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w:t>
      </w:r>
    </w:p>
    <w:tbl>
      <w:tblPr>
        <w:tblLayout w:type="fixed"/>
        <w:tblInd w:w="0" w:type="dxa"/>
        <w:tblCellMar>
          <w:top w:w="0" w:type="dxa"/>
          <w:left w:w="0" w:type="dxa"/>
          <w:bottom w:w="0" w:type="dxa"/>
          <w:right w:w="0" w:type="dxa"/>
        </w:tblCellMar>
      </w:tblPr>
      <w:tr>
        <w:trPr>
          <w:trHeight w:val="226"/>
        </w:trPr>
        <w:tc>
          <w:tcPr>
            <w:tcW w:w="1000" w:type="dxa"/>
            <w:vAlign w:val="bottom"/>
          </w:tcPr>
          <w:p>
            <w:pPr>
              <w:spacing w:after="0"/>
              <w:rPr>
                <w:sz w:val="20"/>
                <w:szCs w:val="20"/>
                <w:color w:val="auto"/>
              </w:rPr>
            </w:pPr>
            <w:r>
              <w:rPr>
                <w:rFonts w:ascii="Arial" w:cs="Arial" w:eastAsia="Arial" w:hAnsi="Arial"/>
                <w:sz w:val="17"/>
                <w:szCs w:val="17"/>
                <w:color w:val="auto"/>
              </w:rPr>
              <w:t>growth</w:t>
            </w:r>
          </w:p>
        </w:tc>
        <w:tc>
          <w:tcPr>
            <w:tcW w:w="1360" w:type="dxa"/>
            <w:vAlign w:val="bottom"/>
          </w:tcPr>
          <w:p>
            <w:pPr>
              <w:ind w:left="460"/>
              <w:spacing w:after="0"/>
              <w:rPr>
                <w:sz w:val="20"/>
                <w:szCs w:val="20"/>
                <w:color w:val="auto"/>
              </w:rPr>
            </w:pPr>
            <w:r>
              <w:rPr>
                <w:rFonts w:ascii="Arial" w:cs="Arial" w:eastAsia="Arial" w:hAnsi="Arial"/>
                <w:sz w:val="17"/>
                <w:szCs w:val="17"/>
                <w:color w:val="auto"/>
              </w:rPr>
              <w:t>company”</w:t>
            </w:r>
          </w:p>
        </w:tc>
        <w:tc>
          <w:tcPr>
            <w:tcW w:w="1240" w:type="dxa"/>
            <w:vAlign w:val="bottom"/>
          </w:tcPr>
          <w:p>
            <w:pPr>
              <w:ind w:left="820"/>
              <w:spacing w:after="0"/>
              <w:rPr>
                <w:sz w:val="20"/>
                <w:szCs w:val="20"/>
                <w:color w:val="auto"/>
              </w:rPr>
            </w:pPr>
            <w:r>
              <w:rPr>
                <w:rFonts w:ascii="Arial" w:cs="Arial" w:eastAsia="Arial" w:hAnsi="Arial"/>
                <w:sz w:val="17"/>
                <w:szCs w:val="17"/>
                <w:color w:val="auto"/>
              </w:rPr>
              <w:t>in</w:t>
            </w:r>
          </w:p>
        </w:tc>
        <w:tc>
          <w:tcPr>
            <w:tcW w:w="1480" w:type="dxa"/>
            <w:vAlign w:val="bottom"/>
          </w:tcPr>
          <w:p>
            <w:pPr>
              <w:ind w:left="660"/>
              <w:spacing w:after="0"/>
              <w:rPr>
                <w:sz w:val="20"/>
                <w:szCs w:val="20"/>
                <w:color w:val="auto"/>
              </w:rPr>
            </w:pPr>
            <w:r>
              <w:rPr>
                <w:rFonts w:ascii="Arial" w:cs="Arial" w:eastAsia="Arial" w:hAnsi="Arial"/>
                <w:sz w:val="17"/>
                <w:szCs w:val="17"/>
                <w:color w:val="auto"/>
              </w:rPr>
              <w:t>Rule</w:t>
            </w:r>
          </w:p>
        </w:tc>
        <w:tc>
          <w:tcPr>
            <w:tcW w:w="1180" w:type="dxa"/>
            <w:vAlign w:val="bottom"/>
          </w:tcPr>
          <w:p>
            <w:pPr>
              <w:jc w:val="right"/>
              <w:ind w:right="174"/>
              <w:spacing w:after="0"/>
              <w:rPr>
                <w:sz w:val="20"/>
                <w:szCs w:val="20"/>
                <w:color w:val="auto"/>
              </w:rPr>
            </w:pPr>
            <w:r>
              <w:rPr>
                <w:rFonts w:ascii="Arial" w:cs="Arial" w:eastAsia="Arial" w:hAnsi="Arial"/>
                <w:sz w:val="17"/>
                <w:szCs w:val="17"/>
                <w:color w:val="auto"/>
              </w:rPr>
              <w:t>12b-2</w:t>
            </w:r>
          </w:p>
        </w:tc>
        <w:tc>
          <w:tcPr>
            <w:tcW w:w="1680" w:type="dxa"/>
            <w:vAlign w:val="bottom"/>
          </w:tcPr>
          <w:p>
            <w:pPr>
              <w:ind w:left="700"/>
              <w:spacing w:after="0"/>
              <w:rPr>
                <w:sz w:val="20"/>
                <w:szCs w:val="20"/>
                <w:color w:val="auto"/>
              </w:rPr>
            </w:pPr>
            <w:r>
              <w:rPr>
                <w:rFonts w:ascii="Arial" w:cs="Arial" w:eastAsia="Arial" w:hAnsi="Arial"/>
                <w:sz w:val="17"/>
                <w:szCs w:val="17"/>
                <w:color w:val="auto"/>
              </w:rPr>
              <w:t>of</w:t>
            </w:r>
          </w:p>
        </w:tc>
        <w:tc>
          <w:tcPr>
            <w:tcW w:w="420" w:type="dxa"/>
            <w:vAlign w:val="bottom"/>
          </w:tcPr>
          <w:p>
            <w:pPr>
              <w:ind w:left="100"/>
              <w:spacing w:after="0"/>
              <w:rPr>
                <w:sz w:val="20"/>
                <w:szCs w:val="20"/>
                <w:color w:val="auto"/>
              </w:rPr>
            </w:pPr>
            <w:r>
              <w:rPr>
                <w:rFonts w:ascii="Arial" w:cs="Arial" w:eastAsia="Arial" w:hAnsi="Arial"/>
                <w:sz w:val="17"/>
                <w:szCs w:val="17"/>
                <w:color w:val="auto"/>
              </w:rPr>
              <w:t>the</w:t>
            </w:r>
          </w:p>
        </w:tc>
        <w:tc>
          <w:tcPr>
            <w:tcW w:w="2500" w:type="dxa"/>
            <w:vAlign w:val="bottom"/>
          </w:tcPr>
          <w:p>
            <w:pPr>
              <w:jc w:val="center"/>
              <w:spacing w:after="0"/>
              <w:rPr>
                <w:sz w:val="20"/>
                <w:szCs w:val="20"/>
                <w:color w:val="auto"/>
              </w:rPr>
            </w:pPr>
            <w:r>
              <w:rPr>
                <w:rFonts w:ascii="Arial" w:cs="Arial" w:eastAsia="Arial" w:hAnsi="Arial"/>
                <w:sz w:val="17"/>
                <w:szCs w:val="17"/>
                <w:color w:val="auto"/>
              </w:rPr>
              <w:t>Exchange</w:t>
            </w:r>
          </w:p>
        </w:tc>
        <w:tc>
          <w:tcPr>
            <w:tcW w:w="380" w:type="dxa"/>
            <w:vAlign w:val="bottom"/>
          </w:tcPr>
          <w:p>
            <w:pPr>
              <w:ind w:left="80"/>
              <w:spacing w:after="0"/>
              <w:rPr>
                <w:sz w:val="20"/>
                <w:szCs w:val="20"/>
                <w:color w:val="auto"/>
              </w:rPr>
            </w:pPr>
            <w:r>
              <w:rPr>
                <w:rFonts w:ascii="Arial" w:cs="Arial" w:eastAsia="Arial" w:hAnsi="Arial"/>
                <w:sz w:val="17"/>
                <w:szCs w:val="17"/>
                <w:color w:val="auto"/>
                <w:w w:val="95"/>
              </w:rPr>
              <w:t>Act.</w:t>
            </w:r>
          </w:p>
        </w:tc>
        <w:tc>
          <w:tcPr>
            <w:tcW w:w="0" w:type="dxa"/>
            <w:vAlign w:val="bottom"/>
          </w:tcPr>
          <w:p>
            <w:pPr>
              <w:spacing w:after="0"/>
              <w:rPr>
                <w:sz w:val="1"/>
                <w:szCs w:val="1"/>
                <w:color w:val="auto"/>
              </w:rPr>
            </w:pPr>
          </w:p>
        </w:tc>
      </w:tr>
      <w:tr>
        <w:trPr>
          <w:trHeight w:val="175"/>
        </w:trPr>
        <w:tc>
          <w:tcPr>
            <w:tcW w:w="2360" w:type="dxa"/>
            <w:vAlign w:val="bottom"/>
            <w:gridSpan w:val="2"/>
            <w:vMerge w:val="restart"/>
          </w:tcPr>
          <w:p>
            <w:pPr>
              <w:ind w:left="120"/>
              <w:spacing w:after="0" w:line="196" w:lineRule="exact"/>
              <w:rPr>
                <w:sz w:val="20"/>
                <w:szCs w:val="20"/>
                <w:color w:val="auto"/>
              </w:rPr>
            </w:pPr>
            <w:r>
              <w:rPr>
                <w:rFonts w:ascii="Arial" w:cs="Arial" w:eastAsia="Arial" w:hAnsi="Arial"/>
                <w:sz w:val="17"/>
                <w:szCs w:val="17"/>
                <w:color w:val="auto"/>
              </w:rPr>
              <w:t xml:space="preserve">Large accelerated filer  </w:t>
            </w:r>
            <w:r>
              <w:rPr>
                <w:rFonts w:ascii="MS PGothic" w:cs="MS PGothic" w:eastAsia="MS PGothic" w:hAnsi="MS PGothic"/>
                <w:sz w:val="17"/>
                <w:szCs w:val="17"/>
                <w:color w:val="auto"/>
              </w:rPr>
              <w:t>☑</w:t>
            </w:r>
          </w:p>
        </w:tc>
        <w:tc>
          <w:tcPr>
            <w:tcW w:w="1240" w:type="dxa"/>
            <w:vAlign w:val="bottom"/>
          </w:tcPr>
          <w:p>
            <w:pPr>
              <w:jc w:val="center"/>
              <w:spacing w:after="0" w:line="175" w:lineRule="exact"/>
              <w:rPr>
                <w:sz w:val="20"/>
                <w:szCs w:val="20"/>
                <w:color w:val="auto"/>
              </w:rPr>
            </w:pPr>
            <w:r>
              <w:rPr>
                <w:rFonts w:ascii="Arial" w:cs="Arial" w:eastAsia="Arial" w:hAnsi="Arial"/>
                <w:sz w:val="17"/>
                <w:szCs w:val="17"/>
                <w:color w:val="auto"/>
              </w:rPr>
              <w:t>Accelerated</w:t>
            </w:r>
          </w:p>
        </w:tc>
        <w:tc>
          <w:tcPr>
            <w:tcW w:w="2660" w:type="dxa"/>
            <w:vAlign w:val="bottom"/>
            <w:gridSpan w:val="2"/>
            <w:vMerge w:val="restart"/>
          </w:tcPr>
          <w:p>
            <w:pPr>
              <w:jc w:val="right"/>
              <w:ind w:right="174"/>
              <w:spacing w:after="0" w:line="19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Non-accelerated filer  </w:t>
            </w:r>
            <w:r>
              <w:rPr>
                <w:rFonts w:ascii="MS PGothic" w:cs="MS PGothic" w:eastAsia="MS PGothic" w:hAnsi="MS PGothic"/>
                <w:sz w:val="17"/>
                <w:szCs w:val="17"/>
                <w:color w:val="auto"/>
              </w:rPr>
              <w:t>☐</w:t>
            </w:r>
          </w:p>
        </w:tc>
        <w:tc>
          <w:tcPr>
            <w:tcW w:w="1680" w:type="dxa"/>
            <w:vAlign w:val="bottom"/>
          </w:tcPr>
          <w:p>
            <w:pPr>
              <w:jc w:val="center"/>
              <w:ind w:left="94"/>
              <w:spacing w:after="0" w:line="175" w:lineRule="exact"/>
              <w:rPr>
                <w:sz w:val="20"/>
                <w:szCs w:val="20"/>
                <w:color w:val="auto"/>
              </w:rPr>
            </w:pPr>
            <w:r>
              <w:rPr>
                <w:rFonts w:ascii="Arial" w:cs="Arial" w:eastAsia="Arial" w:hAnsi="Arial"/>
                <w:sz w:val="17"/>
                <w:szCs w:val="17"/>
                <w:color w:val="auto"/>
              </w:rPr>
              <w:t>Smaller reporting</w:t>
            </w:r>
          </w:p>
        </w:tc>
        <w:tc>
          <w:tcPr>
            <w:tcW w:w="420" w:type="dxa"/>
            <w:vAlign w:val="bottom"/>
          </w:tcPr>
          <w:p>
            <w:pPr>
              <w:spacing w:after="0"/>
              <w:rPr>
                <w:sz w:val="15"/>
                <w:szCs w:val="15"/>
                <w:color w:val="auto"/>
              </w:rPr>
            </w:pPr>
          </w:p>
        </w:tc>
        <w:tc>
          <w:tcPr>
            <w:tcW w:w="2500" w:type="dxa"/>
            <w:vAlign w:val="bottom"/>
            <w:vMerge w:val="restart"/>
          </w:tcPr>
          <w:p>
            <w:pPr>
              <w:jc w:val="center"/>
              <w:spacing w:after="0" w:line="19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Emerging growth company</w:t>
            </w:r>
          </w:p>
        </w:tc>
        <w:tc>
          <w:tcPr>
            <w:tcW w:w="380" w:type="dxa"/>
            <w:vAlign w:val="bottom"/>
            <w:vMerge w:val="restart"/>
          </w:tcPr>
          <w:p>
            <w:pPr>
              <w:ind w:left="80"/>
              <w:spacing w:after="0" w:line="171" w:lineRule="exact"/>
              <w:rPr>
                <w:sz w:val="20"/>
                <w:szCs w:val="20"/>
                <w:color w:val="auto"/>
              </w:rPr>
            </w:pPr>
            <w:r>
              <w:rPr>
                <w:rFonts w:ascii="MS PGothic" w:cs="MS PGothic" w:eastAsia="MS PGothic" w:hAnsi="MS PGothic"/>
                <w:sz w:val="17"/>
                <w:szCs w:val="17"/>
                <w:color w:val="auto"/>
              </w:rPr>
              <w:t>☐</w:t>
            </w:r>
          </w:p>
        </w:tc>
        <w:tc>
          <w:tcPr>
            <w:tcW w:w="0" w:type="dxa"/>
            <w:vAlign w:val="bottom"/>
          </w:tcPr>
          <w:p>
            <w:pPr>
              <w:spacing w:after="0"/>
              <w:rPr>
                <w:sz w:val="1"/>
                <w:szCs w:val="1"/>
                <w:color w:val="auto"/>
              </w:rPr>
            </w:pPr>
          </w:p>
        </w:tc>
      </w:tr>
      <w:tr>
        <w:trPr>
          <w:trHeight w:val="226"/>
        </w:trPr>
        <w:tc>
          <w:tcPr>
            <w:tcW w:w="2360" w:type="dxa"/>
            <w:vAlign w:val="bottom"/>
            <w:gridSpan w:val="2"/>
            <w:vMerge w:val="continue"/>
          </w:tcPr>
          <w:p>
            <w:pPr>
              <w:spacing w:after="0"/>
              <w:rPr>
                <w:sz w:val="19"/>
                <w:szCs w:val="19"/>
                <w:color w:val="auto"/>
              </w:rPr>
            </w:pPr>
          </w:p>
        </w:tc>
        <w:tc>
          <w:tcPr>
            <w:tcW w:w="1240" w:type="dxa"/>
            <w:vAlign w:val="bottom"/>
          </w:tcPr>
          <w:p>
            <w:pPr>
              <w:jc w:val="center"/>
              <w:spacing w:after="0"/>
              <w:rPr>
                <w:sz w:val="20"/>
                <w:szCs w:val="20"/>
                <w:color w:val="auto"/>
              </w:rPr>
            </w:pPr>
            <w:r>
              <w:rPr>
                <w:rFonts w:ascii="Arial" w:cs="Arial" w:eastAsia="Arial" w:hAnsi="Arial"/>
                <w:sz w:val="17"/>
                <w:szCs w:val="17"/>
                <w:color w:val="auto"/>
              </w:rPr>
              <w:t>filer</w:t>
            </w:r>
          </w:p>
        </w:tc>
        <w:tc>
          <w:tcPr>
            <w:tcW w:w="2660" w:type="dxa"/>
            <w:vAlign w:val="bottom"/>
            <w:gridSpan w:val="2"/>
            <w:vMerge w:val="continue"/>
          </w:tcPr>
          <w:p>
            <w:pPr>
              <w:spacing w:after="0"/>
              <w:rPr>
                <w:sz w:val="19"/>
                <w:szCs w:val="19"/>
                <w:color w:val="auto"/>
              </w:rPr>
            </w:pPr>
          </w:p>
        </w:tc>
        <w:tc>
          <w:tcPr>
            <w:tcW w:w="1680" w:type="dxa"/>
            <w:vAlign w:val="bottom"/>
          </w:tcPr>
          <w:p>
            <w:pPr>
              <w:jc w:val="center"/>
              <w:ind w:left="134"/>
              <w:spacing w:after="0"/>
              <w:rPr>
                <w:sz w:val="20"/>
                <w:szCs w:val="20"/>
                <w:color w:val="auto"/>
              </w:rPr>
            </w:pPr>
            <w:r>
              <w:rPr>
                <w:rFonts w:ascii="Arial" w:cs="Arial" w:eastAsia="Arial" w:hAnsi="Arial"/>
                <w:sz w:val="17"/>
                <w:szCs w:val="17"/>
                <w:color w:val="auto"/>
              </w:rPr>
              <w:t>company</w:t>
            </w:r>
          </w:p>
        </w:tc>
        <w:tc>
          <w:tcPr>
            <w:tcW w:w="420" w:type="dxa"/>
            <w:vAlign w:val="bottom"/>
          </w:tcPr>
          <w:p>
            <w:pPr>
              <w:spacing w:after="0"/>
              <w:rPr>
                <w:sz w:val="19"/>
                <w:szCs w:val="19"/>
                <w:color w:val="auto"/>
              </w:rPr>
            </w:pPr>
          </w:p>
        </w:tc>
        <w:tc>
          <w:tcPr>
            <w:tcW w:w="2500" w:type="dxa"/>
            <w:vAlign w:val="bottom"/>
            <w:vMerge w:val="continue"/>
          </w:tcPr>
          <w:p>
            <w:pPr>
              <w:spacing w:after="0"/>
              <w:rPr>
                <w:sz w:val="19"/>
                <w:szCs w:val="19"/>
                <w:color w:val="auto"/>
              </w:rPr>
            </w:pPr>
          </w:p>
        </w:tc>
        <w:tc>
          <w:tcPr>
            <w:tcW w:w="3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35" w:lineRule="exact"/>
        <w:rPr>
          <w:sz w:val="20"/>
          <w:szCs w:val="20"/>
          <w:color w:val="auto"/>
        </w:rPr>
      </w:pPr>
    </w:p>
    <w:p>
      <w:pPr>
        <w:jc w:val="both"/>
        <w:spacing w:after="0" w:line="228"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113" w:lineRule="exact"/>
        <w:rPr>
          <w:sz w:val="20"/>
          <w:szCs w:val="20"/>
          <w:color w:val="auto"/>
        </w:rPr>
      </w:pPr>
    </w:p>
    <w:p>
      <w:pPr>
        <w:jc w:val="both"/>
        <w:spacing w:after="0" w:line="220" w:lineRule="exact"/>
        <w:rPr>
          <w:sz w:val="20"/>
          <w:szCs w:val="20"/>
          <w:color w:val="auto"/>
        </w:rPr>
      </w:pPr>
      <w:r>
        <w:rPr>
          <w:rFonts w:ascii="Arial" w:cs="Arial" w:eastAsia="Arial" w:hAnsi="Arial"/>
          <w:sz w:val="17"/>
          <w:szCs w:val="17"/>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7"/>
          <w:szCs w:val="17"/>
          <w:color w:val="auto"/>
        </w:rPr>
        <w:t>☑</w:t>
      </w:r>
    </w:p>
    <w:p>
      <w:pPr>
        <w:spacing w:after="0" w:line="191" w:lineRule="exact"/>
        <w:rPr>
          <w:sz w:val="20"/>
          <w:szCs w:val="20"/>
          <w:color w:val="auto"/>
        </w:rPr>
      </w:pPr>
    </w:p>
    <w:p>
      <w:pPr>
        <w:jc w:val="both"/>
        <w:spacing w:after="0" w:line="228" w:lineRule="exact"/>
        <w:rPr>
          <w:sz w:val="20"/>
          <w:szCs w:val="20"/>
          <w:color w:val="auto"/>
        </w:rPr>
      </w:pPr>
      <w:r>
        <w:rPr>
          <w:rFonts w:ascii="Arial" w:cs="Arial" w:eastAsia="Arial" w:hAnsi="Arial"/>
          <w:sz w:val="17"/>
          <w:szCs w:val="17"/>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7"/>
          <w:szCs w:val="17"/>
          <w:color w:val="auto"/>
        </w:rPr>
        <w:t>☐</w:t>
      </w:r>
    </w:p>
    <w:p>
      <w:pPr>
        <w:spacing w:after="0" w:line="190" w:lineRule="exact"/>
        <w:rPr>
          <w:sz w:val="20"/>
          <w:szCs w:val="20"/>
          <w:color w:val="auto"/>
        </w:rPr>
      </w:pPr>
    </w:p>
    <w:p>
      <w:pPr>
        <w:jc w:val="both"/>
        <w:spacing w:after="0" w:line="228" w:lineRule="exact"/>
        <w:rPr>
          <w:sz w:val="20"/>
          <w:szCs w:val="20"/>
          <w:color w:val="auto"/>
        </w:rPr>
      </w:pPr>
      <w:r>
        <w:rPr>
          <w:rFonts w:ascii="Arial" w:cs="Arial" w:eastAsia="Arial" w:hAnsi="Arial"/>
          <w:sz w:val="17"/>
          <w:szCs w:val="17"/>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7"/>
          <w:szCs w:val="17"/>
          <w:color w:val="auto"/>
        </w:rPr>
        <w:t>☐</w:t>
      </w:r>
    </w:p>
    <w:p>
      <w:pPr>
        <w:spacing w:after="0" w:line="150" w:lineRule="exact"/>
        <w:rPr>
          <w:sz w:val="20"/>
          <w:szCs w:val="20"/>
          <w:color w:val="auto"/>
        </w:rPr>
      </w:pPr>
    </w:p>
    <w:p>
      <w:pPr>
        <w:spacing w:after="0" w:line="196"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283"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Aggregate market value of the registrant’s common stock held by non-affiliates of the registrant, based upon the closing price of a share of the registrant’s common stock on April 30, 2025, as reported on the New York Stock Exchange on that date: $2,989,420,395</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color w:val="auto"/>
        </w:rPr>
        <w:t>Number of shares of the registrant’s common stock outstanding as of December 18, 2025: 60,177,625</w:t>
      </w:r>
    </w:p>
    <w:p>
      <w:pPr>
        <w:spacing w:after="0" w:line="27" w:lineRule="exact"/>
        <w:rPr>
          <w:sz w:val="20"/>
          <w:szCs w:val="20"/>
          <w:color w:val="auto"/>
        </w:rPr>
      </w:pPr>
    </w:p>
    <w:p>
      <w:pPr>
        <w:ind w:left="3360"/>
        <w:spacing w:after="0"/>
        <w:rPr>
          <w:sz w:val="20"/>
          <w:szCs w:val="20"/>
          <w:color w:val="auto"/>
        </w:rPr>
      </w:pPr>
      <w:r>
        <w:rPr>
          <w:rFonts w:ascii="Arial" w:cs="Arial" w:eastAsia="Arial" w:hAnsi="Arial"/>
          <w:sz w:val="17"/>
          <w:szCs w:val="17"/>
          <w:color w:val="auto"/>
        </w:rPr>
        <w:t>_______________________________________________</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DOCUMENTS INCORPORATED BY REFERENCE</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Certain parts of the registrant’s Definitive Proxy Statement relating to the registrant’s 2026 Annual Meeting of Stockholders are incorporated by</w:t>
      </w:r>
    </w:p>
    <w:p>
      <w:pPr>
        <w:spacing w:after="0" w:line="27" w:lineRule="exact"/>
        <w:rPr>
          <w:sz w:val="20"/>
          <w:szCs w:val="20"/>
          <w:color w:val="auto"/>
        </w:rPr>
      </w:pPr>
    </w:p>
    <w:p>
      <w:pPr>
        <w:spacing w:after="0"/>
        <w:tabs>
          <w:tab w:leader="none" w:pos="1440" w:val="left"/>
          <w:tab w:leader="none" w:pos="2440" w:val="left"/>
          <w:tab w:leader="none" w:pos="3500" w:val="left"/>
          <w:tab w:leader="none" w:pos="4360" w:val="left"/>
          <w:tab w:leader="none" w:pos="5240" w:val="left"/>
          <w:tab w:leader="none" w:pos="6240" w:val="left"/>
          <w:tab w:leader="none" w:pos="7500" w:val="left"/>
          <w:tab w:leader="none" w:pos="8760" w:val="left"/>
          <w:tab w:leader="none" w:pos="9680" w:val="left"/>
          <w:tab w:leader="none" w:pos="10800" w:val="left"/>
        </w:tabs>
        <w:rPr>
          <w:sz w:val="20"/>
          <w:szCs w:val="20"/>
          <w:color w:val="auto"/>
        </w:rPr>
      </w:pPr>
      <w:r>
        <w:rPr>
          <w:rFonts w:ascii="Arial" w:cs="Arial" w:eastAsia="Arial" w:hAnsi="Arial"/>
          <w:sz w:val="17"/>
          <w:szCs w:val="17"/>
          <w:color w:val="auto"/>
        </w:rPr>
        <w:t>reference</w:t>
      </w:r>
      <w:r>
        <w:rPr>
          <w:sz w:val="20"/>
          <w:szCs w:val="20"/>
          <w:color w:val="auto"/>
        </w:rPr>
        <w:tab/>
      </w:r>
      <w:r>
        <w:rPr>
          <w:rFonts w:ascii="Arial" w:cs="Arial" w:eastAsia="Arial" w:hAnsi="Arial"/>
          <w:sz w:val="17"/>
          <w:szCs w:val="17"/>
          <w:color w:val="auto"/>
        </w:rPr>
        <w:t>into</w:t>
      </w:r>
      <w:r>
        <w:rPr>
          <w:sz w:val="20"/>
          <w:szCs w:val="20"/>
          <w:color w:val="auto"/>
        </w:rPr>
        <w:tab/>
      </w:r>
      <w:r>
        <w:rPr>
          <w:rFonts w:ascii="Arial" w:cs="Arial" w:eastAsia="Arial" w:hAnsi="Arial"/>
          <w:sz w:val="17"/>
          <w:szCs w:val="17"/>
          <w:color w:val="auto"/>
        </w:rPr>
        <w:t>Part</w:t>
      </w:r>
      <w:r>
        <w:rPr>
          <w:sz w:val="20"/>
          <w:szCs w:val="20"/>
          <w:color w:val="auto"/>
        </w:rPr>
        <w:tab/>
      </w:r>
      <w:r>
        <w:rPr>
          <w:rFonts w:ascii="Arial" w:cs="Arial" w:eastAsia="Arial" w:hAnsi="Arial"/>
          <w:sz w:val="17"/>
          <w:szCs w:val="17"/>
          <w:color w:val="auto"/>
        </w:rPr>
        <w:t>III</w:t>
      </w:r>
      <w:r>
        <w:rPr>
          <w:sz w:val="20"/>
          <w:szCs w:val="20"/>
          <w:color w:val="auto"/>
        </w:rPr>
        <w:tab/>
      </w:r>
      <w:r>
        <w:rPr>
          <w:rFonts w:ascii="Arial" w:cs="Arial" w:eastAsia="Arial" w:hAnsi="Arial"/>
          <w:sz w:val="17"/>
          <w:szCs w:val="17"/>
          <w:color w:val="auto"/>
        </w:rPr>
        <w:t>of</w:t>
      </w:r>
      <w:r>
        <w:rPr>
          <w:sz w:val="20"/>
          <w:szCs w:val="20"/>
          <w:color w:val="auto"/>
        </w:rPr>
        <w:tab/>
      </w:r>
      <w:r>
        <w:rPr>
          <w:rFonts w:ascii="Arial" w:cs="Arial" w:eastAsia="Arial" w:hAnsi="Arial"/>
          <w:sz w:val="17"/>
          <w:szCs w:val="17"/>
          <w:color w:val="auto"/>
        </w:rPr>
        <w:t>this</w:t>
      </w:r>
      <w:r>
        <w:rPr>
          <w:sz w:val="20"/>
          <w:szCs w:val="20"/>
          <w:color w:val="auto"/>
        </w:rPr>
        <w:tab/>
      </w:r>
      <w:r>
        <w:rPr>
          <w:rFonts w:ascii="Arial" w:cs="Arial" w:eastAsia="Arial" w:hAnsi="Arial"/>
          <w:sz w:val="17"/>
          <w:szCs w:val="17"/>
          <w:color w:val="auto"/>
        </w:rPr>
        <w:t>Annual</w:t>
      </w:r>
      <w:r>
        <w:rPr>
          <w:sz w:val="20"/>
          <w:szCs w:val="20"/>
          <w:color w:val="auto"/>
        </w:rPr>
        <w:tab/>
      </w:r>
      <w:r>
        <w:rPr>
          <w:rFonts w:ascii="Arial" w:cs="Arial" w:eastAsia="Arial" w:hAnsi="Arial"/>
          <w:sz w:val="17"/>
          <w:szCs w:val="17"/>
          <w:color w:val="auto"/>
        </w:rPr>
        <w:t>Report</w:t>
      </w:r>
      <w:r>
        <w:rPr>
          <w:sz w:val="20"/>
          <w:szCs w:val="20"/>
          <w:color w:val="auto"/>
        </w:rPr>
        <w:tab/>
      </w:r>
      <w:r>
        <w:rPr>
          <w:rFonts w:ascii="Arial" w:cs="Arial" w:eastAsia="Arial" w:hAnsi="Arial"/>
          <w:sz w:val="17"/>
          <w:szCs w:val="17"/>
          <w:color w:val="auto"/>
        </w:rPr>
        <w:t>on</w:t>
      </w:r>
      <w:r>
        <w:rPr>
          <w:sz w:val="20"/>
          <w:szCs w:val="20"/>
          <w:color w:val="auto"/>
        </w:rPr>
        <w:tab/>
      </w:r>
      <w:r>
        <w:rPr>
          <w:rFonts w:ascii="Arial" w:cs="Arial" w:eastAsia="Arial" w:hAnsi="Arial"/>
          <w:sz w:val="17"/>
          <w:szCs w:val="17"/>
          <w:color w:val="auto"/>
        </w:rPr>
        <w:t>Form</w:t>
      </w:r>
      <w:r>
        <w:rPr>
          <w:sz w:val="20"/>
          <w:szCs w:val="20"/>
          <w:color w:val="auto"/>
        </w:rPr>
        <w:tab/>
      </w:r>
      <w:r>
        <w:rPr>
          <w:rFonts w:ascii="Arial" w:cs="Arial" w:eastAsia="Arial" w:hAnsi="Arial"/>
          <w:sz w:val="17"/>
          <w:szCs w:val="17"/>
          <w:color w:val="auto"/>
        </w:rPr>
        <w:t>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878840</wp:posOffset>
            </wp:positionV>
            <wp:extent cx="716407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56515</wp:posOffset>
            </wp:positionV>
            <wp:extent cx="7122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22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23495</wp:posOffset>
            </wp:positionV>
            <wp:extent cx="7122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22160" cy="8255"/>
                    </a:xfrm>
                    <a:prstGeom prst="rect">
                      <a:avLst/>
                    </a:prstGeom>
                    <a:noFill/>
                  </pic:spPr>
                </pic:pic>
              </a:graphicData>
            </a:graphic>
          </wp:anchor>
        </w:drawing>
      </w:r>
    </w:p>
    <w:p>
      <w:pPr>
        <w:sectPr>
          <w:pgSz w:w="11900" w:h="16838" w:orient="portrait"/>
          <w:cols w:equalWidth="0" w:num="1">
            <w:col w:w="11240"/>
          </w:cols>
          <w:pgMar w:left="320" w:top="972" w:right="33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10980" w:type="dxa"/>
            <w:vAlign w:val="bottom"/>
          </w:tcPr>
          <w:p>
            <w:pPr>
              <w:ind w:left="3320"/>
              <w:spacing w:after="0"/>
              <w:rPr>
                <w:sz w:val="20"/>
                <w:szCs w:val="20"/>
                <w:color w:val="auto"/>
              </w:rPr>
            </w:pPr>
            <w:r>
              <w:rPr>
                <w:rFonts w:ascii="Arial" w:cs="Arial" w:eastAsia="Arial" w:hAnsi="Arial"/>
                <w:sz w:val="17"/>
                <w:szCs w:val="17"/>
                <w:b w:val="1"/>
                <w:bCs w:val="1"/>
                <w:color w:val="auto"/>
              </w:rPr>
              <w:t>ABM INDUSTRIES INCORPORATED AND SUBSIDIARIES</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35"/>
        </w:trPr>
        <w:tc>
          <w:tcPr>
            <w:tcW w:w="10980" w:type="dxa"/>
            <w:vAlign w:val="bottom"/>
          </w:tcPr>
          <w:p>
            <w:pPr>
              <w:ind w:left="4700"/>
              <w:spacing w:after="0"/>
              <w:rPr>
                <w:sz w:val="20"/>
                <w:szCs w:val="20"/>
                <w:color w:val="auto"/>
              </w:rPr>
            </w:pPr>
            <w:r>
              <w:rPr>
                <w:rFonts w:ascii="Arial" w:cs="Arial" w:eastAsia="Arial" w:hAnsi="Arial"/>
                <w:sz w:val="17"/>
                <w:szCs w:val="17"/>
                <w:b w:val="1"/>
                <w:bCs w:val="1"/>
                <w:color w:val="auto"/>
              </w:rPr>
              <w:t>TABLE OF CONTENTS</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68"/>
        </w:trPr>
        <w:tc>
          <w:tcPr>
            <w:tcW w:w="10980" w:type="dxa"/>
            <w:vAlign w:val="bottom"/>
          </w:tcPr>
          <w:p>
            <w:pPr>
              <w:ind w:left="40"/>
              <w:spacing w:after="0"/>
              <w:rPr>
                <w:sz w:val="20"/>
                <w:szCs w:val="20"/>
                <w:color w:val="auto"/>
              </w:rPr>
            </w:pPr>
            <w:r>
              <w:rPr>
                <w:rFonts w:ascii="Arial" w:cs="Arial" w:eastAsia="Arial" w:hAnsi="Arial"/>
                <w:sz w:val="14"/>
                <w:szCs w:val="14"/>
                <w:b w:val="1"/>
                <w:bCs w:val="1"/>
                <w:color w:val="0000FF"/>
              </w:rPr>
              <w:t>FORWARD-LOOKING STATEMENTS</w:t>
            </w:r>
          </w:p>
        </w:tc>
        <w:tc>
          <w:tcPr>
            <w:tcW w:w="240" w:type="dxa"/>
            <w:vAlign w:val="bottom"/>
            <w:gridSpan w:val="3"/>
          </w:tcPr>
          <w:p>
            <w:pPr>
              <w:jc w:val="right"/>
              <w:spacing w:after="0" w:line="168" w:lineRule="exact"/>
              <w:rPr>
                <w:sz w:val="20"/>
                <w:szCs w:val="20"/>
                <w:color w:val="auto"/>
              </w:rPr>
            </w:pPr>
            <w:r>
              <w:rPr>
                <w:rFonts w:ascii="Arial" w:cs="Arial" w:eastAsia="Arial" w:hAnsi="Arial"/>
                <w:sz w:val="15"/>
                <w:szCs w:val="15"/>
                <w:color w:val="0000FF"/>
              </w:rPr>
              <w:t>1</w:t>
            </w:r>
          </w:p>
        </w:tc>
        <w:tc>
          <w:tcPr>
            <w:tcW w:w="20" w:type="dxa"/>
            <w:vAlign w:val="bottom"/>
          </w:tcPr>
          <w:p>
            <w:pPr>
              <w:spacing w:after="0"/>
              <w:rPr>
                <w:sz w:val="14"/>
                <w:szCs w:val="14"/>
                <w:color w:val="auto"/>
              </w:rPr>
            </w:pPr>
          </w:p>
        </w:tc>
      </w:tr>
      <w:tr>
        <w:trPr>
          <w:trHeight w:val="20"/>
        </w:trPr>
        <w:tc>
          <w:tcPr>
            <w:tcW w:w="10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3"/>
        </w:trPr>
        <w:tc>
          <w:tcPr>
            <w:tcW w:w="10980" w:type="dxa"/>
            <w:vAlign w:val="bottom"/>
          </w:tcPr>
          <w:p>
            <w:pPr>
              <w:ind w:left="40"/>
              <w:spacing w:after="0"/>
              <w:rPr>
                <w:sz w:val="20"/>
                <w:szCs w:val="20"/>
                <w:color w:val="auto"/>
              </w:rPr>
            </w:pPr>
            <w:r>
              <w:rPr>
                <w:rFonts w:ascii="Arial" w:cs="Arial" w:eastAsia="Arial" w:hAnsi="Arial"/>
                <w:sz w:val="14"/>
                <w:szCs w:val="14"/>
                <w:b w:val="1"/>
                <w:bCs w:val="1"/>
                <w:color w:val="0000FF"/>
              </w:rPr>
              <w:t>PART I</w:t>
            </w:r>
          </w:p>
        </w:tc>
        <w:tc>
          <w:tcPr>
            <w:tcW w:w="240" w:type="dxa"/>
            <w:vAlign w:val="bottom"/>
            <w:gridSpan w:val="3"/>
          </w:tcPr>
          <w:p>
            <w:pPr>
              <w:jc w:val="right"/>
              <w:spacing w:after="0"/>
              <w:rPr>
                <w:sz w:val="20"/>
                <w:szCs w:val="20"/>
                <w:color w:val="auto"/>
              </w:rPr>
            </w:pPr>
            <w:r>
              <w:rPr>
                <w:rFonts w:ascii="Arial" w:cs="Arial" w:eastAsia="Arial" w:hAnsi="Arial"/>
                <w:sz w:val="15"/>
                <w:szCs w:val="15"/>
                <w:color w:val="0000FF"/>
              </w:rPr>
              <w:t>2</w:t>
            </w:r>
          </w:p>
        </w:tc>
        <w:tc>
          <w:tcPr>
            <w:tcW w:w="20" w:type="dxa"/>
            <w:vAlign w:val="bottom"/>
          </w:tcPr>
          <w:p>
            <w:pPr>
              <w:spacing w:after="0"/>
              <w:rPr>
                <w:sz w:val="15"/>
                <w:szCs w:val="15"/>
                <w:color w:val="auto"/>
              </w:rPr>
            </w:pPr>
          </w:p>
        </w:tc>
      </w:tr>
      <w:tr>
        <w:trPr>
          <w:trHeight w:val="20"/>
        </w:trPr>
        <w:tc>
          <w:tcPr>
            <w:tcW w:w="10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3"/>
        </w:trPr>
        <w:tc>
          <w:tcPr>
            <w:tcW w:w="10980" w:type="dxa"/>
            <w:vAlign w:val="bottom"/>
          </w:tcPr>
          <w:p>
            <w:pPr>
              <w:ind w:left="40"/>
              <w:spacing w:after="0"/>
              <w:rPr>
                <w:sz w:val="20"/>
                <w:szCs w:val="20"/>
                <w:color w:val="auto"/>
              </w:rPr>
            </w:pPr>
            <w:r>
              <w:rPr>
                <w:rFonts w:ascii="Arial" w:cs="Arial" w:eastAsia="Arial" w:hAnsi="Arial"/>
                <w:sz w:val="14"/>
                <w:szCs w:val="14"/>
                <w:color w:val="0000FF"/>
              </w:rPr>
              <w:t>Item 1. Business.</w:t>
            </w:r>
          </w:p>
        </w:tc>
        <w:tc>
          <w:tcPr>
            <w:tcW w:w="240" w:type="dxa"/>
            <w:vAlign w:val="bottom"/>
            <w:gridSpan w:val="3"/>
          </w:tcPr>
          <w:p>
            <w:pPr>
              <w:jc w:val="right"/>
              <w:spacing w:after="0"/>
              <w:rPr>
                <w:sz w:val="20"/>
                <w:szCs w:val="20"/>
                <w:color w:val="auto"/>
              </w:rPr>
            </w:pPr>
            <w:r>
              <w:rPr>
                <w:rFonts w:ascii="Arial" w:cs="Arial" w:eastAsia="Arial" w:hAnsi="Arial"/>
                <w:sz w:val="15"/>
                <w:szCs w:val="15"/>
                <w:color w:val="0000FF"/>
              </w:rPr>
              <w:t>2</w:t>
            </w:r>
          </w:p>
        </w:tc>
        <w:tc>
          <w:tcPr>
            <w:tcW w:w="20" w:type="dxa"/>
            <w:vAlign w:val="bottom"/>
          </w:tcPr>
          <w:p>
            <w:pPr>
              <w:spacing w:after="0"/>
              <w:rPr>
                <w:sz w:val="15"/>
                <w:szCs w:val="15"/>
                <w:color w:val="auto"/>
              </w:rPr>
            </w:pPr>
          </w:p>
        </w:tc>
      </w:tr>
      <w:tr>
        <w:trPr>
          <w:trHeight w:val="20"/>
        </w:trPr>
        <w:tc>
          <w:tcPr>
            <w:tcW w:w="10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3"/>
        </w:trPr>
        <w:tc>
          <w:tcPr>
            <w:tcW w:w="10980" w:type="dxa"/>
            <w:vAlign w:val="bottom"/>
          </w:tcPr>
          <w:p>
            <w:pPr>
              <w:ind w:left="40"/>
              <w:spacing w:after="0"/>
              <w:rPr>
                <w:sz w:val="20"/>
                <w:szCs w:val="20"/>
                <w:color w:val="auto"/>
              </w:rPr>
            </w:pPr>
            <w:r>
              <w:rPr>
                <w:rFonts w:ascii="Arial" w:cs="Arial" w:eastAsia="Arial" w:hAnsi="Arial"/>
                <w:sz w:val="14"/>
                <w:szCs w:val="14"/>
                <w:color w:val="0000FF"/>
              </w:rPr>
              <w:t>Item 1A. Risk Factors.</w:t>
            </w:r>
          </w:p>
        </w:tc>
        <w:tc>
          <w:tcPr>
            <w:tcW w:w="240" w:type="dxa"/>
            <w:vAlign w:val="bottom"/>
            <w:gridSpan w:val="3"/>
          </w:tcPr>
          <w:p>
            <w:pPr>
              <w:jc w:val="right"/>
              <w:spacing w:after="0"/>
              <w:rPr>
                <w:sz w:val="20"/>
                <w:szCs w:val="20"/>
                <w:color w:val="auto"/>
              </w:rPr>
            </w:pPr>
            <w:r>
              <w:rPr>
                <w:rFonts w:ascii="Arial" w:cs="Arial" w:eastAsia="Arial" w:hAnsi="Arial"/>
                <w:sz w:val="15"/>
                <w:szCs w:val="15"/>
                <w:color w:val="0000FF"/>
              </w:rPr>
              <w:t>10</w:t>
            </w:r>
          </w:p>
        </w:tc>
        <w:tc>
          <w:tcPr>
            <w:tcW w:w="20" w:type="dxa"/>
            <w:vAlign w:val="bottom"/>
          </w:tcPr>
          <w:p>
            <w:pPr>
              <w:spacing w:after="0"/>
              <w:rPr>
                <w:sz w:val="15"/>
                <w:szCs w:val="15"/>
                <w:color w:val="auto"/>
              </w:rPr>
            </w:pPr>
          </w:p>
        </w:tc>
      </w:tr>
      <w:tr>
        <w:trPr>
          <w:trHeight w:val="20"/>
        </w:trPr>
        <w:tc>
          <w:tcPr>
            <w:tcW w:w="10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3"/>
        </w:trPr>
        <w:tc>
          <w:tcPr>
            <w:tcW w:w="10980" w:type="dxa"/>
            <w:vAlign w:val="bottom"/>
          </w:tcPr>
          <w:p>
            <w:pPr>
              <w:ind w:left="40"/>
              <w:spacing w:after="0"/>
              <w:rPr>
                <w:sz w:val="20"/>
                <w:szCs w:val="20"/>
                <w:color w:val="auto"/>
              </w:rPr>
            </w:pPr>
            <w:r>
              <w:rPr>
                <w:rFonts w:ascii="Arial" w:cs="Arial" w:eastAsia="Arial" w:hAnsi="Arial"/>
                <w:sz w:val="14"/>
                <w:szCs w:val="14"/>
                <w:color w:val="0000FF"/>
              </w:rPr>
              <w:t>Item 1B. Unresolved Staff Comments.</w:t>
            </w:r>
          </w:p>
        </w:tc>
        <w:tc>
          <w:tcPr>
            <w:tcW w:w="240" w:type="dxa"/>
            <w:vAlign w:val="bottom"/>
            <w:gridSpan w:val="3"/>
          </w:tcPr>
          <w:p>
            <w:pPr>
              <w:jc w:val="right"/>
              <w:spacing w:after="0"/>
              <w:rPr>
                <w:sz w:val="20"/>
                <w:szCs w:val="20"/>
                <w:color w:val="auto"/>
              </w:rPr>
            </w:pPr>
            <w:r>
              <w:rPr>
                <w:rFonts w:ascii="Arial" w:cs="Arial" w:eastAsia="Arial" w:hAnsi="Arial"/>
                <w:sz w:val="15"/>
                <w:szCs w:val="15"/>
                <w:color w:val="0000FF"/>
              </w:rPr>
              <w:t>17</w:t>
            </w:r>
          </w:p>
        </w:tc>
        <w:tc>
          <w:tcPr>
            <w:tcW w:w="20" w:type="dxa"/>
            <w:vAlign w:val="bottom"/>
          </w:tcPr>
          <w:p>
            <w:pPr>
              <w:spacing w:after="0"/>
              <w:rPr>
                <w:sz w:val="15"/>
                <w:szCs w:val="15"/>
                <w:color w:val="auto"/>
              </w:rPr>
            </w:pPr>
          </w:p>
        </w:tc>
      </w:tr>
      <w:tr>
        <w:trPr>
          <w:trHeight w:val="20"/>
        </w:trPr>
        <w:tc>
          <w:tcPr>
            <w:tcW w:w="10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3"/>
        </w:trPr>
        <w:tc>
          <w:tcPr>
            <w:tcW w:w="10980" w:type="dxa"/>
            <w:vAlign w:val="bottom"/>
          </w:tcPr>
          <w:p>
            <w:pPr>
              <w:ind w:left="40"/>
              <w:spacing w:after="0"/>
              <w:rPr>
                <w:sz w:val="20"/>
                <w:szCs w:val="20"/>
                <w:color w:val="auto"/>
              </w:rPr>
            </w:pPr>
            <w:r>
              <w:rPr>
                <w:rFonts w:ascii="Arial" w:cs="Arial" w:eastAsia="Arial" w:hAnsi="Arial"/>
                <w:sz w:val="14"/>
                <w:szCs w:val="14"/>
                <w:color w:val="0000FF"/>
              </w:rPr>
              <w:t>Item 1C. Cybersecurity</w:t>
            </w:r>
          </w:p>
        </w:tc>
        <w:tc>
          <w:tcPr>
            <w:tcW w:w="240" w:type="dxa"/>
            <w:vAlign w:val="bottom"/>
            <w:gridSpan w:val="3"/>
          </w:tcPr>
          <w:p>
            <w:pPr>
              <w:jc w:val="right"/>
              <w:spacing w:after="0"/>
              <w:rPr>
                <w:sz w:val="20"/>
                <w:szCs w:val="20"/>
                <w:color w:val="auto"/>
              </w:rPr>
            </w:pPr>
            <w:r>
              <w:rPr>
                <w:rFonts w:ascii="Arial" w:cs="Arial" w:eastAsia="Arial" w:hAnsi="Arial"/>
                <w:sz w:val="15"/>
                <w:szCs w:val="15"/>
                <w:color w:val="0000FF"/>
              </w:rPr>
              <w:t>18</w:t>
            </w:r>
          </w:p>
        </w:tc>
        <w:tc>
          <w:tcPr>
            <w:tcW w:w="20" w:type="dxa"/>
            <w:vAlign w:val="bottom"/>
          </w:tcPr>
          <w:p>
            <w:pPr>
              <w:spacing w:after="0"/>
              <w:rPr>
                <w:sz w:val="15"/>
                <w:szCs w:val="15"/>
                <w:color w:val="auto"/>
              </w:rPr>
            </w:pPr>
          </w:p>
        </w:tc>
      </w:tr>
      <w:tr>
        <w:trPr>
          <w:trHeight w:val="20"/>
        </w:trPr>
        <w:tc>
          <w:tcPr>
            <w:tcW w:w="10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3"/>
        </w:trPr>
        <w:tc>
          <w:tcPr>
            <w:tcW w:w="10980" w:type="dxa"/>
            <w:vAlign w:val="bottom"/>
          </w:tcPr>
          <w:p>
            <w:pPr>
              <w:ind w:left="40"/>
              <w:spacing w:after="0"/>
              <w:rPr>
                <w:sz w:val="20"/>
                <w:szCs w:val="20"/>
                <w:color w:val="auto"/>
              </w:rPr>
            </w:pPr>
            <w:r>
              <w:rPr>
                <w:rFonts w:ascii="Arial" w:cs="Arial" w:eastAsia="Arial" w:hAnsi="Arial"/>
                <w:sz w:val="14"/>
                <w:szCs w:val="14"/>
                <w:color w:val="0000FF"/>
              </w:rPr>
              <w:t>Item 2. Properties.</w:t>
            </w:r>
          </w:p>
        </w:tc>
        <w:tc>
          <w:tcPr>
            <w:tcW w:w="240" w:type="dxa"/>
            <w:vAlign w:val="bottom"/>
            <w:gridSpan w:val="3"/>
          </w:tcPr>
          <w:p>
            <w:pPr>
              <w:jc w:val="right"/>
              <w:spacing w:after="0"/>
              <w:rPr>
                <w:sz w:val="20"/>
                <w:szCs w:val="20"/>
                <w:color w:val="auto"/>
              </w:rPr>
            </w:pPr>
            <w:r>
              <w:rPr>
                <w:rFonts w:ascii="Arial" w:cs="Arial" w:eastAsia="Arial" w:hAnsi="Arial"/>
                <w:sz w:val="15"/>
                <w:szCs w:val="15"/>
                <w:color w:val="0000FF"/>
              </w:rPr>
              <w:t>19</w:t>
            </w:r>
          </w:p>
        </w:tc>
        <w:tc>
          <w:tcPr>
            <w:tcW w:w="20" w:type="dxa"/>
            <w:vAlign w:val="bottom"/>
          </w:tcPr>
          <w:p>
            <w:pPr>
              <w:spacing w:after="0"/>
              <w:rPr>
                <w:sz w:val="15"/>
                <w:szCs w:val="15"/>
                <w:color w:val="auto"/>
              </w:rPr>
            </w:pPr>
          </w:p>
        </w:tc>
      </w:tr>
      <w:tr>
        <w:trPr>
          <w:trHeight w:val="20"/>
        </w:trPr>
        <w:tc>
          <w:tcPr>
            <w:tcW w:w="10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3"/>
        </w:trPr>
        <w:tc>
          <w:tcPr>
            <w:tcW w:w="10980" w:type="dxa"/>
            <w:vAlign w:val="bottom"/>
          </w:tcPr>
          <w:p>
            <w:pPr>
              <w:ind w:left="40"/>
              <w:spacing w:after="0"/>
              <w:rPr>
                <w:sz w:val="20"/>
                <w:szCs w:val="20"/>
                <w:color w:val="auto"/>
              </w:rPr>
            </w:pPr>
            <w:r>
              <w:rPr>
                <w:rFonts w:ascii="Arial" w:cs="Arial" w:eastAsia="Arial" w:hAnsi="Arial"/>
                <w:sz w:val="14"/>
                <w:szCs w:val="14"/>
                <w:color w:val="0000FF"/>
              </w:rPr>
              <w:t>Item 3. Legal Proceedings.</w:t>
            </w:r>
          </w:p>
        </w:tc>
        <w:tc>
          <w:tcPr>
            <w:tcW w:w="240" w:type="dxa"/>
            <w:vAlign w:val="bottom"/>
            <w:gridSpan w:val="3"/>
          </w:tcPr>
          <w:p>
            <w:pPr>
              <w:jc w:val="right"/>
              <w:spacing w:after="0"/>
              <w:rPr>
                <w:sz w:val="20"/>
                <w:szCs w:val="20"/>
                <w:color w:val="auto"/>
              </w:rPr>
            </w:pPr>
            <w:r>
              <w:rPr>
                <w:rFonts w:ascii="Arial" w:cs="Arial" w:eastAsia="Arial" w:hAnsi="Arial"/>
                <w:sz w:val="15"/>
                <w:szCs w:val="15"/>
                <w:color w:val="0000FF"/>
              </w:rPr>
              <w:t>20</w:t>
            </w:r>
          </w:p>
        </w:tc>
        <w:tc>
          <w:tcPr>
            <w:tcW w:w="20" w:type="dxa"/>
            <w:vAlign w:val="bottom"/>
          </w:tcPr>
          <w:p>
            <w:pPr>
              <w:spacing w:after="0"/>
              <w:rPr>
                <w:sz w:val="15"/>
                <w:szCs w:val="15"/>
                <w:color w:val="auto"/>
              </w:rPr>
            </w:pPr>
          </w:p>
        </w:tc>
      </w:tr>
      <w:tr>
        <w:trPr>
          <w:trHeight w:val="20"/>
        </w:trPr>
        <w:tc>
          <w:tcPr>
            <w:tcW w:w="10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3"/>
        </w:trPr>
        <w:tc>
          <w:tcPr>
            <w:tcW w:w="10980" w:type="dxa"/>
            <w:vAlign w:val="bottom"/>
          </w:tcPr>
          <w:p>
            <w:pPr>
              <w:ind w:left="40"/>
              <w:spacing w:after="0"/>
              <w:rPr>
                <w:sz w:val="20"/>
                <w:szCs w:val="20"/>
                <w:color w:val="auto"/>
              </w:rPr>
            </w:pPr>
            <w:r>
              <w:rPr>
                <w:rFonts w:ascii="Arial" w:cs="Arial" w:eastAsia="Arial" w:hAnsi="Arial"/>
                <w:sz w:val="14"/>
                <w:szCs w:val="14"/>
                <w:color w:val="0000FF"/>
              </w:rPr>
              <w:t>Item 4. Mine Safety Disclosures.</w:t>
            </w:r>
          </w:p>
        </w:tc>
        <w:tc>
          <w:tcPr>
            <w:tcW w:w="240" w:type="dxa"/>
            <w:vAlign w:val="bottom"/>
            <w:gridSpan w:val="3"/>
          </w:tcPr>
          <w:p>
            <w:pPr>
              <w:jc w:val="right"/>
              <w:spacing w:after="0"/>
              <w:rPr>
                <w:sz w:val="20"/>
                <w:szCs w:val="20"/>
                <w:color w:val="auto"/>
              </w:rPr>
            </w:pPr>
            <w:r>
              <w:rPr>
                <w:rFonts w:ascii="Arial" w:cs="Arial" w:eastAsia="Arial" w:hAnsi="Arial"/>
                <w:sz w:val="15"/>
                <w:szCs w:val="15"/>
                <w:color w:val="0000FF"/>
              </w:rPr>
              <w:t>20</w:t>
            </w:r>
          </w:p>
        </w:tc>
        <w:tc>
          <w:tcPr>
            <w:tcW w:w="20" w:type="dxa"/>
            <w:vAlign w:val="bottom"/>
          </w:tcPr>
          <w:p>
            <w:pPr>
              <w:spacing w:after="0"/>
              <w:rPr>
                <w:sz w:val="15"/>
                <w:szCs w:val="15"/>
                <w:color w:val="auto"/>
              </w:rPr>
            </w:pPr>
          </w:p>
        </w:tc>
      </w:tr>
      <w:tr>
        <w:trPr>
          <w:trHeight w:val="20"/>
        </w:trPr>
        <w:tc>
          <w:tcPr>
            <w:tcW w:w="10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3"/>
        </w:trPr>
        <w:tc>
          <w:tcPr>
            <w:tcW w:w="10980" w:type="dxa"/>
            <w:vAlign w:val="bottom"/>
          </w:tcPr>
          <w:p>
            <w:pPr>
              <w:ind w:left="40"/>
              <w:spacing w:after="0"/>
              <w:rPr>
                <w:sz w:val="20"/>
                <w:szCs w:val="20"/>
                <w:color w:val="auto"/>
              </w:rPr>
            </w:pPr>
            <w:r>
              <w:rPr>
                <w:rFonts w:ascii="Arial" w:cs="Arial" w:eastAsia="Arial" w:hAnsi="Arial"/>
                <w:sz w:val="14"/>
                <w:szCs w:val="14"/>
                <w:b w:val="1"/>
                <w:bCs w:val="1"/>
                <w:color w:val="0000FF"/>
              </w:rPr>
              <w:t>PART II</w:t>
            </w:r>
          </w:p>
        </w:tc>
        <w:tc>
          <w:tcPr>
            <w:tcW w:w="240" w:type="dxa"/>
            <w:vAlign w:val="bottom"/>
            <w:gridSpan w:val="3"/>
          </w:tcPr>
          <w:p>
            <w:pPr>
              <w:jc w:val="right"/>
              <w:spacing w:after="0"/>
              <w:rPr>
                <w:sz w:val="20"/>
                <w:szCs w:val="20"/>
                <w:color w:val="auto"/>
              </w:rPr>
            </w:pPr>
            <w:r>
              <w:rPr>
                <w:rFonts w:ascii="Arial" w:cs="Arial" w:eastAsia="Arial" w:hAnsi="Arial"/>
                <w:sz w:val="15"/>
                <w:szCs w:val="15"/>
                <w:color w:val="0000FF"/>
              </w:rPr>
              <w:t>21</w:t>
            </w:r>
          </w:p>
        </w:tc>
        <w:tc>
          <w:tcPr>
            <w:tcW w:w="20" w:type="dxa"/>
            <w:vAlign w:val="bottom"/>
          </w:tcPr>
          <w:p>
            <w:pPr>
              <w:spacing w:after="0"/>
              <w:rPr>
                <w:sz w:val="15"/>
                <w:szCs w:val="15"/>
                <w:color w:val="auto"/>
              </w:rPr>
            </w:pPr>
          </w:p>
        </w:tc>
      </w:tr>
      <w:tr>
        <w:trPr>
          <w:trHeight w:val="20"/>
        </w:trPr>
        <w:tc>
          <w:tcPr>
            <w:tcW w:w="10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3"/>
        </w:trPr>
        <w:tc>
          <w:tcPr>
            <w:tcW w:w="10980" w:type="dxa"/>
            <w:vAlign w:val="bottom"/>
          </w:tcPr>
          <w:p>
            <w:pPr>
              <w:ind w:left="40"/>
              <w:spacing w:after="0"/>
              <w:rPr>
                <w:sz w:val="20"/>
                <w:szCs w:val="20"/>
                <w:color w:val="auto"/>
              </w:rPr>
            </w:pPr>
            <w:r>
              <w:rPr>
                <w:rFonts w:ascii="Arial" w:cs="Arial" w:eastAsia="Arial" w:hAnsi="Arial"/>
                <w:sz w:val="14"/>
                <w:szCs w:val="14"/>
                <w:color w:val="0000FF"/>
              </w:rPr>
              <w:t>Item 5. Market for Registrant’s Common Equity, Related Stockholder Matters, and Issuer Purchases of Equity Securities.</w:t>
            </w:r>
          </w:p>
        </w:tc>
        <w:tc>
          <w:tcPr>
            <w:tcW w:w="240" w:type="dxa"/>
            <w:vAlign w:val="bottom"/>
            <w:gridSpan w:val="3"/>
          </w:tcPr>
          <w:p>
            <w:pPr>
              <w:jc w:val="right"/>
              <w:spacing w:after="0"/>
              <w:rPr>
                <w:sz w:val="20"/>
                <w:szCs w:val="20"/>
                <w:color w:val="auto"/>
              </w:rPr>
            </w:pPr>
            <w:r>
              <w:rPr>
                <w:rFonts w:ascii="Arial" w:cs="Arial" w:eastAsia="Arial" w:hAnsi="Arial"/>
                <w:sz w:val="15"/>
                <w:szCs w:val="15"/>
                <w:color w:val="0000FF"/>
              </w:rPr>
              <w:t>21</w:t>
            </w:r>
          </w:p>
        </w:tc>
        <w:tc>
          <w:tcPr>
            <w:tcW w:w="20" w:type="dxa"/>
            <w:vAlign w:val="bottom"/>
          </w:tcPr>
          <w:p>
            <w:pPr>
              <w:spacing w:after="0"/>
              <w:rPr>
                <w:sz w:val="15"/>
                <w:szCs w:val="15"/>
                <w:color w:val="auto"/>
              </w:rPr>
            </w:pPr>
          </w:p>
        </w:tc>
      </w:tr>
      <w:tr>
        <w:trPr>
          <w:trHeight w:val="20"/>
        </w:trPr>
        <w:tc>
          <w:tcPr>
            <w:tcW w:w="10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3"/>
        </w:trPr>
        <w:tc>
          <w:tcPr>
            <w:tcW w:w="10980" w:type="dxa"/>
            <w:vAlign w:val="bottom"/>
          </w:tcPr>
          <w:p>
            <w:pPr>
              <w:ind w:left="40"/>
              <w:spacing w:after="0"/>
              <w:rPr>
                <w:sz w:val="20"/>
                <w:szCs w:val="20"/>
                <w:color w:val="auto"/>
              </w:rPr>
            </w:pPr>
            <w:r>
              <w:rPr>
                <w:rFonts w:ascii="Arial" w:cs="Arial" w:eastAsia="Arial" w:hAnsi="Arial"/>
                <w:sz w:val="14"/>
                <w:szCs w:val="14"/>
                <w:color w:val="0000FF"/>
              </w:rPr>
              <w:t>Item 6. [Reserved].</w:t>
            </w:r>
          </w:p>
        </w:tc>
        <w:tc>
          <w:tcPr>
            <w:tcW w:w="240" w:type="dxa"/>
            <w:vAlign w:val="bottom"/>
            <w:gridSpan w:val="3"/>
          </w:tcPr>
          <w:p>
            <w:pPr>
              <w:jc w:val="right"/>
              <w:spacing w:after="0"/>
              <w:rPr>
                <w:sz w:val="20"/>
                <w:szCs w:val="20"/>
                <w:color w:val="auto"/>
              </w:rPr>
            </w:pPr>
            <w:r>
              <w:rPr>
                <w:rFonts w:ascii="Arial" w:cs="Arial" w:eastAsia="Arial" w:hAnsi="Arial"/>
                <w:sz w:val="15"/>
                <w:szCs w:val="15"/>
                <w:color w:val="0000FF"/>
              </w:rPr>
              <w:t>23</w:t>
            </w:r>
          </w:p>
        </w:tc>
        <w:tc>
          <w:tcPr>
            <w:tcW w:w="20" w:type="dxa"/>
            <w:vAlign w:val="bottom"/>
          </w:tcPr>
          <w:p>
            <w:pPr>
              <w:spacing w:after="0"/>
              <w:rPr>
                <w:sz w:val="15"/>
                <w:szCs w:val="15"/>
                <w:color w:val="auto"/>
              </w:rPr>
            </w:pPr>
          </w:p>
        </w:tc>
      </w:tr>
      <w:tr>
        <w:trPr>
          <w:trHeight w:val="20"/>
        </w:trPr>
        <w:tc>
          <w:tcPr>
            <w:tcW w:w="10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3"/>
        </w:trPr>
        <w:tc>
          <w:tcPr>
            <w:tcW w:w="10980" w:type="dxa"/>
            <w:vAlign w:val="bottom"/>
          </w:tcPr>
          <w:p>
            <w:pPr>
              <w:ind w:left="40"/>
              <w:spacing w:after="0"/>
              <w:rPr>
                <w:sz w:val="20"/>
                <w:szCs w:val="20"/>
                <w:color w:val="auto"/>
              </w:rPr>
            </w:pPr>
            <w:r>
              <w:rPr>
                <w:rFonts w:ascii="Arial" w:cs="Arial" w:eastAsia="Arial" w:hAnsi="Arial"/>
                <w:sz w:val="14"/>
                <w:szCs w:val="14"/>
                <w:color w:val="0000FF"/>
              </w:rPr>
              <w:t>Item 7. Management’s Discussion and Analysis of Financial Condition and Results of Operations.</w:t>
            </w:r>
          </w:p>
        </w:tc>
        <w:tc>
          <w:tcPr>
            <w:tcW w:w="240" w:type="dxa"/>
            <w:vAlign w:val="bottom"/>
            <w:gridSpan w:val="3"/>
          </w:tcPr>
          <w:p>
            <w:pPr>
              <w:jc w:val="right"/>
              <w:spacing w:after="0"/>
              <w:rPr>
                <w:sz w:val="20"/>
                <w:szCs w:val="20"/>
                <w:color w:val="auto"/>
              </w:rPr>
            </w:pPr>
            <w:r>
              <w:rPr>
                <w:rFonts w:ascii="Arial" w:cs="Arial" w:eastAsia="Arial" w:hAnsi="Arial"/>
                <w:sz w:val="15"/>
                <w:szCs w:val="15"/>
                <w:color w:val="0000FF"/>
              </w:rPr>
              <w:t>23</w:t>
            </w:r>
          </w:p>
        </w:tc>
        <w:tc>
          <w:tcPr>
            <w:tcW w:w="20" w:type="dxa"/>
            <w:vAlign w:val="bottom"/>
          </w:tcPr>
          <w:p>
            <w:pPr>
              <w:spacing w:after="0"/>
              <w:rPr>
                <w:sz w:val="15"/>
                <w:szCs w:val="15"/>
                <w:color w:val="auto"/>
              </w:rPr>
            </w:pPr>
          </w:p>
        </w:tc>
      </w:tr>
      <w:tr>
        <w:trPr>
          <w:trHeight w:val="20"/>
        </w:trPr>
        <w:tc>
          <w:tcPr>
            <w:tcW w:w="10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3"/>
        </w:trPr>
        <w:tc>
          <w:tcPr>
            <w:tcW w:w="10980" w:type="dxa"/>
            <w:vAlign w:val="bottom"/>
          </w:tcPr>
          <w:p>
            <w:pPr>
              <w:ind w:left="40"/>
              <w:spacing w:after="0"/>
              <w:rPr>
                <w:sz w:val="20"/>
                <w:szCs w:val="20"/>
                <w:color w:val="auto"/>
              </w:rPr>
            </w:pPr>
            <w:r>
              <w:rPr>
                <w:rFonts w:ascii="Arial" w:cs="Arial" w:eastAsia="Arial" w:hAnsi="Arial"/>
                <w:sz w:val="14"/>
                <w:szCs w:val="14"/>
                <w:color w:val="0000FF"/>
              </w:rPr>
              <w:t>Item 7A. Quantitative and Qualitative Disclosures About Market Risk.</w:t>
            </w:r>
          </w:p>
        </w:tc>
        <w:tc>
          <w:tcPr>
            <w:tcW w:w="240" w:type="dxa"/>
            <w:vAlign w:val="bottom"/>
            <w:gridSpan w:val="3"/>
          </w:tcPr>
          <w:p>
            <w:pPr>
              <w:jc w:val="right"/>
              <w:spacing w:after="0"/>
              <w:rPr>
                <w:sz w:val="20"/>
                <w:szCs w:val="20"/>
                <w:color w:val="auto"/>
              </w:rPr>
            </w:pPr>
            <w:r>
              <w:rPr>
                <w:rFonts w:ascii="Arial" w:cs="Arial" w:eastAsia="Arial" w:hAnsi="Arial"/>
                <w:sz w:val="15"/>
                <w:szCs w:val="15"/>
                <w:color w:val="0000FF"/>
              </w:rPr>
              <w:t>40</w:t>
            </w:r>
          </w:p>
        </w:tc>
        <w:tc>
          <w:tcPr>
            <w:tcW w:w="20" w:type="dxa"/>
            <w:vAlign w:val="bottom"/>
          </w:tcPr>
          <w:p>
            <w:pPr>
              <w:spacing w:after="0"/>
              <w:rPr>
                <w:sz w:val="15"/>
                <w:szCs w:val="15"/>
                <w:color w:val="auto"/>
              </w:rPr>
            </w:pPr>
          </w:p>
        </w:tc>
      </w:tr>
      <w:tr>
        <w:trPr>
          <w:trHeight w:val="20"/>
        </w:trPr>
        <w:tc>
          <w:tcPr>
            <w:tcW w:w="10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3"/>
        </w:trPr>
        <w:tc>
          <w:tcPr>
            <w:tcW w:w="10980" w:type="dxa"/>
            <w:vAlign w:val="bottom"/>
          </w:tcPr>
          <w:p>
            <w:pPr>
              <w:ind w:left="40"/>
              <w:spacing w:after="0"/>
              <w:rPr>
                <w:sz w:val="20"/>
                <w:szCs w:val="20"/>
                <w:color w:val="auto"/>
              </w:rPr>
            </w:pPr>
            <w:r>
              <w:rPr>
                <w:rFonts w:ascii="Arial" w:cs="Arial" w:eastAsia="Arial" w:hAnsi="Arial"/>
                <w:sz w:val="14"/>
                <w:szCs w:val="14"/>
                <w:color w:val="0000FF"/>
              </w:rPr>
              <w:t>Item 8. Financial Statements and Supplementary Data.</w:t>
            </w:r>
          </w:p>
        </w:tc>
        <w:tc>
          <w:tcPr>
            <w:tcW w:w="240" w:type="dxa"/>
            <w:vAlign w:val="bottom"/>
            <w:gridSpan w:val="3"/>
          </w:tcPr>
          <w:p>
            <w:pPr>
              <w:jc w:val="right"/>
              <w:spacing w:after="0"/>
              <w:rPr>
                <w:sz w:val="20"/>
                <w:szCs w:val="20"/>
                <w:color w:val="auto"/>
              </w:rPr>
            </w:pPr>
            <w:r>
              <w:rPr>
                <w:rFonts w:ascii="Arial" w:cs="Arial" w:eastAsia="Arial" w:hAnsi="Arial"/>
                <w:sz w:val="15"/>
                <w:szCs w:val="15"/>
                <w:color w:val="0000FF"/>
              </w:rPr>
              <w:t>41</w:t>
            </w:r>
          </w:p>
        </w:tc>
        <w:tc>
          <w:tcPr>
            <w:tcW w:w="20" w:type="dxa"/>
            <w:vAlign w:val="bottom"/>
          </w:tcPr>
          <w:p>
            <w:pPr>
              <w:spacing w:after="0"/>
              <w:rPr>
                <w:sz w:val="15"/>
                <w:szCs w:val="15"/>
                <w:color w:val="auto"/>
              </w:rPr>
            </w:pPr>
          </w:p>
        </w:tc>
      </w:tr>
      <w:tr>
        <w:trPr>
          <w:trHeight w:val="20"/>
        </w:trPr>
        <w:tc>
          <w:tcPr>
            <w:tcW w:w="10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3"/>
        </w:trPr>
        <w:tc>
          <w:tcPr>
            <w:tcW w:w="10980" w:type="dxa"/>
            <w:vAlign w:val="bottom"/>
          </w:tcPr>
          <w:p>
            <w:pPr>
              <w:ind w:left="40"/>
              <w:spacing w:after="0"/>
              <w:rPr>
                <w:sz w:val="20"/>
                <w:szCs w:val="20"/>
                <w:color w:val="auto"/>
              </w:rPr>
            </w:pPr>
            <w:r>
              <w:rPr>
                <w:rFonts w:ascii="Arial" w:cs="Arial" w:eastAsia="Arial" w:hAnsi="Arial"/>
                <w:sz w:val="14"/>
                <w:szCs w:val="14"/>
                <w:color w:val="0000FF"/>
              </w:rPr>
              <w:t>Item 9. Changes in and Disagreements with Accountants on Accounting and Financial Disclosure.</w:t>
            </w:r>
          </w:p>
        </w:tc>
        <w:tc>
          <w:tcPr>
            <w:tcW w:w="240" w:type="dxa"/>
            <w:vAlign w:val="bottom"/>
            <w:gridSpan w:val="3"/>
          </w:tcPr>
          <w:p>
            <w:pPr>
              <w:jc w:val="right"/>
              <w:spacing w:after="0"/>
              <w:rPr>
                <w:sz w:val="20"/>
                <w:szCs w:val="20"/>
                <w:color w:val="auto"/>
              </w:rPr>
            </w:pPr>
            <w:r>
              <w:rPr>
                <w:rFonts w:ascii="Arial" w:cs="Arial" w:eastAsia="Arial" w:hAnsi="Arial"/>
                <w:sz w:val="15"/>
                <w:szCs w:val="15"/>
                <w:color w:val="0000FF"/>
              </w:rPr>
              <w:t>92</w:t>
            </w:r>
          </w:p>
        </w:tc>
        <w:tc>
          <w:tcPr>
            <w:tcW w:w="20" w:type="dxa"/>
            <w:vAlign w:val="bottom"/>
          </w:tcPr>
          <w:p>
            <w:pPr>
              <w:spacing w:after="0"/>
              <w:rPr>
                <w:sz w:val="15"/>
                <w:szCs w:val="15"/>
                <w:color w:val="auto"/>
              </w:rPr>
            </w:pPr>
          </w:p>
        </w:tc>
      </w:tr>
      <w:tr>
        <w:trPr>
          <w:trHeight w:val="20"/>
        </w:trPr>
        <w:tc>
          <w:tcPr>
            <w:tcW w:w="10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3"/>
        </w:trPr>
        <w:tc>
          <w:tcPr>
            <w:tcW w:w="10980" w:type="dxa"/>
            <w:vAlign w:val="bottom"/>
          </w:tcPr>
          <w:p>
            <w:pPr>
              <w:ind w:left="40"/>
              <w:spacing w:after="0"/>
              <w:rPr>
                <w:sz w:val="20"/>
                <w:szCs w:val="20"/>
                <w:color w:val="auto"/>
              </w:rPr>
            </w:pPr>
            <w:r>
              <w:rPr>
                <w:rFonts w:ascii="Arial" w:cs="Arial" w:eastAsia="Arial" w:hAnsi="Arial"/>
                <w:sz w:val="14"/>
                <w:szCs w:val="14"/>
                <w:color w:val="0000FF"/>
              </w:rPr>
              <w:t>Item 9A. Controls and Procedures.</w:t>
            </w:r>
          </w:p>
        </w:tc>
        <w:tc>
          <w:tcPr>
            <w:tcW w:w="240" w:type="dxa"/>
            <w:vAlign w:val="bottom"/>
            <w:gridSpan w:val="3"/>
          </w:tcPr>
          <w:p>
            <w:pPr>
              <w:jc w:val="right"/>
              <w:spacing w:after="0"/>
              <w:rPr>
                <w:sz w:val="20"/>
                <w:szCs w:val="20"/>
                <w:color w:val="auto"/>
              </w:rPr>
            </w:pPr>
            <w:r>
              <w:rPr>
                <w:rFonts w:ascii="Arial" w:cs="Arial" w:eastAsia="Arial" w:hAnsi="Arial"/>
                <w:sz w:val="15"/>
                <w:szCs w:val="15"/>
                <w:color w:val="0000FF"/>
              </w:rPr>
              <w:t>92</w:t>
            </w:r>
          </w:p>
        </w:tc>
        <w:tc>
          <w:tcPr>
            <w:tcW w:w="20" w:type="dxa"/>
            <w:vAlign w:val="bottom"/>
          </w:tcPr>
          <w:p>
            <w:pPr>
              <w:spacing w:after="0"/>
              <w:rPr>
                <w:sz w:val="15"/>
                <w:szCs w:val="15"/>
                <w:color w:val="auto"/>
              </w:rPr>
            </w:pPr>
          </w:p>
        </w:tc>
      </w:tr>
      <w:tr>
        <w:trPr>
          <w:trHeight w:val="20"/>
        </w:trPr>
        <w:tc>
          <w:tcPr>
            <w:tcW w:w="10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3"/>
        </w:trPr>
        <w:tc>
          <w:tcPr>
            <w:tcW w:w="10980" w:type="dxa"/>
            <w:vAlign w:val="bottom"/>
          </w:tcPr>
          <w:p>
            <w:pPr>
              <w:ind w:left="40"/>
              <w:spacing w:after="0"/>
              <w:rPr>
                <w:sz w:val="20"/>
                <w:szCs w:val="20"/>
                <w:color w:val="auto"/>
              </w:rPr>
            </w:pPr>
            <w:r>
              <w:rPr>
                <w:rFonts w:ascii="Arial" w:cs="Arial" w:eastAsia="Arial" w:hAnsi="Arial"/>
                <w:sz w:val="14"/>
                <w:szCs w:val="14"/>
                <w:color w:val="0000FF"/>
              </w:rPr>
              <w:t>Item 9B. Other Information.</w:t>
            </w:r>
          </w:p>
        </w:tc>
        <w:tc>
          <w:tcPr>
            <w:tcW w:w="240" w:type="dxa"/>
            <w:vAlign w:val="bottom"/>
            <w:gridSpan w:val="3"/>
          </w:tcPr>
          <w:p>
            <w:pPr>
              <w:jc w:val="right"/>
              <w:spacing w:after="0"/>
              <w:rPr>
                <w:sz w:val="20"/>
                <w:szCs w:val="20"/>
                <w:color w:val="auto"/>
              </w:rPr>
            </w:pPr>
            <w:r>
              <w:rPr>
                <w:rFonts w:ascii="Arial" w:cs="Arial" w:eastAsia="Arial" w:hAnsi="Arial"/>
                <w:sz w:val="15"/>
                <w:szCs w:val="15"/>
                <w:color w:val="0000FF"/>
              </w:rPr>
              <w:t>93</w:t>
            </w:r>
          </w:p>
        </w:tc>
        <w:tc>
          <w:tcPr>
            <w:tcW w:w="20" w:type="dxa"/>
            <w:vAlign w:val="bottom"/>
          </w:tcPr>
          <w:p>
            <w:pPr>
              <w:spacing w:after="0"/>
              <w:rPr>
                <w:sz w:val="15"/>
                <w:szCs w:val="15"/>
                <w:color w:val="auto"/>
              </w:rPr>
            </w:pPr>
          </w:p>
        </w:tc>
      </w:tr>
      <w:tr>
        <w:trPr>
          <w:trHeight w:val="20"/>
        </w:trPr>
        <w:tc>
          <w:tcPr>
            <w:tcW w:w="10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3"/>
        </w:trPr>
        <w:tc>
          <w:tcPr>
            <w:tcW w:w="10980" w:type="dxa"/>
            <w:vAlign w:val="bottom"/>
          </w:tcPr>
          <w:p>
            <w:pPr>
              <w:ind w:left="40"/>
              <w:spacing w:after="0"/>
              <w:rPr>
                <w:sz w:val="20"/>
                <w:szCs w:val="20"/>
                <w:color w:val="auto"/>
              </w:rPr>
            </w:pPr>
            <w:r>
              <w:rPr>
                <w:rFonts w:ascii="Arial" w:cs="Arial" w:eastAsia="Arial" w:hAnsi="Arial"/>
                <w:sz w:val="14"/>
                <w:szCs w:val="14"/>
                <w:color w:val="0000FF"/>
              </w:rPr>
              <w:t>Item 9C. Disclosure Regarding Foreign Jurisdictions that Prevent Inspections</w:t>
            </w:r>
          </w:p>
        </w:tc>
        <w:tc>
          <w:tcPr>
            <w:tcW w:w="240" w:type="dxa"/>
            <w:vAlign w:val="bottom"/>
            <w:gridSpan w:val="3"/>
          </w:tcPr>
          <w:p>
            <w:pPr>
              <w:jc w:val="right"/>
              <w:spacing w:after="0"/>
              <w:rPr>
                <w:sz w:val="20"/>
                <w:szCs w:val="20"/>
                <w:color w:val="auto"/>
              </w:rPr>
            </w:pPr>
            <w:r>
              <w:rPr>
                <w:rFonts w:ascii="Arial" w:cs="Arial" w:eastAsia="Arial" w:hAnsi="Arial"/>
                <w:sz w:val="15"/>
                <w:szCs w:val="15"/>
                <w:color w:val="0000FF"/>
              </w:rPr>
              <w:t>93</w:t>
            </w:r>
          </w:p>
        </w:tc>
        <w:tc>
          <w:tcPr>
            <w:tcW w:w="20" w:type="dxa"/>
            <w:vAlign w:val="bottom"/>
          </w:tcPr>
          <w:p>
            <w:pPr>
              <w:spacing w:after="0"/>
              <w:rPr>
                <w:sz w:val="15"/>
                <w:szCs w:val="15"/>
                <w:color w:val="auto"/>
              </w:rPr>
            </w:pPr>
          </w:p>
        </w:tc>
      </w:tr>
      <w:tr>
        <w:trPr>
          <w:trHeight w:val="20"/>
        </w:trPr>
        <w:tc>
          <w:tcPr>
            <w:tcW w:w="10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3"/>
        </w:trPr>
        <w:tc>
          <w:tcPr>
            <w:tcW w:w="10980" w:type="dxa"/>
            <w:vAlign w:val="bottom"/>
          </w:tcPr>
          <w:p>
            <w:pPr>
              <w:ind w:left="40"/>
              <w:spacing w:after="0"/>
              <w:rPr>
                <w:sz w:val="20"/>
                <w:szCs w:val="20"/>
                <w:color w:val="auto"/>
              </w:rPr>
            </w:pPr>
            <w:r>
              <w:rPr>
                <w:rFonts w:ascii="Arial" w:cs="Arial" w:eastAsia="Arial" w:hAnsi="Arial"/>
                <w:sz w:val="14"/>
                <w:szCs w:val="14"/>
                <w:b w:val="1"/>
                <w:bCs w:val="1"/>
                <w:color w:val="0000FF"/>
              </w:rPr>
              <w:t>PART III</w:t>
            </w:r>
          </w:p>
        </w:tc>
        <w:tc>
          <w:tcPr>
            <w:tcW w:w="240" w:type="dxa"/>
            <w:vAlign w:val="bottom"/>
            <w:gridSpan w:val="3"/>
          </w:tcPr>
          <w:p>
            <w:pPr>
              <w:jc w:val="right"/>
              <w:spacing w:after="0"/>
              <w:rPr>
                <w:sz w:val="20"/>
                <w:szCs w:val="20"/>
                <w:color w:val="auto"/>
              </w:rPr>
            </w:pPr>
            <w:r>
              <w:rPr>
                <w:rFonts w:ascii="Arial" w:cs="Arial" w:eastAsia="Arial" w:hAnsi="Arial"/>
                <w:sz w:val="15"/>
                <w:szCs w:val="15"/>
                <w:color w:val="0000FF"/>
              </w:rPr>
              <w:t>94</w:t>
            </w:r>
          </w:p>
        </w:tc>
        <w:tc>
          <w:tcPr>
            <w:tcW w:w="20" w:type="dxa"/>
            <w:vAlign w:val="bottom"/>
          </w:tcPr>
          <w:p>
            <w:pPr>
              <w:spacing w:after="0"/>
              <w:rPr>
                <w:sz w:val="15"/>
                <w:szCs w:val="15"/>
                <w:color w:val="auto"/>
              </w:rPr>
            </w:pPr>
          </w:p>
        </w:tc>
      </w:tr>
      <w:tr>
        <w:trPr>
          <w:trHeight w:val="20"/>
        </w:trPr>
        <w:tc>
          <w:tcPr>
            <w:tcW w:w="10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3"/>
        </w:trPr>
        <w:tc>
          <w:tcPr>
            <w:tcW w:w="10980" w:type="dxa"/>
            <w:vAlign w:val="bottom"/>
          </w:tcPr>
          <w:p>
            <w:pPr>
              <w:ind w:left="40"/>
              <w:spacing w:after="0"/>
              <w:rPr>
                <w:sz w:val="20"/>
                <w:szCs w:val="20"/>
                <w:color w:val="auto"/>
              </w:rPr>
            </w:pPr>
            <w:r>
              <w:rPr>
                <w:rFonts w:ascii="Arial" w:cs="Arial" w:eastAsia="Arial" w:hAnsi="Arial"/>
                <w:sz w:val="14"/>
                <w:szCs w:val="14"/>
                <w:color w:val="0000FF"/>
              </w:rPr>
              <w:t>Item 10. Directors, Executive Officers, and Corporate Governance.</w:t>
            </w:r>
          </w:p>
        </w:tc>
        <w:tc>
          <w:tcPr>
            <w:tcW w:w="240" w:type="dxa"/>
            <w:vAlign w:val="bottom"/>
            <w:gridSpan w:val="3"/>
          </w:tcPr>
          <w:p>
            <w:pPr>
              <w:jc w:val="right"/>
              <w:spacing w:after="0"/>
              <w:rPr>
                <w:sz w:val="20"/>
                <w:szCs w:val="20"/>
                <w:color w:val="auto"/>
              </w:rPr>
            </w:pPr>
            <w:r>
              <w:rPr>
                <w:rFonts w:ascii="Arial" w:cs="Arial" w:eastAsia="Arial" w:hAnsi="Arial"/>
                <w:sz w:val="15"/>
                <w:szCs w:val="15"/>
                <w:color w:val="0000FF"/>
              </w:rPr>
              <w:t>94</w:t>
            </w:r>
          </w:p>
        </w:tc>
        <w:tc>
          <w:tcPr>
            <w:tcW w:w="20" w:type="dxa"/>
            <w:vAlign w:val="bottom"/>
          </w:tcPr>
          <w:p>
            <w:pPr>
              <w:spacing w:after="0"/>
              <w:rPr>
                <w:sz w:val="15"/>
                <w:szCs w:val="15"/>
                <w:color w:val="auto"/>
              </w:rPr>
            </w:pPr>
          </w:p>
        </w:tc>
      </w:tr>
      <w:tr>
        <w:trPr>
          <w:trHeight w:val="20"/>
        </w:trPr>
        <w:tc>
          <w:tcPr>
            <w:tcW w:w="10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3"/>
        </w:trPr>
        <w:tc>
          <w:tcPr>
            <w:tcW w:w="10980" w:type="dxa"/>
            <w:vAlign w:val="bottom"/>
          </w:tcPr>
          <w:p>
            <w:pPr>
              <w:ind w:left="40"/>
              <w:spacing w:after="0"/>
              <w:rPr>
                <w:sz w:val="20"/>
                <w:szCs w:val="20"/>
                <w:color w:val="auto"/>
              </w:rPr>
            </w:pPr>
            <w:r>
              <w:rPr>
                <w:rFonts w:ascii="Arial" w:cs="Arial" w:eastAsia="Arial" w:hAnsi="Arial"/>
                <w:sz w:val="14"/>
                <w:szCs w:val="14"/>
                <w:color w:val="0000FF"/>
              </w:rPr>
              <w:t>Item 11. Executive Compensation.</w:t>
            </w:r>
          </w:p>
        </w:tc>
        <w:tc>
          <w:tcPr>
            <w:tcW w:w="240" w:type="dxa"/>
            <w:vAlign w:val="bottom"/>
            <w:gridSpan w:val="3"/>
          </w:tcPr>
          <w:p>
            <w:pPr>
              <w:jc w:val="right"/>
              <w:spacing w:after="0"/>
              <w:rPr>
                <w:sz w:val="20"/>
                <w:szCs w:val="20"/>
                <w:color w:val="auto"/>
              </w:rPr>
            </w:pPr>
            <w:r>
              <w:rPr>
                <w:rFonts w:ascii="Arial" w:cs="Arial" w:eastAsia="Arial" w:hAnsi="Arial"/>
                <w:sz w:val="15"/>
                <w:szCs w:val="15"/>
                <w:color w:val="0000FF"/>
              </w:rPr>
              <w:t>94</w:t>
            </w:r>
          </w:p>
        </w:tc>
        <w:tc>
          <w:tcPr>
            <w:tcW w:w="20" w:type="dxa"/>
            <w:vAlign w:val="bottom"/>
          </w:tcPr>
          <w:p>
            <w:pPr>
              <w:spacing w:after="0"/>
              <w:rPr>
                <w:sz w:val="15"/>
                <w:szCs w:val="15"/>
                <w:color w:val="auto"/>
              </w:rPr>
            </w:pPr>
          </w:p>
        </w:tc>
      </w:tr>
      <w:tr>
        <w:trPr>
          <w:trHeight w:val="20"/>
        </w:trPr>
        <w:tc>
          <w:tcPr>
            <w:tcW w:w="10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3"/>
        </w:trPr>
        <w:tc>
          <w:tcPr>
            <w:tcW w:w="10980" w:type="dxa"/>
            <w:vAlign w:val="bottom"/>
          </w:tcPr>
          <w:p>
            <w:pPr>
              <w:ind w:left="40"/>
              <w:spacing w:after="0"/>
              <w:rPr>
                <w:sz w:val="20"/>
                <w:szCs w:val="20"/>
                <w:color w:val="auto"/>
              </w:rPr>
            </w:pPr>
            <w:r>
              <w:rPr>
                <w:rFonts w:ascii="Arial" w:cs="Arial" w:eastAsia="Arial" w:hAnsi="Arial"/>
                <w:sz w:val="14"/>
                <w:szCs w:val="14"/>
                <w:color w:val="0000FF"/>
              </w:rPr>
              <w:t>Item 12. Security Ownership of Certain Beneficial Owners and Management and Related Stockholder Matters.</w:t>
            </w:r>
          </w:p>
        </w:tc>
        <w:tc>
          <w:tcPr>
            <w:tcW w:w="240" w:type="dxa"/>
            <w:vAlign w:val="bottom"/>
            <w:gridSpan w:val="3"/>
          </w:tcPr>
          <w:p>
            <w:pPr>
              <w:jc w:val="right"/>
              <w:spacing w:after="0"/>
              <w:rPr>
                <w:sz w:val="20"/>
                <w:szCs w:val="20"/>
                <w:color w:val="auto"/>
              </w:rPr>
            </w:pPr>
            <w:r>
              <w:rPr>
                <w:rFonts w:ascii="Arial" w:cs="Arial" w:eastAsia="Arial" w:hAnsi="Arial"/>
                <w:sz w:val="15"/>
                <w:szCs w:val="15"/>
                <w:color w:val="0000FF"/>
              </w:rPr>
              <w:t>94</w:t>
            </w:r>
          </w:p>
        </w:tc>
        <w:tc>
          <w:tcPr>
            <w:tcW w:w="20" w:type="dxa"/>
            <w:vAlign w:val="bottom"/>
          </w:tcPr>
          <w:p>
            <w:pPr>
              <w:spacing w:after="0"/>
              <w:rPr>
                <w:sz w:val="15"/>
                <w:szCs w:val="15"/>
                <w:color w:val="auto"/>
              </w:rPr>
            </w:pPr>
          </w:p>
        </w:tc>
      </w:tr>
      <w:tr>
        <w:trPr>
          <w:trHeight w:val="20"/>
        </w:trPr>
        <w:tc>
          <w:tcPr>
            <w:tcW w:w="10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3"/>
        </w:trPr>
        <w:tc>
          <w:tcPr>
            <w:tcW w:w="10980" w:type="dxa"/>
            <w:vAlign w:val="bottom"/>
          </w:tcPr>
          <w:p>
            <w:pPr>
              <w:ind w:left="40"/>
              <w:spacing w:after="0"/>
              <w:rPr>
                <w:sz w:val="20"/>
                <w:szCs w:val="20"/>
                <w:color w:val="auto"/>
              </w:rPr>
            </w:pPr>
            <w:r>
              <w:rPr>
                <w:rFonts w:ascii="Arial" w:cs="Arial" w:eastAsia="Arial" w:hAnsi="Arial"/>
                <w:sz w:val="14"/>
                <w:szCs w:val="14"/>
                <w:color w:val="0000FF"/>
              </w:rPr>
              <w:t>Item 13. Certain Relationships and Related Transactions, and Director Independence.</w:t>
            </w:r>
          </w:p>
        </w:tc>
        <w:tc>
          <w:tcPr>
            <w:tcW w:w="240" w:type="dxa"/>
            <w:vAlign w:val="bottom"/>
            <w:gridSpan w:val="3"/>
          </w:tcPr>
          <w:p>
            <w:pPr>
              <w:jc w:val="right"/>
              <w:spacing w:after="0"/>
              <w:rPr>
                <w:sz w:val="20"/>
                <w:szCs w:val="20"/>
                <w:color w:val="auto"/>
              </w:rPr>
            </w:pPr>
            <w:r>
              <w:rPr>
                <w:rFonts w:ascii="Arial" w:cs="Arial" w:eastAsia="Arial" w:hAnsi="Arial"/>
                <w:sz w:val="15"/>
                <w:szCs w:val="15"/>
                <w:color w:val="0000FF"/>
              </w:rPr>
              <w:t>94</w:t>
            </w:r>
          </w:p>
        </w:tc>
        <w:tc>
          <w:tcPr>
            <w:tcW w:w="20" w:type="dxa"/>
            <w:vAlign w:val="bottom"/>
          </w:tcPr>
          <w:p>
            <w:pPr>
              <w:spacing w:after="0"/>
              <w:rPr>
                <w:sz w:val="15"/>
                <w:szCs w:val="15"/>
                <w:color w:val="auto"/>
              </w:rPr>
            </w:pPr>
          </w:p>
        </w:tc>
      </w:tr>
      <w:tr>
        <w:trPr>
          <w:trHeight w:val="20"/>
        </w:trPr>
        <w:tc>
          <w:tcPr>
            <w:tcW w:w="10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3"/>
        </w:trPr>
        <w:tc>
          <w:tcPr>
            <w:tcW w:w="10980" w:type="dxa"/>
            <w:vAlign w:val="bottom"/>
          </w:tcPr>
          <w:p>
            <w:pPr>
              <w:ind w:left="40"/>
              <w:spacing w:after="0"/>
              <w:rPr>
                <w:sz w:val="20"/>
                <w:szCs w:val="20"/>
                <w:color w:val="auto"/>
              </w:rPr>
            </w:pPr>
            <w:r>
              <w:rPr>
                <w:rFonts w:ascii="Arial" w:cs="Arial" w:eastAsia="Arial" w:hAnsi="Arial"/>
                <w:sz w:val="14"/>
                <w:szCs w:val="14"/>
                <w:color w:val="0000FF"/>
              </w:rPr>
              <w:t>Item 14. Principal Accounting Fees and Services.</w:t>
            </w:r>
          </w:p>
        </w:tc>
        <w:tc>
          <w:tcPr>
            <w:tcW w:w="240" w:type="dxa"/>
            <w:vAlign w:val="bottom"/>
            <w:gridSpan w:val="3"/>
          </w:tcPr>
          <w:p>
            <w:pPr>
              <w:jc w:val="right"/>
              <w:spacing w:after="0"/>
              <w:rPr>
                <w:sz w:val="20"/>
                <w:szCs w:val="20"/>
                <w:color w:val="auto"/>
              </w:rPr>
            </w:pPr>
            <w:r>
              <w:rPr>
                <w:rFonts w:ascii="Arial" w:cs="Arial" w:eastAsia="Arial" w:hAnsi="Arial"/>
                <w:sz w:val="15"/>
                <w:szCs w:val="15"/>
                <w:color w:val="0000FF"/>
              </w:rPr>
              <w:t>94</w:t>
            </w:r>
          </w:p>
        </w:tc>
        <w:tc>
          <w:tcPr>
            <w:tcW w:w="20" w:type="dxa"/>
            <w:vAlign w:val="bottom"/>
          </w:tcPr>
          <w:p>
            <w:pPr>
              <w:spacing w:after="0"/>
              <w:rPr>
                <w:sz w:val="15"/>
                <w:szCs w:val="15"/>
                <w:color w:val="auto"/>
              </w:rPr>
            </w:pPr>
          </w:p>
        </w:tc>
      </w:tr>
      <w:tr>
        <w:trPr>
          <w:trHeight w:val="20"/>
        </w:trPr>
        <w:tc>
          <w:tcPr>
            <w:tcW w:w="10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3"/>
        </w:trPr>
        <w:tc>
          <w:tcPr>
            <w:tcW w:w="10980" w:type="dxa"/>
            <w:vAlign w:val="bottom"/>
          </w:tcPr>
          <w:p>
            <w:pPr>
              <w:ind w:left="40"/>
              <w:spacing w:after="0"/>
              <w:rPr>
                <w:sz w:val="20"/>
                <w:szCs w:val="20"/>
                <w:color w:val="auto"/>
              </w:rPr>
            </w:pPr>
            <w:r>
              <w:rPr>
                <w:rFonts w:ascii="Arial" w:cs="Arial" w:eastAsia="Arial" w:hAnsi="Arial"/>
                <w:sz w:val="14"/>
                <w:szCs w:val="14"/>
                <w:b w:val="1"/>
                <w:bCs w:val="1"/>
                <w:color w:val="0000FF"/>
              </w:rPr>
              <w:t>PART IV</w:t>
            </w:r>
          </w:p>
        </w:tc>
        <w:tc>
          <w:tcPr>
            <w:tcW w:w="240" w:type="dxa"/>
            <w:vAlign w:val="bottom"/>
            <w:gridSpan w:val="3"/>
          </w:tcPr>
          <w:p>
            <w:pPr>
              <w:jc w:val="right"/>
              <w:spacing w:after="0"/>
              <w:rPr>
                <w:sz w:val="20"/>
                <w:szCs w:val="20"/>
                <w:color w:val="auto"/>
              </w:rPr>
            </w:pPr>
            <w:r>
              <w:rPr>
                <w:rFonts w:ascii="Arial" w:cs="Arial" w:eastAsia="Arial" w:hAnsi="Arial"/>
                <w:sz w:val="15"/>
                <w:szCs w:val="15"/>
                <w:color w:val="0000FF"/>
              </w:rPr>
              <w:t>95</w:t>
            </w:r>
          </w:p>
        </w:tc>
        <w:tc>
          <w:tcPr>
            <w:tcW w:w="20" w:type="dxa"/>
            <w:vAlign w:val="bottom"/>
          </w:tcPr>
          <w:p>
            <w:pPr>
              <w:spacing w:after="0"/>
              <w:rPr>
                <w:sz w:val="15"/>
                <w:szCs w:val="15"/>
                <w:color w:val="auto"/>
              </w:rPr>
            </w:pPr>
          </w:p>
        </w:tc>
      </w:tr>
      <w:tr>
        <w:trPr>
          <w:trHeight w:val="20"/>
        </w:trPr>
        <w:tc>
          <w:tcPr>
            <w:tcW w:w="10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3"/>
        </w:trPr>
        <w:tc>
          <w:tcPr>
            <w:tcW w:w="10980" w:type="dxa"/>
            <w:vAlign w:val="bottom"/>
          </w:tcPr>
          <w:p>
            <w:pPr>
              <w:ind w:left="40"/>
              <w:spacing w:after="0"/>
              <w:rPr>
                <w:sz w:val="20"/>
                <w:szCs w:val="20"/>
                <w:color w:val="auto"/>
              </w:rPr>
            </w:pPr>
            <w:r>
              <w:rPr>
                <w:rFonts w:ascii="Arial" w:cs="Arial" w:eastAsia="Arial" w:hAnsi="Arial"/>
                <w:sz w:val="14"/>
                <w:szCs w:val="14"/>
                <w:color w:val="0000FF"/>
              </w:rPr>
              <w:t>Item 15. Exhibits, Financial Statement Schedules.</w:t>
            </w:r>
          </w:p>
        </w:tc>
        <w:tc>
          <w:tcPr>
            <w:tcW w:w="240" w:type="dxa"/>
            <w:vAlign w:val="bottom"/>
            <w:gridSpan w:val="3"/>
          </w:tcPr>
          <w:p>
            <w:pPr>
              <w:jc w:val="right"/>
              <w:spacing w:after="0"/>
              <w:rPr>
                <w:sz w:val="20"/>
                <w:szCs w:val="20"/>
                <w:color w:val="auto"/>
              </w:rPr>
            </w:pPr>
            <w:r>
              <w:rPr>
                <w:rFonts w:ascii="Arial" w:cs="Arial" w:eastAsia="Arial" w:hAnsi="Arial"/>
                <w:sz w:val="15"/>
                <w:szCs w:val="15"/>
                <w:color w:val="0000FF"/>
              </w:rPr>
              <w:t>97</w:t>
            </w:r>
          </w:p>
        </w:tc>
        <w:tc>
          <w:tcPr>
            <w:tcW w:w="20" w:type="dxa"/>
            <w:vAlign w:val="bottom"/>
          </w:tcPr>
          <w:p>
            <w:pPr>
              <w:spacing w:after="0"/>
              <w:rPr>
                <w:sz w:val="15"/>
                <w:szCs w:val="15"/>
                <w:color w:val="auto"/>
              </w:rPr>
            </w:pPr>
          </w:p>
        </w:tc>
      </w:tr>
      <w:tr>
        <w:trPr>
          <w:trHeight w:val="20"/>
        </w:trPr>
        <w:tc>
          <w:tcPr>
            <w:tcW w:w="10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3"/>
        </w:trPr>
        <w:tc>
          <w:tcPr>
            <w:tcW w:w="10980" w:type="dxa"/>
            <w:vAlign w:val="bottom"/>
          </w:tcPr>
          <w:p>
            <w:pPr>
              <w:ind w:left="40"/>
              <w:spacing w:after="0"/>
              <w:rPr>
                <w:sz w:val="20"/>
                <w:szCs w:val="20"/>
                <w:color w:val="auto"/>
              </w:rPr>
            </w:pPr>
            <w:r>
              <w:rPr>
                <w:rFonts w:ascii="Arial" w:cs="Arial" w:eastAsia="Arial" w:hAnsi="Arial"/>
                <w:sz w:val="14"/>
                <w:szCs w:val="14"/>
                <w:b w:val="1"/>
                <w:bCs w:val="1"/>
                <w:color w:val="0000FF"/>
              </w:rPr>
              <w:t>SIGNATURES</w:t>
            </w:r>
          </w:p>
        </w:tc>
        <w:tc>
          <w:tcPr>
            <w:tcW w:w="240" w:type="dxa"/>
            <w:vAlign w:val="bottom"/>
            <w:tcBorders>
              <w:bottom w:val="single" w:sz="8" w:color="0000FF"/>
            </w:tcBorders>
            <w:gridSpan w:val="3"/>
          </w:tcPr>
          <w:p>
            <w:pPr>
              <w:jc w:val="right"/>
              <w:spacing w:after="0"/>
              <w:rPr>
                <w:sz w:val="20"/>
                <w:szCs w:val="20"/>
                <w:color w:val="auto"/>
              </w:rPr>
            </w:pPr>
            <w:r>
              <w:rPr>
                <w:rFonts w:ascii="Arial" w:cs="Arial" w:eastAsia="Arial" w:hAnsi="Arial"/>
                <w:sz w:val="15"/>
                <w:szCs w:val="15"/>
                <w:color w:val="0000FF"/>
                <w:w w:val="87"/>
              </w:rPr>
              <w:t>102</w:t>
            </w:r>
          </w:p>
        </w:tc>
        <w:tc>
          <w:tcPr>
            <w:tcW w:w="20" w:type="dxa"/>
            <w:vAlign w:val="bottom"/>
          </w:tcPr>
          <w:p>
            <w:pPr>
              <w:spacing w:after="0"/>
              <w:rPr>
                <w:sz w:val="15"/>
                <w:szCs w:val="15"/>
                <w:color w:val="auto"/>
              </w:rPr>
            </w:pPr>
          </w:p>
        </w:tc>
      </w:tr>
      <w:tr>
        <w:trPr>
          <w:trHeight w:val="1339"/>
        </w:trPr>
        <w:tc>
          <w:tcPr>
            <w:tcW w:w="109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52" w:right="339" w:bottom="1440" w:gutter="0" w:footer="0" w:header="0"/>
        </w:sectPr>
      </w:pPr>
    </w:p>
    <w:bookmarkStart w:id="3" w:name="page4"/>
    <w:bookmarkEnd w:id="3"/>
    <w:p>
      <w:pPr>
        <w:spacing w:after="0"/>
        <w:rPr>
          <w:sz w:val="20"/>
          <w:szCs w:val="20"/>
          <w:color w:val="auto"/>
        </w:rPr>
      </w:pPr>
      <w:r>
        <w:rPr>
          <w:rFonts w:ascii="Arial" w:cs="Arial" w:eastAsia="Arial" w:hAnsi="Arial"/>
          <w:sz w:val="17"/>
          <w:szCs w:val="17"/>
          <w:b w:val="1"/>
          <w:bCs w:val="1"/>
          <w:color w:val="0046AD"/>
        </w:rPr>
        <w:t>FORWARD-LOOKING STATEMENTS</w:t>
      </w:r>
    </w:p>
    <w:p>
      <w:pPr>
        <w:spacing w:after="0" w:line="168" w:lineRule="exact"/>
        <w:rPr>
          <w:sz w:val="20"/>
          <w:szCs w:val="20"/>
          <w:color w:val="auto"/>
        </w:rPr>
      </w:pPr>
    </w:p>
    <w:p>
      <w:pPr>
        <w:jc w:val="both"/>
        <w:ind w:firstLine="619"/>
        <w:spacing w:after="0" w:line="257" w:lineRule="auto"/>
        <w:rPr>
          <w:sz w:val="20"/>
          <w:szCs w:val="20"/>
          <w:color w:val="auto"/>
        </w:rPr>
      </w:pPr>
      <w:r>
        <w:rPr>
          <w:rFonts w:ascii="Arial" w:cs="Arial" w:eastAsia="Arial" w:hAnsi="Arial"/>
          <w:sz w:val="17"/>
          <w:szCs w:val="17"/>
          <w:color w:val="auto"/>
        </w:rPr>
        <w:t>This Annual Report on Form 10-K for ABM Industries Incorporated and its subsidiaries (collectively referred to as “ABM,” “we,” “us,” “our,” or the “Company”) contains both historical and forward-looking statements, within the meaning of the Private Securities Litigation Reform Act of 1995, that involve risks and uncertainties. We make forward-looking statements related to future expectations, estimates, and projections that are uncertain and often contain words such as “anticipate,” “believe,” “could,” “estimate,” “expect,” “forecast,” “intend,” “likely,” “may,” “outlook,” “plan,” “predict,” “should,” “target,” or other similar words or phrases. These statements are not guarantees of future performance and are subject to known and unknown risks, uncertainties, and assumptions that are difficult to predict. Factors that might cause such differences include, but are not limited to, those discussed in Part 1 of this Form 10-K under Item 1A., “Risk Factors,” and we urge readers to consider these risks and uncertainties in evaluating our forward-looking statements. We caution readers not to place undue reliance upon any such forward-looking statements, which speak only as of the date made. We undertake no obligation to publicly update any forward-looking statements, whether as a result of new information, future events, or otherwise, except as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65"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7"/>
          <w:szCs w:val="17"/>
          <w:b w:val="1"/>
          <w:bCs w:val="1"/>
          <w:color w:val="0046AD"/>
        </w:rPr>
        <w:t>PART I</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ITEM 1. BUSINESS.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General</w:t>
      </w:r>
    </w:p>
    <w:p>
      <w:pPr>
        <w:spacing w:after="0" w:line="168"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 xml:space="preserve">ABM Industries Incorporated, which operates through its subsidiaries (collectively referred to as “ABM,” “we,” “us,” “our,” or the “Company”), is a leading provider of facility maintenance, engineering and infrastructure solutions with a mission to </w:t>
      </w:r>
      <w:r>
        <w:rPr>
          <w:rFonts w:ascii="Arial" w:cs="Arial" w:eastAsia="Arial" w:hAnsi="Arial"/>
          <w:sz w:val="17"/>
          <w:szCs w:val="17"/>
          <w:b w:val="1"/>
          <w:bCs w:val="1"/>
          <w:color w:val="003DA5"/>
        </w:rPr>
        <w:t>make a difference, every person, every</w:t>
      </w:r>
      <w:r>
        <w:rPr>
          <w:rFonts w:ascii="Arial" w:cs="Arial" w:eastAsia="Arial" w:hAnsi="Arial"/>
          <w:sz w:val="17"/>
          <w:szCs w:val="17"/>
          <w:color w:val="auto"/>
        </w:rPr>
        <w:t xml:space="preserve"> </w:t>
      </w:r>
      <w:r>
        <w:rPr>
          <w:rFonts w:ascii="Arial" w:cs="Arial" w:eastAsia="Arial" w:hAnsi="Arial"/>
          <w:sz w:val="17"/>
          <w:szCs w:val="17"/>
          <w:b w:val="1"/>
          <w:bCs w:val="1"/>
          <w:color w:val="003DA5"/>
        </w:rPr>
        <w:t>day</w:t>
      </w:r>
      <w:r>
        <w:rPr>
          <w:rFonts w:ascii="Arial" w:cs="Arial" w:eastAsia="Arial" w:hAnsi="Arial"/>
          <w:sz w:val="17"/>
          <w:szCs w:val="17"/>
          <w:color w:val="000000"/>
        </w:rPr>
        <w:t>. Our history dates back to 1909, when American Building Maintenance Company began as a window washing company in San Francisco with</w:t>
      </w:r>
      <w:r>
        <w:rPr>
          <w:rFonts w:ascii="Arial" w:cs="Arial" w:eastAsia="Arial" w:hAnsi="Arial"/>
          <w:sz w:val="17"/>
          <w:szCs w:val="17"/>
          <w:b w:val="1"/>
          <w:bCs w:val="1"/>
          <w:color w:val="003DA5"/>
        </w:rPr>
        <w:t xml:space="preserve"> </w:t>
      </w:r>
      <w:r>
        <w:rPr>
          <w:rFonts w:ascii="Arial" w:cs="Arial" w:eastAsia="Arial" w:hAnsi="Arial"/>
          <w:sz w:val="17"/>
          <w:szCs w:val="17"/>
          <w:color w:val="000000"/>
        </w:rPr>
        <w:t>one employee. In 1985, we were incorporated in Delaware under the name American Building Maintenance Industries, Inc., as the successor to the business originally founded in 1909. In 1994, we changed our name to ABM Industries Incorporated. Since that time, we have grown into a multi-segment facility solutions company, primarily through strategic acquisitions and new service offerings, increasing our revenue to more than $8.5 billion.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599440</wp:posOffset>
            </wp:positionH>
            <wp:positionV relativeFrom="paragraph">
              <wp:posOffset>88265</wp:posOffset>
            </wp:positionV>
            <wp:extent cx="5943600" cy="32664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943600" cy="3266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The acquisitions of OneSource and Linc Group in the early 2000s established ABM as a leader in the commercial janitorial market and also enhanced our ability to be a full-service facility solutions provider with new service offerings, including lighting, mechanical, and electrical “technical solutions.” With demand increasing for industry-specific service providers, the acquisition of Air Serv established “Aviation” as our first industry group. In recent years, we have strategically acquired companies in the United Kingdom (“UK”) and the Republic of Ireland (“Ireland”), which expanded our janitorial and technical solutions businesses overseas.</w:t>
      </w:r>
    </w:p>
    <w:p>
      <w:pPr>
        <w:spacing w:after="0" w:line="117"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In 2015, we began a comprehensive transformational initiative (“</w:t>
      </w:r>
      <w:r>
        <w:rPr>
          <w:rFonts w:ascii="Arial" w:cs="Arial" w:eastAsia="Arial" w:hAnsi="Arial"/>
          <w:sz w:val="17"/>
          <w:szCs w:val="17"/>
          <w:b w:val="1"/>
          <w:bCs w:val="1"/>
          <w:color w:val="E98300"/>
        </w:rPr>
        <w:t>2020</w:t>
      </w:r>
      <w:r>
        <w:rPr>
          <w:rFonts w:ascii="Arial" w:cs="Arial" w:eastAsia="Arial" w:hAnsi="Arial"/>
          <w:sz w:val="17"/>
          <w:szCs w:val="17"/>
          <w:color w:val="auto"/>
        </w:rPr>
        <w:t xml:space="preserve"> </w:t>
      </w:r>
      <w:r>
        <w:rPr>
          <w:rFonts w:ascii="Arial" w:cs="Arial" w:eastAsia="Arial" w:hAnsi="Arial"/>
          <w:sz w:val="17"/>
          <w:szCs w:val="17"/>
          <w:b w:val="1"/>
          <w:bCs w:val="1"/>
          <w:color w:val="003DA5"/>
        </w:rPr>
        <w:t>Vision</w:t>
      </w:r>
      <w:r>
        <w:rPr>
          <w:rFonts w:ascii="Arial" w:cs="Arial" w:eastAsia="Arial" w:hAnsi="Arial"/>
          <w:sz w:val="17"/>
          <w:szCs w:val="17"/>
          <w:color w:val="auto"/>
        </w:rPr>
        <w:t>”) to drive long-term, profitable growth through an industry-based, go-to-market approach. Through this initiative, we centralized key functional areas and industry groups, strengthened our sales capabilities, and initiated investments in service delivery tools and processes to help support standard operating practices that we believe remain foundational to our long-term success.</w:t>
      </w:r>
    </w:p>
    <w:p>
      <w:pPr>
        <w:spacing w:after="0" w:line="115"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17"/>
          <w:szCs w:val="17"/>
          <w:color w:val="auto"/>
        </w:rPr>
        <w:t>As part of the transformation initiative, we also evaluated all of our service offerings and sold our Security and Government Services businesses, which did not align with our long-term focus on specialized industry groups.</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65" w:right="339" w:bottom="1440" w:gutter="0" w:footer="0" w:header="0"/>
        </w:sectPr>
      </w:pPr>
    </w:p>
    <w:bookmarkStart w:id="5" w:name="page6"/>
    <w:bookmarkEnd w:id="5"/>
    <w:p>
      <w:pPr>
        <w:jc w:val="both"/>
        <w:ind w:firstLine="619"/>
        <w:spacing w:after="0" w:line="271" w:lineRule="auto"/>
        <w:rPr>
          <w:sz w:val="20"/>
          <w:szCs w:val="20"/>
          <w:color w:val="auto"/>
        </w:rPr>
      </w:pPr>
      <w:r>
        <w:rPr>
          <w:rFonts w:ascii="Arial" w:cs="Arial" w:eastAsia="Arial" w:hAnsi="Arial"/>
          <w:sz w:val="17"/>
          <w:szCs w:val="17"/>
          <w:color w:val="auto"/>
        </w:rPr>
        <w:t>In 2017, we acquired GCA Services Group (“GCA”), a provider of integrated facility services to educational institutions and commercial facilities representing the largest acquisition in ABM history. The acquisition accelerated the Company’s position as a leading facility solutions provider in the education market.</w:t>
      </w:r>
    </w:p>
    <w:p>
      <w:pPr>
        <w:spacing w:after="0" w:line="111"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In 2021, we acquired Crown Building Maintenance Co. and Crown Energy Services, Inc. (collectively, “Able”), a leading facilities services company headquartered in San Francisco, California, with the goal to provide additional scaling to the Company’s core businesses and key geographies and to bolster ABM’s janitorial and facilities services service lines. In addition, the acquisition of Able further expanded ABM’s sustainability and energy efficiency offerings amid growing demand for environmentally responsible solutions.</w:t>
      </w:r>
    </w:p>
    <w:p>
      <w:pPr>
        <w:spacing w:after="0" w:line="116"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In 2022, we acquired RavenVolt, Inc. (“RavenVolt”), a leading nationwide provider of advanced turn-key microgrid systems utilized by diversified commercial and industrial customers, national retailers, utilities, and municipalities. A complementary extension of ABM’s Technical Solutions service offerings, the addition of RavenVolt enhanced ABM’s position as a market leader in electric vehicle (“EV”) charging infrastructure, power, and bundled energy solutions.</w:t>
      </w:r>
    </w:p>
    <w:p>
      <w:pPr>
        <w:spacing w:after="0" w:line="116"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7"/>
          <w:szCs w:val="17"/>
          <w:color w:val="auto"/>
        </w:rPr>
        <w:t>In 2022, we acquired Momentum Support (“Momentum”), a leading independent provider of facility services, primarily janitorial, across Ireland and Northern Ireland. The addition of Momentum provided greater access to Momentum’s blue-chip customer base as well as an opportunity to cross sell ABM services to existing U.S.- and UK-based clients who also have an operational footprint in Ireland and Northern Ireland.</w:t>
      </w:r>
    </w:p>
    <w:p>
      <w:pPr>
        <w:spacing w:after="0" w:line="111"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In 2024, we acquired Quality Uptime Services, Inc. (“Quality Uptime”), an independent uninterrupted power supply system (“UPS”) maintenance company providing customized preventive and emergency service programs for mission-critical data centers and other facilities across the United States. With the addition of Quality Uptime, we now offer comprehensive and complementary critical infrastructure solutions for data centers and similar crucial facilities, including electrical testing, electrical switchgear maintenance, breaker testing, UPS service and maintenance, and battery and power distribution unit service and maintenance.</w:t>
      </w:r>
    </w:p>
    <w:p>
      <w:pPr>
        <w:spacing w:after="0" w:line="11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In 2025, we acquired LMC FM Limited (“LMC”), a Dublin-based facilities services company with coverage across Ireland.</w:t>
      </w:r>
    </w:p>
    <w:p>
      <w:pPr>
        <w:spacing w:after="0" w:line="163" w:lineRule="exact"/>
        <w:rPr>
          <w:sz w:val="20"/>
          <w:szCs w:val="20"/>
          <w:color w:val="auto"/>
        </w:rPr>
      </w:pPr>
    </w:p>
    <w:p>
      <w:pPr>
        <w:jc w:val="both"/>
        <w:ind w:firstLine="619"/>
        <w:spacing w:after="0" w:line="292" w:lineRule="auto"/>
        <w:rPr>
          <w:sz w:val="20"/>
          <w:szCs w:val="20"/>
          <w:color w:val="auto"/>
        </w:rPr>
      </w:pPr>
      <w:r>
        <w:rPr>
          <w:rFonts w:ascii="Arial" w:cs="Arial" w:eastAsia="Arial" w:hAnsi="Arial"/>
          <w:sz w:val="17"/>
          <w:szCs w:val="17"/>
          <w:color w:val="auto"/>
        </w:rPr>
        <w:t xml:space="preserve">The acquisitions and divestitures we have made since 2015 largely reflect strategies first introduced in our </w:t>
      </w:r>
      <w:r>
        <w:rPr>
          <w:rFonts w:ascii="Arial" w:cs="Arial" w:eastAsia="Arial" w:hAnsi="Arial"/>
          <w:sz w:val="17"/>
          <w:szCs w:val="17"/>
          <w:b w:val="1"/>
          <w:bCs w:val="1"/>
          <w:color w:val="E98300"/>
        </w:rPr>
        <w:t>2020</w:t>
      </w:r>
      <w:r>
        <w:rPr>
          <w:rFonts w:ascii="Arial" w:cs="Arial" w:eastAsia="Arial" w:hAnsi="Arial"/>
          <w:sz w:val="17"/>
          <w:szCs w:val="17"/>
          <w:color w:val="auto"/>
        </w:rPr>
        <w:t xml:space="preserve"> </w:t>
      </w:r>
      <w:r>
        <w:rPr>
          <w:rFonts w:ascii="Arial" w:cs="Arial" w:eastAsia="Arial" w:hAnsi="Arial"/>
          <w:sz w:val="17"/>
          <w:szCs w:val="17"/>
          <w:b w:val="1"/>
          <w:bCs w:val="1"/>
          <w:color w:val="003DA5"/>
        </w:rPr>
        <w:t>Vision</w:t>
      </w:r>
      <w:r>
        <w:rPr>
          <w:rFonts w:ascii="Arial" w:cs="Arial" w:eastAsia="Arial" w:hAnsi="Arial"/>
          <w:sz w:val="17"/>
          <w:szCs w:val="17"/>
          <w:color w:val="auto"/>
        </w:rPr>
        <w:t xml:space="preserve"> initiative and strategies included in our follow-on strategic modernization plan called ELEVATE, which was introduced in 2021 and is described below.</w:t>
      </w:r>
    </w:p>
    <w:p>
      <w:pPr>
        <w:spacing w:after="0" w:line="94"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As a result of these strategic initiatives and investments, we have strengthened our ability to offer janitorial, engineering, parking and eMobility, infrastructure, electrical, lighting and energy solutions, HVAC and mechanical services, landscaping and turf services, and mission critical solutions across aviation, education, manufacturing and distribution, and commercial business industries, on a standalone basis or in combination, and have positioned ourselves as a leading integrated facilities management company.</w:t>
      </w:r>
    </w:p>
    <w:p>
      <w:pPr>
        <w:spacing w:after="0" w:line="116" w:lineRule="exact"/>
        <w:rPr>
          <w:sz w:val="20"/>
          <w:szCs w:val="20"/>
          <w:color w:val="auto"/>
        </w:rPr>
      </w:pPr>
    </w:p>
    <w:p>
      <w:pPr>
        <w:ind w:left="620"/>
        <w:spacing w:after="0"/>
        <w:rPr>
          <w:sz w:val="20"/>
          <w:szCs w:val="20"/>
          <w:color w:val="auto"/>
        </w:rPr>
      </w:pPr>
      <w:r>
        <w:rPr>
          <w:rFonts w:ascii="Arial" w:cs="Arial" w:eastAsia="Arial" w:hAnsi="Arial"/>
          <w:sz w:val="17"/>
          <w:szCs w:val="17"/>
          <w:color w:val="auto"/>
        </w:rPr>
        <w:t>Unless otherwise indicated, all references to years are to our fiscal year, which ends on October 31.</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Strategic Transformation and Systems Modernization Plan</w:t>
      </w:r>
    </w:p>
    <w:p>
      <w:pPr>
        <w:spacing w:after="0" w:line="165" w:lineRule="exact"/>
        <w:rPr>
          <w:sz w:val="20"/>
          <w:szCs w:val="20"/>
          <w:color w:val="auto"/>
        </w:rPr>
      </w:pPr>
    </w:p>
    <w:p>
      <w:pPr>
        <w:jc w:val="both"/>
        <w:ind w:firstLine="619"/>
        <w:spacing w:after="0" w:line="272" w:lineRule="auto"/>
        <w:rPr>
          <w:sz w:val="20"/>
          <w:szCs w:val="20"/>
          <w:color w:val="auto"/>
        </w:rPr>
      </w:pPr>
      <w:r>
        <w:rPr>
          <w:rFonts w:ascii="Arial" w:cs="Arial" w:eastAsia="Arial" w:hAnsi="Arial"/>
          <w:sz w:val="17"/>
          <w:szCs w:val="17"/>
          <w:color w:val="auto"/>
        </w:rPr>
        <w:t xml:space="preserve">In 2021, ABM launched its multiyear </w:t>
      </w:r>
      <w:r>
        <w:rPr>
          <w:rFonts w:ascii="Arial" w:cs="Arial" w:eastAsia="Arial" w:hAnsi="Arial"/>
          <w:sz w:val="17"/>
          <w:szCs w:val="17"/>
          <w:b w:val="1"/>
          <w:bCs w:val="1"/>
          <w:color w:val="E98300"/>
        </w:rPr>
        <w:t>ELEVATE</w:t>
      </w:r>
      <w:r>
        <w:rPr>
          <w:rFonts w:ascii="Arial" w:cs="Arial" w:eastAsia="Arial" w:hAnsi="Arial"/>
          <w:sz w:val="17"/>
          <w:szCs w:val="17"/>
          <w:color w:val="auto"/>
        </w:rPr>
        <w:t xml:space="preserve"> transformation and systems modernization plan to strengthen our industry leadership, enhance our core service capabilities, and modernize ABM’s systems, processes, and tools — with a goal of advancing data integrity, technology enablement, and operational consistency to support long-term growth and value creation.</w:t>
      </w:r>
    </w:p>
    <w:p>
      <w:pPr>
        <w:spacing w:after="0" w:line="111"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17"/>
          <w:szCs w:val="17"/>
          <w:color w:val="auto"/>
        </w:rPr>
        <w:t>As this work progresses, ABM is entering a phase of turning modernization efforts into measurable performance improvements across our enterprise.</w:t>
      </w:r>
    </w:p>
    <w:p>
      <w:pPr>
        <w:spacing w:after="0" w:line="95"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17"/>
          <w:szCs w:val="17"/>
          <w:color w:val="auto"/>
        </w:rPr>
        <w:t>Looking ahead, ABM will continue to advance this transformation and modernization program where appropriate while optimizing systems and processes company-wide that we expect to drive performance, strengthen client trust, and create long-term value for 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67" w:right="339" w:bottom="1440" w:gutter="0" w:footer="0" w:header="0"/>
        </w:sectPr>
      </w:pPr>
    </w:p>
    <w:bookmarkStart w:id="6" w:name="page7"/>
    <w:bookmarkEnd w:id="6"/>
    <w:p>
      <w:pPr>
        <w:spacing w:after="0"/>
        <w:rPr>
          <w:sz w:val="20"/>
          <w:szCs w:val="20"/>
          <w:color w:val="auto"/>
        </w:rPr>
      </w:pPr>
      <w:r>
        <w:rPr>
          <w:rFonts w:ascii="Arial" w:cs="Arial" w:eastAsia="Arial" w:hAnsi="Arial"/>
          <w:sz w:val="17"/>
          <w:szCs w:val="17"/>
          <w:b w:val="1"/>
          <w:bCs w:val="1"/>
          <w:color w:val="0046AD"/>
        </w:rPr>
        <w:t>Contract Types</w:t>
      </w:r>
    </w:p>
    <w:p>
      <w:pPr>
        <w:spacing w:after="0" w:line="168" w:lineRule="exact"/>
        <w:rPr>
          <w:sz w:val="20"/>
          <w:szCs w:val="20"/>
          <w:color w:val="auto"/>
        </w:rPr>
      </w:pPr>
    </w:p>
    <w:p>
      <w:pPr>
        <w:jc w:val="both"/>
        <w:ind w:firstLine="619"/>
        <w:spacing w:after="0" w:line="263" w:lineRule="auto"/>
        <w:rPr>
          <w:sz w:val="20"/>
          <w:szCs w:val="20"/>
          <w:color w:val="auto"/>
        </w:rPr>
      </w:pPr>
      <w:r>
        <w:rPr>
          <w:rFonts w:ascii="Arial" w:cs="Arial" w:eastAsia="Arial" w:hAnsi="Arial"/>
          <w:sz w:val="17"/>
          <w:szCs w:val="17"/>
          <w:color w:val="auto"/>
        </w:rPr>
        <w:t>We generate revenues under several types of contracts, as explained below. Generally, the type of contract is determined by the nature of the services. Although many of our service agreements are cancelable on short notice, we have historically had a high rate of client retention and expect to continue maintaining long-term relationships with our clients. See Note 2, “Basis of Presentation and Significant Accounting Policies,” in the Notes to consolidated financial statements for additional information regarding the contract types that are most common in each of our service lines.</w:t>
      </w:r>
    </w:p>
    <w:p>
      <w:pPr>
        <w:spacing w:after="0" w:line="352" w:lineRule="exact"/>
        <w:rPr>
          <w:sz w:val="20"/>
          <w:szCs w:val="20"/>
          <w:color w:val="auto"/>
        </w:rPr>
      </w:pPr>
    </w:p>
    <w:tbl>
      <w:tblPr>
        <w:tblLayout w:type="fixed"/>
        <w:tblInd w:w="10" w:type="dxa"/>
        <w:tblCellMar>
          <w:top w:w="0" w:type="dxa"/>
          <w:left w:w="0" w:type="dxa"/>
          <w:bottom w:w="0" w:type="dxa"/>
          <w:right w:w="0" w:type="dxa"/>
        </w:tblCellMar>
      </w:tblPr>
      <w:tr>
        <w:trPr>
          <w:trHeight w:val="232"/>
        </w:trPr>
        <w:tc>
          <w:tcPr>
            <w:tcW w:w="2420" w:type="dxa"/>
            <w:vAlign w:val="bottom"/>
            <w:tcBorders>
              <w:top w:val="single" w:sz="8" w:color="auto"/>
              <w:left w:val="single" w:sz="8" w:color="auto"/>
              <w:bottom w:val="single" w:sz="8" w:color="auto"/>
              <w:right w:val="single" w:sz="8" w:color="auto"/>
            </w:tcBorders>
            <w:shd w:val="clear" w:color="auto" w:fill="DCE2EF"/>
          </w:tcPr>
          <w:p>
            <w:pPr>
              <w:jc w:val="center"/>
              <w:spacing w:after="0"/>
              <w:rPr>
                <w:sz w:val="20"/>
                <w:szCs w:val="20"/>
                <w:color w:val="auto"/>
              </w:rPr>
            </w:pPr>
            <w:r>
              <w:rPr>
                <w:rFonts w:ascii="Arial" w:cs="Arial" w:eastAsia="Arial" w:hAnsi="Arial"/>
                <w:sz w:val="17"/>
                <w:szCs w:val="17"/>
                <w:color w:val="auto"/>
                <w:w w:val="99"/>
              </w:rPr>
              <w:t>Contract Type</w:t>
            </w:r>
          </w:p>
        </w:tc>
        <w:tc>
          <w:tcPr>
            <w:tcW w:w="8180" w:type="dxa"/>
            <w:vAlign w:val="bottom"/>
            <w:tcBorders>
              <w:top w:val="single" w:sz="8" w:color="auto"/>
              <w:bottom w:val="single" w:sz="8" w:color="auto"/>
              <w:right w:val="single" w:sz="8" w:color="auto"/>
            </w:tcBorders>
            <w:shd w:val="clear" w:color="auto" w:fill="DCE2EF"/>
          </w:tcPr>
          <w:p>
            <w:pPr>
              <w:ind w:left="3660"/>
              <w:spacing w:after="0"/>
              <w:rPr>
                <w:sz w:val="20"/>
                <w:szCs w:val="20"/>
                <w:color w:val="auto"/>
              </w:rPr>
            </w:pPr>
            <w:r>
              <w:rPr>
                <w:rFonts w:ascii="Arial" w:cs="Arial" w:eastAsia="Arial" w:hAnsi="Arial"/>
                <w:sz w:val="17"/>
                <w:szCs w:val="17"/>
                <w:color w:val="auto"/>
              </w:rPr>
              <w:t>Description</w:t>
            </w:r>
          </w:p>
        </w:tc>
        <w:tc>
          <w:tcPr>
            <w:tcW w:w="0" w:type="dxa"/>
            <w:vAlign w:val="bottom"/>
          </w:tcPr>
          <w:p>
            <w:pPr>
              <w:spacing w:after="0"/>
              <w:rPr>
                <w:sz w:val="1"/>
                <w:szCs w:val="1"/>
                <w:color w:val="auto"/>
              </w:rPr>
            </w:pPr>
          </w:p>
        </w:tc>
      </w:tr>
      <w:tr>
        <w:trPr>
          <w:trHeight w:val="160"/>
        </w:trPr>
        <w:tc>
          <w:tcPr>
            <w:tcW w:w="24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7"/>
                <w:szCs w:val="17"/>
                <w:color w:val="auto"/>
              </w:rPr>
              <w:t>Monthly Fixed-Price</w:t>
            </w:r>
          </w:p>
        </w:tc>
        <w:tc>
          <w:tcPr>
            <w:tcW w:w="8180" w:type="dxa"/>
            <w:vAlign w:val="bottom"/>
            <w:tcBorders>
              <w:right w:val="single" w:sz="8" w:color="auto"/>
            </w:tcBorders>
          </w:tcPr>
          <w:p>
            <w:pPr>
              <w:ind w:left="20"/>
              <w:spacing w:after="0" w:line="161" w:lineRule="exact"/>
              <w:rPr>
                <w:sz w:val="20"/>
                <w:szCs w:val="20"/>
                <w:color w:val="auto"/>
              </w:rPr>
            </w:pPr>
            <w:r>
              <w:rPr>
                <w:rFonts w:ascii="Arial" w:cs="Arial" w:eastAsia="Arial" w:hAnsi="Arial"/>
                <w:sz w:val="17"/>
                <w:szCs w:val="17"/>
                <w:color w:val="auto"/>
              </w:rPr>
              <w:t>These arrangements are contracts in which the client agrees to pay a fixed fee every month over a</w:t>
            </w:r>
          </w:p>
        </w:tc>
        <w:tc>
          <w:tcPr>
            <w:tcW w:w="0" w:type="dxa"/>
            <w:vAlign w:val="bottom"/>
          </w:tcPr>
          <w:p>
            <w:pPr>
              <w:spacing w:after="0"/>
              <w:rPr>
                <w:sz w:val="1"/>
                <w:szCs w:val="1"/>
                <w:color w:val="auto"/>
              </w:rPr>
            </w:pPr>
          </w:p>
        </w:tc>
      </w:tr>
      <w:tr>
        <w:trPr>
          <w:trHeight w:val="144"/>
        </w:trPr>
        <w:tc>
          <w:tcPr>
            <w:tcW w:w="2420" w:type="dxa"/>
            <w:vAlign w:val="bottom"/>
            <w:tcBorders>
              <w:left w:val="single" w:sz="8" w:color="auto"/>
              <w:right w:val="single" w:sz="8" w:color="auto"/>
            </w:tcBorders>
            <w:vMerge w:val="continue"/>
          </w:tcPr>
          <w:p>
            <w:pPr>
              <w:spacing w:after="0"/>
              <w:rPr>
                <w:sz w:val="12"/>
                <w:szCs w:val="12"/>
                <w:color w:val="auto"/>
              </w:rPr>
            </w:pPr>
          </w:p>
        </w:tc>
        <w:tc>
          <w:tcPr>
            <w:tcW w:w="8180" w:type="dxa"/>
            <w:vAlign w:val="bottom"/>
            <w:tcBorders>
              <w:right w:val="single" w:sz="8" w:color="auto"/>
            </w:tcBorders>
            <w:vMerge w:val="restart"/>
          </w:tcPr>
          <w:p>
            <w:pPr>
              <w:ind w:left="20"/>
              <w:spacing w:after="0"/>
              <w:rPr>
                <w:sz w:val="20"/>
                <w:szCs w:val="20"/>
                <w:color w:val="auto"/>
              </w:rPr>
            </w:pPr>
            <w:r>
              <w:rPr>
                <w:rFonts w:ascii="Arial" w:cs="Arial" w:eastAsia="Arial" w:hAnsi="Arial"/>
                <w:sz w:val="17"/>
                <w:szCs w:val="17"/>
                <w:color w:val="auto"/>
              </w:rPr>
              <w:t>specified contract term.</w:t>
            </w:r>
          </w:p>
        </w:tc>
        <w:tc>
          <w:tcPr>
            <w:tcW w:w="0" w:type="dxa"/>
            <w:vAlign w:val="bottom"/>
          </w:tcPr>
          <w:p>
            <w:pPr>
              <w:spacing w:after="0"/>
              <w:rPr>
                <w:sz w:val="1"/>
                <w:szCs w:val="1"/>
                <w:color w:val="auto"/>
              </w:rPr>
            </w:pPr>
          </w:p>
        </w:tc>
      </w:tr>
      <w:tr>
        <w:trPr>
          <w:trHeight w:val="85"/>
        </w:trPr>
        <w:tc>
          <w:tcPr>
            <w:tcW w:w="2420" w:type="dxa"/>
            <w:vAlign w:val="bottom"/>
            <w:tcBorders>
              <w:left w:val="single" w:sz="8" w:color="auto"/>
              <w:bottom w:val="single" w:sz="8" w:color="auto"/>
              <w:right w:val="single" w:sz="8" w:color="auto"/>
            </w:tcBorders>
          </w:tcPr>
          <w:p>
            <w:pPr>
              <w:spacing w:after="0"/>
              <w:rPr>
                <w:sz w:val="7"/>
                <w:szCs w:val="7"/>
                <w:color w:val="auto"/>
              </w:rPr>
            </w:pPr>
          </w:p>
        </w:tc>
        <w:tc>
          <w:tcPr>
            <w:tcW w:w="818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4"/>
        </w:trPr>
        <w:tc>
          <w:tcPr>
            <w:tcW w:w="24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7"/>
                <w:szCs w:val="17"/>
                <w:color w:val="auto"/>
                <w:w w:val="99"/>
              </w:rPr>
              <w:t>Square-Foot</w:t>
            </w:r>
          </w:p>
        </w:tc>
        <w:tc>
          <w:tcPr>
            <w:tcW w:w="8180" w:type="dxa"/>
            <w:vAlign w:val="bottom"/>
            <w:tcBorders>
              <w:right w:val="single" w:sz="8" w:color="auto"/>
            </w:tcBorders>
          </w:tcPr>
          <w:p>
            <w:pPr>
              <w:ind w:left="20"/>
              <w:spacing w:after="0" w:line="164" w:lineRule="exact"/>
              <w:rPr>
                <w:sz w:val="20"/>
                <w:szCs w:val="20"/>
                <w:color w:val="auto"/>
              </w:rPr>
            </w:pPr>
            <w:r>
              <w:rPr>
                <w:rFonts w:ascii="Arial" w:cs="Arial" w:eastAsia="Arial" w:hAnsi="Arial"/>
                <w:sz w:val="17"/>
                <w:szCs w:val="17"/>
                <w:color w:val="auto"/>
              </w:rPr>
              <w:t>Square-foot arrangements are contracts in which the client agrees to pay a fixed fee every month based on</w:t>
            </w:r>
          </w:p>
        </w:tc>
        <w:tc>
          <w:tcPr>
            <w:tcW w:w="0" w:type="dxa"/>
            <w:vAlign w:val="bottom"/>
          </w:tcPr>
          <w:p>
            <w:pPr>
              <w:spacing w:after="0"/>
              <w:rPr>
                <w:sz w:val="1"/>
                <w:szCs w:val="1"/>
                <w:color w:val="auto"/>
              </w:rPr>
            </w:pPr>
          </w:p>
        </w:tc>
      </w:tr>
      <w:tr>
        <w:trPr>
          <w:trHeight w:val="144"/>
        </w:trPr>
        <w:tc>
          <w:tcPr>
            <w:tcW w:w="2420" w:type="dxa"/>
            <w:vAlign w:val="bottom"/>
            <w:tcBorders>
              <w:left w:val="single" w:sz="8" w:color="auto"/>
              <w:right w:val="single" w:sz="8" w:color="auto"/>
            </w:tcBorders>
            <w:vMerge w:val="continue"/>
          </w:tcPr>
          <w:p>
            <w:pPr>
              <w:spacing w:after="0"/>
              <w:rPr>
                <w:sz w:val="12"/>
                <w:szCs w:val="12"/>
                <w:color w:val="auto"/>
              </w:rPr>
            </w:pPr>
          </w:p>
        </w:tc>
        <w:tc>
          <w:tcPr>
            <w:tcW w:w="8180" w:type="dxa"/>
            <w:vAlign w:val="bottom"/>
            <w:tcBorders>
              <w:right w:val="single" w:sz="8" w:color="auto"/>
            </w:tcBorders>
            <w:vMerge w:val="restart"/>
          </w:tcPr>
          <w:p>
            <w:pPr>
              <w:ind w:left="20"/>
              <w:spacing w:after="0"/>
              <w:rPr>
                <w:sz w:val="20"/>
                <w:szCs w:val="20"/>
                <w:color w:val="auto"/>
              </w:rPr>
            </w:pPr>
            <w:r>
              <w:rPr>
                <w:rFonts w:ascii="Arial" w:cs="Arial" w:eastAsia="Arial" w:hAnsi="Arial"/>
                <w:sz w:val="17"/>
                <w:szCs w:val="17"/>
                <w:color w:val="auto"/>
              </w:rPr>
              <w:t>the actual square footage serviced over a specified contract term.</w:t>
            </w:r>
          </w:p>
        </w:tc>
        <w:tc>
          <w:tcPr>
            <w:tcW w:w="0" w:type="dxa"/>
            <w:vAlign w:val="bottom"/>
          </w:tcPr>
          <w:p>
            <w:pPr>
              <w:spacing w:after="0"/>
              <w:rPr>
                <w:sz w:val="1"/>
                <w:szCs w:val="1"/>
                <w:color w:val="auto"/>
              </w:rPr>
            </w:pPr>
          </w:p>
        </w:tc>
      </w:tr>
      <w:tr>
        <w:trPr>
          <w:trHeight w:val="85"/>
        </w:trPr>
        <w:tc>
          <w:tcPr>
            <w:tcW w:w="2420" w:type="dxa"/>
            <w:vAlign w:val="bottom"/>
            <w:tcBorders>
              <w:left w:val="single" w:sz="8" w:color="auto"/>
              <w:bottom w:val="single" w:sz="8" w:color="auto"/>
              <w:right w:val="single" w:sz="8" w:color="auto"/>
            </w:tcBorders>
          </w:tcPr>
          <w:p>
            <w:pPr>
              <w:spacing w:after="0"/>
              <w:rPr>
                <w:sz w:val="7"/>
                <w:szCs w:val="7"/>
                <w:color w:val="auto"/>
              </w:rPr>
            </w:pPr>
          </w:p>
        </w:tc>
        <w:tc>
          <w:tcPr>
            <w:tcW w:w="818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4"/>
        </w:trPr>
        <w:tc>
          <w:tcPr>
            <w:tcW w:w="24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7"/>
                <w:szCs w:val="17"/>
                <w:color w:val="auto"/>
              </w:rPr>
              <w:t>Cost-Plus</w:t>
            </w:r>
          </w:p>
        </w:tc>
        <w:tc>
          <w:tcPr>
            <w:tcW w:w="8180" w:type="dxa"/>
            <w:vAlign w:val="bottom"/>
            <w:tcBorders>
              <w:right w:val="single" w:sz="8" w:color="auto"/>
            </w:tcBorders>
          </w:tcPr>
          <w:p>
            <w:pPr>
              <w:ind w:left="20"/>
              <w:spacing w:after="0" w:line="164" w:lineRule="exact"/>
              <w:rPr>
                <w:sz w:val="20"/>
                <w:szCs w:val="20"/>
                <w:color w:val="auto"/>
              </w:rPr>
            </w:pPr>
            <w:r>
              <w:rPr>
                <w:rFonts w:ascii="Arial" w:cs="Arial" w:eastAsia="Arial" w:hAnsi="Arial"/>
                <w:sz w:val="17"/>
                <w:szCs w:val="17"/>
                <w:color w:val="auto"/>
              </w:rPr>
              <w:t>These arrangements are contracts in which the clients reimburse us for the agreed-upon amount of wages</w:t>
            </w:r>
          </w:p>
        </w:tc>
        <w:tc>
          <w:tcPr>
            <w:tcW w:w="0" w:type="dxa"/>
            <w:vAlign w:val="bottom"/>
          </w:tcPr>
          <w:p>
            <w:pPr>
              <w:spacing w:after="0"/>
              <w:rPr>
                <w:sz w:val="1"/>
                <w:szCs w:val="1"/>
                <w:color w:val="auto"/>
              </w:rPr>
            </w:pPr>
          </w:p>
        </w:tc>
      </w:tr>
      <w:tr>
        <w:trPr>
          <w:trHeight w:val="177"/>
        </w:trPr>
        <w:tc>
          <w:tcPr>
            <w:tcW w:w="2420" w:type="dxa"/>
            <w:vAlign w:val="bottom"/>
            <w:tcBorders>
              <w:left w:val="single" w:sz="8" w:color="auto"/>
              <w:right w:val="single" w:sz="8" w:color="auto"/>
            </w:tcBorders>
            <w:vMerge w:val="continue"/>
          </w:tcPr>
          <w:p>
            <w:pPr>
              <w:spacing w:after="0"/>
              <w:rPr>
                <w:sz w:val="15"/>
                <w:szCs w:val="15"/>
                <w:color w:val="auto"/>
              </w:rPr>
            </w:pPr>
          </w:p>
        </w:tc>
        <w:tc>
          <w:tcPr>
            <w:tcW w:w="818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7"/>
                <w:szCs w:val="17"/>
                <w:color w:val="auto"/>
              </w:rPr>
              <w:t>and benefits, payroll taxes, insurance charges, and other expenses associated with the contracted work,</w:t>
            </w:r>
          </w:p>
        </w:tc>
        <w:tc>
          <w:tcPr>
            <w:tcW w:w="0" w:type="dxa"/>
            <w:vAlign w:val="bottom"/>
          </w:tcPr>
          <w:p>
            <w:pPr>
              <w:spacing w:after="0"/>
              <w:rPr>
                <w:sz w:val="1"/>
                <w:szCs w:val="1"/>
                <w:color w:val="auto"/>
              </w:rPr>
            </w:pPr>
          </w:p>
        </w:tc>
      </w:tr>
      <w:tr>
        <w:trPr>
          <w:trHeight w:val="223"/>
        </w:trPr>
        <w:tc>
          <w:tcPr>
            <w:tcW w:w="2420" w:type="dxa"/>
            <w:vAlign w:val="bottom"/>
            <w:tcBorders>
              <w:left w:val="single" w:sz="8" w:color="auto"/>
              <w:bottom w:val="single" w:sz="8" w:color="auto"/>
              <w:right w:val="single" w:sz="8" w:color="auto"/>
            </w:tcBorders>
          </w:tcPr>
          <w:p>
            <w:pPr>
              <w:spacing w:after="0"/>
              <w:rPr>
                <w:sz w:val="19"/>
                <w:szCs w:val="19"/>
                <w:color w:val="auto"/>
              </w:rPr>
            </w:pPr>
          </w:p>
        </w:tc>
        <w:tc>
          <w:tcPr>
            <w:tcW w:w="8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plus a profit margin.</w:t>
            </w:r>
          </w:p>
        </w:tc>
        <w:tc>
          <w:tcPr>
            <w:tcW w:w="0" w:type="dxa"/>
            <w:vAlign w:val="bottom"/>
          </w:tcPr>
          <w:p>
            <w:pPr>
              <w:spacing w:after="0"/>
              <w:rPr>
                <w:sz w:val="1"/>
                <w:szCs w:val="1"/>
                <w:color w:val="auto"/>
              </w:rPr>
            </w:pPr>
          </w:p>
        </w:tc>
      </w:tr>
      <w:tr>
        <w:trPr>
          <w:trHeight w:val="160"/>
        </w:trPr>
        <w:tc>
          <w:tcPr>
            <w:tcW w:w="24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7"/>
                <w:szCs w:val="17"/>
                <w:color w:val="auto"/>
              </w:rPr>
              <w:t>Work Orders</w:t>
            </w:r>
          </w:p>
        </w:tc>
        <w:tc>
          <w:tcPr>
            <w:tcW w:w="8180" w:type="dxa"/>
            <w:vAlign w:val="bottom"/>
            <w:tcBorders>
              <w:right w:val="single" w:sz="8" w:color="auto"/>
            </w:tcBorders>
          </w:tcPr>
          <w:p>
            <w:pPr>
              <w:ind w:left="20"/>
              <w:spacing w:after="0" w:line="161" w:lineRule="exact"/>
              <w:rPr>
                <w:sz w:val="20"/>
                <w:szCs w:val="20"/>
                <w:color w:val="auto"/>
              </w:rPr>
            </w:pPr>
            <w:r>
              <w:rPr>
                <w:rFonts w:ascii="Arial" w:cs="Arial" w:eastAsia="Arial" w:hAnsi="Arial"/>
                <w:sz w:val="17"/>
                <w:szCs w:val="17"/>
                <w:color w:val="auto"/>
              </w:rPr>
              <w:t>Work orders generally consist of supplemental services requested by clients outside of the standard</w:t>
            </w:r>
          </w:p>
        </w:tc>
        <w:tc>
          <w:tcPr>
            <w:tcW w:w="0" w:type="dxa"/>
            <w:vAlign w:val="bottom"/>
          </w:tcPr>
          <w:p>
            <w:pPr>
              <w:spacing w:after="0"/>
              <w:rPr>
                <w:sz w:val="1"/>
                <w:szCs w:val="1"/>
                <w:color w:val="auto"/>
              </w:rPr>
            </w:pPr>
          </w:p>
        </w:tc>
      </w:tr>
      <w:tr>
        <w:trPr>
          <w:trHeight w:val="177"/>
        </w:trPr>
        <w:tc>
          <w:tcPr>
            <w:tcW w:w="2420" w:type="dxa"/>
            <w:vAlign w:val="bottom"/>
            <w:tcBorders>
              <w:left w:val="single" w:sz="8" w:color="auto"/>
              <w:right w:val="single" w:sz="8" w:color="auto"/>
            </w:tcBorders>
            <w:vMerge w:val="continue"/>
          </w:tcPr>
          <w:p>
            <w:pPr>
              <w:spacing w:after="0"/>
              <w:rPr>
                <w:sz w:val="15"/>
                <w:szCs w:val="15"/>
                <w:color w:val="auto"/>
              </w:rPr>
            </w:pPr>
          </w:p>
        </w:tc>
        <w:tc>
          <w:tcPr>
            <w:tcW w:w="818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7"/>
                <w:szCs w:val="17"/>
                <w:color w:val="auto"/>
              </w:rPr>
              <w:t>service specification and include cleanup after tenant moves, construction cleanup, flood cleanup, snow</w:t>
            </w:r>
          </w:p>
        </w:tc>
        <w:tc>
          <w:tcPr>
            <w:tcW w:w="0" w:type="dxa"/>
            <w:vAlign w:val="bottom"/>
          </w:tcPr>
          <w:p>
            <w:pPr>
              <w:spacing w:after="0"/>
              <w:rPr>
                <w:sz w:val="1"/>
                <w:szCs w:val="1"/>
                <w:color w:val="auto"/>
              </w:rPr>
            </w:pPr>
          </w:p>
        </w:tc>
      </w:tr>
      <w:tr>
        <w:trPr>
          <w:trHeight w:val="223"/>
        </w:trPr>
        <w:tc>
          <w:tcPr>
            <w:tcW w:w="2420" w:type="dxa"/>
            <w:vAlign w:val="bottom"/>
            <w:tcBorders>
              <w:left w:val="single" w:sz="8" w:color="auto"/>
              <w:bottom w:val="single" w:sz="8" w:color="auto"/>
              <w:right w:val="single" w:sz="8" w:color="auto"/>
            </w:tcBorders>
          </w:tcPr>
          <w:p>
            <w:pPr>
              <w:spacing w:after="0"/>
              <w:rPr>
                <w:sz w:val="19"/>
                <w:szCs w:val="19"/>
                <w:color w:val="auto"/>
              </w:rPr>
            </w:pPr>
          </w:p>
        </w:tc>
        <w:tc>
          <w:tcPr>
            <w:tcW w:w="8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removal, and high touchpoint disinfecting services.</w:t>
            </w:r>
          </w:p>
        </w:tc>
        <w:tc>
          <w:tcPr>
            <w:tcW w:w="0" w:type="dxa"/>
            <w:vAlign w:val="bottom"/>
          </w:tcPr>
          <w:p>
            <w:pPr>
              <w:spacing w:after="0"/>
              <w:rPr>
                <w:sz w:val="1"/>
                <w:szCs w:val="1"/>
                <w:color w:val="auto"/>
              </w:rPr>
            </w:pPr>
          </w:p>
        </w:tc>
      </w:tr>
      <w:tr>
        <w:trPr>
          <w:trHeight w:val="160"/>
        </w:trPr>
        <w:tc>
          <w:tcPr>
            <w:tcW w:w="24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7"/>
                <w:szCs w:val="17"/>
                <w:color w:val="auto"/>
              </w:rPr>
              <w:t>Transaction-Price</w:t>
            </w:r>
          </w:p>
        </w:tc>
        <w:tc>
          <w:tcPr>
            <w:tcW w:w="8180" w:type="dxa"/>
            <w:vAlign w:val="bottom"/>
            <w:tcBorders>
              <w:right w:val="single" w:sz="8" w:color="auto"/>
            </w:tcBorders>
          </w:tcPr>
          <w:p>
            <w:pPr>
              <w:ind w:left="20"/>
              <w:spacing w:after="0" w:line="161" w:lineRule="exact"/>
              <w:rPr>
                <w:sz w:val="20"/>
                <w:szCs w:val="20"/>
                <w:color w:val="auto"/>
              </w:rPr>
            </w:pPr>
            <w:r>
              <w:rPr>
                <w:rFonts w:ascii="Arial" w:cs="Arial" w:eastAsia="Arial" w:hAnsi="Arial"/>
                <w:sz w:val="17"/>
                <w:szCs w:val="17"/>
                <w:color w:val="auto"/>
              </w:rPr>
              <w:t>These are arrangements in which customers are billed a fixed price for each transaction performed on a</w:t>
            </w:r>
          </w:p>
        </w:tc>
        <w:tc>
          <w:tcPr>
            <w:tcW w:w="0" w:type="dxa"/>
            <w:vAlign w:val="bottom"/>
          </w:tcPr>
          <w:p>
            <w:pPr>
              <w:spacing w:after="0"/>
              <w:rPr>
                <w:sz w:val="1"/>
                <w:szCs w:val="1"/>
                <w:color w:val="auto"/>
              </w:rPr>
            </w:pPr>
          </w:p>
        </w:tc>
      </w:tr>
      <w:tr>
        <w:trPr>
          <w:trHeight w:val="144"/>
        </w:trPr>
        <w:tc>
          <w:tcPr>
            <w:tcW w:w="2420" w:type="dxa"/>
            <w:vAlign w:val="bottom"/>
            <w:tcBorders>
              <w:left w:val="single" w:sz="8" w:color="auto"/>
              <w:right w:val="single" w:sz="8" w:color="auto"/>
            </w:tcBorders>
            <w:vMerge w:val="continue"/>
          </w:tcPr>
          <w:p>
            <w:pPr>
              <w:spacing w:after="0"/>
              <w:rPr>
                <w:sz w:val="12"/>
                <w:szCs w:val="12"/>
                <w:color w:val="auto"/>
              </w:rPr>
            </w:pPr>
          </w:p>
        </w:tc>
        <w:tc>
          <w:tcPr>
            <w:tcW w:w="8180" w:type="dxa"/>
            <w:vAlign w:val="bottom"/>
            <w:tcBorders>
              <w:right w:val="single" w:sz="8" w:color="auto"/>
            </w:tcBorders>
            <w:vMerge w:val="restart"/>
          </w:tcPr>
          <w:p>
            <w:pPr>
              <w:ind w:left="20"/>
              <w:spacing w:after="0"/>
              <w:rPr>
                <w:sz w:val="20"/>
                <w:szCs w:val="20"/>
                <w:color w:val="auto"/>
              </w:rPr>
            </w:pPr>
            <w:r>
              <w:rPr>
                <w:rFonts w:ascii="Arial" w:cs="Arial" w:eastAsia="Arial" w:hAnsi="Arial"/>
                <w:sz w:val="17"/>
                <w:szCs w:val="17"/>
                <w:color w:val="auto"/>
              </w:rPr>
              <w:t>monthly basis (e.g., wheelchair passengers served or airplane cabins cleaned).</w:t>
            </w:r>
          </w:p>
        </w:tc>
        <w:tc>
          <w:tcPr>
            <w:tcW w:w="0" w:type="dxa"/>
            <w:vAlign w:val="bottom"/>
          </w:tcPr>
          <w:p>
            <w:pPr>
              <w:spacing w:after="0"/>
              <w:rPr>
                <w:sz w:val="1"/>
                <w:szCs w:val="1"/>
                <w:color w:val="auto"/>
              </w:rPr>
            </w:pPr>
          </w:p>
        </w:tc>
      </w:tr>
      <w:tr>
        <w:trPr>
          <w:trHeight w:val="85"/>
        </w:trPr>
        <w:tc>
          <w:tcPr>
            <w:tcW w:w="2420" w:type="dxa"/>
            <w:vAlign w:val="bottom"/>
            <w:tcBorders>
              <w:left w:val="single" w:sz="8" w:color="auto"/>
              <w:bottom w:val="single" w:sz="8" w:color="auto"/>
              <w:right w:val="single" w:sz="8" w:color="auto"/>
            </w:tcBorders>
          </w:tcPr>
          <w:p>
            <w:pPr>
              <w:spacing w:after="0"/>
              <w:rPr>
                <w:sz w:val="7"/>
                <w:szCs w:val="7"/>
                <w:color w:val="auto"/>
              </w:rPr>
            </w:pPr>
          </w:p>
        </w:tc>
        <w:tc>
          <w:tcPr>
            <w:tcW w:w="818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5"/>
        </w:trPr>
        <w:tc>
          <w:tcPr>
            <w:tcW w:w="24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Hourly</w:t>
            </w:r>
          </w:p>
        </w:tc>
        <w:tc>
          <w:tcPr>
            <w:tcW w:w="8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In hourly arrangements, the client is billed a fixed hourly rate for each labor hour provided.</w:t>
            </w:r>
          </w:p>
        </w:tc>
        <w:tc>
          <w:tcPr>
            <w:tcW w:w="0" w:type="dxa"/>
            <w:vAlign w:val="bottom"/>
          </w:tcPr>
          <w:p>
            <w:pPr>
              <w:spacing w:after="0"/>
              <w:rPr>
                <w:sz w:val="1"/>
                <w:szCs w:val="1"/>
                <w:color w:val="auto"/>
              </w:rPr>
            </w:pPr>
          </w:p>
        </w:tc>
      </w:tr>
      <w:tr>
        <w:trPr>
          <w:trHeight w:val="160"/>
        </w:trPr>
        <w:tc>
          <w:tcPr>
            <w:tcW w:w="24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7"/>
                <w:szCs w:val="17"/>
                <w:color w:val="auto"/>
              </w:rPr>
              <w:t>Management Reimbursement</w:t>
            </w:r>
          </w:p>
        </w:tc>
        <w:tc>
          <w:tcPr>
            <w:tcW w:w="8180" w:type="dxa"/>
            <w:vAlign w:val="bottom"/>
            <w:tcBorders>
              <w:right w:val="single" w:sz="8" w:color="auto"/>
            </w:tcBorders>
          </w:tcPr>
          <w:p>
            <w:pPr>
              <w:ind w:left="20"/>
              <w:spacing w:after="0" w:line="161" w:lineRule="exact"/>
              <w:rPr>
                <w:sz w:val="20"/>
                <w:szCs w:val="20"/>
                <w:color w:val="auto"/>
              </w:rPr>
            </w:pPr>
            <w:r>
              <w:rPr>
                <w:rFonts w:ascii="Arial" w:cs="Arial" w:eastAsia="Arial" w:hAnsi="Arial"/>
                <w:sz w:val="17"/>
                <w:szCs w:val="17"/>
                <w:color w:val="auto"/>
              </w:rPr>
              <w:t>Under these parking arrangements, we manage a parking facility for a management fee and pass through</w:t>
            </w:r>
          </w:p>
        </w:tc>
        <w:tc>
          <w:tcPr>
            <w:tcW w:w="0" w:type="dxa"/>
            <w:vAlign w:val="bottom"/>
          </w:tcPr>
          <w:p>
            <w:pPr>
              <w:spacing w:after="0"/>
              <w:rPr>
                <w:sz w:val="1"/>
                <w:szCs w:val="1"/>
                <w:color w:val="auto"/>
              </w:rPr>
            </w:pPr>
          </w:p>
        </w:tc>
      </w:tr>
      <w:tr>
        <w:trPr>
          <w:trHeight w:val="229"/>
        </w:trPr>
        <w:tc>
          <w:tcPr>
            <w:tcW w:w="2420" w:type="dxa"/>
            <w:vAlign w:val="bottom"/>
            <w:tcBorders>
              <w:left w:val="single" w:sz="8" w:color="auto"/>
              <w:bottom w:val="single" w:sz="8" w:color="auto"/>
              <w:right w:val="single" w:sz="8" w:color="auto"/>
            </w:tcBorders>
            <w:vMerge w:val="continue"/>
          </w:tcPr>
          <w:p>
            <w:pPr>
              <w:spacing w:after="0"/>
              <w:rPr>
                <w:sz w:val="19"/>
                <w:szCs w:val="19"/>
                <w:color w:val="auto"/>
              </w:rPr>
            </w:pPr>
          </w:p>
        </w:tc>
        <w:tc>
          <w:tcPr>
            <w:tcW w:w="8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the revenue and expenses associated with the facility to the owner.</w:t>
            </w:r>
          </w:p>
        </w:tc>
        <w:tc>
          <w:tcPr>
            <w:tcW w:w="0" w:type="dxa"/>
            <w:vAlign w:val="bottom"/>
          </w:tcPr>
          <w:p>
            <w:pPr>
              <w:spacing w:after="0"/>
              <w:rPr>
                <w:sz w:val="1"/>
                <w:szCs w:val="1"/>
                <w:color w:val="auto"/>
              </w:rPr>
            </w:pPr>
          </w:p>
        </w:tc>
      </w:tr>
      <w:tr>
        <w:trPr>
          <w:trHeight w:val="164"/>
        </w:trPr>
        <w:tc>
          <w:tcPr>
            <w:tcW w:w="24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7"/>
                <w:szCs w:val="17"/>
                <w:color w:val="auto"/>
              </w:rPr>
              <w:t>Leased Location</w:t>
            </w:r>
          </w:p>
        </w:tc>
        <w:tc>
          <w:tcPr>
            <w:tcW w:w="8180" w:type="dxa"/>
            <w:vAlign w:val="bottom"/>
            <w:tcBorders>
              <w:right w:val="single" w:sz="8" w:color="auto"/>
            </w:tcBorders>
          </w:tcPr>
          <w:p>
            <w:pPr>
              <w:ind w:left="20"/>
              <w:spacing w:after="0" w:line="164" w:lineRule="exact"/>
              <w:rPr>
                <w:sz w:val="20"/>
                <w:szCs w:val="20"/>
                <w:color w:val="auto"/>
              </w:rPr>
            </w:pPr>
            <w:r>
              <w:rPr>
                <w:rFonts w:ascii="Arial" w:cs="Arial" w:eastAsia="Arial" w:hAnsi="Arial"/>
                <w:sz w:val="17"/>
                <w:szCs w:val="17"/>
                <w:color w:val="auto"/>
              </w:rPr>
              <w:t>Under these parking arrangements, we pay a fixed amount of rent plus a percentage of revenues derived</w:t>
            </w:r>
          </w:p>
        </w:tc>
        <w:tc>
          <w:tcPr>
            <w:tcW w:w="0" w:type="dxa"/>
            <w:vAlign w:val="bottom"/>
          </w:tcPr>
          <w:p>
            <w:pPr>
              <w:spacing w:after="0"/>
              <w:rPr>
                <w:sz w:val="1"/>
                <w:szCs w:val="1"/>
                <w:color w:val="auto"/>
              </w:rPr>
            </w:pPr>
          </w:p>
        </w:tc>
      </w:tr>
      <w:tr>
        <w:trPr>
          <w:trHeight w:val="177"/>
        </w:trPr>
        <w:tc>
          <w:tcPr>
            <w:tcW w:w="2420" w:type="dxa"/>
            <w:vAlign w:val="bottom"/>
            <w:tcBorders>
              <w:left w:val="single" w:sz="8" w:color="auto"/>
              <w:right w:val="single" w:sz="8" w:color="auto"/>
            </w:tcBorders>
            <w:vMerge w:val="continue"/>
          </w:tcPr>
          <w:p>
            <w:pPr>
              <w:spacing w:after="0"/>
              <w:rPr>
                <w:sz w:val="15"/>
                <w:szCs w:val="15"/>
                <w:color w:val="auto"/>
              </w:rPr>
            </w:pPr>
          </w:p>
        </w:tc>
        <w:tc>
          <w:tcPr>
            <w:tcW w:w="818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7"/>
                <w:szCs w:val="17"/>
                <w:color w:val="auto"/>
              </w:rPr>
              <w:t>from monthly and transient parkers to the property owner. We retain all revenues received and are</w:t>
            </w:r>
          </w:p>
        </w:tc>
        <w:tc>
          <w:tcPr>
            <w:tcW w:w="0" w:type="dxa"/>
            <w:vAlign w:val="bottom"/>
          </w:tcPr>
          <w:p>
            <w:pPr>
              <w:spacing w:after="0"/>
              <w:rPr>
                <w:sz w:val="1"/>
                <w:szCs w:val="1"/>
                <w:color w:val="auto"/>
              </w:rPr>
            </w:pPr>
          </w:p>
        </w:tc>
      </w:tr>
      <w:tr>
        <w:trPr>
          <w:trHeight w:val="223"/>
        </w:trPr>
        <w:tc>
          <w:tcPr>
            <w:tcW w:w="2420" w:type="dxa"/>
            <w:vAlign w:val="bottom"/>
            <w:tcBorders>
              <w:left w:val="single" w:sz="8" w:color="auto"/>
              <w:bottom w:val="single" w:sz="8" w:color="auto"/>
              <w:right w:val="single" w:sz="8" w:color="auto"/>
            </w:tcBorders>
          </w:tcPr>
          <w:p>
            <w:pPr>
              <w:spacing w:after="0"/>
              <w:rPr>
                <w:sz w:val="19"/>
                <w:szCs w:val="19"/>
                <w:color w:val="auto"/>
              </w:rPr>
            </w:pPr>
          </w:p>
        </w:tc>
        <w:tc>
          <w:tcPr>
            <w:tcW w:w="8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responsible for most operating expenses incurred.</w:t>
            </w:r>
          </w:p>
        </w:tc>
        <w:tc>
          <w:tcPr>
            <w:tcW w:w="0" w:type="dxa"/>
            <w:vAlign w:val="bottom"/>
          </w:tcPr>
          <w:p>
            <w:pPr>
              <w:spacing w:after="0"/>
              <w:rPr>
                <w:sz w:val="1"/>
                <w:szCs w:val="1"/>
                <w:color w:val="auto"/>
              </w:rPr>
            </w:pPr>
          </w:p>
        </w:tc>
      </w:tr>
      <w:tr>
        <w:trPr>
          <w:trHeight w:val="160"/>
        </w:trPr>
        <w:tc>
          <w:tcPr>
            <w:tcW w:w="24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7"/>
                <w:szCs w:val="17"/>
                <w:color w:val="auto"/>
              </w:rPr>
              <w:t>Allowance</w:t>
            </w:r>
          </w:p>
        </w:tc>
        <w:tc>
          <w:tcPr>
            <w:tcW w:w="8180" w:type="dxa"/>
            <w:vAlign w:val="bottom"/>
            <w:tcBorders>
              <w:right w:val="single" w:sz="8" w:color="auto"/>
            </w:tcBorders>
          </w:tcPr>
          <w:p>
            <w:pPr>
              <w:ind w:left="20"/>
              <w:spacing w:after="0" w:line="161" w:lineRule="exact"/>
              <w:rPr>
                <w:sz w:val="20"/>
                <w:szCs w:val="20"/>
                <w:color w:val="auto"/>
              </w:rPr>
            </w:pPr>
            <w:r>
              <w:rPr>
                <w:rFonts w:ascii="Arial" w:cs="Arial" w:eastAsia="Arial" w:hAnsi="Arial"/>
                <w:sz w:val="17"/>
                <w:szCs w:val="17"/>
                <w:color w:val="auto"/>
              </w:rPr>
              <w:t>Under these parking arrangements, we are paid a fixed amount or hourly fee to provide parking services,</w:t>
            </w:r>
          </w:p>
        </w:tc>
        <w:tc>
          <w:tcPr>
            <w:tcW w:w="0" w:type="dxa"/>
            <w:vAlign w:val="bottom"/>
          </w:tcPr>
          <w:p>
            <w:pPr>
              <w:spacing w:after="0"/>
              <w:rPr>
                <w:sz w:val="1"/>
                <w:szCs w:val="1"/>
                <w:color w:val="auto"/>
              </w:rPr>
            </w:pPr>
          </w:p>
        </w:tc>
      </w:tr>
      <w:tr>
        <w:trPr>
          <w:trHeight w:val="144"/>
        </w:trPr>
        <w:tc>
          <w:tcPr>
            <w:tcW w:w="2420" w:type="dxa"/>
            <w:vAlign w:val="bottom"/>
            <w:tcBorders>
              <w:left w:val="single" w:sz="8" w:color="auto"/>
              <w:right w:val="single" w:sz="8" w:color="auto"/>
            </w:tcBorders>
            <w:vMerge w:val="continue"/>
          </w:tcPr>
          <w:p>
            <w:pPr>
              <w:spacing w:after="0"/>
              <w:rPr>
                <w:sz w:val="12"/>
                <w:szCs w:val="12"/>
                <w:color w:val="auto"/>
              </w:rPr>
            </w:pPr>
          </w:p>
        </w:tc>
        <w:tc>
          <w:tcPr>
            <w:tcW w:w="8180" w:type="dxa"/>
            <w:vAlign w:val="bottom"/>
            <w:tcBorders>
              <w:right w:val="single" w:sz="8" w:color="auto"/>
            </w:tcBorders>
            <w:vMerge w:val="restart"/>
          </w:tcPr>
          <w:p>
            <w:pPr>
              <w:ind w:left="20"/>
              <w:spacing w:after="0"/>
              <w:rPr>
                <w:sz w:val="20"/>
                <w:szCs w:val="20"/>
                <w:color w:val="auto"/>
              </w:rPr>
            </w:pPr>
            <w:r>
              <w:rPr>
                <w:rFonts w:ascii="Arial" w:cs="Arial" w:eastAsia="Arial" w:hAnsi="Arial"/>
                <w:sz w:val="17"/>
                <w:szCs w:val="17"/>
                <w:color w:val="auto"/>
              </w:rPr>
              <w:t>and we are responsible for certain operating expenses, as specified in the contract.</w:t>
            </w:r>
          </w:p>
        </w:tc>
        <w:tc>
          <w:tcPr>
            <w:tcW w:w="0" w:type="dxa"/>
            <w:vAlign w:val="bottom"/>
          </w:tcPr>
          <w:p>
            <w:pPr>
              <w:spacing w:after="0"/>
              <w:rPr>
                <w:sz w:val="1"/>
                <w:szCs w:val="1"/>
                <w:color w:val="auto"/>
              </w:rPr>
            </w:pPr>
          </w:p>
        </w:tc>
      </w:tr>
      <w:tr>
        <w:trPr>
          <w:trHeight w:val="85"/>
        </w:trPr>
        <w:tc>
          <w:tcPr>
            <w:tcW w:w="2420" w:type="dxa"/>
            <w:vAlign w:val="bottom"/>
            <w:tcBorders>
              <w:left w:val="single" w:sz="8" w:color="auto"/>
              <w:bottom w:val="single" w:sz="8" w:color="auto"/>
              <w:right w:val="single" w:sz="8" w:color="auto"/>
            </w:tcBorders>
          </w:tcPr>
          <w:p>
            <w:pPr>
              <w:spacing w:after="0"/>
              <w:rPr>
                <w:sz w:val="7"/>
                <w:szCs w:val="7"/>
                <w:color w:val="auto"/>
              </w:rPr>
            </w:pPr>
          </w:p>
        </w:tc>
        <w:tc>
          <w:tcPr>
            <w:tcW w:w="818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1"/>
        </w:trPr>
        <w:tc>
          <w:tcPr>
            <w:tcW w:w="24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Energy Savings Contracts and</w:t>
            </w:r>
          </w:p>
        </w:tc>
        <w:tc>
          <w:tcPr>
            <w:tcW w:w="818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Under these arrangements, we agree to develop, design, engineer, and construct various types of energy</w:t>
            </w:r>
          </w:p>
        </w:tc>
        <w:tc>
          <w:tcPr>
            <w:tcW w:w="0" w:type="dxa"/>
            <w:vAlign w:val="bottom"/>
          </w:tcPr>
          <w:p>
            <w:pPr>
              <w:spacing w:after="0"/>
              <w:rPr>
                <w:sz w:val="1"/>
                <w:szCs w:val="1"/>
                <w:color w:val="auto"/>
              </w:rPr>
            </w:pPr>
          </w:p>
        </w:tc>
      </w:tr>
      <w:tr>
        <w:trPr>
          <w:trHeight w:val="99"/>
        </w:trPr>
        <w:tc>
          <w:tcPr>
            <w:tcW w:w="2420" w:type="dxa"/>
            <w:vAlign w:val="bottom"/>
            <w:tcBorders>
              <w:left w:val="single" w:sz="8" w:color="auto"/>
              <w:right w:val="single" w:sz="8" w:color="auto"/>
            </w:tcBorders>
            <w:vMerge w:val="restart"/>
          </w:tcPr>
          <w:p>
            <w:pPr>
              <w:jc w:val="center"/>
              <w:spacing w:after="0" w:line="176" w:lineRule="exact"/>
              <w:rPr>
                <w:sz w:val="20"/>
                <w:szCs w:val="20"/>
                <w:color w:val="auto"/>
              </w:rPr>
            </w:pPr>
            <w:r>
              <w:rPr>
                <w:rFonts w:ascii="Arial" w:cs="Arial" w:eastAsia="Arial" w:hAnsi="Arial"/>
                <w:sz w:val="17"/>
                <w:szCs w:val="17"/>
                <w:color w:val="auto"/>
              </w:rPr>
              <w:t>Fixed-Price Repair and</w:t>
            </w:r>
          </w:p>
        </w:tc>
        <w:tc>
          <w:tcPr>
            <w:tcW w:w="8180" w:type="dxa"/>
            <w:vAlign w:val="bottom"/>
            <w:tcBorders>
              <w:right w:val="single" w:sz="8" w:color="auto"/>
            </w:tcBorders>
          </w:tcPr>
          <w:p>
            <w:pPr>
              <w:ind w:left="20"/>
              <w:spacing w:after="0" w:line="100" w:lineRule="exact"/>
              <w:rPr>
                <w:sz w:val="20"/>
                <w:szCs w:val="20"/>
                <w:color w:val="auto"/>
              </w:rPr>
            </w:pPr>
            <w:r>
              <w:rPr>
                <w:rFonts w:ascii="Arial" w:cs="Arial" w:eastAsia="Arial" w:hAnsi="Arial"/>
                <w:sz w:val="11"/>
                <w:szCs w:val="11"/>
                <w:color w:val="auto"/>
              </w:rPr>
              <w:t>saving projects. Additionally, as part of infrastructure solutions arrangements, we guarantee the project will</w:t>
            </w:r>
          </w:p>
        </w:tc>
        <w:tc>
          <w:tcPr>
            <w:tcW w:w="0" w:type="dxa"/>
            <w:vAlign w:val="bottom"/>
          </w:tcPr>
          <w:p>
            <w:pPr>
              <w:spacing w:after="0"/>
              <w:rPr>
                <w:sz w:val="1"/>
                <w:szCs w:val="1"/>
                <w:color w:val="auto"/>
              </w:rPr>
            </w:pPr>
          </w:p>
        </w:tc>
      </w:tr>
      <w:tr>
        <w:trPr>
          <w:trHeight w:val="77"/>
        </w:trPr>
        <w:tc>
          <w:tcPr>
            <w:tcW w:w="2420" w:type="dxa"/>
            <w:vAlign w:val="bottom"/>
            <w:tcBorders>
              <w:left w:val="single" w:sz="8" w:color="auto"/>
              <w:right w:val="single" w:sz="8" w:color="auto"/>
            </w:tcBorders>
            <w:vMerge w:val="continue"/>
          </w:tcPr>
          <w:p>
            <w:pPr>
              <w:spacing w:after="0"/>
              <w:rPr>
                <w:sz w:val="6"/>
                <w:szCs w:val="6"/>
                <w:color w:val="auto"/>
              </w:rPr>
            </w:pPr>
          </w:p>
        </w:tc>
        <w:tc>
          <w:tcPr>
            <w:tcW w:w="8180" w:type="dxa"/>
            <w:vAlign w:val="bottom"/>
            <w:tcBorders>
              <w:right w:val="single" w:sz="8" w:color="auto"/>
            </w:tcBorders>
            <w:vMerge w:val="restart"/>
          </w:tcPr>
          <w:p>
            <w:pPr>
              <w:ind w:left="20"/>
              <w:spacing w:after="0" w:line="172" w:lineRule="exact"/>
              <w:rPr>
                <w:sz w:val="20"/>
                <w:szCs w:val="20"/>
                <w:color w:val="auto"/>
              </w:rPr>
            </w:pPr>
            <w:r>
              <w:rPr>
                <w:rFonts w:ascii="Arial" w:cs="Arial" w:eastAsia="Arial" w:hAnsi="Arial"/>
                <w:sz w:val="17"/>
                <w:szCs w:val="17"/>
                <w:color w:val="auto"/>
              </w:rPr>
              <w:t>satisfy agreed-upon performance standards. The client agrees to pay us based on a predetermined</w:t>
            </w:r>
          </w:p>
        </w:tc>
        <w:tc>
          <w:tcPr>
            <w:tcW w:w="0" w:type="dxa"/>
            <w:vAlign w:val="bottom"/>
          </w:tcPr>
          <w:p>
            <w:pPr>
              <w:spacing w:after="0"/>
              <w:rPr>
                <w:sz w:val="1"/>
                <w:szCs w:val="1"/>
                <w:color w:val="auto"/>
              </w:rPr>
            </w:pPr>
          </w:p>
        </w:tc>
      </w:tr>
      <w:tr>
        <w:trPr>
          <w:trHeight w:val="94"/>
        </w:trPr>
        <w:tc>
          <w:tcPr>
            <w:tcW w:w="24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7"/>
                <w:szCs w:val="17"/>
                <w:color w:val="auto"/>
              </w:rPr>
              <w:t>Refurbishment</w:t>
            </w:r>
          </w:p>
        </w:tc>
        <w:tc>
          <w:tcPr>
            <w:tcW w:w="818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2420" w:type="dxa"/>
            <w:vAlign w:val="bottom"/>
            <w:tcBorders>
              <w:left w:val="single" w:sz="8" w:color="auto"/>
              <w:right w:val="single" w:sz="8" w:color="auto"/>
            </w:tcBorders>
            <w:vMerge w:val="continue"/>
          </w:tcPr>
          <w:p>
            <w:pPr>
              <w:spacing w:after="0"/>
              <w:rPr>
                <w:sz w:val="11"/>
                <w:szCs w:val="11"/>
                <w:color w:val="auto"/>
              </w:rPr>
            </w:pPr>
          </w:p>
        </w:tc>
        <w:tc>
          <w:tcPr>
            <w:tcW w:w="8180" w:type="dxa"/>
            <w:vAlign w:val="bottom"/>
            <w:tcBorders>
              <w:right w:val="single" w:sz="8" w:color="auto"/>
            </w:tcBorders>
            <w:vMerge w:val="restart"/>
          </w:tcPr>
          <w:p>
            <w:pPr>
              <w:ind w:left="20"/>
              <w:spacing w:after="0"/>
              <w:rPr>
                <w:sz w:val="20"/>
                <w:szCs w:val="20"/>
                <w:color w:val="auto"/>
              </w:rPr>
            </w:pPr>
            <w:r>
              <w:rPr>
                <w:rFonts w:ascii="Arial" w:cs="Arial" w:eastAsia="Arial" w:hAnsi="Arial"/>
                <w:sz w:val="17"/>
                <w:szCs w:val="17"/>
                <w:color w:val="auto"/>
              </w:rPr>
              <w:t>contractual milestone schedule.</w:t>
            </w:r>
          </w:p>
        </w:tc>
        <w:tc>
          <w:tcPr>
            <w:tcW w:w="0" w:type="dxa"/>
            <w:vAlign w:val="bottom"/>
          </w:tcPr>
          <w:p>
            <w:pPr>
              <w:spacing w:after="0"/>
              <w:rPr>
                <w:sz w:val="1"/>
                <w:szCs w:val="1"/>
                <w:color w:val="auto"/>
              </w:rPr>
            </w:pPr>
          </w:p>
        </w:tc>
      </w:tr>
      <w:tr>
        <w:trPr>
          <w:trHeight w:val="88"/>
        </w:trPr>
        <w:tc>
          <w:tcPr>
            <w:tcW w:w="2420" w:type="dxa"/>
            <w:vAlign w:val="bottom"/>
            <w:tcBorders>
              <w:left w:val="single" w:sz="8" w:color="auto"/>
              <w:bottom w:val="single" w:sz="8" w:color="auto"/>
              <w:right w:val="single" w:sz="8" w:color="auto"/>
            </w:tcBorders>
          </w:tcPr>
          <w:p>
            <w:pPr>
              <w:spacing w:after="0"/>
              <w:rPr>
                <w:sz w:val="7"/>
                <w:szCs w:val="7"/>
                <w:color w:val="auto"/>
              </w:rPr>
            </w:pPr>
          </w:p>
        </w:tc>
        <w:tc>
          <w:tcPr>
            <w:tcW w:w="818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0"/>
        </w:trPr>
        <w:tc>
          <w:tcPr>
            <w:tcW w:w="24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7"/>
                <w:szCs w:val="17"/>
                <w:color w:val="auto"/>
                <w:w w:val="99"/>
              </w:rPr>
              <w:t>Franchise</w:t>
            </w:r>
          </w:p>
        </w:tc>
        <w:tc>
          <w:tcPr>
            <w:tcW w:w="8180" w:type="dxa"/>
            <w:vAlign w:val="bottom"/>
            <w:tcBorders>
              <w:right w:val="single" w:sz="8" w:color="auto"/>
            </w:tcBorders>
          </w:tcPr>
          <w:p>
            <w:pPr>
              <w:ind w:left="20"/>
              <w:spacing w:after="0" w:line="161" w:lineRule="exact"/>
              <w:rPr>
                <w:sz w:val="20"/>
                <w:szCs w:val="20"/>
                <w:color w:val="auto"/>
              </w:rPr>
            </w:pPr>
            <w:r>
              <w:rPr>
                <w:rFonts w:ascii="Arial" w:cs="Arial" w:eastAsia="Arial" w:hAnsi="Arial"/>
                <w:sz w:val="17"/>
                <w:szCs w:val="17"/>
                <w:color w:val="auto"/>
              </w:rPr>
              <w:t>We franchise certain engineering services through individual and area franchises under the Linc Service</w:t>
            </w:r>
          </w:p>
        </w:tc>
        <w:tc>
          <w:tcPr>
            <w:tcW w:w="0" w:type="dxa"/>
            <w:vAlign w:val="bottom"/>
          </w:tcPr>
          <w:p>
            <w:pPr>
              <w:spacing w:after="0"/>
              <w:rPr>
                <w:sz w:val="1"/>
                <w:szCs w:val="1"/>
                <w:color w:val="auto"/>
              </w:rPr>
            </w:pPr>
          </w:p>
        </w:tc>
      </w:tr>
      <w:tr>
        <w:trPr>
          <w:trHeight w:val="144"/>
        </w:trPr>
        <w:tc>
          <w:tcPr>
            <w:tcW w:w="2420" w:type="dxa"/>
            <w:vAlign w:val="bottom"/>
            <w:tcBorders>
              <w:left w:val="single" w:sz="8" w:color="auto"/>
              <w:right w:val="single" w:sz="8" w:color="auto"/>
            </w:tcBorders>
            <w:vMerge w:val="continue"/>
          </w:tcPr>
          <w:p>
            <w:pPr>
              <w:spacing w:after="0"/>
              <w:rPr>
                <w:sz w:val="12"/>
                <w:szCs w:val="12"/>
                <w:color w:val="auto"/>
              </w:rPr>
            </w:pPr>
          </w:p>
        </w:tc>
        <w:tc>
          <w:tcPr>
            <w:tcW w:w="8180" w:type="dxa"/>
            <w:vAlign w:val="bottom"/>
            <w:tcBorders>
              <w:right w:val="single" w:sz="8" w:color="auto"/>
            </w:tcBorders>
            <w:vMerge w:val="restart"/>
          </w:tcPr>
          <w:p>
            <w:pPr>
              <w:ind w:left="20"/>
              <w:spacing w:after="0"/>
              <w:rPr>
                <w:sz w:val="20"/>
                <w:szCs w:val="20"/>
                <w:color w:val="auto"/>
              </w:rPr>
            </w:pPr>
            <w:r>
              <w:rPr>
                <w:rFonts w:ascii="Arial" w:cs="Arial" w:eastAsia="Arial" w:hAnsi="Arial"/>
                <w:sz w:val="17"/>
                <w:szCs w:val="17"/>
                <w:color w:val="auto"/>
              </w:rPr>
              <w:t>and TEGG brands, which are part of ABM Technical Solutions.</w:t>
            </w:r>
          </w:p>
        </w:tc>
        <w:tc>
          <w:tcPr>
            <w:tcW w:w="0" w:type="dxa"/>
            <w:vAlign w:val="bottom"/>
          </w:tcPr>
          <w:p>
            <w:pPr>
              <w:spacing w:after="0"/>
              <w:rPr>
                <w:sz w:val="1"/>
                <w:szCs w:val="1"/>
                <w:color w:val="auto"/>
              </w:rPr>
            </w:pPr>
          </w:p>
        </w:tc>
      </w:tr>
      <w:tr>
        <w:trPr>
          <w:trHeight w:val="85"/>
        </w:trPr>
        <w:tc>
          <w:tcPr>
            <w:tcW w:w="2420" w:type="dxa"/>
            <w:vAlign w:val="bottom"/>
            <w:tcBorders>
              <w:left w:val="single" w:sz="8" w:color="auto"/>
              <w:bottom w:val="single" w:sz="8" w:color="auto"/>
              <w:right w:val="single" w:sz="8" w:color="auto"/>
            </w:tcBorders>
          </w:tcPr>
          <w:p>
            <w:pPr>
              <w:spacing w:after="0"/>
              <w:rPr>
                <w:sz w:val="7"/>
                <w:szCs w:val="7"/>
                <w:color w:val="auto"/>
              </w:rPr>
            </w:pPr>
          </w:p>
        </w:tc>
        <w:tc>
          <w:tcPr>
            <w:tcW w:w="818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1"/>
        </w:trPr>
        <w:tc>
          <w:tcPr>
            <w:tcW w:w="24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Microgrid and Uninterrupted</w:t>
            </w:r>
          </w:p>
        </w:tc>
        <w:tc>
          <w:tcPr>
            <w:tcW w:w="818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Under these arrangements, we provide electrical contracting services for energy-related products such as</w:t>
            </w:r>
          </w:p>
        </w:tc>
        <w:tc>
          <w:tcPr>
            <w:tcW w:w="0" w:type="dxa"/>
            <w:vAlign w:val="bottom"/>
          </w:tcPr>
          <w:p>
            <w:pPr>
              <w:spacing w:after="0"/>
              <w:rPr>
                <w:sz w:val="1"/>
                <w:szCs w:val="1"/>
                <w:color w:val="auto"/>
              </w:rPr>
            </w:pPr>
          </w:p>
        </w:tc>
      </w:tr>
      <w:tr>
        <w:trPr>
          <w:trHeight w:val="99"/>
        </w:trPr>
        <w:tc>
          <w:tcPr>
            <w:tcW w:w="2420" w:type="dxa"/>
            <w:vAlign w:val="bottom"/>
            <w:tcBorders>
              <w:left w:val="single" w:sz="8" w:color="auto"/>
              <w:right w:val="single" w:sz="8" w:color="auto"/>
            </w:tcBorders>
            <w:vMerge w:val="restart"/>
          </w:tcPr>
          <w:p>
            <w:pPr>
              <w:jc w:val="center"/>
              <w:spacing w:after="0" w:line="176" w:lineRule="exact"/>
              <w:rPr>
                <w:sz w:val="20"/>
                <w:szCs w:val="20"/>
                <w:color w:val="auto"/>
              </w:rPr>
            </w:pPr>
            <w:r>
              <w:rPr>
                <w:rFonts w:ascii="Arial" w:cs="Arial" w:eastAsia="Arial" w:hAnsi="Arial"/>
                <w:sz w:val="17"/>
                <w:szCs w:val="17"/>
                <w:color w:val="auto"/>
              </w:rPr>
              <w:t>Power Supply Systems</w:t>
            </w:r>
          </w:p>
        </w:tc>
        <w:tc>
          <w:tcPr>
            <w:tcW w:w="8180" w:type="dxa"/>
            <w:vAlign w:val="bottom"/>
            <w:tcBorders>
              <w:right w:val="single" w:sz="8" w:color="auto"/>
            </w:tcBorders>
          </w:tcPr>
          <w:p>
            <w:pPr>
              <w:ind w:left="20"/>
              <w:spacing w:after="0" w:line="100" w:lineRule="exact"/>
              <w:rPr>
                <w:sz w:val="20"/>
                <w:szCs w:val="20"/>
                <w:color w:val="auto"/>
              </w:rPr>
            </w:pPr>
            <w:r>
              <w:rPr>
                <w:rFonts w:ascii="Arial" w:cs="Arial" w:eastAsia="Arial" w:hAnsi="Arial"/>
                <w:sz w:val="11"/>
                <w:szCs w:val="11"/>
                <w:color w:val="auto"/>
              </w:rPr>
              <w:t>design, installation and maintenance of distributed generation equipment, UPS systems, power distribution</w:t>
            </w:r>
          </w:p>
        </w:tc>
        <w:tc>
          <w:tcPr>
            <w:tcW w:w="0" w:type="dxa"/>
            <w:vAlign w:val="bottom"/>
          </w:tcPr>
          <w:p>
            <w:pPr>
              <w:spacing w:after="0"/>
              <w:rPr>
                <w:sz w:val="1"/>
                <w:szCs w:val="1"/>
                <w:color w:val="auto"/>
              </w:rPr>
            </w:pPr>
          </w:p>
        </w:tc>
      </w:tr>
      <w:tr>
        <w:trPr>
          <w:trHeight w:val="77"/>
        </w:trPr>
        <w:tc>
          <w:tcPr>
            <w:tcW w:w="2420" w:type="dxa"/>
            <w:vAlign w:val="bottom"/>
            <w:tcBorders>
              <w:left w:val="single" w:sz="8" w:color="auto"/>
              <w:right w:val="single" w:sz="8" w:color="auto"/>
            </w:tcBorders>
            <w:vMerge w:val="continue"/>
          </w:tcPr>
          <w:p>
            <w:pPr>
              <w:spacing w:after="0"/>
              <w:rPr>
                <w:sz w:val="6"/>
                <w:szCs w:val="6"/>
                <w:color w:val="auto"/>
              </w:rPr>
            </w:pPr>
          </w:p>
        </w:tc>
        <w:tc>
          <w:tcPr>
            <w:tcW w:w="8180" w:type="dxa"/>
            <w:vAlign w:val="bottom"/>
            <w:tcBorders>
              <w:right w:val="single" w:sz="8" w:color="auto"/>
            </w:tcBorders>
            <w:vMerge w:val="restart"/>
          </w:tcPr>
          <w:p>
            <w:pPr>
              <w:ind w:left="20"/>
              <w:spacing w:after="0" w:line="172" w:lineRule="exact"/>
              <w:rPr>
                <w:sz w:val="20"/>
                <w:szCs w:val="20"/>
                <w:color w:val="auto"/>
              </w:rPr>
            </w:pPr>
            <w:r>
              <w:rPr>
                <w:rFonts w:ascii="Arial" w:cs="Arial" w:eastAsia="Arial" w:hAnsi="Arial"/>
                <w:sz w:val="17"/>
                <w:szCs w:val="17"/>
                <w:color w:val="auto"/>
              </w:rPr>
              <w:t>units, and other specialized electric trades. The client agrees to pay us based on a predetermined</w:t>
            </w:r>
          </w:p>
        </w:tc>
        <w:tc>
          <w:tcPr>
            <w:tcW w:w="0" w:type="dxa"/>
            <w:vAlign w:val="bottom"/>
          </w:tcPr>
          <w:p>
            <w:pPr>
              <w:spacing w:after="0"/>
              <w:rPr>
                <w:sz w:val="1"/>
                <w:szCs w:val="1"/>
                <w:color w:val="auto"/>
              </w:rPr>
            </w:pPr>
          </w:p>
        </w:tc>
      </w:tr>
      <w:tr>
        <w:trPr>
          <w:trHeight w:val="94"/>
        </w:trPr>
        <w:tc>
          <w:tcPr>
            <w:tcW w:w="24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7"/>
                <w:szCs w:val="17"/>
                <w:color w:val="auto"/>
              </w:rPr>
              <w:t>Installation</w:t>
            </w:r>
          </w:p>
        </w:tc>
        <w:tc>
          <w:tcPr>
            <w:tcW w:w="818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2420" w:type="dxa"/>
            <w:vAlign w:val="bottom"/>
            <w:tcBorders>
              <w:left w:val="single" w:sz="8" w:color="auto"/>
              <w:right w:val="single" w:sz="8" w:color="auto"/>
            </w:tcBorders>
            <w:vMerge w:val="continue"/>
          </w:tcPr>
          <w:p>
            <w:pPr>
              <w:spacing w:after="0"/>
              <w:rPr>
                <w:sz w:val="11"/>
                <w:szCs w:val="11"/>
                <w:color w:val="auto"/>
              </w:rPr>
            </w:pPr>
          </w:p>
        </w:tc>
        <w:tc>
          <w:tcPr>
            <w:tcW w:w="8180" w:type="dxa"/>
            <w:vAlign w:val="bottom"/>
            <w:tcBorders>
              <w:right w:val="single" w:sz="8" w:color="auto"/>
            </w:tcBorders>
            <w:vMerge w:val="restart"/>
          </w:tcPr>
          <w:p>
            <w:pPr>
              <w:ind w:left="20"/>
              <w:spacing w:after="0"/>
              <w:rPr>
                <w:sz w:val="20"/>
                <w:szCs w:val="20"/>
                <w:color w:val="auto"/>
              </w:rPr>
            </w:pPr>
            <w:r>
              <w:rPr>
                <w:rFonts w:ascii="Arial" w:cs="Arial" w:eastAsia="Arial" w:hAnsi="Arial"/>
                <w:sz w:val="17"/>
                <w:szCs w:val="17"/>
                <w:color w:val="auto"/>
              </w:rPr>
              <w:t>contractual milestone schedule.</w:t>
            </w:r>
          </w:p>
        </w:tc>
        <w:tc>
          <w:tcPr>
            <w:tcW w:w="0" w:type="dxa"/>
            <w:vAlign w:val="bottom"/>
          </w:tcPr>
          <w:p>
            <w:pPr>
              <w:spacing w:after="0"/>
              <w:rPr>
                <w:sz w:val="1"/>
                <w:szCs w:val="1"/>
                <w:color w:val="auto"/>
              </w:rPr>
            </w:pPr>
          </w:p>
        </w:tc>
      </w:tr>
      <w:tr>
        <w:trPr>
          <w:trHeight w:val="88"/>
        </w:trPr>
        <w:tc>
          <w:tcPr>
            <w:tcW w:w="2420" w:type="dxa"/>
            <w:vAlign w:val="bottom"/>
            <w:tcBorders>
              <w:left w:val="single" w:sz="8" w:color="auto"/>
              <w:bottom w:val="single" w:sz="8" w:color="auto"/>
              <w:right w:val="single" w:sz="8" w:color="auto"/>
            </w:tcBorders>
          </w:tcPr>
          <w:p>
            <w:pPr>
              <w:spacing w:after="0"/>
              <w:rPr>
                <w:sz w:val="7"/>
                <w:szCs w:val="7"/>
                <w:color w:val="auto"/>
              </w:rPr>
            </w:pPr>
          </w:p>
        </w:tc>
        <w:tc>
          <w:tcPr>
            <w:tcW w:w="818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65" w:right="339" w:bottom="1440" w:gutter="0" w:footer="0" w:header="0"/>
        </w:sectPr>
      </w:pPr>
    </w:p>
    <w:bookmarkStart w:id="7" w:name="page8"/>
    <w:bookmarkEnd w:id="7"/>
    <w:p>
      <w:pPr>
        <w:spacing w:after="0"/>
        <w:rPr>
          <w:sz w:val="20"/>
          <w:szCs w:val="20"/>
          <w:color w:val="auto"/>
        </w:rPr>
      </w:pPr>
      <w:r>
        <w:rPr>
          <w:rFonts w:ascii="Arial" w:cs="Arial" w:eastAsia="Arial" w:hAnsi="Arial"/>
          <w:sz w:val="17"/>
          <w:szCs w:val="17"/>
          <w:b w:val="1"/>
          <w:bCs w:val="1"/>
          <w:color w:val="0046AD"/>
        </w:rPr>
        <w:t>Segment and Geographic Financial Information</w:t>
      </w:r>
    </w:p>
    <w:p>
      <w:pPr>
        <w:spacing w:after="0" w:line="168" w:lineRule="exact"/>
        <w:rPr>
          <w:sz w:val="20"/>
          <w:szCs w:val="20"/>
          <w:color w:val="auto"/>
        </w:rPr>
      </w:pPr>
    </w:p>
    <w:p>
      <w:pPr>
        <w:ind w:firstLine="619"/>
        <w:spacing w:after="0" w:line="263" w:lineRule="auto"/>
        <w:rPr>
          <w:sz w:val="20"/>
          <w:szCs w:val="20"/>
          <w:color w:val="auto"/>
        </w:rPr>
      </w:pPr>
      <w:r>
        <w:rPr>
          <w:rFonts w:ascii="Arial" w:cs="Arial" w:eastAsia="Arial" w:hAnsi="Arial"/>
          <w:sz w:val="17"/>
          <w:szCs w:val="17"/>
          <w:color w:val="auto"/>
        </w:rPr>
        <w:t>Our current reportable segments consist of Business &amp; Industry (“B&amp;I”), Manufacturing &amp; Distribution (“M&amp;D”), Education, Aviation, and Technical Solutions. For segment and geographic financial information, see Note 18, “Segment and Geographic Information,” in the Notes to</w:t>
      </w:r>
    </w:p>
    <w:p>
      <w:pPr>
        <w:spacing w:after="0"/>
        <w:tabs>
          <w:tab w:leader="none" w:pos="5320" w:val="left"/>
          <w:tab w:leader="none" w:pos="10320" w:val="left"/>
        </w:tabs>
        <w:rPr>
          <w:sz w:val="20"/>
          <w:szCs w:val="20"/>
          <w:color w:val="auto"/>
        </w:rPr>
      </w:pPr>
      <w:r>
        <w:rPr>
          <w:rFonts w:ascii="Arial" w:cs="Arial" w:eastAsia="Arial" w:hAnsi="Arial"/>
          <w:sz w:val="17"/>
          <w:szCs w:val="17"/>
          <w:color w:val="auto"/>
        </w:rPr>
        <w:t>consolidated</w:t>
      </w:r>
      <w:r>
        <w:rPr>
          <w:sz w:val="20"/>
          <w:szCs w:val="20"/>
          <w:color w:val="auto"/>
        </w:rPr>
        <w:tab/>
      </w:r>
      <w:r>
        <w:rPr>
          <w:rFonts w:ascii="Arial" w:cs="Arial" w:eastAsia="Arial" w:hAnsi="Arial"/>
          <w:sz w:val="17"/>
          <w:szCs w:val="17"/>
          <w:color w:val="auto"/>
        </w:rPr>
        <w:t>financial</w:t>
      </w:r>
      <w:r>
        <w:rPr>
          <w:sz w:val="20"/>
          <w:szCs w:val="20"/>
          <w:color w:val="auto"/>
        </w:rPr>
        <w:tab/>
      </w:r>
      <w:r>
        <w:rPr>
          <w:rFonts w:ascii="Arial" w:cs="Arial" w:eastAsia="Arial" w:hAnsi="Arial"/>
          <w:sz w:val="17"/>
          <w:szCs w:val="17"/>
          <w:color w:val="auto"/>
        </w:rPr>
        <w:t>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23495</wp:posOffset>
            </wp:positionV>
            <wp:extent cx="6712585" cy="52558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712585" cy="5255895"/>
                    </a:xfrm>
                    <a:prstGeom prst="rect">
                      <a:avLst/>
                    </a:prstGeom>
                    <a:noFill/>
                  </pic:spPr>
                </pic:pic>
              </a:graphicData>
            </a:graphic>
          </wp:anchor>
        </w:drawing>
      </w:r>
    </w:p>
    <w:p>
      <w:pPr>
        <w:spacing w:after="0" w:line="24" w:lineRule="exact"/>
        <w:rPr>
          <w:sz w:val="20"/>
          <w:szCs w:val="20"/>
          <w:color w:val="auto"/>
        </w:rPr>
      </w:pPr>
    </w:p>
    <w:p>
      <w:pPr>
        <w:ind w:left="3340"/>
        <w:spacing w:after="0"/>
        <w:rPr>
          <w:sz w:val="20"/>
          <w:szCs w:val="20"/>
          <w:color w:val="auto"/>
        </w:rPr>
      </w:pPr>
      <w:r>
        <w:rPr>
          <w:rFonts w:ascii="Arial" w:cs="Arial" w:eastAsia="Arial" w:hAnsi="Arial"/>
          <w:sz w:val="17"/>
          <w:szCs w:val="17"/>
          <w:b w:val="1"/>
          <w:bCs w:val="1"/>
          <w:color w:val="0046AD"/>
        </w:rPr>
        <w:t>REPORTABLE SEGMENTS AND DESCRIPTIONS</w:t>
      </w:r>
    </w:p>
    <w:p>
      <w:pPr>
        <w:spacing w:after="0" w:line="103" w:lineRule="exact"/>
        <w:rPr>
          <w:sz w:val="20"/>
          <w:szCs w:val="20"/>
          <w:color w:val="auto"/>
        </w:rPr>
      </w:pPr>
    </w:p>
    <w:p>
      <w:pPr>
        <w:jc w:val="both"/>
        <w:ind w:left="3640" w:right="700"/>
        <w:spacing w:after="0" w:line="223" w:lineRule="auto"/>
        <w:rPr>
          <w:sz w:val="20"/>
          <w:szCs w:val="20"/>
          <w:color w:val="auto"/>
        </w:rPr>
      </w:pPr>
      <w:r>
        <w:rPr>
          <w:rFonts w:ascii="Arial" w:cs="Arial" w:eastAsia="Arial" w:hAnsi="Arial"/>
          <w:sz w:val="17"/>
          <w:szCs w:val="17"/>
          <w:color w:val="auto"/>
        </w:rPr>
        <w:t>B&amp;I, our largest reportable segment, encompasses comprehensive facility solutions, including janitorial and maintenance, facilities engineering, and parking and transportation</w:t>
      </w:r>
    </w:p>
    <w:p>
      <w:pPr>
        <w:spacing w:after="0" w:line="1" w:lineRule="exact"/>
        <w:rPr>
          <w:sz w:val="20"/>
          <w:szCs w:val="20"/>
          <w:color w:val="auto"/>
        </w:rPr>
      </w:pPr>
    </w:p>
    <w:p>
      <w:pPr>
        <w:jc w:val="both"/>
        <w:ind w:left="3640" w:right="700"/>
        <w:spacing w:after="0" w:line="211" w:lineRule="auto"/>
        <w:rPr>
          <w:sz w:val="20"/>
          <w:szCs w:val="20"/>
          <w:color w:val="auto"/>
        </w:rPr>
      </w:pPr>
      <w:r>
        <w:rPr>
          <w:rFonts w:ascii="Arial" w:cs="Arial" w:eastAsia="Arial" w:hAnsi="Arial"/>
          <w:sz w:val="17"/>
          <w:szCs w:val="17"/>
          <w:color w:val="auto"/>
        </w:rPr>
        <w:t>management to a diverse range of clients. Our expertise extends to commercial real estate properties, including corporate offices for high-tech clients, sports and entertainment venues, and both traditional hospitals and non-acute healthcare facilities. We typically</w:t>
      </w:r>
    </w:p>
    <w:p>
      <w:pPr>
        <w:jc w:val="both"/>
        <w:ind w:left="3640" w:right="700"/>
        <w:spacing w:after="0" w:line="222" w:lineRule="auto"/>
        <w:rPr>
          <w:sz w:val="20"/>
          <w:szCs w:val="20"/>
          <w:color w:val="auto"/>
        </w:rPr>
      </w:pPr>
      <w:r>
        <w:rPr>
          <w:rFonts w:ascii="Arial" w:cs="Arial" w:eastAsia="Arial" w:hAnsi="Arial"/>
          <w:sz w:val="17"/>
          <w:szCs w:val="17"/>
          <w:color w:val="auto"/>
        </w:rPr>
        <w:t>provide these services pursuant to monthly fixed-price, square-foot, cost-plus, and parking arrangements (i.e., management reimbursement, leased location, or allowance) that are obtained through a competitive bid process as well as pursuant to work orders.</w:t>
      </w:r>
    </w:p>
    <w:p>
      <w:pPr>
        <w:spacing w:after="0" w:line="344" w:lineRule="exact"/>
        <w:rPr>
          <w:sz w:val="20"/>
          <w:szCs w:val="20"/>
          <w:color w:val="auto"/>
        </w:rPr>
      </w:pPr>
    </w:p>
    <w:p>
      <w:pPr>
        <w:jc w:val="both"/>
        <w:ind w:left="3640" w:right="700"/>
        <w:spacing w:after="0" w:line="223" w:lineRule="auto"/>
        <w:rPr>
          <w:sz w:val="20"/>
          <w:szCs w:val="20"/>
          <w:color w:val="auto"/>
        </w:rPr>
      </w:pPr>
      <w:r>
        <w:rPr>
          <w:rFonts w:ascii="Arial" w:cs="Arial" w:eastAsia="Arial" w:hAnsi="Arial"/>
          <w:sz w:val="17"/>
          <w:szCs w:val="17"/>
          <w:color w:val="auto"/>
        </w:rPr>
        <w:t>M&amp;D provides integrated facility services, engineering, janitorial and maintenance, and other specialized solutions to a variety of manufacturing, distribution, and data center</w:t>
      </w:r>
    </w:p>
    <w:p>
      <w:pPr>
        <w:spacing w:after="0" w:line="1" w:lineRule="exact"/>
        <w:rPr>
          <w:sz w:val="20"/>
          <w:szCs w:val="20"/>
          <w:color w:val="auto"/>
        </w:rPr>
      </w:pPr>
    </w:p>
    <w:p>
      <w:pPr>
        <w:jc w:val="both"/>
        <w:ind w:left="3640" w:right="700"/>
        <w:spacing w:after="0" w:line="211" w:lineRule="auto"/>
        <w:rPr>
          <w:sz w:val="20"/>
          <w:szCs w:val="20"/>
          <w:color w:val="auto"/>
        </w:rPr>
      </w:pPr>
      <w:r>
        <w:rPr>
          <w:rFonts w:ascii="Arial" w:cs="Arial" w:eastAsia="Arial" w:hAnsi="Arial"/>
          <w:sz w:val="17"/>
          <w:szCs w:val="17"/>
          <w:color w:val="auto"/>
        </w:rPr>
        <w:t>facilities. We typically provide these services pursuant to monthly fixed-price, square-foot, and cost-plus, that are obtained through a competitive bid process as well as pursuant to work orders. One client accounted for approximately 32% of revenues for this segment in</w:t>
      </w:r>
    </w:p>
    <w:p>
      <w:pPr>
        <w:ind w:left="3640"/>
        <w:spacing w:after="0"/>
        <w:rPr>
          <w:sz w:val="20"/>
          <w:szCs w:val="20"/>
          <w:color w:val="auto"/>
        </w:rPr>
      </w:pPr>
      <w:r>
        <w:rPr>
          <w:rFonts w:ascii="Arial" w:cs="Arial" w:eastAsia="Arial" w:hAnsi="Arial"/>
          <w:sz w:val="17"/>
          <w:szCs w:val="17"/>
          <w:color w:val="auto"/>
        </w:rPr>
        <w:t>2025.</w:t>
      </w:r>
    </w:p>
    <w:p>
      <w:pPr>
        <w:spacing w:after="0" w:line="382" w:lineRule="exact"/>
        <w:rPr>
          <w:sz w:val="20"/>
          <w:szCs w:val="20"/>
          <w:color w:val="auto"/>
        </w:rPr>
      </w:pPr>
    </w:p>
    <w:p>
      <w:pPr>
        <w:jc w:val="both"/>
        <w:ind w:left="3640" w:right="700"/>
        <w:spacing w:after="0" w:line="223" w:lineRule="auto"/>
        <w:rPr>
          <w:sz w:val="20"/>
          <w:szCs w:val="20"/>
          <w:color w:val="auto"/>
        </w:rPr>
      </w:pPr>
      <w:r>
        <w:rPr>
          <w:rFonts w:ascii="Arial" w:cs="Arial" w:eastAsia="Arial" w:hAnsi="Arial"/>
          <w:sz w:val="17"/>
          <w:szCs w:val="17"/>
          <w:color w:val="auto"/>
        </w:rPr>
        <w:t>Aviation provides comprehensive support services to airlines and airports, including parking and transportation management, janitorial and maintenance services, passenger</w:t>
      </w:r>
    </w:p>
    <w:p>
      <w:pPr>
        <w:spacing w:after="0" w:line="1" w:lineRule="exact"/>
        <w:rPr>
          <w:sz w:val="20"/>
          <w:szCs w:val="20"/>
          <w:color w:val="auto"/>
        </w:rPr>
      </w:pPr>
    </w:p>
    <w:p>
      <w:pPr>
        <w:jc w:val="both"/>
        <w:ind w:left="3640" w:right="700"/>
        <w:spacing w:after="0" w:line="211" w:lineRule="auto"/>
        <w:rPr>
          <w:sz w:val="20"/>
          <w:szCs w:val="20"/>
          <w:color w:val="auto"/>
        </w:rPr>
      </w:pPr>
      <w:r>
        <w:rPr>
          <w:rFonts w:ascii="Arial" w:cs="Arial" w:eastAsia="Arial" w:hAnsi="Arial"/>
          <w:sz w:val="17"/>
          <w:szCs w:val="17"/>
          <w:color w:val="auto"/>
        </w:rPr>
        <w:t>assistance, catering logistics, aircraft cabin maintenance, and transportation solutions. We typically provide services to clients in this segment under master services agreements. These agreements are typically re-bid upon renewal and are generally structured as</w:t>
      </w:r>
    </w:p>
    <w:p>
      <w:pPr>
        <w:jc w:val="both"/>
        <w:ind w:left="3640" w:right="700"/>
        <w:spacing w:after="0" w:line="222" w:lineRule="auto"/>
        <w:rPr>
          <w:sz w:val="20"/>
          <w:szCs w:val="20"/>
          <w:color w:val="auto"/>
        </w:rPr>
      </w:pPr>
      <w:r>
        <w:rPr>
          <w:rFonts w:ascii="Arial" w:cs="Arial" w:eastAsia="Arial" w:hAnsi="Arial"/>
          <w:sz w:val="17"/>
          <w:szCs w:val="17"/>
          <w:color w:val="auto"/>
        </w:rPr>
        <w:t>monthly fixed-price, square-foot, cost-plus, parking, transaction-price, and hourly arrangements. Two clients accounted for approximately 27% of revenues for this segment in 2025.</w:t>
      </w:r>
    </w:p>
    <w:p>
      <w:pPr>
        <w:spacing w:after="0" w:line="396" w:lineRule="exact"/>
        <w:rPr>
          <w:sz w:val="20"/>
          <w:szCs w:val="20"/>
          <w:color w:val="auto"/>
        </w:rPr>
      </w:pPr>
    </w:p>
    <w:p>
      <w:pPr>
        <w:jc w:val="both"/>
        <w:ind w:left="3640" w:right="700"/>
        <w:spacing w:after="0" w:line="223" w:lineRule="auto"/>
        <w:rPr>
          <w:sz w:val="20"/>
          <w:szCs w:val="20"/>
          <w:color w:val="auto"/>
        </w:rPr>
      </w:pPr>
      <w:r>
        <w:rPr>
          <w:rFonts w:ascii="Arial" w:cs="Arial" w:eastAsia="Arial" w:hAnsi="Arial"/>
          <w:sz w:val="17"/>
          <w:szCs w:val="17"/>
          <w:color w:val="auto"/>
        </w:rPr>
        <w:t>Education delivers comprehensive facility services to public school districts, private schools, colleges, and universities. Our services include janitorial and custodial services,</w:t>
      </w:r>
    </w:p>
    <w:p>
      <w:pPr>
        <w:spacing w:after="0" w:line="1" w:lineRule="exact"/>
        <w:rPr>
          <w:sz w:val="20"/>
          <w:szCs w:val="20"/>
          <w:color w:val="auto"/>
        </w:rPr>
      </w:pPr>
    </w:p>
    <w:p>
      <w:pPr>
        <w:jc w:val="both"/>
        <w:ind w:left="3640" w:right="700"/>
        <w:spacing w:after="0" w:line="211" w:lineRule="auto"/>
        <w:rPr>
          <w:sz w:val="20"/>
          <w:szCs w:val="20"/>
          <w:color w:val="auto"/>
        </w:rPr>
      </w:pPr>
      <w:r>
        <w:rPr>
          <w:rFonts w:ascii="Arial" w:cs="Arial" w:eastAsia="Arial" w:hAnsi="Arial"/>
          <w:sz w:val="17"/>
          <w:szCs w:val="17"/>
          <w:color w:val="auto"/>
        </w:rPr>
        <w:t>landscaping and grounds maintenance, facilities engineering, and parking management. These services are typically provided pursuant to monthly fixed-price, square-foot, and cost-plus arrangements that are obtained through either a competitive bid process or re-</w:t>
      </w:r>
    </w:p>
    <w:p>
      <w:pPr>
        <w:ind w:left="3640"/>
        <w:spacing w:after="0"/>
        <w:rPr>
          <w:sz w:val="20"/>
          <w:szCs w:val="20"/>
          <w:color w:val="auto"/>
        </w:rPr>
      </w:pPr>
      <w:r>
        <w:rPr>
          <w:rFonts w:ascii="Arial" w:cs="Arial" w:eastAsia="Arial" w:hAnsi="Arial"/>
          <w:sz w:val="17"/>
          <w:szCs w:val="17"/>
          <w:color w:val="auto"/>
        </w:rPr>
        <w:t>bid upon renewal as well as pursuant to work orders.</w:t>
      </w:r>
    </w:p>
    <w:p>
      <w:pPr>
        <w:spacing w:after="0" w:line="200" w:lineRule="exact"/>
        <w:rPr>
          <w:sz w:val="20"/>
          <w:szCs w:val="20"/>
          <w:color w:val="auto"/>
        </w:rPr>
      </w:pPr>
    </w:p>
    <w:p>
      <w:pPr>
        <w:spacing w:after="0" w:line="220" w:lineRule="exact"/>
        <w:rPr>
          <w:sz w:val="20"/>
          <w:szCs w:val="20"/>
          <w:color w:val="auto"/>
        </w:rPr>
      </w:pPr>
    </w:p>
    <w:p>
      <w:pPr>
        <w:jc w:val="both"/>
        <w:ind w:left="3640" w:right="700"/>
        <w:spacing w:after="0" w:line="223" w:lineRule="auto"/>
        <w:rPr>
          <w:sz w:val="20"/>
          <w:szCs w:val="20"/>
          <w:color w:val="auto"/>
        </w:rPr>
      </w:pPr>
      <w:r>
        <w:rPr>
          <w:rFonts w:ascii="Arial" w:cs="Arial" w:eastAsia="Arial" w:hAnsi="Arial"/>
          <w:sz w:val="17"/>
          <w:szCs w:val="17"/>
          <w:color w:val="auto"/>
        </w:rPr>
        <w:t>Technical Solutions specializes in comprehensive facility infrastructure services, including mechanical and electrical systems, as well as design, installation, and maintenance of</w:t>
      </w:r>
    </w:p>
    <w:p>
      <w:pPr>
        <w:spacing w:after="0" w:line="1" w:lineRule="exact"/>
        <w:rPr>
          <w:sz w:val="20"/>
          <w:szCs w:val="20"/>
          <w:color w:val="auto"/>
        </w:rPr>
      </w:pPr>
    </w:p>
    <w:p>
      <w:pPr>
        <w:jc w:val="both"/>
        <w:ind w:left="3640" w:right="700"/>
        <w:spacing w:after="0" w:line="211" w:lineRule="auto"/>
        <w:rPr>
          <w:sz w:val="20"/>
          <w:szCs w:val="20"/>
          <w:color w:val="auto"/>
        </w:rPr>
      </w:pPr>
      <w:r>
        <w:rPr>
          <w:rFonts w:ascii="Arial" w:cs="Arial" w:eastAsia="Arial" w:hAnsi="Arial"/>
          <w:sz w:val="17"/>
          <w:szCs w:val="17"/>
          <w:color w:val="auto"/>
        </w:rPr>
        <w:t>microgrid systems encompassing UPS systems, power distribution units and EV charging stations. These offerings are strategically leveraged for cross-selling across all our industry groups, both domestically and internationally. Contracts for this segment are generally</w:t>
      </w:r>
    </w:p>
    <w:p>
      <w:pPr>
        <w:jc w:val="both"/>
        <w:ind w:left="3640" w:right="700"/>
        <w:spacing w:after="0" w:line="231" w:lineRule="auto"/>
        <w:rPr>
          <w:sz w:val="20"/>
          <w:szCs w:val="20"/>
          <w:color w:val="auto"/>
        </w:rPr>
      </w:pPr>
      <w:r>
        <w:rPr>
          <w:rFonts w:ascii="Arial" w:cs="Arial" w:eastAsia="Arial" w:hAnsi="Arial"/>
          <w:sz w:val="17"/>
          <w:szCs w:val="17"/>
          <w:color w:val="auto"/>
        </w:rPr>
        <w:t>structured as electrical contracting services for energy related products. One client accounted for approximately 30% of revenues for this segment in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6" w:right="339" w:bottom="1440" w:gutter="0" w:footer="0" w:header="0"/>
        </w:sectPr>
      </w:pPr>
    </w:p>
    <w:bookmarkStart w:id="8" w:name="page9"/>
    <w:bookmarkEnd w:id="8"/>
    <w:p>
      <w:pPr>
        <w:spacing w:after="0"/>
        <w:rPr>
          <w:sz w:val="20"/>
          <w:szCs w:val="20"/>
          <w:color w:val="auto"/>
        </w:rPr>
      </w:pPr>
      <w:r>
        <w:rPr>
          <w:rFonts w:ascii="Arial" w:cs="Arial" w:eastAsia="Arial" w:hAnsi="Arial"/>
          <w:sz w:val="17"/>
          <w:szCs w:val="17"/>
          <w:b w:val="1"/>
          <w:bCs w:val="1"/>
          <w:color w:val="0046AD"/>
        </w:rPr>
        <w:t>Service Marks, Trademarks, and Trade Names</w:t>
      </w:r>
    </w:p>
    <w:p>
      <w:pPr>
        <w:spacing w:after="0" w:line="168"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We hold various service marks, trademarks, and/or trade names, such as “ABM,” “ABM Building Value,” “ABM GreenCare,” “ABM EnhancedClean,” “ABM EnhancedFacility,” “Linc Service,” “TEGG,” “ABM Connect,” “ABMVantage,” “RavenVolt,” and “Driving Possibility, Together,” which we deem important to our marketing activities, to our business, and, in some cases, to the franchising activities conducted by our Technical Solutions segment.</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Dependence on Significant Client</w:t>
      </w:r>
    </w:p>
    <w:p>
      <w:pPr>
        <w:spacing w:after="0" w:line="168" w:lineRule="exact"/>
        <w:rPr>
          <w:sz w:val="20"/>
          <w:szCs w:val="20"/>
          <w:color w:val="auto"/>
        </w:rPr>
      </w:pPr>
    </w:p>
    <w:p>
      <w:pPr>
        <w:ind w:left="620"/>
        <w:spacing w:after="0"/>
        <w:rPr>
          <w:sz w:val="20"/>
          <w:szCs w:val="20"/>
          <w:color w:val="auto"/>
        </w:rPr>
      </w:pPr>
      <w:r>
        <w:rPr>
          <w:rFonts w:ascii="Arial" w:cs="Arial" w:eastAsia="Arial" w:hAnsi="Arial"/>
          <w:sz w:val="17"/>
          <w:szCs w:val="17"/>
          <w:color w:val="auto"/>
        </w:rPr>
        <w:t>No single client accounted for more than 10% of our consolidated revenues during 2025, 2024, or 2023.</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Competition</w:t>
      </w:r>
    </w:p>
    <w:p>
      <w:pPr>
        <w:spacing w:after="0" w:line="168"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We believe that each aspect of our business is highly competitive and that such competition is based primarily on price, quality of service, efficiency, and productivity enhancements, adapting to changing workplace conditions, and ability to anticipate and respond to industry changes. A majority of our revenue is derived from projects requiring competitive bids; however, an invitation to bid is often conditioned upon prior experience, industry expertise, and financial strength. The low cost of entry in the facility services business results in a very competitive market. We mainly compete with regional and local owner-operated companies that may have more acute vision into local markets and significantly lower labor and overhead costs, providing them with competitive advantages in those regards. We also compete indirectly with companies that can perform for themselves one or more of the services we provide.</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Sales and Marketing</w:t>
      </w:r>
    </w:p>
    <w:p>
      <w:pPr>
        <w:spacing w:after="0" w:line="168" w:lineRule="exact"/>
        <w:rPr>
          <w:sz w:val="20"/>
          <w:szCs w:val="20"/>
          <w:color w:val="auto"/>
        </w:rPr>
      </w:pPr>
    </w:p>
    <w:p>
      <w:pPr>
        <w:jc w:val="both"/>
        <w:ind w:firstLine="619"/>
        <w:spacing w:after="0" w:line="260" w:lineRule="auto"/>
        <w:rPr>
          <w:sz w:val="20"/>
          <w:szCs w:val="20"/>
          <w:color w:val="auto"/>
        </w:rPr>
      </w:pPr>
      <w:r>
        <w:rPr>
          <w:rFonts w:ascii="Arial" w:cs="Arial" w:eastAsia="Arial" w:hAnsi="Arial"/>
          <w:sz w:val="17"/>
          <w:szCs w:val="17"/>
          <w:color w:val="auto"/>
        </w:rPr>
        <w:t>Our sales and marketing activities include digital engagement and direct interactions with prospective and existing clients, pricing, proposal management, and customer relationship management by dedicated business development teams, operations personnel, and management. These activities are executed by branch and regional sales, marketing, and operations teams assigned to our industry groups and are supported by centralized sales support teams, inside sales teams, and marketing personnel. The sales and marketing teams acquire, nurture, and manage leads through the sales buying process, as well as train personnel on product offerings, sales tools, and proposal systems, all governed by standard operating procedures.</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Regulatory Environment</w:t>
      </w:r>
    </w:p>
    <w:p>
      <w:pPr>
        <w:spacing w:after="0" w:line="167"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Our operations are subject to various federal, state, and/or local laws, rules, and regulations regulating among other things, labor, wages, and health and safety matters, as well as laws and regulations relating to the discharge of materials into the environment or otherwise relating to the protection of the environment. Historically, the cost of complying with these laws, rules, and regulations has not had a material adverse effect on our financial position, results of operations, or cash flows.</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Corporate Responsibility Strategy and Oversight</w:t>
      </w:r>
    </w:p>
    <w:p>
      <w:pPr>
        <w:spacing w:after="0" w:line="167"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Corporate responsibility is central to how we operate and deliver for our stakeholders. With more than 110 years of experience, ABM integrates responsible and community-minded business practices across its operations to create long-term value for shareholders, employees, clients, and the communities we serve. Our mission to make a difference, every person, every day — and our values of respect, excellence, integrity, innovation, trust, and collaboration guide our actions.</w:t>
      </w:r>
    </w:p>
    <w:p>
      <w:pPr>
        <w:spacing w:after="0" w:line="116"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17"/>
          <w:szCs w:val="17"/>
          <w:color w:val="auto"/>
        </w:rPr>
        <w:t>Our corporate responsibility strategy is built around three core pillars: environmental stewardship, our workforce, and responsible business practices.</w:t>
      </w:r>
    </w:p>
    <w:p>
      <w:pPr>
        <w:spacing w:after="0" w:line="95" w:lineRule="exact"/>
        <w:rPr>
          <w:sz w:val="20"/>
          <w:szCs w:val="20"/>
          <w:color w:val="auto"/>
        </w:rPr>
      </w:pPr>
    </w:p>
    <w:p>
      <w:pPr>
        <w:ind w:left="620" w:hanging="307"/>
        <w:spacing w:after="0" w:line="290" w:lineRule="auto"/>
        <w:tabs>
          <w:tab w:leader="none" w:pos="616" w:val="left"/>
        </w:tabs>
        <w:numPr>
          <w:ilvl w:val="0"/>
          <w:numId w:val="3"/>
        </w:numPr>
        <w:rPr>
          <w:rFonts w:ascii="Arial" w:cs="Arial" w:eastAsia="Arial" w:hAnsi="Arial"/>
          <w:sz w:val="17"/>
          <w:szCs w:val="17"/>
          <w:color w:val="auto"/>
        </w:rPr>
      </w:pPr>
      <w:r>
        <w:rPr>
          <w:rFonts w:ascii="Arial" w:cs="Arial" w:eastAsia="Arial" w:hAnsi="Arial"/>
          <w:sz w:val="17"/>
          <w:szCs w:val="17"/>
          <w:color w:val="auto"/>
        </w:rPr>
        <w:t>Environmental stewardship focuses on integrating technologies and practices that reduce environmental impact for us and our clients, improve energy efficiency, and promote responsible use of resources.</w:t>
      </w:r>
    </w:p>
    <w:p>
      <w:pPr>
        <w:spacing w:after="0" w:line="94" w:lineRule="exact"/>
        <w:rPr>
          <w:rFonts w:ascii="Arial" w:cs="Arial" w:eastAsia="Arial" w:hAnsi="Arial"/>
          <w:sz w:val="17"/>
          <w:szCs w:val="17"/>
          <w:color w:val="auto"/>
        </w:rPr>
      </w:pPr>
    </w:p>
    <w:p>
      <w:pPr>
        <w:ind w:left="620" w:hanging="307"/>
        <w:spacing w:after="0" w:line="290" w:lineRule="auto"/>
        <w:tabs>
          <w:tab w:leader="none" w:pos="616"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workforce emphasizes a people-centered culture that values, develops, and empowers employees while fostering inclusion, safety, and community engagement through programs such as ABM Cares.</w:t>
      </w:r>
    </w:p>
    <w:p>
      <w:pPr>
        <w:spacing w:after="0" w:line="94" w:lineRule="exact"/>
        <w:rPr>
          <w:rFonts w:ascii="Arial" w:cs="Arial" w:eastAsia="Arial" w:hAnsi="Arial"/>
          <w:sz w:val="17"/>
          <w:szCs w:val="17"/>
          <w:color w:val="auto"/>
        </w:rPr>
      </w:pPr>
    </w:p>
    <w:p>
      <w:pPr>
        <w:ind w:left="620" w:hanging="307"/>
        <w:spacing w:after="0" w:line="290" w:lineRule="auto"/>
        <w:tabs>
          <w:tab w:leader="none" w:pos="616" w:val="left"/>
        </w:tabs>
        <w:numPr>
          <w:ilvl w:val="0"/>
          <w:numId w:val="3"/>
        </w:numPr>
        <w:rPr>
          <w:rFonts w:ascii="Arial" w:cs="Arial" w:eastAsia="Arial" w:hAnsi="Arial"/>
          <w:sz w:val="17"/>
          <w:szCs w:val="17"/>
          <w:color w:val="auto"/>
        </w:rPr>
      </w:pPr>
      <w:r>
        <w:rPr>
          <w:rFonts w:ascii="Arial" w:cs="Arial" w:eastAsia="Arial" w:hAnsi="Arial"/>
          <w:sz w:val="17"/>
          <w:szCs w:val="17"/>
          <w:color w:val="auto"/>
        </w:rPr>
        <w:t>Responsible business practices ensure operations are conducted ethically and transparently through strong governance, compliance, and supply chain integrity.</w:t>
      </w:r>
    </w:p>
    <w:p>
      <w:pPr>
        <w:spacing w:after="0" w:line="95"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Our Board of Directors and its committees oversee corporate responsibility-related risks and priorities. The Board’s Governance Committee is responsible for oversight of the Company’s corporate governance and overall corporate-responsibility framework. The Board’s Stakeholder and Enterprise Risk Committee is responsible for oversight of the Company’s programs, policies, and practices related to environmental, social, and stakeholder matters that may impact the</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65" w:right="339" w:bottom="1440" w:gutter="0" w:footer="0" w:header="0"/>
        </w:sectPr>
      </w:pPr>
    </w:p>
    <w:bookmarkStart w:id="9" w:name="page10"/>
    <w:bookmarkEnd w:id="9"/>
    <w:p>
      <w:pPr>
        <w:spacing w:after="0"/>
        <w:rPr>
          <w:sz w:val="20"/>
          <w:szCs w:val="20"/>
          <w:color w:val="auto"/>
        </w:rPr>
      </w:pPr>
      <w:r>
        <w:rPr>
          <w:rFonts w:ascii="Arial" w:cs="Arial" w:eastAsia="Arial" w:hAnsi="Arial"/>
          <w:sz w:val="17"/>
          <w:szCs w:val="17"/>
          <w:color w:val="auto"/>
        </w:rPr>
        <w:t>Company’s business and key stakeholders, as well as of the Company’s execution of its enterprise risk management program.</w:t>
      </w:r>
    </w:p>
    <w:p>
      <w:pPr>
        <w:spacing w:after="0" w:line="165"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ABM’s cross-functional teams, including representatives from sustainability, human resources, legal, procurement, operations, and communications, are responsible for advancing the Company’s Corporate Responsibility initiative across the enterprise. These teams regularly present to the Board of Directors’ Stakeholder and Enterprise Risk Committee. In 2024, we established a management-level Sustainability Committee to integrate sustainability capabilities across business functions and client offerings and to support innovation and measurable impact.</w:t>
      </w:r>
    </w:p>
    <w:p>
      <w:pPr>
        <w:spacing w:after="0" w:line="116"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17"/>
          <w:szCs w:val="17"/>
          <w:color w:val="auto"/>
        </w:rPr>
        <w:t>Since 2011, ABM has voluntarily published an annual Corporate Responsibility Report, aligned with GRI, SASB, and IFRS Sustainability Disclosure Standards, to communicate our performance, progress, and goals.</w:t>
      </w:r>
    </w:p>
    <w:p>
      <w:pPr>
        <w:spacing w:after="0" w:line="95"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Additional information is available in the Human Capital section of this report and on the Company’s website under Corporate Responsibility.</w:t>
      </w:r>
    </w:p>
    <w:p>
      <w:pPr>
        <w:spacing w:after="0" w:line="349"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Human Capital</w:t>
      </w:r>
    </w:p>
    <w:p>
      <w:pPr>
        <w:spacing w:after="0" w:line="168"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Given that ABM is a widely distributed solutions and service-oriented business, our employees are the driving force behind our success, and we believe our ability to attract, develop, and retain our employees at all levels of our organization has a direct impact on client satisfaction and our ability to grow the Company. To succeed in a competitive labor market, we have developed key recruitment and retention strategies, objectives, and measures that we focus on as part of the overall management of our business. These strategies, objectives, and measures form the pillars of our human capital management framework and are advanced through the programs, policies, and initiatives described below.</w:t>
      </w:r>
    </w:p>
    <w:p>
      <w:pPr>
        <w:spacing w:after="0" w:line="119"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7"/>
          <w:szCs w:val="17"/>
          <w:color w:val="auto"/>
        </w:rPr>
        <w:t>Direct labor costs represented 68% of our total revenue for 2025. As of October 31, 2025, we employed approximately 113,000 employees, of whom approximately 51,000, or 45%, were subject to various local collective bargaining agreements. As of October 31, 2025, our frontline employees represented 92% of our total workforce, while staff and management employees represented the other 8%.</w:t>
      </w:r>
    </w:p>
    <w:p>
      <w:pPr>
        <w:spacing w:after="0" w:line="111"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7"/>
          <w:szCs w:val="17"/>
          <w:color w:val="auto"/>
        </w:rPr>
        <w:t>Our human capital strategy is guided by our values and advanced by our employees. We prioritize doing business in a responsible way and enabling our employees’ and clients’ success. The execution of our human capital strategy is overseen at the highest levels of our organization, from our Board of Directors, our Board of Directors’ Stakeholder and Enterprise Risk Committee, and across our senior management.</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i w:val="1"/>
          <w:iCs w:val="1"/>
          <w:color w:val="0046AD"/>
        </w:rPr>
        <w:t>Business ethics</w:t>
      </w:r>
    </w:p>
    <w:p>
      <w:pPr>
        <w:spacing w:after="0" w:line="163"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Our Code of Business Conduct drives the application of our core values of respect, integrity, collaboration, innovation, trust, and excellence throughout our operations. Our Code of Business Conduct serves as a critical tool to help all ABM employees to recognize and report unethical conduct, while preserving and nurturing our culture of honesty and accountability. We provide comprehensive annual training and certification programs on our Code of Business Conduct for our Board of Directors and all of our staff and management employees.</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i w:val="1"/>
          <w:iCs w:val="1"/>
          <w:color w:val="0046AD"/>
        </w:rPr>
        <w:t>Human resources, hiring, and training</w:t>
      </w:r>
    </w:p>
    <w:p>
      <w:pPr>
        <w:spacing w:after="0" w:line="163"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With a team of approximately 113,000 employees across the United States, UK, Ireland, and other locations, we continue to enhance our hiring, training, and development practices to support an engaged workforce. We utilize regional recruitment strategies, applicant-tracking technology, and analytics tools to improve efficiency and consistency in our human capital processes, with particular focus on attracting, retaining, and developing our frontline employees, who represent the majority of our workforce.</w:t>
      </w:r>
    </w:p>
    <w:p>
      <w:pPr>
        <w:spacing w:after="0" w:line="116"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7"/>
          <w:szCs w:val="17"/>
          <w:color w:val="auto"/>
        </w:rPr>
        <w:t>We continue to invest in employee growth and leadership development programs such as our Frontline Leader Essentials Program and Leadership Foundations, which build supervisory and management skills across our frontline workforce. For middle- and senior-level leaders, our Leadership Academy focuses on strengthening operational and leadership capabilities across the enterprise.</w:t>
      </w:r>
    </w:p>
    <w:p>
      <w:pPr>
        <w:spacing w:after="0" w:line="111"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7"/>
          <w:szCs w:val="17"/>
          <w:color w:val="auto"/>
        </w:rPr>
        <w:t>Our online training platform, ABM University, provides employees access to a wide range of on -demand courses and development resources. Frontline employees also receive role-specific, on-the-job training to ensure safe, efficient, and high-quality service delivery for our clients.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67" w:right="339" w:bottom="1440" w:gutter="0" w:footer="0" w:header="0"/>
        </w:sectPr>
      </w:pPr>
    </w:p>
    <w:bookmarkStart w:id="10" w:name="page11"/>
    <w:bookmarkEnd w:id="10"/>
    <w:p>
      <w:pPr>
        <w:spacing w:after="0"/>
        <w:rPr>
          <w:sz w:val="20"/>
          <w:szCs w:val="20"/>
          <w:color w:val="auto"/>
        </w:rPr>
      </w:pPr>
      <w:r>
        <w:rPr>
          <w:rFonts w:ascii="Arial" w:cs="Arial" w:eastAsia="Arial" w:hAnsi="Arial"/>
          <w:sz w:val="17"/>
          <w:szCs w:val="17"/>
          <w:i w:val="1"/>
          <w:iCs w:val="1"/>
          <w:color w:val="0046AD"/>
        </w:rPr>
        <w:t>Compensation and employee benefits</w:t>
      </w:r>
    </w:p>
    <w:p>
      <w:pPr>
        <w:spacing w:after="0" w:line="163"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We offer competitive wages and salaries in our served markets, and full-time employees have access to an array of health and wellness benefits, including medical, dental, vision, disability, basic and voluntary life and AD&amp;D insurance, 401K employee savings and an employee stock purchase plan, a 24/7 employee assistance program, healthcare flexible spending accounts, telemedicine options, legal support, as well as commuter, fitness, and other discount programs.</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i w:val="1"/>
          <w:iCs w:val="1"/>
          <w:color w:val="0046AD"/>
        </w:rPr>
        <w:t>Labor relations</w:t>
      </w:r>
    </w:p>
    <w:p>
      <w:pPr>
        <w:spacing w:after="0" w:line="163"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With approximately 51,000 union-represented employees, we are party to more than 300 collective bargaining agreements nationwide, with more than 20 major labor unions. Our collective bargaining agreements include regional multiemployer agreements covering thousands of employees, as well as localized site agreements covering smaller groups. We strive to engage with our labor partners in an atmosphere of mutual respect and seek to resolve disputes in a fair and equitable manner.</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i w:val="1"/>
          <w:iCs w:val="1"/>
          <w:color w:val="0046AD"/>
        </w:rPr>
        <w:t>Safe working environment</w:t>
      </w:r>
    </w:p>
    <w:p>
      <w:pPr>
        <w:spacing w:after="0" w:line="163"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ABM’s commitment to its employees is evidenced in its approach to risk management and safety. The Company’s programs are designed to meet or exceed compliance standards of the Occupational Safety and Health Administration and other regulatory bodies and to protect the health and welfare of our employees and our clients. A cornerstone of ABM’s comprehensive risk management and safety program is safety awareness to confirm our employees are:</w:t>
      </w:r>
    </w:p>
    <w:p>
      <w:pPr>
        <w:spacing w:after="0" w:line="13" w:lineRule="exact"/>
        <w:rPr>
          <w:sz w:val="20"/>
          <w:szCs w:val="20"/>
          <w:color w:val="auto"/>
        </w:rPr>
      </w:pPr>
    </w:p>
    <w:p>
      <w:pPr>
        <w:ind w:left="620" w:hanging="307"/>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educated on how to complete tasks safely;</w:t>
      </w:r>
    </w:p>
    <w:p>
      <w:pPr>
        <w:spacing w:after="0" w:line="62" w:lineRule="exact"/>
        <w:rPr>
          <w:rFonts w:ascii="Arial" w:cs="Arial" w:eastAsia="Arial" w:hAnsi="Arial"/>
          <w:sz w:val="17"/>
          <w:szCs w:val="17"/>
          <w:color w:val="auto"/>
        </w:rPr>
      </w:pPr>
    </w:p>
    <w:p>
      <w:pPr>
        <w:ind w:left="620" w:hanging="307"/>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trained in hazard identification;</w:t>
      </w:r>
    </w:p>
    <w:p>
      <w:pPr>
        <w:spacing w:after="0" w:line="62" w:lineRule="exact"/>
        <w:rPr>
          <w:rFonts w:ascii="Arial" w:cs="Arial" w:eastAsia="Arial" w:hAnsi="Arial"/>
          <w:sz w:val="17"/>
          <w:szCs w:val="17"/>
          <w:color w:val="auto"/>
        </w:rPr>
      </w:pPr>
    </w:p>
    <w:p>
      <w:pPr>
        <w:ind w:left="620" w:hanging="307"/>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made aware of emergency response procedures to immediately address challenges; and</w:t>
      </w:r>
    </w:p>
    <w:p>
      <w:pPr>
        <w:spacing w:after="0" w:line="62" w:lineRule="exact"/>
        <w:rPr>
          <w:rFonts w:ascii="Arial" w:cs="Arial" w:eastAsia="Arial" w:hAnsi="Arial"/>
          <w:sz w:val="17"/>
          <w:szCs w:val="17"/>
          <w:color w:val="auto"/>
        </w:rPr>
      </w:pPr>
    </w:p>
    <w:p>
      <w:pPr>
        <w:ind w:left="620" w:hanging="307"/>
        <w:spacing w:after="0" w:line="290" w:lineRule="auto"/>
        <w:tabs>
          <w:tab w:leader="none" w:pos="616" w:val="left"/>
        </w:tabs>
        <w:numPr>
          <w:ilvl w:val="0"/>
          <w:numId w:val="4"/>
        </w:numPr>
        <w:rPr>
          <w:rFonts w:ascii="Arial" w:cs="Arial" w:eastAsia="Arial" w:hAnsi="Arial"/>
          <w:sz w:val="17"/>
          <w:szCs w:val="17"/>
          <w:color w:val="auto"/>
        </w:rPr>
      </w:pPr>
      <w:r>
        <w:rPr>
          <w:rFonts w:ascii="Arial" w:cs="Arial" w:eastAsia="Arial" w:hAnsi="Arial"/>
          <w:sz w:val="17"/>
          <w:szCs w:val="17"/>
          <w:color w:val="auto"/>
        </w:rPr>
        <w:t>proficient in reporting accidents, utilizing applicable procedures to confirm appropriate loss mitigation techniques are implemented should a loss occur.</w:t>
      </w:r>
    </w:p>
    <w:p>
      <w:pPr>
        <w:spacing w:after="0" w:line="95"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7"/>
          <w:szCs w:val="17"/>
          <w:color w:val="auto"/>
        </w:rPr>
        <w:t>Our “Think Safe, Act Safe, Be Safe” approach to safety includes establishing a safety mindset from day one of employment. This safety culture is continuously reinforced through daily moments for safety messaging, relevant monthly training topics, and unique programs and materials created for our employees.</w:t>
      </w:r>
    </w:p>
    <w:p>
      <w:pPr>
        <w:spacing w:after="0" w:line="111"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7"/>
          <w:szCs w:val="17"/>
          <w:color w:val="auto"/>
        </w:rPr>
        <w:t>One of the cornerstones of our “Think Safe, Act Safe, Be Safe” program is designed to help leaders identify workplace hazards and implement changes to prevent accident or injury. In our frontline leader training, participants are guided in creating a culture of safety and provided guidance on practices to support our employees receiving the right care at the right time to expedite their recovery.</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i w:val="1"/>
          <w:iCs w:val="1"/>
          <w:color w:val="0046AD"/>
        </w:rPr>
        <w:t>Culture</w:t>
      </w:r>
    </w:p>
    <w:p>
      <w:pPr>
        <w:spacing w:after="0" w:line="163"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With a widely distributed workforce serving over 20,000 clients across multiple nations and geographic regions, ABM’s culture — and the employee experience it enables — remains critical to attracting, retaining, and engaging top talent. The Company continues to strengthen a culture of inclusion and belonging for all employees, where individuals from all backgrounds are empowered to contribute fully, develop their capabilities, and advance their careers. We believe our enterprise-wide focus on our culture enhances engagement, safety, and innovation — key drivers of operational excellence and long-term value creation.</w:t>
      </w:r>
    </w:p>
    <w:p>
      <w:pPr>
        <w:spacing w:after="0" w:line="119"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7"/>
          <w:szCs w:val="17"/>
          <w:color w:val="auto"/>
        </w:rPr>
        <w:t>Guided by our mission and values, ABM’s inclusion strategy is activated through its Culture &amp; Inclusion Council, as well as Impact Groups, which are accessible to all employees, with executive sponsorship from ABM’s President, Chief Executive Officer, and Chief Human Resources Officer.</w:t>
      </w:r>
    </w:p>
    <w:p>
      <w:pPr>
        <w:spacing w:after="0" w:line="111"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Beyond our internal workforce, our culture of care extends to the communities we serve. Through the ABM Cares program, employees participate in volunteer initiatives, local partnerships, and charitable giving that strengthen community ties and reflect the Company’s mission of “making a difference every person, every day.” The recently launched ABM Team Member Relief Fund further demonstrates this commitment by providing financial support to employees facing unexpected personal or natural disaster-related hardships.</w:t>
      </w:r>
    </w:p>
    <w:p>
      <w:pPr>
        <w:spacing w:after="0" w:line="116"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17"/>
          <w:szCs w:val="17"/>
          <w:color w:val="auto"/>
        </w:rPr>
        <w:t>Additionally, ABM is an Equal Opportunity and Affirmative Action employer in compliance with the requirements of Executive Order 11246, the Rehabilitation Act of 1973, and the Vietnam Era Veterans’ Readjustment Assistance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69" w:right="339" w:bottom="1440" w:gutter="0" w:footer="0" w:header="0"/>
        </w:sectPr>
      </w:pPr>
    </w:p>
    <w:bookmarkStart w:id="11" w:name="page12"/>
    <w:bookmarkEnd w:id="11"/>
    <w:p>
      <w:pPr>
        <w:spacing w:after="0"/>
        <w:rPr>
          <w:sz w:val="20"/>
          <w:szCs w:val="20"/>
          <w:color w:val="auto"/>
        </w:rPr>
      </w:pPr>
      <w:r>
        <w:rPr>
          <w:rFonts w:ascii="Arial" w:cs="Arial" w:eastAsia="Arial" w:hAnsi="Arial"/>
          <w:sz w:val="17"/>
          <w:szCs w:val="17"/>
          <w:b w:val="1"/>
          <w:bCs w:val="1"/>
          <w:color w:val="0046AD"/>
        </w:rPr>
        <w:t>Available Information</w:t>
      </w:r>
    </w:p>
    <w:p>
      <w:pPr>
        <w:spacing w:after="0" w:line="155"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Our corporate website is www.abm.com. The content on any website referred to in this filing does not constitute, and should not be viewed as, a part of this Annual Report, and our website is not incorporated into this or any of our other filings with the Securities and Exchange Commission (“SEC”). We make available, free of charge through our website, our Annual Reports on Form 10-K, Quarterly Reports on Form 10-Q, Current Reports on Form 8-K, proxy statements, and amendments to those reports filed or furnished pursuant to Section 13(a) or 15(d) of the Securities Exchange Act of 1934 as soon as reasonably practicable after such reports are electronically filed with or furnished to the SEC. Additionally, the SEC maintains a website at www.sec.gov that contains reports, proxy and information statements, and other information regarding issuers that file electronically with the SEC.</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Executive Officers of Registrant</w:t>
      </w:r>
    </w:p>
    <w:p>
      <w:pPr>
        <w:sectPr>
          <w:pgSz w:w="11900" w:h="16838" w:orient="portrait"/>
          <w:cols w:equalWidth="0" w:num="1">
            <w:col w:w="11240"/>
          </w:cols>
          <w:pgMar w:left="320" w:top="1010" w:right="339" w:bottom="1440" w:gutter="0" w:footer="0" w:header="0"/>
        </w:sectPr>
      </w:pPr>
    </w:p>
    <w:p>
      <w:pPr>
        <w:spacing w:after="0" w:line="3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46AD"/>
        </w:rPr>
        <w:t>Executive Officers on December 19, 2025</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82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Name</w:t>
            </w:r>
          </w:p>
        </w:tc>
        <w:tc>
          <w:tcPr>
            <w:tcW w:w="100" w:type="dxa"/>
            <w:vAlign w:val="bottom"/>
          </w:tcPr>
          <w:p>
            <w:pPr>
              <w:spacing w:after="0"/>
              <w:rPr>
                <w:sz w:val="19"/>
                <w:szCs w:val="19"/>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rPr>
              <w:t>Age</w:t>
            </w:r>
          </w:p>
        </w:tc>
        <w:tc>
          <w:tcPr>
            <w:tcW w:w="0" w:type="dxa"/>
            <w:vAlign w:val="bottom"/>
          </w:tcPr>
          <w:p>
            <w:pPr>
              <w:spacing w:after="0"/>
              <w:rPr>
                <w:sz w:val="1"/>
                <w:szCs w:val="1"/>
                <w:color w:val="auto"/>
              </w:rPr>
            </w:pPr>
          </w:p>
        </w:tc>
      </w:tr>
      <w:tr>
        <w:trPr>
          <w:trHeight w:val="198"/>
        </w:trPr>
        <w:tc>
          <w:tcPr>
            <w:tcW w:w="2920" w:type="dxa"/>
            <w:vAlign w:val="bottom"/>
            <w:gridSpan w:val="2"/>
            <w:vMerge w:val="restart"/>
          </w:tcPr>
          <w:p>
            <w:pPr>
              <w:ind w:left="20"/>
              <w:spacing w:after="0"/>
              <w:rPr>
                <w:sz w:val="20"/>
                <w:szCs w:val="20"/>
                <w:color w:val="auto"/>
              </w:rPr>
            </w:pPr>
            <w:r>
              <w:rPr>
                <w:rFonts w:ascii="Arial" w:cs="Arial" w:eastAsia="Arial" w:hAnsi="Arial"/>
                <w:sz w:val="15"/>
                <w:szCs w:val="15"/>
                <w:color w:val="auto"/>
              </w:rPr>
              <w:t>Scott Salmirs</w:t>
            </w:r>
          </w:p>
        </w:tc>
        <w:tc>
          <w:tcPr>
            <w:tcW w:w="1060" w:type="dxa"/>
            <w:vAlign w:val="bottom"/>
          </w:tcPr>
          <w:p>
            <w:pPr>
              <w:jc w:val="right"/>
              <w:ind w:right="358"/>
              <w:spacing w:after="0"/>
              <w:rPr>
                <w:sz w:val="20"/>
                <w:szCs w:val="20"/>
                <w:color w:val="auto"/>
              </w:rPr>
            </w:pPr>
            <w:r>
              <w:rPr>
                <w:rFonts w:ascii="Arial" w:cs="Arial" w:eastAsia="Arial" w:hAnsi="Arial"/>
                <w:sz w:val="15"/>
                <w:szCs w:val="15"/>
                <w:color w:val="auto"/>
              </w:rPr>
              <w:t>63</w:t>
            </w:r>
          </w:p>
        </w:tc>
        <w:tc>
          <w:tcPr>
            <w:tcW w:w="0" w:type="dxa"/>
            <w:vAlign w:val="bottom"/>
          </w:tcPr>
          <w:p>
            <w:pPr>
              <w:spacing w:after="0"/>
              <w:rPr>
                <w:sz w:val="1"/>
                <w:szCs w:val="1"/>
                <w:color w:val="auto"/>
              </w:rPr>
            </w:pPr>
          </w:p>
        </w:tc>
      </w:tr>
      <w:tr>
        <w:trPr>
          <w:trHeight w:val="77"/>
        </w:trPr>
        <w:tc>
          <w:tcPr>
            <w:tcW w:w="2920" w:type="dxa"/>
            <w:vAlign w:val="bottom"/>
            <w:gridSpan w:val="2"/>
            <w:vMerge w:val="continue"/>
          </w:tcPr>
          <w:p>
            <w:pPr>
              <w:spacing w:after="0"/>
              <w:rPr>
                <w:sz w:val="6"/>
                <w:szCs w:val="6"/>
                <w:color w:val="auto"/>
              </w:rPr>
            </w:pPr>
          </w:p>
        </w:tc>
        <w:tc>
          <w:tcPr>
            <w:tcW w:w="10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Principal Occupations and Business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-2600960</wp:posOffset>
            </wp:positionH>
            <wp:positionV relativeFrom="paragraph">
              <wp:posOffset>19050</wp:posOffset>
            </wp:positionV>
            <wp:extent cx="6720840" cy="5321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720840" cy="532130"/>
                    </a:xfrm>
                    <a:prstGeom prst="rect">
                      <a:avLst/>
                    </a:prstGeom>
                    <a:noFill/>
                  </pic:spPr>
                </pic:pic>
              </a:graphicData>
            </a:graphic>
          </wp:anchor>
        </w:drawing>
      </w:r>
    </w:p>
    <w:p>
      <w:pPr>
        <w:spacing w:after="0" w:line="23" w:lineRule="exact"/>
        <w:rPr>
          <w:sz w:val="20"/>
          <w:szCs w:val="20"/>
          <w:color w:val="auto"/>
        </w:rPr>
      </w:pPr>
    </w:p>
    <w:p>
      <w:pPr>
        <w:jc w:val="both"/>
        <w:ind w:right="680"/>
        <w:spacing w:after="0" w:line="228" w:lineRule="auto"/>
        <w:rPr>
          <w:sz w:val="20"/>
          <w:szCs w:val="20"/>
          <w:color w:val="auto"/>
        </w:rPr>
      </w:pPr>
      <w:r>
        <w:rPr>
          <w:rFonts w:ascii="Arial" w:cs="Arial" w:eastAsia="Arial" w:hAnsi="Arial"/>
          <w:sz w:val="15"/>
          <w:szCs w:val="15"/>
          <w:color w:val="auto"/>
        </w:rPr>
        <w:t>President and Chief Executive Officer of ABM since March 2015; Executive Vice President of ABM from September 2014 to March 2015, with global responsibility for ABM’s Aviation division and all international activities; Executive Vice President of ABM’s Onsite Services division focused on the Northeast from 2003 to September 2014; Member of the Board of Directors of ABM since January 2015.</w:t>
      </w:r>
    </w:p>
    <w:p>
      <w:pPr>
        <w:spacing w:after="0" w:line="1" w:lineRule="exact"/>
        <w:rPr>
          <w:sz w:val="20"/>
          <w:szCs w:val="20"/>
          <w:color w:val="auto"/>
        </w:rPr>
      </w:pPr>
    </w:p>
    <w:p>
      <w:pPr>
        <w:sectPr>
          <w:pgSz w:w="11900" w:h="16838" w:orient="portrait"/>
          <w:cols w:equalWidth="0" w:num="2">
            <w:col w:w="3980" w:space="120"/>
            <w:col w:w="7140"/>
          </w:cols>
          <w:pgMar w:left="320" w:top="1010" w:right="339" w:bottom="1440" w:gutter="0" w:footer="0" w:header="0"/>
          <w:type w:val="continuous"/>
        </w:sectPr>
      </w:pPr>
    </w:p>
    <w:tbl>
      <w:tblPr>
        <w:tblLayout w:type="fixed"/>
        <w:tblInd w:w="0" w:type="dxa"/>
        <w:tblCellMar>
          <w:top w:w="0" w:type="dxa"/>
          <w:left w:w="0" w:type="dxa"/>
          <w:bottom w:w="0" w:type="dxa"/>
          <w:right w:w="0" w:type="dxa"/>
        </w:tblCellMar>
      </w:tblPr>
      <w:tr>
        <w:trPr>
          <w:trHeight w:val="172"/>
        </w:trPr>
        <w:tc>
          <w:tcPr>
            <w:tcW w:w="2320" w:type="dxa"/>
            <w:vAlign w:val="bottom"/>
          </w:tcPr>
          <w:p>
            <w:pPr>
              <w:ind w:left="20"/>
              <w:spacing w:after="0"/>
              <w:rPr>
                <w:sz w:val="20"/>
                <w:szCs w:val="20"/>
                <w:color w:val="auto"/>
              </w:rPr>
            </w:pPr>
            <w:r>
              <w:rPr>
                <w:rFonts w:ascii="Arial" w:cs="Arial" w:eastAsia="Arial" w:hAnsi="Arial"/>
                <w:sz w:val="15"/>
                <w:szCs w:val="15"/>
                <w:color w:val="auto"/>
              </w:rPr>
              <w:t>David M. Orr</w:t>
            </w:r>
          </w:p>
        </w:tc>
        <w:tc>
          <w:tcPr>
            <w:tcW w:w="1500" w:type="dxa"/>
            <w:vAlign w:val="bottom"/>
          </w:tcPr>
          <w:p>
            <w:pPr>
              <w:jc w:val="right"/>
              <w:ind w:right="203"/>
              <w:spacing w:after="0"/>
              <w:rPr>
                <w:sz w:val="20"/>
                <w:szCs w:val="20"/>
                <w:color w:val="auto"/>
              </w:rPr>
            </w:pPr>
            <w:r>
              <w:rPr>
                <w:rFonts w:ascii="Arial" w:cs="Arial" w:eastAsia="Arial" w:hAnsi="Arial"/>
                <w:sz w:val="15"/>
                <w:szCs w:val="15"/>
                <w:color w:val="auto"/>
              </w:rPr>
              <w:t>51</w:t>
            </w:r>
          </w:p>
        </w:tc>
        <w:tc>
          <w:tcPr>
            <w:tcW w:w="6760" w:type="dxa"/>
            <w:vAlign w:val="bottom"/>
          </w:tcPr>
          <w:p>
            <w:pPr>
              <w:ind w:left="280"/>
              <w:spacing w:after="0"/>
              <w:rPr>
                <w:sz w:val="20"/>
                <w:szCs w:val="20"/>
                <w:color w:val="auto"/>
              </w:rPr>
            </w:pPr>
            <w:r>
              <w:rPr>
                <w:rFonts w:ascii="Arial" w:cs="Arial" w:eastAsia="Arial" w:hAnsi="Arial"/>
                <w:sz w:val="15"/>
                <w:szCs w:val="15"/>
                <w:color w:val="auto"/>
              </w:rPr>
              <w:t>Executive Vice President and Chief Financial Officer since June 10, 2025; Senior Vice</w:t>
            </w:r>
          </w:p>
        </w:tc>
      </w:tr>
      <w:tr>
        <w:trPr>
          <w:trHeight w:val="180"/>
        </w:trPr>
        <w:tc>
          <w:tcPr>
            <w:tcW w:w="23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6760" w:type="dxa"/>
            <w:vAlign w:val="bottom"/>
          </w:tcPr>
          <w:p>
            <w:pPr>
              <w:ind w:left="280"/>
              <w:spacing w:after="0"/>
              <w:rPr>
                <w:sz w:val="20"/>
                <w:szCs w:val="20"/>
                <w:color w:val="auto"/>
              </w:rPr>
            </w:pPr>
            <w:r>
              <w:rPr>
                <w:rFonts w:ascii="Arial" w:cs="Arial" w:eastAsia="Arial" w:hAnsi="Arial"/>
                <w:sz w:val="15"/>
                <w:szCs w:val="15"/>
                <w:color w:val="auto"/>
              </w:rPr>
              <w:t>President,  Financial  Planning  and  Analysis  from  November  2015  to  June  2025;  Vice</w:t>
            </w:r>
          </w:p>
        </w:tc>
      </w:tr>
      <w:tr>
        <w:trPr>
          <w:trHeight w:val="180"/>
        </w:trPr>
        <w:tc>
          <w:tcPr>
            <w:tcW w:w="23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6760" w:type="dxa"/>
            <w:vAlign w:val="bottom"/>
          </w:tcPr>
          <w:p>
            <w:pPr>
              <w:ind w:left="280"/>
              <w:spacing w:after="0"/>
              <w:rPr>
                <w:sz w:val="20"/>
                <w:szCs w:val="20"/>
                <w:color w:val="auto"/>
              </w:rPr>
            </w:pPr>
            <w:r>
              <w:rPr>
                <w:rFonts w:ascii="Arial" w:cs="Arial" w:eastAsia="Arial" w:hAnsi="Arial"/>
                <w:sz w:val="15"/>
                <w:szCs w:val="15"/>
                <w:color w:val="auto"/>
              </w:rPr>
              <w:t>President, Strategic Solutions, from October 2008 to November 2015; Vice President, Finance</w:t>
            </w:r>
          </w:p>
        </w:tc>
      </w:tr>
      <w:tr>
        <w:trPr>
          <w:trHeight w:val="204"/>
        </w:trPr>
        <w:tc>
          <w:tcPr>
            <w:tcW w:w="23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6760" w:type="dxa"/>
            <w:vAlign w:val="bottom"/>
          </w:tcPr>
          <w:p>
            <w:pPr>
              <w:ind w:left="280"/>
              <w:spacing w:after="0"/>
              <w:rPr>
                <w:sz w:val="20"/>
                <w:szCs w:val="20"/>
                <w:color w:val="auto"/>
              </w:rPr>
            </w:pPr>
            <w:r>
              <w:rPr>
                <w:rFonts w:ascii="Arial" w:cs="Arial" w:eastAsia="Arial" w:hAnsi="Arial"/>
                <w:sz w:val="15"/>
                <w:szCs w:val="15"/>
                <w:color w:val="auto"/>
              </w:rPr>
              <w:t>&amp; Administration, from July 2005 to October 2008.</w:t>
            </w:r>
          </w:p>
        </w:tc>
      </w:tr>
      <w:tr>
        <w:trPr>
          <w:trHeight w:val="27"/>
        </w:trPr>
        <w:tc>
          <w:tcPr>
            <w:tcW w:w="2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6760" w:type="dxa"/>
            <w:vAlign w:val="bottom"/>
          </w:tcPr>
          <w:p>
            <w:pPr>
              <w:spacing w:after="0"/>
              <w:rPr>
                <w:sz w:val="2"/>
                <w:szCs w:val="2"/>
                <w:color w:val="auto"/>
              </w:rPr>
            </w:pPr>
          </w:p>
        </w:tc>
      </w:tr>
      <w:tr>
        <w:trPr>
          <w:trHeight w:val="168"/>
        </w:trPr>
        <w:tc>
          <w:tcPr>
            <w:tcW w:w="2320" w:type="dxa"/>
            <w:vAlign w:val="bottom"/>
            <w:shd w:val="clear" w:color="auto" w:fill="DCE2EF"/>
          </w:tcPr>
          <w:p>
            <w:pPr>
              <w:ind w:left="20"/>
              <w:spacing w:after="0" w:line="169" w:lineRule="exact"/>
              <w:rPr>
                <w:sz w:val="20"/>
                <w:szCs w:val="20"/>
                <w:color w:val="auto"/>
              </w:rPr>
            </w:pPr>
            <w:r>
              <w:rPr>
                <w:rFonts w:ascii="Arial" w:cs="Arial" w:eastAsia="Arial" w:hAnsi="Arial"/>
                <w:sz w:val="15"/>
                <w:szCs w:val="15"/>
                <w:color w:val="auto"/>
              </w:rPr>
              <w:t>Rene Jacobsen</w:t>
            </w:r>
          </w:p>
        </w:tc>
        <w:tc>
          <w:tcPr>
            <w:tcW w:w="1500" w:type="dxa"/>
            <w:vAlign w:val="bottom"/>
            <w:shd w:val="clear" w:color="auto" w:fill="DCE2EF"/>
          </w:tcPr>
          <w:p>
            <w:pPr>
              <w:jc w:val="right"/>
              <w:ind w:right="203"/>
              <w:spacing w:after="0" w:line="169" w:lineRule="exact"/>
              <w:rPr>
                <w:sz w:val="20"/>
                <w:szCs w:val="20"/>
                <w:color w:val="auto"/>
              </w:rPr>
            </w:pPr>
            <w:r>
              <w:rPr>
                <w:rFonts w:ascii="Arial" w:cs="Arial" w:eastAsia="Arial" w:hAnsi="Arial"/>
                <w:sz w:val="15"/>
                <w:szCs w:val="15"/>
                <w:color w:val="auto"/>
              </w:rPr>
              <w:t>64</w:t>
            </w:r>
          </w:p>
        </w:tc>
        <w:tc>
          <w:tcPr>
            <w:tcW w:w="6760" w:type="dxa"/>
            <w:vAlign w:val="bottom"/>
            <w:shd w:val="clear" w:color="auto" w:fill="DCE2EF"/>
          </w:tcPr>
          <w:p>
            <w:pPr>
              <w:ind w:left="280"/>
              <w:spacing w:after="0" w:line="169" w:lineRule="exact"/>
              <w:rPr>
                <w:sz w:val="20"/>
                <w:szCs w:val="20"/>
                <w:color w:val="auto"/>
              </w:rPr>
            </w:pPr>
            <w:r>
              <w:rPr>
                <w:rFonts w:ascii="Arial" w:cs="Arial" w:eastAsia="Arial" w:hAnsi="Arial"/>
                <w:sz w:val="15"/>
                <w:szCs w:val="15"/>
                <w:color w:val="auto"/>
              </w:rPr>
              <w:t>Executive  Vice  President  and  Chief  Operating  Officer  of  ABM  since  November  2020;</w:t>
            </w:r>
          </w:p>
        </w:tc>
      </w:tr>
      <w:tr>
        <w:trPr>
          <w:trHeight w:val="180"/>
        </w:trPr>
        <w:tc>
          <w:tcPr>
            <w:tcW w:w="2320" w:type="dxa"/>
            <w:vAlign w:val="bottom"/>
            <w:shd w:val="clear" w:color="auto" w:fill="DCE2EF"/>
          </w:tcPr>
          <w:p>
            <w:pPr>
              <w:spacing w:after="0"/>
              <w:rPr>
                <w:sz w:val="15"/>
                <w:szCs w:val="15"/>
                <w:color w:val="auto"/>
              </w:rPr>
            </w:pPr>
          </w:p>
        </w:tc>
        <w:tc>
          <w:tcPr>
            <w:tcW w:w="1500" w:type="dxa"/>
            <w:vAlign w:val="bottom"/>
            <w:shd w:val="clear" w:color="auto" w:fill="DCE2EF"/>
          </w:tcPr>
          <w:p>
            <w:pPr>
              <w:spacing w:after="0"/>
              <w:rPr>
                <w:sz w:val="15"/>
                <w:szCs w:val="15"/>
                <w:color w:val="auto"/>
              </w:rPr>
            </w:pPr>
          </w:p>
        </w:tc>
        <w:tc>
          <w:tcPr>
            <w:tcW w:w="6760" w:type="dxa"/>
            <w:vAlign w:val="bottom"/>
            <w:shd w:val="clear" w:color="auto" w:fill="DCE2EF"/>
          </w:tcPr>
          <w:p>
            <w:pPr>
              <w:ind w:left="280"/>
              <w:spacing w:after="0"/>
              <w:rPr>
                <w:sz w:val="20"/>
                <w:szCs w:val="20"/>
                <w:color w:val="auto"/>
              </w:rPr>
            </w:pPr>
            <w:r>
              <w:rPr>
                <w:rFonts w:ascii="Arial" w:cs="Arial" w:eastAsia="Arial" w:hAnsi="Arial"/>
                <w:sz w:val="15"/>
                <w:szCs w:val="15"/>
                <w:color w:val="auto"/>
              </w:rPr>
              <w:t>Executive Vice President and Chief Facilities Services Officer of ABM from October 2019 to</w:t>
            </w:r>
          </w:p>
        </w:tc>
      </w:tr>
      <w:tr>
        <w:trPr>
          <w:trHeight w:val="168"/>
        </w:trPr>
        <w:tc>
          <w:tcPr>
            <w:tcW w:w="2320" w:type="dxa"/>
            <w:vAlign w:val="bottom"/>
            <w:shd w:val="clear" w:color="auto" w:fill="DCE2EF"/>
          </w:tcPr>
          <w:p>
            <w:pPr>
              <w:spacing w:after="0"/>
              <w:rPr>
                <w:sz w:val="14"/>
                <w:szCs w:val="14"/>
                <w:color w:val="auto"/>
              </w:rPr>
            </w:pPr>
          </w:p>
        </w:tc>
        <w:tc>
          <w:tcPr>
            <w:tcW w:w="1500" w:type="dxa"/>
            <w:vAlign w:val="bottom"/>
            <w:shd w:val="clear" w:color="auto" w:fill="DCE2EF"/>
          </w:tcPr>
          <w:p>
            <w:pPr>
              <w:spacing w:after="0"/>
              <w:rPr>
                <w:sz w:val="14"/>
                <w:szCs w:val="14"/>
                <w:color w:val="auto"/>
              </w:rPr>
            </w:pPr>
          </w:p>
        </w:tc>
        <w:tc>
          <w:tcPr>
            <w:tcW w:w="6760" w:type="dxa"/>
            <w:vAlign w:val="bottom"/>
            <w:shd w:val="clear" w:color="auto" w:fill="DCE2EF"/>
          </w:tcPr>
          <w:p>
            <w:pPr>
              <w:ind w:left="280"/>
              <w:spacing w:after="0" w:line="168" w:lineRule="exact"/>
              <w:rPr>
                <w:sz w:val="20"/>
                <w:szCs w:val="20"/>
                <w:color w:val="auto"/>
              </w:rPr>
            </w:pPr>
            <w:r>
              <w:rPr>
                <w:rFonts w:ascii="Arial" w:cs="Arial" w:eastAsia="Arial" w:hAnsi="Arial"/>
                <w:sz w:val="15"/>
                <w:szCs w:val="15"/>
                <w:color w:val="auto"/>
              </w:rPr>
              <w:t>November 2020; President of ABM’s Business &amp; Industry Group from February 2016 to</w:t>
            </w:r>
          </w:p>
        </w:tc>
      </w:tr>
      <w:tr>
        <w:trPr>
          <w:trHeight w:val="168"/>
        </w:trPr>
        <w:tc>
          <w:tcPr>
            <w:tcW w:w="2320" w:type="dxa"/>
            <w:vAlign w:val="bottom"/>
            <w:shd w:val="clear" w:color="auto" w:fill="DCE2EF"/>
          </w:tcPr>
          <w:p>
            <w:pPr>
              <w:spacing w:after="0"/>
              <w:rPr>
                <w:sz w:val="14"/>
                <w:szCs w:val="14"/>
                <w:color w:val="auto"/>
              </w:rPr>
            </w:pPr>
          </w:p>
        </w:tc>
        <w:tc>
          <w:tcPr>
            <w:tcW w:w="1500" w:type="dxa"/>
            <w:vAlign w:val="bottom"/>
            <w:shd w:val="clear" w:color="auto" w:fill="DCE2EF"/>
          </w:tcPr>
          <w:p>
            <w:pPr>
              <w:spacing w:after="0"/>
              <w:rPr>
                <w:sz w:val="14"/>
                <w:szCs w:val="14"/>
                <w:color w:val="auto"/>
              </w:rPr>
            </w:pPr>
          </w:p>
        </w:tc>
        <w:tc>
          <w:tcPr>
            <w:tcW w:w="6760" w:type="dxa"/>
            <w:vAlign w:val="bottom"/>
            <w:shd w:val="clear" w:color="auto" w:fill="DCE2EF"/>
          </w:tcPr>
          <w:p>
            <w:pPr>
              <w:ind w:left="280"/>
              <w:spacing w:after="0" w:line="168" w:lineRule="exact"/>
              <w:rPr>
                <w:sz w:val="20"/>
                <w:szCs w:val="20"/>
                <w:color w:val="auto"/>
              </w:rPr>
            </w:pPr>
            <w:r>
              <w:rPr>
                <w:rFonts w:ascii="Arial" w:cs="Arial" w:eastAsia="Arial" w:hAnsi="Arial"/>
                <w:sz w:val="15"/>
                <w:szCs w:val="15"/>
                <w:color w:val="auto"/>
              </w:rPr>
              <w:t>October 2019; Executive Vice President of ABM’s West Region from April 2012 to February</w:t>
            </w:r>
          </w:p>
        </w:tc>
      </w:tr>
      <w:tr>
        <w:trPr>
          <w:trHeight w:val="180"/>
        </w:trPr>
        <w:tc>
          <w:tcPr>
            <w:tcW w:w="2320" w:type="dxa"/>
            <w:vAlign w:val="bottom"/>
            <w:shd w:val="clear" w:color="auto" w:fill="DCE2EF"/>
          </w:tcPr>
          <w:p>
            <w:pPr>
              <w:spacing w:after="0"/>
              <w:rPr>
                <w:sz w:val="15"/>
                <w:szCs w:val="15"/>
                <w:color w:val="auto"/>
              </w:rPr>
            </w:pPr>
          </w:p>
        </w:tc>
        <w:tc>
          <w:tcPr>
            <w:tcW w:w="1500" w:type="dxa"/>
            <w:vAlign w:val="bottom"/>
            <w:shd w:val="clear" w:color="auto" w:fill="DCE2EF"/>
          </w:tcPr>
          <w:p>
            <w:pPr>
              <w:spacing w:after="0"/>
              <w:rPr>
                <w:sz w:val="15"/>
                <w:szCs w:val="15"/>
                <w:color w:val="auto"/>
              </w:rPr>
            </w:pPr>
          </w:p>
        </w:tc>
        <w:tc>
          <w:tcPr>
            <w:tcW w:w="6760" w:type="dxa"/>
            <w:vAlign w:val="bottom"/>
            <w:shd w:val="clear" w:color="auto" w:fill="DCE2EF"/>
          </w:tcPr>
          <w:p>
            <w:pPr>
              <w:ind w:left="280"/>
              <w:spacing w:after="0"/>
              <w:rPr>
                <w:sz w:val="20"/>
                <w:szCs w:val="20"/>
                <w:color w:val="auto"/>
              </w:rPr>
            </w:pPr>
            <w:r>
              <w:rPr>
                <w:rFonts w:ascii="Arial" w:cs="Arial" w:eastAsia="Arial" w:hAnsi="Arial"/>
                <w:sz w:val="15"/>
                <w:szCs w:val="15"/>
                <w:color w:val="auto"/>
              </w:rPr>
              <w:t>2016; Executive Vice President and Chief Operating Officer of Temco Service Industries from</w:t>
            </w:r>
          </w:p>
        </w:tc>
      </w:tr>
      <w:tr>
        <w:trPr>
          <w:trHeight w:val="211"/>
        </w:trPr>
        <w:tc>
          <w:tcPr>
            <w:tcW w:w="2320" w:type="dxa"/>
            <w:vAlign w:val="bottom"/>
            <w:tcBorders>
              <w:bottom w:val="single" w:sz="8" w:color="DCE2EF"/>
            </w:tcBorders>
            <w:shd w:val="clear" w:color="auto" w:fill="DCE2EF"/>
          </w:tcPr>
          <w:p>
            <w:pPr>
              <w:spacing w:after="0"/>
              <w:rPr>
                <w:sz w:val="18"/>
                <w:szCs w:val="18"/>
                <w:color w:val="auto"/>
              </w:rPr>
            </w:pPr>
          </w:p>
        </w:tc>
        <w:tc>
          <w:tcPr>
            <w:tcW w:w="1500" w:type="dxa"/>
            <w:vAlign w:val="bottom"/>
            <w:tcBorders>
              <w:bottom w:val="single" w:sz="8" w:color="DCE2EF"/>
            </w:tcBorders>
            <w:shd w:val="clear" w:color="auto" w:fill="DCE2EF"/>
          </w:tcPr>
          <w:p>
            <w:pPr>
              <w:spacing w:after="0"/>
              <w:rPr>
                <w:sz w:val="18"/>
                <w:szCs w:val="18"/>
                <w:color w:val="auto"/>
              </w:rPr>
            </w:pPr>
          </w:p>
        </w:tc>
        <w:tc>
          <w:tcPr>
            <w:tcW w:w="6760" w:type="dxa"/>
            <w:vAlign w:val="bottom"/>
            <w:tcBorders>
              <w:bottom w:val="single" w:sz="8" w:color="DCE2EF"/>
            </w:tcBorders>
            <w:shd w:val="clear" w:color="auto" w:fill="DCE2EF"/>
          </w:tcPr>
          <w:p>
            <w:pPr>
              <w:ind w:left="280"/>
              <w:spacing w:after="0"/>
              <w:rPr>
                <w:sz w:val="20"/>
                <w:szCs w:val="20"/>
                <w:color w:val="auto"/>
              </w:rPr>
            </w:pPr>
            <w:r>
              <w:rPr>
                <w:rFonts w:ascii="Arial" w:cs="Arial" w:eastAsia="Arial" w:hAnsi="Arial"/>
                <w:sz w:val="15"/>
                <w:szCs w:val="15"/>
                <w:color w:val="auto"/>
              </w:rPr>
              <w:t>November 2007 to April 2012.</w:t>
            </w:r>
          </w:p>
        </w:tc>
      </w:tr>
      <w:tr>
        <w:trPr>
          <w:trHeight w:val="155"/>
        </w:trPr>
        <w:tc>
          <w:tcPr>
            <w:tcW w:w="2320" w:type="dxa"/>
            <w:vAlign w:val="bottom"/>
          </w:tcPr>
          <w:p>
            <w:pPr>
              <w:ind w:left="20"/>
              <w:spacing w:after="0" w:line="156" w:lineRule="exact"/>
              <w:rPr>
                <w:sz w:val="20"/>
                <w:szCs w:val="20"/>
                <w:color w:val="auto"/>
              </w:rPr>
            </w:pPr>
            <w:r>
              <w:rPr>
                <w:rFonts w:ascii="Arial" w:cs="Arial" w:eastAsia="Arial" w:hAnsi="Arial"/>
                <w:sz w:val="15"/>
                <w:szCs w:val="15"/>
                <w:color w:val="auto"/>
              </w:rPr>
              <w:t>Sean M. Mahoney</w:t>
            </w:r>
          </w:p>
        </w:tc>
        <w:tc>
          <w:tcPr>
            <w:tcW w:w="1500" w:type="dxa"/>
            <w:vAlign w:val="bottom"/>
          </w:tcPr>
          <w:p>
            <w:pPr>
              <w:jc w:val="right"/>
              <w:ind w:right="203"/>
              <w:spacing w:after="0" w:line="156" w:lineRule="exact"/>
              <w:rPr>
                <w:sz w:val="20"/>
                <w:szCs w:val="20"/>
                <w:color w:val="auto"/>
              </w:rPr>
            </w:pPr>
            <w:r>
              <w:rPr>
                <w:rFonts w:ascii="Arial" w:cs="Arial" w:eastAsia="Arial" w:hAnsi="Arial"/>
                <w:sz w:val="15"/>
                <w:szCs w:val="15"/>
                <w:color w:val="auto"/>
              </w:rPr>
              <w:t>59</w:t>
            </w:r>
          </w:p>
        </w:tc>
        <w:tc>
          <w:tcPr>
            <w:tcW w:w="6760" w:type="dxa"/>
            <w:vAlign w:val="bottom"/>
          </w:tcPr>
          <w:p>
            <w:pPr>
              <w:ind w:left="280"/>
              <w:spacing w:after="0" w:line="156" w:lineRule="exact"/>
              <w:rPr>
                <w:sz w:val="20"/>
                <w:szCs w:val="20"/>
                <w:color w:val="auto"/>
              </w:rPr>
            </w:pPr>
            <w:r>
              <w:rPr>
                <w:rFonts w:ascii="Arial" w:cs="Arial" w:eastAsia="Arial" w:hAnsi="Arial"/>
                <w:sz w:val="15"/>
                <w:szCs w:val="15"/>
                <w:color w:val="auto"/>
              </w:rPr>
              <w:t>Executive Vice President and President, Sales and Marketing of ABM since November 2020;</w:t>
            </w:r>
          </w:p>
        </w:tc>
      </w:tr>
      <w:tr>
        <w:trPr>
          <w:trHeight w:val="155"/>
        </w:trPr>
        <w:tc>
          <w:tcPr>
            <w:tcW w:w="23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6760" w:type="dxa"/>
            <w:vAlign w:val="bottom"/>
          </w:tcPr>
          <w:p>
            <w:pPr>
              <w:ind w:left="280"/>
              <w:spacing w:after="0" w:line="155" w:lineRule="exact"/>
              <w:rPr>
                <w:sz w:val="20"/>
                <w:szCs w:val="20"/>
                <w:color w:val="auto"/>
              </w:rPr>
            </w:pPr>
            <w:r>
              <w:rPr>
                <w:rFonts w:ascii="Arial" w:cs="Arial" w:eastAsia="Arial" w:hAnsi="Arial"/>
                <w:sz w:val="15"/>
                <w:szCs w:val="15"/>
                <w:color w:val="auto"/>
              </w:rPr>
              <w:t>Senior Vice President, Sales of ABM from August 2017 to October 2020; Vice President,</w:t>
            </w:r>
          </w:p>
        </w:tc>
      </w:tr>
      <w:tr>
        <w:trPr>
          <w:trHeight w:val="205"/>
        </w:trPr>
        <w:tc>
          <w:tcPr>
            <w:tcW w:w="23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6760" w:type="dxa"/>
            <w:vAlign w:val="bottom"/>
          </w:tcPr>
          <w:p>
            <w:pPr>
              <w:ind w:left="280"/>
              <w:spacing w:after="0"/>
              <w:rPr>
                <w:sz w:val="20"/>
                <w:szCs w:val="20"/>
                <w:color w:val="auto"/>
              </w:rPr>
            </w:pPr>
            <w:r>
              <w:rPr>
                <w:rFonts w:ascii="Arial" w:cs="Arial" w:eastAsia="Arial" w:hAnsi="Arial"/>
                <w:sz w:val="15"/>
                <w:szCs w:val="15"/>
                <w:color w:val="auto"/>
              </w:rPr>
              <w:t>Sales of Honeywell from July 2015 to July 2017.</w:t>
            </w:r>
          </w:p>
        </w:tc>
      </w:tr>
      <w:tr>
        <w:trPr>
          <w:trHeight w:val="156"/>
        </w:trPr>
        <w:tc>
          <w:tcPr>
            <w:tcW w:w="2320" w:type="dxa"/>
            <w:vAlign w:val="bottom"/>
            <w:shd w:val="clear" w:color="auto" w:fill="DCE2EF"/>
          </w:tcPr>
          <w:p>
            <w:pPr>
              <w:ind w:left="20"/>
              <w:spacing w:after="0" w:line="156" w:lineRule="exact"/>
              <w:rPr>
                <w:sz w:val="20"/>
                <w:szCs w:val="20"/>
                <w:color w:val="auto"/>
              </w:rPr>
            </w:pPr>
            <w:r>
              <w:rPr>
                <w:rFonts w:ascii="Arial" w:cs="Arial" w:eastAsia="Arial" w:hAnsi="Arial"/>
                <w:sz w:val="15"/>
                <w:szCs w:val="15"/>
                <w:color w:val="auto"/>
              </w:rPr>
              <w:t>Miranda R. Tolar</w:t>
            </w:r>
          </w:p>
        </w:tc>
        <w:tc>
          <w:tcPr>
            <w:tcW w:w="1500" w:type="dxa"/>
            <w:vAlign w:val="bottom"/>
            <w:shd w:val="clear" w:color="auto" w:fill="DCE2EF"/>
          </w:tcPr>
          <w:p>
            <w:pPr>
              <w:jc w:val="right"/>
              <w:ind w:right="203"/>
              <w:spacing w:after="0" w:line="156" w:lineRule="exact"/>
              <w:rPr>
                <w:sz w:val="20"/>
                <w:szCs w:val="20"/>
                <w:color w:val="auto"/>
              </w:rPr>
            </w:pPr>
            <w:r>
              <w:rPr>
                <w:rFonts w:ascii="Arial" w:cs="Arial" w:eastAsia="Arial" w:hAnsi="Arial"/>
                <w:sz w:val="15"/>
                <w:szCs w:val="15"/>
                <w:color w:val="auto"/>
              </w:rPr>
              <w:t>50</w:t>
            </w:r>
          </w:p>
        </w:tc>
        <w:tc>
          <w:tcPr>
            <w:tcW w:w="6760" w:type="dxa"/>
            <w:vAlign w:val="bottom"/>
            <w:shd w:val="clear" w:color="auto" w:fill="DCE2EF"/>
          </w:tcPr>
          <w:p>
            <w:pPr>
              <w:ind w:left="280"/>
              <w:spacing w:after="0" w:line="156" w:lineRule="exact"/>
              <w:rPr>
                <w:sz w:val="20"/>
                <w:szCs w:val="20"/>
                <w:color w:val="auto"/>
              </w:rPr>
            </w:pPr>
            <w:r>
              <w:rPr>
                <w:rFonts w:ascii="Arial" w:cs="Arial" w:eastAsia="Arial" w:hAnsi="Arial"/>
                <w:sz w:val="15"/>
                <w:szCs w:val="15"/>
                <w:color w:val="auto"/>
              </w:rPr>
              <w:t>Executive Vice President and General Counsel of ABM since January 1, 2025; Senior Vice</w:t>
            </w:r>
          </w:p>
        </w:tc>
      </w:tr>
      <w:tr>
        <w:trPr>
          <w:trHeight w:val="155"/>
        </w:trPr>
        <w:tc>
          <w:tcPr>
            <w:tcW w:w="2320" w:type="dxa"/>
            <w:vAlign w:val="bottom"/>
            <w:shd w:val="clear" w:color="auto" w:fill="DCE2EF"/>
          </w:tcPr>
          <w:p>
            <w:pPr>
              <w:spacing w:after="0"/>
              <w:rPr>
                <w:sz w:val="13"/>
                <w:szCs w:val="13"/>
                <w:color w:val="auto"/>
              </w:rPr>
            </w:pPr>
          </w:p>
        </w:tc>
        <w:tc>
          <w:tcPr>
            <w:tcW w:w="1500" w:type="dxa"/>
            <w:vAlign w:val="bottom"/>
            <w:shd w:val="clear" w:color="auto" w:fill="DCE2EF"/>
          </w:tcPr>
          <w:p>
            <w:pPr>
              <w:spacing w:after="0"/>
              <w:rPr>
                <w:sz w:val="13"/>
                <w:szCs w:val="13"/>
                <w:color w:val="auto"/>
              </w:rPr>
            </w:pPr>
          </w:p>
        </w:tc>
        <w:tc>
          <w:tcPr>
            <w:tcW w:w="6760" w:type="dxa"/>
            <w:vAlign w:val="bottom"/>
            <w:shd w:val="clear" w:color="auto" w:fill="DCE2EF"/>
          </w:tcPr>
          <w:p>
            <w:pPr>
              <w:ind w:left="280"/>
              <w:spacing w:after="0" w:line="155" w:lineRule="exact"/>
              <w:rPr>
                <w:sz w:val="20"/>
                <w:szCs w:val="20"/>
                <w:color w:val="auto"/>
              </w:rPr>
            </w:pPr>
            <w:r>
              <w:rPr>
                <w:rFonts w:ascii="Arial" w:cs="Arial" w:eastAsia="Arial" w:hAnsi="Arial"/>
                <w:sz w:val="15"/>
                <w:szCs w:val="15"/>
                <w:color w:val="auto"/>
              </w:rPr>
              <w:t>President and Deputy General Counsel, from March 2011 to December 2024; Partner at</w:t>
            </w:r>
          </w:p>
        </w:tc>
      </w:tr>
      <w:tr>
        <w:trPr>
          <w:trHeight w:val="206"/>
        </w:trPr>
        <w:tc>
          <w:tcPr>
            <w:tcW w:w="2320" w:type="dxa"/>
            <w:vAlign w:val="bottom"/>
            <w:shd w:val="clear" w:color="auto" w:fill="DCE2EF"/>
          </w:tcPr>
          <w:p>
            <w:pPr>
              <w:spacing w:after="0"/>
              <w:rPr>
                <w:sz w:val="17"/>
                <w:szCs w:val="17"/>
                <w:color w:val="auto"/>
              </w:rPr>
            </w:pPr>
          </w:p>
        </w:tc>
        <w:tc>
          <w:tcPr>
            <w:tcW w:w="1500" w:type="dxa"/>
            <w:vAlign w:val="bottom"/>
            <w:shd w:val="clear" w:color="auto" w:fill="DCE2EF"/>
          </w:tcPr>
          <w:p>
            <w:pPr>
              <w:spacing w:after="0"/>
              <w:rPr>
                <w:sz w:val="17"/>
                <w:szCs w:val="17"/>
                <w:color w:val="auto"/>
              </w:rPr>
            </w:pPr>
          </w:p>
        </w:tc>
        <w:tc>
          <w:tcPr>
            <w:tcW w:w="6760" w:type="dxa"/>
            <w:vAlign w:val="bottom"/>
            <w:shd w:val="clear" w:color="auto" w:fill="DCE2EF"/>
          </w:tcPr>
          <w:p>
            <w:pPr>
              <w:ind w:left="280"/>
              <w:spacing w:after="0"/>
              <w:rPr>
                <w:sz w:val="20"/>
                <w:szCs w:val="20"/>
                <w:color w:val="auto"/>
              </w:rPr>
            </w:pPr>
            <w:r>
              <w:rPr>
                <w:rFonts w:ascii="Arial" w:cs="Arial" w:eastAsia="Arial" w:hAnsi="Arial"/>
                <w:sz w:val="15"/>
                <w:szCs w:val="15"/>
                <w:color w:val="auto"/>
              </w:rPr>
              <w:t>Locke Lord LLP, from October 2009 to March 2011.</w:t>
            </w:r>
          </w:p>
        </w:tc>
      </w:tr>
      <w:tr>
        <w:trPr>
          <w:trHeight w:val="168"/>
        </w:trPr>
        <w:tc>
          <w:tcPr>
            <w:tcW w:w="2320" w:type="dxa"/>
            <w:vAlign w:val="bottom"/>
          </w:tcPr>
          <w:p>
            <w:pPr>
              <w:ind w:left="20"/>
              <w:spacing w:after="0" w:line="169" w:lineRule="exact"/>
              <w:rPr>
                <w:sz w:val="20"/>
                <w:szCs w:val="20"/>
                <w:color w:val="auto"/>
              </w:rPr>
            </w:pPr>
            <w:r>
              <w:rPr>
                <w:rFonts w:ascii="Arial" w:cs="Arial" w:eastAsia="Arial" w:hAnsi="Arial"/>
                <w:sz w:val="15"/>
                <w:szCs w:val="15"/>
                <w:color w:val="auto"/>
              </w:rPr>
              <w:t>Raúl Valentín</w:t>
            </w:r>
          </w:p>
        </w:tc>
        <w:tc>
          <w:tcPr>
            <w:tcW w:w="1500" w:type="dxa"/>
            <w:vAlign w:val="bottom"/>
          </w:tcPr>
          <w:p>
            <w:pPr>
              <w:jc w:val="right"/>
              <w:ind w:right="203"/>
              <w:spacing w:after="0" w:line="169" w:lineRule="exact"/>
              <w:rPr>
                <w:sz w:val="20"/>
                <w:szCs w:val="20"/>
                <w:color w:val="auto"/>
              </w:rPr>
            </w:pPr>
            <w:r>
              <w:rPr>
                <w:rFonts w:ascii="Arial" w:cs="Arial" w:eastAsia="Arial" w:hAnsi="Arial"/>
                <w:sz w:val="15"/>
                <w:szCs w:val="15"/>
                <w:color w:val="auto"/>
              </w:rPr>
              <w:t>62</w:t>
            </w:r>
          </w:p>
        </w:tc>
        <w:tc>
          <w:tcPr>
            <w:tcW w:w="6760" w:type="dxa"/>
            <w:vAlign w:val="bottom"/>
          </w:tcPr>
          <w:p>
            <w:pPr>
              <w:ind w:left="280"/>
              <w:spacing w:after="0" w:line="169" w:lineRule="exact"/>
              <w:rPr>
                <w:sz w:val="20"/>
                <w:szCs w:val="20"/>
                <w:color w:val="auto"/>
              </w:rPr>
            </w:pPr>
            <w:r>
              <w:rPr>
                <w:rFonts w:ascii="Arial" w:cs="Arial" w:eastAsia="Arial" w:hAnsi="Arial"/>
                <w:sz w:val="15"/>
                <w:szCs w:val="15"/>
                <w:color w:val="auto"/>
              </w:rPr>
              <w:t>Executive Vice President and Chief Human Resources Officer of ABM since September 2021;</w:t>
            </w:r>
          </w:p>
        </w:tc>
      </w:tr>
      <w:tr>
        <w:trPr>
          <w:trHeight w:val="180"/>
        </w:trPr>
        <w:tc>
          <w:tcPr>
            <w:tcW w:w="23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6760" w:type="dxa"/>
            <w:vAlign w:val="bottom"/>
          </w:tcPr>
          <w:p>
            <w:pPr>
              <w:ind w:left="280"/>
              <w:spacing w:after="0"/>
              <w:rPr>
                <w:sz w:val="20"/>
                <w:szCs w:val="20"/>
                <w:color w:val="auto"/>
              </w:rPr>
            </w:pPr>
            <w:r>
              <w:rPr>
                <w:rFonts w:ascii="Arial" w:cs="Arial" w:eastAsia="Arial" w:hAnsi="Arial"/>
                <w:sz w:val="15"/>
                <w:szCs w:val="15"/>
                <w:color w:val="auto"/>
              </w:rPr>
              <w:t>Senior Vice President, Human Resources of ABM from February 2019 to August 2021; Senior</w:t>
            </w:r>
          </w:p>
        </w:tc>
      </w:tr>
      <w:tr>
        <w:trPr>
          <w:trHeight w:val="180"/>
        </w:trPr>
        <w:tc>
          <w:tcPr>
            <w:tcW w:w="23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6760" w:type="dxa"/>
            <w:vAlign w:val="bottom"/>
          </w:tcPr>
          <w:p>
            <w:pPr>
              <w:ind w:left="280"/>
              <w:spacing w:after="0"/>
              <w:rPr>
                <w:sz w:val="20"/>
                <w:szCs w:val="20"/>
                <w:color w:val="auto"/>
              </w:rPr>
            </w:pPr>
            <w:r>
              <w:rPr>
                <w:rFonts w:ascii="Arial" w:cs="Arial" w:eastAsia="Arial" w:hAnsi="Arial"/>
                <w:sz w:val="15"/>
                <w:szCs w:val="15"/>
                <w:color w:val="auto"/>
              </w:rPr>
              <w:t>Vice President, Human Resources of Coty Inc. from 2016 to 2018; Vice President, Human</w:t>
            </w:r>
          </w:p>
        </w:tc>
      </w:tr>
      <w:tr>
        <w:trPr>
          <w:trHeight w:val="180"/>
        </w:trPr>
        <w:tc>
          <w:tcPr>
            <w:tcW w:w="23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6760" w:type="dxa"/>
            <w:vAlign w:val="bottom"/>
          </w:tcPr>
          <w:p>
            <w:pPr>
              <w:ind w:left="280"/>
              <w:spacing w:after="0"/>
              <w:rPr>
                <w:sz w:val="20"/>
                <w:szCs w:val="20"/>
                <w:color w:val="auto"/>
              </w:rPr>
            </w:pPr>
            <w:r>
              <w:rPr>
                <w:rFonts w:ascii="Arial" w:cs="Arial" w:eastAsia="Arial" w:hAnsi="Arial"/>
                <w:sz w:val="15"/>
                <w:szCs w:val="15"/>
                <w:color w:val="auto"/>
              </w:rPr>
              <w:t>Resources of Comcast Strategic &amp; Business Development from 2015 to 2016; Vice President,</w:t>
            </w:r>
          </w:p>
        </w:tc>
      </w:tr>
      <w:tr>
        <w:trPr>
          <w:trHeight w:val="204"/>
        </w:trPr>
        <w:tc>
          <w:tcPr>
            <w:tcW w:w="23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6760" w:type="dxa"/>
            <w:vAlign w:val="bottom"/>
          </w:tcPr>
          <w:p>
            <w:pPr>
              <w:ind w:left="280"/>
              <w:spacing w:after="0"/>
              <w:rPr>
                <w:sz w:val="20"/>
                <w:szCs w:val="20"/>
                <w:color w:val="auto"/>
              </w:rPr>
            </w:pPr>
            <w:r>
              <w:rPr>
                <w:rFonts w:ascii="Arial" w:cs="Arial" w:eastAsia="Arial" w:hAnsi="Arial"/>
                <w:sz w:val="15"/>
                <w:szCs w:val="15"/>
                <w:color w:val="auto"/>
              </w:rPr>
              <w:t>Talent Acquisition of Comcast from 2011 to 2015.</w:t>
            </w:r>
          </w:p>
        </w:tc>
      </w:tr>
      <w:tr>
        <w:trPr>
          <w:trHeight w:val="196"/>
        </w:trPr>
        <w:tc>
          <w:tcPr>
            <w:tcW w:w="2320" w:type="dxa"/>
            <w:vAlign w:val="bottom"/>
          </w:tcPr>
          <w:p>
            <w:pPr>
              <w:ind w:left="20"/>
              <w:spacing w:after="0"/>
              <w:rPr>
                <w:sz w:val="20"/>
                <w:szCs w:val="20"/>
                <w:color w:val="auto"/>
              </w:rPr>
            </w:pPr>
            <w:r>
              <w:rPr>
                <w:rFonts w:ascii="Arial" w:cs="Arial" w:eastAsia="Arial" w:hAnsi="Arial"/>
                <w:sz w:val="15"/>
                <w:szCs w:val="15"/>
                <w:color w:val="auto"/>
              </w:rPr>
              <w:t>Dean A. Chin</w:t>
            </w:r>
          </w:p>
        </w:tc>
        <w:tc>
          <w:tcPr>
            <w:tcW w:w="1500" w:type="dxa"/>
            <w:vAlign w:val="bottom"/>
          </w:tcPr>
          <w:p>
            <w:pPr>
              <w:jc w:val="right"/>
              <w:ind w:right="203"/>
              <w:spacing w:after="0"/>
              <w:rPr>
                <w:sz w:val="20"/>
                <w:szCs w:val="20"/>
                <w:color w:val="auto"/>
              </w:rPr>
            </w:pPr>
            <w:r>
              <w:rPr>
                <w:rFonts w:ascii="Arial" w:cs="Arial" w:eastAsia="Arial" w:hAnsi="Arial"/>
                <w:sz w:val="15"/>
                <w:szCs w:val="15"/>
                <w:color w:val="auto"/>
              </w:rPr>
              <w:t>57</w:t>
            </w:r>
          </w:p>
        </w:tc>
        <w:tc>
          <w:tcPr>
            <w:tcW w:w="6760" w:type="dxa"/>
            <w:vAlign w:val="bottom"/>
          </w:tcPr>
          <w:p>
            <w:pPr>
              <w:ind w:left="280"/>
              <w:spacing w:after="0"/>
              <w:rPr>
                <w:sz w:val="20"/>
                <w:szCs w:val="20"/>
                <w:color w:val="auto"/>
              </w:rPr>
            </w:pPr>
            <w:r>
              <w:rPr>
                <w:rFonts w:ascii="Arial" w:cs="Arial" w:eastAsia="Arial" w:hAnsi="Arial"/>
                <w:sz w:val="15"/>
                <w:szCs w:val="15"/>
                <w:color w:val="auto"/>
              </w:rPr>
              <w:t>Treasurer of ABM since May 2021; Senior Vice President, Chief Accounting Officer, and</w:t>
            </w:r>
          </w:p>
        </w:tc>
      </w:tr>
      <w:tr>
        <w:trPr>
          <w:trHeight w:val="194"/>
        </w:trPr>
        <w:tc>
          <w:tcPr>
            <w:tcW w:w="23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6760" w:type="dxa"/>
            <w:vAlign w:val="bottom"/>
          </w:tcPr>
          <w:p>
            <w:pPr>
              <w:ind w:left="280"/>
              <w:spacing w:after="0"/>
              <w:rPr>
                <w:sz w:val="20"/>
                <w:szCs w:val="20"/>
                <w:color w:val="auto"/>
              </w:rPr>
            </w:pPr>
            <w:r>
              <w:rPr>
                <w:rFonts w:ascii="Arial" w:cs="Arial" w:eastAsia="Arial" w:hAnsi="Arial"/>
                <w:sz w:val="15"/>
                <w:szCs w:val="15"/>
                <w:color w:val="auto"/>
              </w:rPr>
              <w:t>Corporate Controller of ABM since June 2010; Interim Chief Financial Officer of ABM from July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-229870</wp:posOffset>
            </wp:positionV>
            <wp:extent cx="6720840" cy="4749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720840" cy="474980"/>
                    </a:xfrm>
                    <a:prstGeom prst="rect">
                      <a:avLst/>
                    </a:prstGeom>
                    <a:noFill/>
                  </pic:spPr>
                </pic:pic>
              </a:graphicData>
            </a:graphic>
          </wp:anchor>
        </w:drawing>
      </w:r>
    </w:p>
    <w:p>
      <w:pPr>
        <w:ind w:left="4100" w:right="680"/>
        <w:spacing w:after="0" w:line="257" w:lineRule="auto"/>
        <w:rPr>
          <w:sz w:val="20"/>
          <w:szCs w:val="20"/>
          <w:color w:val="auto"/>
        </w:rPr>
      </w:pPr>
      <w:r>
        <w:rPr>
          <w:rFonts w:ascii="Arial" w:cs="Arial" w:eastAsia="Arial" w:hAnsi="Arial"/>
          <w:sz w:val="15"/>
          <w:szCs w:val="15"/>
          <w:color w:val="auto"/>
        </w:rPr>
        <w:t>2020 to November 2020; Vice President and Assistant Controller of ABM from June 2008 to June 2010.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10" w:right="33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7"/>
          <w:szCs w:val="17"/>
          <w:b w:val="1"/>
          <w:bCs w:val="1"/>
          <w:color w:val="0046AD"/>
        </w:rPr>
        <w:t>ITEM 1A. RISK FACTORS.</w:t>
      </w:r>
    </w:p>
    <w:p>
      <w:pPr>
        <w:spacing w:after="0" w:line="168" w:lineRule="exact"/>
        <w:rPr>
          <w:sz w:val="20"/>
          <w:szCs w:val="20"/>
          <w:color w:val="auto"/>
        </w:rPr>
      </w:pPr>
    </w:p>
    <w:p>
      <w:pPr>
        <w:jc w:val="both"/>
        <w:ind w:firstLine="619"/>
        <w:spacing w:after="0" w:line="260" w:lineRule="auto"/>
        <w:rPr>
          <w:sz w:val="20"/>
          <w:szCs w:val="20"/>
          <w:color w:val="auto"/>
        </w:rPr>
      </w:pPr>
      <w:r>
        <w:rPr>
          <w:rFonts w:ascii="Arial" w:cs="Arial" w:eastAsia="Arial" w:hAnsi="Arial"/>
          <w:sz w:val="17"/>
          <w:szCs w:val="17"/>
          <w:color w:val="auto"/>
        </w:rPr>
        <w:t>The following risks, some of which have occurred and any of which may occur in the future, could materially and adversely affect our business, financial condition, cash flows, results of operations, and/or the trading price of our common stock. The risks described below identify the material risks we face; however, our business could also be affected by factors that are not presently known to us or that we currently consider to be immaterial. You should carefully consider the risks described below in addition to the other information set forth in this Annual Report on Form 10-K, including “Management’s Discussion and Analysis of Financial Condition and Results of Operations” (“MD&amp;A”) and the consolidated financial statements and accompanying notes (the “Financial Statements”).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Risks Relating to Our Strategy and Operations</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46AD"/>
        </w:rPr>
        <w:t>Our success depends on our ability to gain profitable business despite competitive market pressures.</w:t>
      </w:r>
    </w:p>
    <w:p>
      <w:pPr>
        <w:spacing w:after="0" w:line="165" w:lineRule="exact"/>
        <w:rPr>
          <w:sz w:val="20"/>
          <w:szCs w:val="20"/>
          <w:color w:val="auto"/>
        </w:rPr>
      </w:pPr>
    </w:p>
    <w:p>
      <w:pPr>
        <w:jc w:val="both"/>
        <w:ind w:firstLine="619"/>
        <w:spacing w:after="0" w:line="258" w:lineRule="auto"/>
        <w:rPr>
          <w:sz w:val="20"/>
          <w:szCs w:val="20"/>
          <w:color w:val="auto"/>
        </w:rPr>
      </w:pPr>
      <w:r>
        <w:rPr>
          <w:rFonts w:ascii="Arial" w:cs="Arial" w:eastAsia="Arial" w:hAnsi="Arial"/>
          <w:sz w:val="17"/>
          <w:szCs w:val="17"/>
          <w:color w:val="auto"/>
        </w:rPr>
        <w:t>Each market we provide services for is highly competitive and such competition is based primarily on price, quality of service, reputation, and ability to anticipate and respond to industry changes. A majority of our revenue is derived from services that require competitive bids from multiple suppliers. The low barrier of entry in the facility services business results in a very competitive market. We compete mainly with regional and local owner-operated companies that may have more insight into local market dynamics and significantly lower operating costs, which could provide them with a competitive advantage in those regards. We also compete indirectly with companies that can perform for themselves one or more of the services we provide. Further, if we are unable to respond adequately to market shifts and changing technology, we may lose existing clients and fail to win future business opportunities. A failure to respond effectively to competitive pressures or failure in our ability to increase prices as costs rise could reduce margins and materially adversely affect our financial performance.</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46AD"/>
        </w:rPr>
        <w:t>Our results of operations can be adversely affected by labor shortages, turnover, and labor cost increases.</w:t>
      </w:r>
    </w:p>
    <w:p>
      <w:pPr>
        <w:spacing w:after="0" w:line="165" w:lineRule="exact"/>
        <w:rPr>
          <w:sz w:val="20"/>
          <w:szCs w:val="20"/>
          <w:color w:val="auto"/>
        </w:rPr>
      </w:pPr>
    </w:p>
    <w:p>
      <w:pPr>
        <w:jc w:val="both"/>
        <w:ind w:firstLine="619"/>
        <w:spacing w:after="0" w:line="257" w:lineRule="auto"/>
        <w:rPr>
          <w:sz w:val="20"/>
          <w:szCs w:val="20"/>
          <w:color w:val="auto"/>
        </w:rPr>
      </w:pPr>
      <w:r>
        <w:rPr>
          <w:rFonts w:ascii="Arial" w:cs="Arial" w:eastAsia="Arial" w:hAnsi="Arial"/>
          <w:sz w:val="17"/>
          <w:szCs w:val="17"/>
          <w:color w:val="auto"/>
        </w:rPr>
        <w:t>We employ approximately 113,000 persons, and our operations depend on the services of a large and diverse workforce. We must attract, train, and retain a large and growing number of qualified employees while controlling related labor costs. Our ability to control labor and benefit costs is subject to numerous internal and external factors, including changes in the unemployment rate, changes in immigration policy, regulatory changes, prevailing wage rates, and competition we face from other companies for similarly skilled employees. Meaningful labor shortages, inflationary pressures on wages, and/or increased turnover rates within our employee base could lead to increased costs, such as increased overtime incurred and/or increased usage of temporary labor to meet the demands of our customers, as well as increased wage rates to attract and retain employees. Further, many of our contracts provide that our clients pay certain costs at specified rates, such as insurance, healthcare costs, salary and salary-related expenses, and other costs. If actual costs exceed the rates specified in the contracts, our profitability may be negatively impacted. There is no assurance that in the future we will be able to attract or retain qualified employees or effectively manage labor and benefit costs, which could have a material adverse effect on our business, financial condition, and results of operations.</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46AD"/>
        </w:rPr>
        <w:t>We may not be able to attract and retain qualified personnel and senior management we need to support our business.</w:t>
      </w:r>
    </w:p>
    <w:p>
      <w:pPr>
        <w:spacing w:after="0" w:line="165"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Our future performance depends on the continuing efforts and contributions of our senior management and on our continued ability to attract and retain qualified personnel. Unplanned turnover in senior management or inability to attract and retain qualified personnel could have a negative effect on our results of operations. In addition, activities related to identifying, recruiting, hiring, and integrating qualified management employees may require significant time and expense. We may not be able to locate suitable replacements for any key employees who leave, or offer employment to potential replacements on reasonable terms, each of which may adversely affect our business and financial results.</w:t>
      </w:r>
    </w:p>
    <w:p>
      <w:pPr>
        <w:spacing w:after="0" w:line="119"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i w:val="1"/>
          <w:iCs w:val="1"/>
          <w:color w:val="0046AD"/>
        </w:rPr>
        <w:t>Investments in and changes to our businesses, operating structure, or personnel relating to our strategic initiatives, including the implementation of strategic transformations, enhanced business processes, and technology initiatives, may not have the desired effects on our financial condition and results of operations.</w:t>
      </w:r>
    </w:p>
    <w:p>
      <w:pPr>
        <w:spacing w:after="0" w:line="97"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7"/>
          <w:szCs w:val="17"/>
          <w:color w:val="auto"/>
        </w:rPr>
        <w:t>We have made significant investments and expect to make additional investments in various initiatives intended to drive long-term profitable growth and increase operational efficiency. These investments in and changes to our business systems and processes may not create the growth, operational efficiencies, competitive advantage,</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65" w:right="339" w:bottom="1440" w:gutter="0" w:footer="0" w:header="0"/>
        </w:sectPr>
      </w:pPr>
    </w:p>
    <w:bookmarkStart w:id="13" w:name="page14"/>
    <w:bookmarkEnd w:id="13"/>
    <w:p>
      <w:pPr>
        <w:jc w:val="both"/>
        <w:spacing w:after="0" w:line="271" w:lineRule="auto"/>
        <w:rPr>
          <w:sz w:val="20"/>
          <w:szCs w:val="20"/>
          <w:color w:val="auto"/>
        </w:rPr>
      </w:pPr>
      <w:r>
        <w:rPr>
          <w:rFonts w:ascii="Arial" w:cs="Arial" w:eastAsia="Arial" w:hAnsi="Arial"/>
          <w:sz w:val="17"/>
          <w:szCs w:val="17"/>
          <w:color w:val="auto"/>
        </w:rPr>
        <w:t>or cost benefits that we expect and could result in unanticipated consequences, including disruptions to our back-office operations and service delivery. Moreover, the execution and/or benefits of our strategic initiatives may not be realized on the expected timeline and/or may result in expenses in excess of what is currently forecast, which could negatively affect our financial condition.</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46AD"/>
        </w:rPr>
        <w:t>Our ability to preserve long-term client relationships is essential to our continued success.</w:t>
      </w:r>
    </w:p>
    <w:p>
      <w:pPr>
        <w:spacing w:after="0" w:line="165" w:lineRule="exact"/>
        <w:rPr>
          <w:sz w:val="20"/>
          <w:szCs w:val="20"/>
          <w:color w:val="auto"/>
        </w:rPr>
      </w:pPr>
    </w:p>
    <w:p>
      <w:pPr>
        <w:jc w:val="both"/>
        <w:ind w:firstLine="619"/>
        <w:spacing w:after="0" w:line="260" w:lineRule="auto"/>
        <w:rPr>
          <w:sz w:val="20"/>
          <w:szCs w:val="20"/>
          <w:color w:val="auto"/>
        </w:rPr>
      </w:pPr>
      <w:r>
        <w:rPr>
          <w:rFonts w:ascii="Arial" w:cs="Arial" w:eastAsia="Arial" w:hAnsi="Arial"/>
          <w:sz w:val="17"/>
          <w:szCs w:val="17"/>
          <w:color w:val="auto"/>
        </w:rPr>
        <w:t>We depend to a large extent on our relationships with clients and our reputation for quality integrated facility solutions. Maintaining our existing client relationships, particularly with our largest clients, is an important factor contributing to our business success. We primarily provide services pursuant to agreements that are cancelable by either party upon 30 to 90 days’ notice. As we generally incur higher initial costs on new contracts until the labor management and facilities operations normalize, our business associated with long-term client relationships is generally more profitable than short-term client relationships. If we lose a significant number of long-term clients and/or all or a portion of the services for our larger clients, our financial results could be negatively impacted.</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46AD"/>
        </w:rPr>
        <w:t>Our use of subcontractors or joint venture partners to perform work under customer contracts exposes us to liability and financial risk.</w:t>
      </w:r>
    </w:p>
    <w:p>
      <w:pPr>
        <w:spacing w:after="0" w:line="165" w:lineRule="exact"/>
        <w:rPr>
          <w:sz w:val="20"/>
          <w:szCs w:val="20"/>
          <w:color w:val="auto"/>
        </w:rPr>
      </w:pPr>
    </w:p>
    <w:p>
      <w:pPr>
        <w:jc w:val="both"/>
        <w:ind w:firstLine="619"/>
        <w:spacing w:after="0" w:line="260" w:lineRule="auto"/>
        <w:rPr>
          <w:sz w:val="20"/>
          <w:szCs w:val="20"/>
          <w:color w:val="auto"/>
        </w:rPr>
      </w:pPr>
      <w:r>
        <w:rPr>
          <w:rFonts w:ascii="Arial" w:cs="Arial" w:eastAsia="Arial" w:hAnsi="Arial"/>
          <w:sz w:val="17"/>
          <w:szCs w:val="17"/>
          <w:color w:val="auto"/>
        </w:rPr>
        <w:t>We depend on subcontractors or other parties, such as joint venture partners, to perform work in situations in which we are not able to self-perform the work involved. Such arrangements may involve subcontracts or joint venture relationships where we do not have direct control over the performing party. We may be exposed to liability whenever one or more of our subcontractors or joint venture partners, for whatever reason, fails to perform or allegedly negligently performs the agreed-upon services. Although we have controls and programs in place to monitor the work of our subcontractors and our joint venture partners, there can be no assurance that these controls or programs will have the desired effect, and we may incur significant liability as a result of the actions or inactions of one or more of our subcontractors or joint venture partners.</w:t>
      </w:r>
    </w:p>
    <w:p>
      <w:pPr>
        <w:spacing w:after="0" w:line="122" w:lineRule="exact"/>
        <w:rPr>
          <w:sz w:val="20"/>
          <w:szCs w:val="20"/>
          <w:color w:val="auto"/>
        </w:rPr>
      </w:pPr>
    </w:p>
    <w:p>
      <w:pPr>
        <w:jc w:val="both"/>
        <w:spacing w:after="0" w:line="302" w:lineRule="auto"/>
        <w:rPr>
          <w:sz w:val="20"/>
          <w:szCs w:val="20"/>
          <w:color w:val="auto"/>
        </w:rPr>
      </w:pPr>
      <w:r>
        <w:rPr>
          <w:rFonts w:ascii="Arial" w:cs="Arial" w:eastAsia="Arial" w:hAnsi="Arial"/>
          <w:sz w:val="17"/>
          <w:szCs w:val="17"/>
          <w:b w:val="1"/>
          <w:bCs w:val="1"/>
          <w:i w:val="1"/>
          <w:iCs w:val="1"/>
          <w:color w:val="0046AD"/>
        </w:rPr>
        <w:t>Our international business involves risks different from those we face in the United States that could negatively impact our results of operations and financial condition.</w:t>
      </w:r>
    </w:p>
    <w:p>
      <w:pPr>
        <w:spacing w:after="0" w:line="75"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We have business operations in jurisdictions outside of the United States, most significantly in the UK and Ireland. Our international operations are subject to risks that are different from those we face in the United States and subject us to complex and frequently changing laws and regulations, including differing labor laws and regulations relating to the protection of certain information that we collect and maintain about our employees, clients, and other third parties. Among these laws is the UK Modern Slavery Act, the Criminal Law (Human Trafficking) Act 2008 (Ireland), the UK Bribery Act, the Criminal Justice (Corruption Offences) Act 2018 (Ireland), and the UK and European Union General Data Protection Regulations (the “GDPR”). The failure to comply with these laws or regulations could subject us to significant litigation, monetary damages, regulatory enforcement actions, or fines in one or more jurisdictions.</w:t>
      </w:r>
    </w:p>
    <w:p>
      <w:pPr>
        <w:spacing w:after="0" w:line="122"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In addition, when we participate in joint ventures that operate outside of the United States where we are not a controlling party, we may have limited control over the joint venture. Any improper actions by our joint venture employees, partners, or agents, including, but not limited to, failure to comply with the U.S. Foreign Corrupt Practices Act, the UK Bribery Act, and/or laws relating to human trafficking, could result in civil or criminal investigations, monetary and non-monetary penalties, or other consequences, any of which could have an adverse effect on our financial position as well as on our reputation and ability to conduct business.</w:t>
      </w:r>
    </w:p>
    <w:p>
      <w:pPr>
        <w:spacing w:after="0" w:line="119"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7"/>
          <w:szCs w:val="17"/>
          <w:color w:val="auto"/>
        </w:rPr>
        <w:t>Additionally, the operating results of our non-U.S. subsidiaries are translated into U.S. dollars, and those translations are affected by movements in foreign currencies relative to the U.S. dollar. There can be no assurance that the foregoing factors will not have a material adverse effect on our international operations or on our consolidated financial condition and results of operations.</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Risks Relating to Market and Economic Conditions</w:t>
      </w:r>
    </w:p>
    <w:p>
      <w:pPr>
        <w:spacing w:after="0" w:line="167" w:lineRule="exact"/>
        <w:rPr>
          <w:sz w:val="20"/>
          <w:szCs w:val="20"/>
          <w:color w:val="auto"/>
        </w:rPr>
      </w:pPr>
    </w:p>
    <w:p>
      <w:pPr>
        <w:jc w:val="both"/>
        <w:spacing w:after="0" w:line="302" w:lineRule="auto"/>
        <w:rPr>
          <w:sz w:val="20"/>
          <w:szCs w:val="20"/>
          <w:color w:val="auto"/>
        </w:rPr>
      </w:pPr>
      <w:r>
        <w:rPr>
          <w:rFonts w:ascii="Arial" w:cs="Arial" w:eastAsia="Arial" w:hAnsi="Arial"/>
          <w:sz w:val="17"/>
          <w:szCs w:val="17"/>
          <w:b w:val="1"/>
          <w:bCs w:val="1"/>
          <w:i w:val="1"/>
          <w:iCs w:val="1"/>
          <w:color w:val="0046AD"/>
        </w:rPr>
        <w:t>Decreases in commercial office space utilization due to hybrid work models and increases in office vacancy rates could adversely affect our financial condition.</w:t>
      </w:r>
    </w:p>
    <w:p>
      <w:pPr>
        <w:spacing w:after="0" w:line="75"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A key part of our business involves providing janitorial, facilities engineering, and parking services for commercial office building properties. Across the United States, hybrid work models remain prevalent and commercial office vacancy levels remain elevated, compared to pre-pandemic levels. Reduced office occupancies and any further deterioration in vacancy levels would likely decrease the demand for our facility services as well as</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67" w:right="339" w:bottom="1440" w:gutter="0" w:footer="0" w:header="0"/>
        </w:sectPr>
      </w:pPr>
    </w:p>
    <w:bookmarkStart w:id="14" w:name="page15"/>
    <w:bookmarkEnd w:id="14"/>
    <w:p>
      <w:pPr>
        <w:jc w:val="both"/>
        <w:spacing w:after="0" w:line="271" w:lineRule="auto"/>
        <w:rPr>
          <w:sz w:val="20"/>
          <w:szCs w:val="20"/>
          <w:color w:val="auto"/>
        </w:rPr>
      </w:pPr>
      <w:r>
        <w:rPr>
          <w:rFonts w:ascii="Arial" w:cs="Arial" w:eastAsia="Arial" w:hAnsi="Arial"/>
          <w:sz w:val="17"/>
          <w:szCs w:val="17"/>
          <w:color w:val="auto"/>
        </w:rPr>
        <w:t>the demand for highly profitable supplemental services (“work orders”) requested by our clients outside the scope of our standard service specifications. As new tenants occupy vacant office spaces, there may be delays and additional expenses incurred in securing client relationships with such new tenants. These factors could adversely affect our revenues and financial results.</w:t>
      </w:r>
    </w:p>
    <w:p>
      <w:pPr>
        <w:spacing w:after="0" w:line="111"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i w:val="1"/>
          <w:iCs w:val="1"/>
          <w:color w:val="0046AD"/>
        </w:rPr>
        <w:t>Negative changes in general economic conditions, such as recessionary pressures, high interest rates, durable and non-durable goods pricing, changes in energy prices, or changes in consumer goods pricing could reduce the demand for our services and, as a result, reduce our revenue and earnings and adversely affect our financial condition.</w:t>
      </w:r>
    </w:p>
    <w:p>
      <w:pPr>
        <w:spacing w:after="0" w:line="97"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Slowing economic activity or other negative changes in global, national, and local economic conditions could have a negative impact on our business. These adverse economic conditions could cause a decline in our clients’ demand for our services and/or in scope of work, including work orders and our clients’ ability to pay for such services, or attempts by our clients to defer payments owed to us. Further, potential declines in economic conditions could result in depressed prices for our services, which could affect our financial condition.</w:t>
      </w:r>
    </w:p>
    <w:p>
      <w:pPr>
        <w:spacing w:after="0" w:line="116"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We offer a portfolio of capital projects, which are designed to reduce a client’s overall consumption of energy, such as electricity and natural gas. Downward fluctuations in energy prices, and/or elevated interest rates, may reduce client demand for such projects. Additionally, we depend, in part, on federal and state legislation and policies that support energy efficiency projects. If current legislation or policies are amended, eliminated, or not extended beyond their current expiration dates, or if funding for energy incentives is reduced or delayed, it could also adversely affect our ability to obtain new capital projects. All of these factors could have an adverse effect on our financial condition, results of operations, and cash flows.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Risks Relating to Information Technology and Cybersecurity</w:t>
      </w:r>
    </w:p>
    <w:p>
      <w:pPr>
        <w:spacing w:after="0" w:line="168" w:lineRule="exact"/>
        <w:rPr>
          <w:sz w:val="20"/>
          <w:szCs w:val="20"/>
          <w:color w:val="auto"/>
        </w:rPr>
      </w:pPr>
    </w:p>
    <w:p>
      <w:pPr>
        <w:jc w:val="both"/>
        <w:spacing w:after="0" w:line="302" w:lineRule="auto"/>
        <w:rPr>
          <w:sz w:val="20"/>
          <w:szCs w:val="20"/>
          <w:color w:val="auto"/>
        </w:rPr>
      </w:pPr>
      <w:r>
        <w:rPr>
          <w:rFonts w:ascii="Arial" w:cs="Arial" w:eastAsia="Arial" w:hAnsi="Arial"/>
          <w:sz w:val="17"/>
          <w:szCs w:val="17"/>
          <w:b w:val="1"/>
          <w:bCs w:val="1"/>
          <w:i w:val="1"/>
          <w:iCs w:val="1"/>
          <w:color w:val="0046AD"/>
        </w:rPr>
        <w:t>We may experience breaches of, or disruptions to, our information technology systems or those of our third-party providers or clients, or other compromises of our data that could adversely affect our business.</w:t>
      </w:r>
    </w:p>
    <w:p>
      <w:pPr>
        <w:spacing w:after="0" w:line="75" w:lineRule="exact"/>
        <w:rPr>
          <w:sz w:val="20"/>
          <w:szCs w:val="20"/>
          <w:color w:val="auto"/>
        </w:rPr>
      </w:pPr>
    </w:p>
    <w:p>
      <w:pPr>
        <w:jc w:val="both"/>
        <w:ind w:firstLine="619"/>
        <w:spacing w:after="0" w:line="256" w:lineRule="auto"/>
        <w:rPr>
          <w:sz w:val="20"/>
          <w:szCs w:val="20"/>
          <w:color w:val="auto"/>
        </w:rPr>
      </w:pPr>
      <w:r>
        <w:rPr>
          <w:rFonts w:ascii="Arial" w:cs="Arial" w:eastAsia="Arial" w:hAnsi="Arial"/>
          <w:sz w:val="17"/>
          <w:szCs w:val="17"/>
          <w:color w:val="auto"/>
        </w:rPr>
        <w:t>Our information technology systems and those of our third-party providers or clients could be the target of cyberattacks, ransomware attacks, hacking, unauthorized access, phishing, computer viruses, malware, or other intrusions, which could result in operational disruptions or information misappropriation, such as theft of intellectual property or inappropriate disclosure of confidential, proprietary, or personal information. We maintain confidential, proprietary, and personal information in our information technology systems and in systems of third-party providers relating to our current, former, and prospective employees, clients, and other third parties. We have experienced certain data and security breaches in the past and could experience future data or security breaches stemming from the intentional or negligent acts of our employees or other third parties. Furthermore, while we continue to devote significant resources to monitoring and updating our systems and implementing information security measures to protect our systems, there can be no assurance that the controls and procedures we have in place will be sufficient to protect us from future security breaches. Emerging artificial intelligence technologies may intensify these cybersecurity risks. As cyber threats are continually evolving, our controls and procedures may become inadequate, and we may be required to devote additional resources to modifying or enhancing our systems in the future. We may also be required to expend resources to remediate cyber-related incidents or to enhance and strengthen our cybersecurity.</w:t>
      </w:r>
    </w:p>
    <w:p>
      <w:pPr>
        <w:spacing w:after="0" w:line="128" w:lineRule="exact"/>
        <w:rPr>
          <w:sz w:val="20"/>
          <w:szCs w:val="20"/>
          <w:color w:val="auto"/>
        </w:rPr>
      </w:pPr>
    </w:p>
    <w:p>
      <w:pPr>
        <w:jc w:val="both"/>
        <w:ind w:firstLine="619"/>
        <w:spacing w:after="0" w:line="260" w:lineRule="auto"/>
        <w:rPr>
          <w:sz w:val="20"/>
          <w:szCs w:val="20"/>
          <w:color w:val="auto"/>
        </w:rPr>
      </w:pPr>
      <w:r>
        <w:rPr>
          <w:rFonts w:ascii="Arial" w:cs="Arial" w:eastAsia="Arial" w:hAnsi="Arial"/>
          <w:sz w:val="17"/>
          <w:szCs w:val="17"/>
          <w:color w:val="auto"/>
        </w:rPr>
        <w:t>Any such disruptions to our information technology systems, breaches or compromises of data, and/or misappropriation of information could result in lost sales, negative publicity, litigation, violations of privacy and other laws, or business delays that could have a material adverse effect on our business. Additionally, we believe that along with the GDPR and the California Consumer Privacy Act, further increased regulation is likely in the area of data privacy. Compliance with this rapidly expanding area of law will require significant management and financial resources, and we could be subjected to additional legal risk or financial losses if we are not in compliance. This expanding area of law may also lead to potentially significant additional claims, including class action claims, being alleged against us.</w:t>
      </w:r>
    </w:p>
    <w:p>
      <w:pPr>
        <w:spacing w:after="0" w:line="122" w:lineRule="exact"/>
        <w:rPr>
          <w:sz w:val="20"/>
          <w:szCs w:val="20"/>
          <w:color w:val="auto"/>
        </w:rPr>
      </w:pPr>
    </w:p>
    <w:p>
      <w:pPr>
        <w:jc w:val="both"/>
        <w:spacing w:after="0" w:line="302" w:lineRule="auto"/>
        <w:rPr>
          <w:sz w:val="20"/>
          <w:szCs w:val="20"/>
          <w:color w:val="auto"/>
        </w:rPr>
      </w:pPr>
      <w:r>
        <w:rPr>
          <w:rFonts w:ascii="Arial" w:cs="Arial" w:eastAsia="Arial" w:hAnsi="Arial"/>
          <w:sz w:val="17"/>
          <w:szCs w:val="17"/>
          <w:b w:val="1"/>
          <w:bCs w:val="1"/>
          <w:i w:val="1"/>
          <w:iCs w:val="1"/>
          <w:color w:val="0046AD"/>
        </w:rPr>
        <w:t>Our ongoing implementation of new enterprise resource planning (“ERP”) and related boundary systems could adversely impact our ability to operate our business and report our financial results.</w:t>
      </w:r>
    </w:p>
    <w:p>
      <w:pPr>
        <w:spacing w:after="0" w:line="75"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We utilize multiple platforms and ERP systems to record transactions, provide information to management, and prepare our financial statements. We are in the process of transitioning our ERP and other key boundary systems. This transition began in the third quarter of 2023 and will continue for the next couple of years with a large portion of our business transitioning to the new systems in the first quarter of 2025. While we believe our new ERP</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67" w:right="339" w:bottom="1440" w:gutter="0" w:footer="0" w:header="0"/>
        </w:sectPr>
      </w:pPr>
    </w:p>
    <w:bookmarkStart w:id="15" w:name="page16"/>
    <w:bookmarkEnd w:id="15"/>
    <w:p>
      <w:pPr>
        <w:jc w:val="both"/>
        <w:spacing w:after="0" w:line="262" w:lineRule="auto"/>
        <w:rPr>
          <w:sz w:val="20"/>
          <w:szCs w:val="20"/>
          <w:color w:val="auto"/>
        </w:rPr>
      </w:pPr>
      <w:r>
        <w:rPr>
          <w:rFonts w:ascii="Arial" w:cs="Arial" w:eastAsia="Arial" w:hAnsi="Arial"/>
          <w:sz w:val="17"/>
          <w:szCs w:val="17"/>
          <w:color w:val="auto"/>
        </w:rPr>
        <w:t>and boundary systems will enhance and standardize our processes, allow better oversight, and improve our service to our customers, any disruption to this transition could impact our ability to send and track invoices, process vendor payments, pay employees, fulfill contractual obligations, report our financial results, or otherwise operate our business. Such disruption could adversely affect our profitability and reputation. Additionally, any disruption could negatively impact the effectiveness of our controls. Refer to “Risks Relating to Financial Matters” below for further information on the internal controls.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Risks Relating to Acquisitions, including the WGNSTAR Acquisition, Divestitures, or Strategic Transactions</w:t>
      </w:r>
    </w:p>
    <w:p>
      <w:pPr>
        <w:spacing w:after="0" w:line="168" w:lineRule="exact"/>
        <w:rPr>
          <w:sz w:val="20"/>
          <w:szCs w:val="20"/>
          <w:color w:val="auto"/>
        </w:rPr>
      </w:pPr>
    </w:p>
    <w:p>
      <w:pPr>
        <w:jc w:val="both"/>
        <w:spacing w:after="0" w:line="302" w:lineRule="auto"/>
        <w:rPr>
          <w:sz w:val="20"/>
          <w:szCs w:val="20"/>
          <w:color w:val="auto"/>
        </w:rPr>
      </w:pPr>
      <w:r>
        <w:rPr>
          <w:rFonts w:ascii="Arial" w:cs="Arial" w:eastAsia="Arial" w:hAnsi="Arial"/>
          <w:sz w:val="17"/>
          <w:szCs w:val="17"/>
          <w:b w:val="1"/>
          <w:bCs w:val="1"/>
          <w:i w:val="1"/>
          <w:iCs w:val="1"/>
          <w:color w:val="0046AD"/>
        </w:rPr>
        <w:t>Acquisitions, divestitures, and other strategic transactions could fail to achieve financial or strategic objectives, disrupt our ongoing business, and adversely impact our results of operations.</w:t>
      </w:r>
    </w:p>
    <w:p>
      <w:pPr>
        <w:spacing w:after="0" w:line="75"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In furtherance of our business strategy, we routinely evaluate opportunities and may enter into agreements for possible acquisitions, divestitures, or other strategic transactions. A significant portion of our growth has been generated by acquisitions, and we may continue to acquire businesses in the future as part of our growth strategy. However, we may encounter challenges identifying opportunities in a timely manner or on terms acceptable to us. Furthermore, there is no assurance that any such transaction will deliver the anticipated results, including expected synergistic benefits. A potential acquisition, divestiture, or other strategic transaction may involve a number of risks including, but not limited to:</w:t>
      </w:r>
    </w:p>
    <w:p>
      <w:pPr>
        <w:spacing w:after="0" w:line="119" w:lineRule="exact"/>
        <w:rPr>
          <w:sz w:val="20"/>
          <w:szCs w:val="20"/>
          <w:color w:val="auto"/>
        </w:rPr>
      </w:pPr>
    </w:p>
    <w:p>
      <w:pPr>
        <w:ind w:left="620" w:hanging="307"/>
        <w:spacing w:after="0"/>
        <w:tabs>
          <w:tab w:leader="none" w:pos="62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transaction may not effectively advance our business strategy, and its anticipated benefits may never materialize;</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ongoing operations may be disrupted, and management time and focus may be diverted;</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5"/>
        </w:numPr>
        <w:rPr>
          <w:rFonts w:ascii="Arial" w:cs="Arial" w:eastAsia="Arial" w:hAnsi="Arial"/>
          <w:sz w:val="17"/>
          <w:szCs w:val="17"/>
          <w:color w:val="auto"/>
        </w:rPr>
      </w:pPr>
      <w:r>
        <w:rPr>
          <w:rFonts w:ascii="Arial" w:cs="Arial" w:eastAsia="Arial" w:hAnsi="Arial"/>
          <w:sz w:val="17"/>
          <w:szCs w:val="17"/>
          <w:color w:val="auto"/>
        </w:rPr>
        <w:t>clients or key employees of an acquired business may not remain, which could negatively impact our ability to grow that acquired business;</w:t>
      </w:r>
    </w:p>
    <w:p>
      <w:pPr>
        <w:spacing w:after="0" w:line="165" w:lineRule="exact"/>
        <w:rPr>
          <w:rFonts w:ascii="Arial" w:cs="Arial" w:eastAsia="Arial" w:hAnsi="Arial"/>
          <w:sz w:val="17"/>
          <w:szCs w:val="17"/>
          <w:color w:val="auto"/>
        </w:rPr>
      </w:pPr>
    </w:p>
    <w:p>
      <w:pPr>
        <w:ind w:left="620" w:hanging="307"/>
        <w:spacing w:after="0" w:line="290" w:lineRule="auto"/>
        <w:tabs>
          <w:tab w:leader="none" w:pos="616" w:val="left"/>
        </w:tabs>
        <w:numPr>
          <w:ilvl w:val="0"/>
          <w:numId w:val="5"/>
        </w:numPr>
        <w:rPr>
          <w:rFonts w:ascii="Arial" w:cs="Arial" w:eastAsia="Arial" w:hAnsi="Arial"/>
          <w:sz w:val="17"/>
          <w:szCs w:val="17"/>
          <w:color w:val="auto"/>
        </w:rPr>
      </w:pPr>
      <w:r>
        <w:rPr>
          <w:rFonts w:ascii="Arial" w:cs="Arial" w:eastAsia="Arial" w:hAnsi="Arial"/>
          <w:sz w:val="17"/>
          <w:szCs w:val="17"/>
          <w:color w:val="auto"/>
        </w:rPr>
        <w:t>integration of an acquired business’s accounting, information technology, cybersecurity, HR, and other administrative systems may fail to permit effective management and expense reduction;</w:t>
      </w:r>
    </w:p>
    <w:p>
      <w:pPr>
        <w:spacing w:after="0" w:line="94" w:lineRule="exact"/>
        <w:rPr>
          <w:rFonts w:ascii="Arial" w:cs="Arial" w:eastAsia="Arial" w:hAnsi="Arial"/>
          <w:sz w:val="17"/>
          <w:szCs w:val="17"/>
          <w:color w:val="auto"/>
        </w:rPr>
      </w:pPr>
    </w:p>
    <w:p>
      <w:pPr>
        <w:ind w:left="620" w:hanging="307"/>
        <w:spacing w:after="0"/>
        <w:tabs>
          <w:tab w:leader="none" w:pos="620" w:val="left"/>
        </w:tabs>
        <w:numPr>
          <w:ilvl w:val="0"/>
          <w:numId w:val="5"/>
        </w:numPr>
        <w:rPr>
          <w:rFonts w:ascii="Arial" w:cs="Arial" w:eastAsia="Arial" w:hAnsi="Arial"/>
          <w:sz w:val="17"/>
          <w:szCs w:val="17"/>
          <w:color w:val="auto"/>
        </w:rPr>
      </w:pPr>
      <w:r>
        <w:rPr>
          <w:rFonts w:ascii="Arial" w:cs="Arial" w:eastAsia="Arial" w:hAnsi="Arial"/>
          <w:sz w:val="17"/>
          <w:szCs w:val="17"/>
          <w:color w:val="auto"/>
        </w:rPr>
        <w:t>unforeseen challenges may arise in implementing internal controls, procedures, and policies;</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5"/>
        </w:numPr>
        <w:rPr>
          <w:rFonts w:ascii="Arial" w:cs="Arial" w:eastAsia="Arial" w:hAnsi="Arial"/>
          <w:sz w:val="17"/>
          <w:szCs w:val="17"/>
          <w:color w:val="auto"/>
        </w:rPr>
      </w:pPr>
      <w:r>
        <w:rPr>
          <w:rFonts w:ascii="Arial" w:cs="Arial" w:eastAsia="Arial" w:hAnsi="Arial"/>
          <w:sz w:val="17"/>
          <w:szCs w:val="17"/>
          <w:color w:val="auto"/>
        </w:rPr>
        <w:t>additional indebtedness incurred as a result of an acquisition may impact our financial position, results of operations, and cash flows; and</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5"/>
        </w:numPr>
        <w:rPr>
          <w:rFonts w:ascii="Arial" w:cs="Arial" w:eastAsia="Arial" w:hAnsi="Arial"/>
          <w:sz w:val="17"/>
          <w:szCs w:val="17"/>
          <w:color w:val="auto"/>
        </w:rPr>
      </w:pPr>
      <w:r>
        <w:rPr>
          <w:rFonts w:ascii="Arial" w:cs="Arial" w:eastAsia="Arial" w:hAnsi="Arial"/>
          <w:sz w:val="17"/>
          <w:szCs w:val="17"/>
          <w:color w:val="auto"/>
        </w:rPr>
        <w:t>unanticipated or unknown liabilities may arise related to an acquired business.</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46AD"/>
        </w:rPr>
        <w:t>We may not realize the growth opportunities and synergies that are anticipated from the WGNSTAR Acquisition.</w:t>
      </w:r>
    </w:p>
    <w:p>
      <w:pPr>
        <w:spacing w:after="0" w:line="243"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The benefits that are expected to result from the WGNSTAR Acquisition, which we expect to be consummated in the first half of 2026, will depend, in part, on our ability to realize the anticipated growth opportunities and the realization of anticipated cost and revenue synergies. Maintaining strong relationships with acquired clients and retaining talented employees will also be critical to realizing the acquisition’s benefits. Clients or key employees of WGNSTAR may decide not to continue their relationship with us after the acquisition is consummated. Any loss of significant WGNSTAR customers or the departure of key personnel could negatively impact the success of the acquisition and hinder our ability to achieve the expected benefits. Ultimately, if we fail to fully realize the expected growth opportunities, revenue synergies, or cost savings from the WGNSTAR Acquisition, it could negatively impact our business, financial condition, and results of operations.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Risks Relating to Insurance and Safety Matters</w:t>
      </w:r>
    </w:p>
    <w:p>
      <w:pPr>
        <w:spacing w:after="0" w:line="16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b w:val="1"/>
          <w:bCs w:val="1"/>
          <w:i w:val="1"/>
          <w:iCs w:val="1"/>
          <w:color w:val="0046AD"/>
        </w:rPr>
        <w:t>We manage our insurable risks through a combination of third-party purchased policies and self-insurance, and we retain a substantial portion of the risk associated with expected losses under these programs, which exposes us to volatility associated with those risks, including the possibility that changes in estimates to our ultimate insurance loss reserves could result in material charges against our earnings.</w:t>
      </w:r>
    </w:p>
    <w:p>
      <w:pPr>
        <w:spacing w:after="0" w:line="103"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7"/>
          <w:szCs w:val="17"/>
          <w:color w:val="auto"/>
        </w:rPr>
        <w:t>We use a combination of insured and self-insurance programs to cover workers’ compensation, general liability, automobile liability, property damage, and other insurable risks. We are responsible for claims both within and in excess of our retained limits under our insurance policies, and while we endeavor to purchase insurance</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67" w:right="339" w:bottom="1440" w:gutter="0" w:footer="0" w:header="0"/>
        </w:sectPr>
      </w:pPr>
    </w:p>
    <w:bookmarkStart w:id="16" w:name="page17"/>
    <w:bookmarkEnd w:id="16"/>
    <w:p>
      <w:pPr>
        <w:jc w:val="both"/>
        <w:spacing w:after="0" w:line="290" w:lineRule="auto"/>
        <w:rPr>
          <w:sz w:val="20"/>
          <w:szCs w:val="20"/>
          <w:color w:val="auto"/>
        </w:rPr>
      </w:pPr>
      <w:r>
        <w:rPr>
          <w:rFonts w:ascii="Arial" w:cs="Arial" w:eastAsia="Arial" w:hAnsi="Arial"/>
          <w:sz w:val="17"/>
          <w:szCs w:val="17"/>
          <w:color w:val="auto"/>
        </w:rPr>
        <w:t>coverage that is appropriate to our assessment of risk, we are unable to predict with certainty the frequency, nature, or magnitude of claims for direct or consequential damages. If our insurance coverage proves to be inadequate or unavailable, our business may be negatively impacted.</w:t>
      </w:r>
    </w:p>
    <w:p>
      <w:pPr>
        <w:spacing w:after="0" w:line="95"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The determination of required insurance reserves is dependent upon actuarial judgments. We use the results of actuarial studies to estimate insurance rates and insurance reserves for future periods and to adjust reserves, if appropriate, for prior years. Actual experience related to our insurance reserves can cause us to change our estimates for reserves and any such changes may materially impact results, causing significant volatility in our operating results.</w:t>
      </w:r>
    </w:p>
    <w:p>
      <w:pPr>
        <w:spacing w:after="0" w:line="116" w:lineRule="exact"/>
        <w:rPr>
          <w:sz w:val="20"/>
          <w:szCs w:val="20"/>
          <w:color w:val="auto"/>
        </w:rPr>
      </w:pPr>
    </w:p>
    <w:p>
      <w:pPr>
        <w:jc w:val="both"/>
        <w:ind w:firstLine="619"/>
        <w:spacing w:after="0" w:line="260" w:lineRule="auto"/>
        <w:rPr>
          <w:sz w:val="20"/>
          <w:szCs w:val="20"/>
          <w:color w:val="auto"/>
        </w:rPr>
      </w:pPr>
      <w:r>
        <w:rPr>
          <w:rFonts w:ascii="Arial" w:cs="Arial" w:eastAsia="Arial" w:hAnsi="Arial"/>
          <w:sz w:val="17"/>
          <w:szCs w:val="17"/>
          <w:color w:val="auto"/>
        </w:rPr>
        <w:t>Should we be unable to renew our excess, umbrella, or other commercial insurance policies, it could have a material adverse impact on our business, as would the incurrence of catastrophic uninsured claims or the inability or refusal of our insurance carriers to pay otherwise insured claims. Further, to the extent that we self-insure our losses, deterioration in our loss control and/or our continuing claim management efforts could increase the overall cost of claims within our retained limits. A material change in our insurance costs due to changes in the frequency of claims, the severity of the claims, the costs of excess/umbrella premiums, or regulatory changes could have a material adverse effect on our financial position, results of operations, or cash flows.</w:t>
      </w:r>
    </w:p>
    <w:p>
      <w:pPr>
        <w:spacing w:after="0" w:line="122"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In 2015, we formed a wholly owned captive insurance company, IFM Assurance Company (“IFM”), which we believe has provided us with increased flexibility in the end-to-end management of our insurance program. There can be no assurance that IFM will continue to bring about the intended benefits or the desired flexibility in the management of our insurance programs, because we may experience unanticipated events that could reduce or eliminate expected benefits.</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46AD"/>
        </w:rPr>
        <w:t>Our risk management and safety programs may not have the intended effect of reducing our liability for personal injury or property loss.</w:t>
      </w:r>
    </w:p>
    <w:p>
      <w:pPr>
        <w:spacing w:after="0" w:line="165"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We attempt to mitigate risks relating to personal injury or property loss through the implementation of company-wide safety and loss control efforts designed to decrease the frequency of accidents or events that might increase our liability. However, incidents involving personal injury or property loss may be caused by multiple potential factors, a significant number of which are beyond our control. Therefore, there can be no assurance that our risk management and safety programs will have the desired effect of controlling costs and liability exposure.</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Risks Relating to Labor, Legal Proceedings, Tax, and Regulatory Matters</w:t>
      </w:r>
    </w:p>
    <w:p>
      <w:pPr>
        <w:spacing w:after="0" w:line="167" w:lineRule="exact"/>
        <w:rPr>
          <w:sz w:val="20"/>
          <w:szCs w:val="20"/>
          <w:color w:val="auto"/>
        </w:rPr>
      </w:pPr>
    </w:p>
    <w:p>
      <w:pPr>
        <w:jc w:val="both"/>
        <w:spacing w:after="0" w:line="302" w:lineRule="auto"/>
        <w:rPr>
          <w:sz w:val="20"/>
          <w:szCs w:val="20"/>
          <w:color w:val="auto"/>
        </w:rPr>
      </w:pPr>
      <w:r>
        <w:rPr>
          <w:rFonts w:ascii="Arial" w:cs="Arial" w:eastAsia="Arial" w:hAnsi="Arial"/>
          <w:sz w:val="17"/>
          <w:szCs w:val="17"/>
          <w:b w:val="1"/>
          <w:bCs w:val="1"/>
          <w:i w:val="1"/>
          <w:iCs w:val="1"/>
          <w:color w:val="0046AD"/>
        </w:rPr>
        <w:t>Unfavorable developments in our class and representative actions and other lawsuits alleging various claims could cause us to incur substantial liabilities.</w:t>
      </w:r>
    </w:p>
    <w:p>
      <w:pPr>
        <w:spacing w:after="0" w:line="75" w:lineRule="exact"/>
        <w:rPr>
          <w:sz w:val="20"/>
          <w:szCs w:val="20"/>
          <w:color w:val="auto"/>
        </w:rPr>
      </w:pPr>
    </w:p>
    <w:p>
      <w:pPr>
        <w:jc w:val="both"/>
        <w:ind w:firstLine="619"/>
        <w:spacing w:after="0" w:line="256" w:lineRule="auto"/>
        <w:rPr>
          <w:sz w:val="20"/>
          <w:szCs w:val="20"/>
          <w:color w:val="auto"/>
        </w:rPr>
      </w:pPr>
      <w:r>
        <w:rPr>
          <w:rFonts w:ascii="Arial" w:cs="Arial" w:eastAsia="Arial" w:hAnsi="Arial"/>
          <w:sz w:val="17"/>
          <w:szCs w:val="17"/>
          <w:color w:val="auto"/>
        </w:rPr>
        <w:t>Our business involves employing tens of thousands of employees, many of whom work at our clients’ facilities. We incur risks relating to our employment of these workers, including, but not limited to: claims by our employees of discrimination, harassment, violations of wage and hour requirements, or violations of other federal, state, or local laws; claims of misconduct or negligence on the part of our employees; and claims related to the employment of unlicensed personnel. We also incur risks and claims related to the imposition on our employees of policies or practices of our clients that may be different from our own. Some or all of these claims may lead to litigation, including class action litigation, and these matters may cause us to incur negative publicity with respect to alleged claims. Additionally, there are risks to all employers in some states, such as California, resulting from large collective, class, Private Attorneys General Act actions, as well as from new and unanticipated judicial interpretations of existing laws and the application of those new interpretations against employers on a retroactive basis, which could involve substantial claims and significant defense costs. It is not possible to predict the outcome of these lawsuits or any other proceeding, and our insurance may not cover all claims that may be asserted against us. These lawsuits and other proceedings may consume substantial amounts of our financial and managerial resources. An unfavorable outcome with respect to these lawsuits and any future lawsuits may, individually or in the aggregate, cause us to incur substantial liabilities that could have a material adverse effect upon our business, reputation, financial condition, results of operations, or cash flows.</w:t>
      </w:r>
    </w:p>
    <w:p>
      <w:pPr>
        <w:spacing w:after="0" w:line="128" w:lineRule="exact"/>
        <w:rPr>
          <w:sz w:val="20"/>
          <w:szCs w:val="20"/>
          <w:color w:val="auto"/>
        </w:rPr>
      </w:pPr>
    </w:p>
    <w:p>
      <w:pPr>
        <w:jc w:val="both"/>
        <w:spacing w:after="0" w:line="302" w:lineRule="auto"/>
        <w:rPr>
          <w:sz w:val="20"/>
          <w:szCs w:val="20"/>
          <w:color w:val="auto"/>
        </w:rPr>
      </w:pPr>
      <w:r>
        <w:rPr>
          <w:rFonts w:ascii="Arial" w:cs="Arial" w:eastAsia="Arial" w:hAnsi="Arial"/>
          <w:sz w:val="17"/>
          <w:szCs w:val="17"/>
          <w:b w:val="1"/>
          <w:bCs w:val="1"/>
          <w:i w:val="1"/>
          <w:iCs w:val="1"/>
          <w:color w:val="0046AD"/>
        </w:rPr>
        <w:t>We are subject to extensive legal and regulatory requirements, which could limit our profitability by increasing the costs of legal and regulatory compliance.</w:t>
      </w:r>
    </w:p>
    <w:p>
      <w:pPr>
        <w:spacing w:after="0" w:line="75"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7"/>
          <w:szCs w:val="17"/>
          <w:color w:val="auto"/>
        </w:rPr>
        <w:t>Our business is subject to a complicated set of federal, state, and local laws and regulations as well as stakeholder views addressing, among other things, wage and hour standards, employment and labor relations, various corporate responsibility-related practices, leave of absence, cybersecurity, data privacy and protection,</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67" w:right="339" w:bottom="1440" w:gutter="0" w:footer="0" w:header="0"/>
        </w:sectPr>
      </w:pPr>
    </w:p>
    <w:bookmarkStart w:id="17" w:name="page18"/>
    <w:bookmarkEnd w:id="17"/>
    <w:p>
      <w:pPr>
        <w:jc w:val="both"/>
        <w:spacing w:after="0" w:line="257" w:lineRule="auto"/>
        <w:rPr>
          <w:sz w:val="20"/>
          <w:szCs w:val="20"/>
          <w:color w:val="auto"/>
        </w:rPr>
      </w:pPr>
      <w:r>
        <w:rPr>
          <w:rFonts w:ascii="Arial" w:cs="Arial" w:eastAsia="Arial" w:hAnsi="Arial"/>
          <w:sz w:val="17"/>
          <w:szCs w:val="17"/>
          <w:color w:val="auto"/>
        </w:rPr>
        <w:t>occupational health and safety, environmental matters, anti-competition, anti-corruption, and government contracting. Many of these laws and regulations may have differing or conflicting legal standards or legal interpretations across jurisdictions, increasing the complexity and cost of compliance. When federal, state, local, or foreign minimum wage rates increase, we may have to increase the wages of both minimum wage employees and employees whose wages are above the minimum wage. We may also face increased operating costs resulting from changes in federal, state, or local laws and regulations relating to employment matters, including those relating to meal and rest breaks, eligibility for overtime, pay transparency and reporting, sick pay, and predictive scheduling requirements. In addition, we expect there will likely be increasing and evolving levels of regulation, disclosure-related and otherwise, with respect to Corporate Responsibility (including environmental) matters, and increased regulation will likely lead to increased compliance costs as well as scrutiny that could heighten all of the risks identified in this risk factor. Increased costs of legal and regulatory compliance with this constantly evolving legal and regulatory environment could reduce our profitability and adversely affect our financial condition.</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i w:val="1"/>
          <w:iCs w:val="1"/>
          <w:color w:val="0046AD"/>
        </w:rPr>
        <w:t>A significant number of our employees are covered by collective bargaining agreements that could expose us to potential liabilities in relation to our participation in multiemployer pension plans, requirements to make contributions to other benefit plans, and the potential for strikes, work slowdowns, or similar activities, and union organizing drives.</w:t>
      </w:r>
    </w:p>
    <w:p>
      <w:pPr>
        <w:spacing w:after="0" w:line="97" w:lineRule="exact"/>
        <w:rPr>
          <w:sz w:val="20"/>
          <w:szCs w:val="20"/>
          <w:color w:val="auto"/>
        </w:rPr>
      </w:pPr>
    </w:p>
    <w:p>
      <w:pPr>
        <w:jc w:val="both"/>
        <w:ind w:firstLine="619"/>
        <w:spacing w:after="0" w:line="256" w:lineRule="auto"/>
        <w:rPr>
          <w:sz w:val="20"/>
          <w:szCs w:val="20"/>
          <w:color w:val="auto"/>
        </w:rPr>
      </w:pPr>
      <w:r>
        <w:rPr>
          <w:rFonts w:ascii="Arial" w:cs="Arial" w:eastAsia="Arial" w:hAnsi="Arial"/>
          <w:sz w:val="17"/>
          <w:szCs w:val="17"/>
          <w:color w:val="auto"/>
        </w:rPr>
        <w:t>We participate in various multiemployer pension plans that provide defined pension benefits to employees covered by collective bargaining agreements. Because of the nature of multiemployer pension plans, there are risks to us associated with participation in these plans that differ from single-employer plans. Assets contributed by an employer to a multiemployer pension plan are not segregated into a separate account and are not restricted to provide benefits only to employees of that contributing employer. In the event another participating employer in a multiemployer pension plan no longer contributes to the plan, the unfunded obligations of the plan may be borne by the remaining participating employers, including us. In the event of the termination of a multiemployer pension plan or a complete or partial withdrawal from a multiemployer pension plan, under applicable law we could incur material withdrawal liabilities. We further discuss our participation in multiemployer pension and postretirement plans in Note 13, “Employee Benefit Plans,” in the Notes to consolidated financial statements. In addition, the terms of collective bargaining agreements require us to contribute to various fringe benefit plans, including health and welfare, pension, and training plans, all of which require us to have appropriate systems in place to assure timely and accurate payment of contributions. The failure to make timely and accurate contributions as a result of a systems failure could have a negative impact on our financial position.</w:t>
      </w:r>
    </w:p>
    <w:p>
      <w:pPr>
        <w:spacing w:after="0" w:line="130" w:lineRule="exact"/>
        <w:rPr>
          <w:sz w:val="20"/>
          <w:szCs w:val="20"/>
          <w:color w:val="auto"/>
        </w:rPr>
      </w:pPr>
    </w:p>
    <w:p>
      <w:pPr>
        <w:jc w:val="both"/>
        <w:ind w:firstLine="619"/>
        <w:spacing w:after="0" w:line="258" w:lineRule="auto"/>
        <w:rPr>
          <w:sz w:val="20"/>
          <w:szCs w:val="20"/>
          <w:color w:val="auto"/>
        </w:rPr>
      </w:pPr>
      <w:r>
        <w:rPr>
          <w:rFonts w:ascii="Arial" w:cs="Arial" w:eastAsia="Arial" w:hAnsi="Arial"/>
          <w:sz w:val="17"/>
          <w:szCs w:val="17"/>
          <w:color w:val="auto"/>
        </w:rPr>
        <w:t>At October 31, 2025, approximately 45% of our employees were subject to various local collective bargaining agreements, some of which will expire or become subject to renegotiation during 2026. In addition, at any given time we may face union organizing activity. When one or more of our major collective bargaining agreements becomes subject to renegotiation or when we face union organizing drives, any disagreement between us and the union on important issues may lead to a strike, work slowdown, or other job actions at one or more of our locations. In a market where we are unionized but competitors are not unionized, we could lose clients to such competitors. A strike, work slowdown, or other job action could disrupt our services, resulting in reduced revenues or contract cancellations. Moreover, negotiating a first time collective bargaining agreement or renegotiating an existing agreement could result in increases in labor and benefits expenses that we may be unable to pass through to clients.</w:t>
      </w:r>
    </w:p>
    <w:p>
      <w:pPr>
        <w:spacing w:after="0" w:line="334" w:lineRule="exact"/>
        <w:rPr>
          <w:sz w:val="20"/>
          <w:szCs w:val="20"/>
          <w:color w:val="auto"/>
        </w:rPr>
      </w:pPr>
    </w:p>
    <w:p>
      <w:pPr>
        <w:jc w:val="both"/>
        <w:spacing w:after="0" w:line="302" w:lineRule="auto"/>
        <w:rPr>
          <w:sz w:val="20"/>
          <w:szCs w:val="20"/>
          <w:color w:val="auto"/>
        </w:rPr>
      </w:pPr>
      <w:r>
        <w:rPr>
          <w:rFonts w:ascii="Arial" w:cs="Arial" w:eastAsia="Arial" w:hAnsi="Arial"/>
          <w:sz w:val="17"/>
          <w:szCs w:val="17"/>
          <w:b w:val="1"/>
          <w:bCs w:val="1"/>
          <w:i w:val="1"/>
          <w:iCs w:val="1"/>
          <w:color w:val="0046AD"/>
        </w:rPr>
        <w:t>Our business may be materially affected by changes to fiscal and tax policies. Negative or unexpected tax consequences could adversely affect our results of operations.</w:t>
      </w:r>
    </w:p>
    <w:p>
      <w:pPr>
        <w:spacing w:after="0" w:line="75" w:lineRule="exact"/>
        <w:rPr>
          <w:sz w:val="20"/>
          <w:szCs w:val="20"/>
          <w:color w:val="auto"/>
        </w:rPr>
      </w:pPr>
    </w:p>
    <w:p>
      <w:pPr>
        <w:jc w:val="both"/>
        <w:ind w:firstLine="619"/>
        <w:spacing w:after="0" w:line="258" w:lineRule="auto"/>
        <w:rPr>
          <w:sz w:val="20"/>
          <w:szCs w:val="20"/>
          <w:color w:val="auto"/>
        </w:rPr>
      </w:pPr>
      <w:r>
        <w:rPr>
          <w:rFonts w:ascii="Arial" w:cs="Arial" w:eastAsia="Arial" w:hAnsi="Arial"/>
          <w:sz w:val="17"/>
          <w:szCs w:val="17"/>
          <w:color w:val="auto"/>
        </w:rPr>
        <w:t>We are subject to a variety of taxes and tax collection and remittance obligations in the United States and foreign jurisdictions, primarily the UK and Ireland. We compute our income tax provision based on enacted tax rates in the jurisdictions in which we operate. As tax rates vary among taxing jurisdictions, a change in earnings attributable to the various jurisdictions in which we operate could result in an unfavorable change in our overall tax provision. Additionally, at any point in time, we may be under examination from taxing jurisdictions. We regularly assess the likelihood of adverse outcomes resulting from these audits to determine the adequacy of our income tax related provision. We may recognize additional tax expense, be subject to additional tax liabilities, or incur losses and penalties due to adverse outcomes in tax audits or changes in laws, regulations, treaties, administrative practices, principles, assessments by authorities, and interpretations related to tax laws, including tax rules in various jurisdictions, which could have an adverse effect on our operating results and financial condition.</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67" w:right="339" w:bottom="1440" w:gutter="0" w:footer="0" w:header="0"/>
        </w:sectPr>
      </w:pPr>
    </w:p>
    <w:bookmarkStart w:id="18" w:name="page19"/>
    <w:bookmarkEnd w:id="18"/>
    <w:p>
      <w:pPr>
        <w:spacing w:after="0"/>
        <w:rPr>
          <w:sz w:val="20"/>
          <w:szCs w:val="20"/>
          <w:color w:val="auto"/>
        </w:rPr>
      </w:pPr>
      <w:r>
        <w:rPr>
          <w:rFonts w:ascii="Arial" w:cs="Arial" w:eastAsia="Arial" w:hAnsi="Arial"/>
          <w:sz w:val="17"/>
          <w:szCs w:val="17"/>
          <w:b w:val="1"/>
          <w:bCs w:val="1"/>
          <w:color w:val="0046AD"/>
        </w:rPr>
        <w:t>Risks Relating to Financial Matters</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46AD"/>
        </w:rPr>
        <w:t>Future increases in the level of our borrowings and interest rates could affect our results of operations.</w:t>
      </w:r>
    </w:p>
    <w:p>
      <w:pPr>
        <w:spacing w:after="0" w:line="165" w:lineRule="exact"/>
        <w:rPr>
          <w:sz w:val="20"/>
          <w:szCs w:val="20"/>
          <w:color w:val="auto"/>
        </w:rPr>
      </w:pPr>
    </w:p>
    <w:p>
      <w:pPr>
        <w:jc w:val="both"/>
        <w:ind w:firstLine="619"/>
        <w:spacing w:after="0" w:line="261" w:lineRule="auto"/>
        <w:rPr>
          <w:sz w:val="20"/>
          <w:szCs w:val="20"/>
          <w:color w:val="auto"/>
        </w:rPr>
      </w:pPr>
      <w:r>
        <w:rPr>
          <w:rFonts w:ascii="Arial" w:cs="Arial" w:eastAsia="Arial" w:hAnsi="Arial"/>
          <w:sz w:val="17"/>
          <w:szCs w:val="17"/>
          <w:color w:val="auto"/>
        </w:rPr>
        <w:t>Any future interest rate increases would have corresponding impact to our costs of borrowing and may have an adverse impact on our ability to raise funds through the offering of our securities or through the issuance of debt due to higher debt capital costs, diminished credit availability, and less favorable equity markets. Any significant federal fund rate increases may have a material adverse effect on our business, results of operations, and financial condition, and may cause our customers to implement cost saving strategies that could reduce the demand of our services. In addition, increases in and/or elevated levels of our borrowings could adversely affect our results of operations and financial condition.</w:t>
      </w:r>
    </w:p>
    <w:p>
      <w:pPr>
        <w:spacing w:after="0" w:line="329"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Our future ability to make payments on our debt, fund our other liquidity needs, and make planned capital expenditures will depend on our ability to generate cash. Our ability to generate cash, to a certain extent, is subject to general economic, financial, competitive, and other factors that are beyond our control. We cannot guarantee that our business will generate sufficient cash flow from our operations or that future borrowings will be available to us in an amount sufficient to enable us to service our debt, fund other liquidity needs, make planned capital expenditures, or continue our dividend.</w:t>
      </w:r>
    </w:p>
    <w:p>
      <w:pPr>
        <w:spacing w:after="0" w:line="119"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The degree to which we are leveraged could have important consequences for shareholders. For example, being highly leveraged could: require us to dedicate a substantial portion of our cash flows from operations to the payment of debt service, reducing the availability of our cash flow to fund working capital, share repurchases, capital expenditures, acquisitions, and other general corporate purposes; limit our availability to obtain additional financing in the future to enable us to react to changes in our business; and place us at a competitive disadvantage compared to businesses in our industry that have less debt.</w:t>
      </w:r>
    </w:p>
    <w:p>
      <w:pPr>
        <w:spacing w:after="0" w:line="119"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7"/>
          <w:szCs w:val="17"/>
          <w:color w:val="auto"/>
        </w:rPr>
        <w:t>Further, our credit facility contains both financial covenants and other covenants that limit our ability to engage in specific transactions. Any failure to comply with covenants in the credit facility could result in an event of default that, if not cured or waived, would have a material adverse effect on us.</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46AD"/>
        </w:rPr>
        <w:t>Impairment of goodwill and long-lived assets could have a material adverse effect on our financial condition and results of operations.</w:t>
      </w:r>
    </w:p>
    <w:p>
      <w:pPr>
        <w:spacing w:after="0" w:line="165" w:lineRule="exact"/>
        <w:rPr>
          <w:sz w:val="20"/>
          <w:szCs w:val="20"/>
          <w:color w:val="auto"/>
        </w:rPr>
      </w:pPr>
    </w:p>
    <w:p>
      <w:pPr>
        <w:jc w:val="both"/>
        <w:ind w:firstLine="619"/>
        <w:spacing w:after="0" w:line="260" w:lineRule="auto"/>
        <w:rPr>
          <w:sz w:val="20"/>
          <w:szCs w:val="20"/>
          <w:color w:val="auto"/>
        </w:rPr>
      </w:pPr>
      <w:r>
        <w:rPr>
          <w:rFonts w:ascii="Arial" w:cs="Arial" w:eastAsia="Arial" w:hAnsi="Arial"/>
          <w:sz w:val="17"/>
          <w:szCs w:val="17"/>
          <w:color w:val="auto"/>
        </w:rPr>
        <w:t>We evaluate goodwill for impairment annually, in the fourth quarter, or more often if impairment indicators exist. We also review long-lived assets for impairment whenever events or changes in circumstances indicate that the carrying amount of such assets may not be recoverable. If the fair value of one of our reporting units is less than its carrying value, or if as a result of a recoverability test we conclude that the projected undiscounted cash flows are less than the carrying amount, we would record an impairment charge related to goodwill or long-lived assets, respectively. The assumptions used to determine impairment require significant judgment, and the amount of the impairment could have a material adverse effect on our reported financial results for the period in which the charge is taken.</w:t>
      </w:r>
    </w:p>
    <w:p>
      <w:pPr>
        <w:spacing w:after="0" w:line="122"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i w:val="1"/>
          <w:iCs w:val="1"/>
          <w:color w:val="0046AD"/>
        </w:rPr>
        <w:t>If we fail to maintain proper and effective internal control over financial reporting in the future, our ability to produce accurate and timely financial statements could be negatively impacted, which could harm our operating results and investor perceptions of our Company and as a result may have a material adverse effect on the value of our common stock.</w:t>
      </w:r>
    </w:p>
    <w:p>
      <w:pPr>
        <w:spacing w:after="0" w:line="97" w:lineRule="exact"/>
        <w:rPr>
          <w:sz w:val="20"/>
          <w:szCs w:val="20"/>
          <w:color w:val="auto"/>
        </w:rPr>
      </w:pPr>
    </w:p>
    <w:p>
      <w:pPr>
        <w:jc w:val="both"/>
        <w:ind w:firstLine="619"/>
        <w:spacing w:after="0" w:line="257" w:lineRule="auto"/>
        <w:rPr>
          <w:sz w:val="20"/>
          <w:szCs w:val="20"/>
          <w:color w:val="auto"/>
        </w:rPr>
      </w:pPr>
      <w:r>
        <w:rPr>
          <w:rFonts w:ascii="Arial" w:cs="Arial" w:eastAsia="Arial" w:hAnsi="Arial"/>
          <w:sz w:val="17"/>
          <w:szCs w:val="17"/>
          <w:color w:val="auto"/>
        </w:rPr>
        <w:t>Pursuant to Section 404 of the Sarbanes-Oxley Act of 2002 and related rules, our management is required to report on, and our independent registered public accounting firm is required to attest to, the effectiveness of our internal control over financial reporting. The rules governing the standards that must be met for management to assess our internal control over financial reporting are complex and require significant documentation, testing, and, in some instances, remediation. We have acquired entities that had no publicly traded debt or equity and therefore were not previously required to conform to the rules and regulations of the SEC, especially related to their internal control structure. When we acquire such entities, they may not have in place all the necessary controls as required by the Public Company Accounting Oversight Board. Integrating acquired entities into our internal control over financial reporting has required and will continue to require significant time and resources from our management and other personnel, which increases our compliance costs. We are required to include our assessment of the effectiveness of the internal controls over financial reporting of entities we acquire in our overall assessment, so we must plan to complete the evaluation and integration of internal controls over financial reporting and report our assessment within the required time frame.</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65" w:right="339" w:bottom="1440" w:gutter="0" w:footer="0" w:header="0"/>
        </w:sectPr>
      </w:pPr>
    </w:p>
    <w:bookmarkStart w:id="19" w:name="page20"/>
    <w:bookmarkEnd w:id="19"/>
    <w:p>
      <w:pPr>
        <w:jc w:val="both"/>
        <w:ind w:firstLine="619"/>
        <w:spacing w:after="0" w:line="262" w:lineRule="auto"/>
        <w:rPr>
          <w:sz w:val="20"/>
          <w:szCs w:val="20"/>
          <w:color w:val="auto"/>
        </w:rPr>
      </w:pPr>
      <w:r>
        <w:rPr>
          <w:rFonts w:ascii="Arial" w:cs="Arial" w:eastAsia="Arial" w:hAnsi="Arial"/>
          <w:sz w:val="17"/>
          <w:szCs w:val="17"/>
          <w:color w:val="auto"/>
        </w:rPr>
        <w:t>In addition, with the increasing frequency of cyber-related frauds perpetrated to obtain inappropriate payments, we need to ensure our internal controls related to authorizing the transfer of funds and changing our vendor master files are adequate. Furthermore, the introduction of new, and changes to existing, ERP and financial reporting information systems create implementation and change management risks that require effective internal controls to mitigate. Failure to maintain an effective internal control environment could have a material adverse effect on our ability to accurately report our financial results, the market’s perception of our business, and our stock price.</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General Risk Factors</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46AD"/>
        </w:rPr>
        <w:t>Our business may be negatively impacted by adverse weather conditions.</w:t>
      </w:r>
    </w:p>
    <w:p>
      <w:pPr>
        <w:spacing w:after="0" w:line="165" w:lineRule="exact"/>
        <w:rPr>
          <w:sz w:val="20"/>
          <w:szCs w:val="20"/>
          <w:color w:val="auto"/>
        </w:rPr>
      </w:pPr>
    </w:p>
    <w:p>
      <w:pPr>
        <w:jc w:val="both"/>
        <w:ind w:firstLine="619"/>
        <w:spacing w:after="0" w:line="260" w:lineRule="auto"/>
        <w:rPr>
          <w:sz w:val="20"/>
          <w:szCs w:val="20"/>
          <w:color w:val="auto"/>
        </w:rPr>
      </w:pPr>
      <w:r>
        <w:rPr>
          <w:rFonts w:ascii="Arial" w:cs="Arial" w:eastAsia="Arial" w:hAnsi="Arial"/>
          <w:sz w:val="17"/>
          <w:szCs w:val="17"/>
          <w:color w:val="auto"/>
        </w:rPr>
        <w:t>Weather conditions such as snow storms, heavy flooding, hurricanes, and fluctuations in temperatures can negatively impact portions of our business. Within our Technical Solutions segment, cooler than normal temperatures in the summer could reduce the need for servicing of air conditioning units, resulting in reduced revenues and profitability. Within Parking and Aviation services and portions of our Technical Solutions business, adverse weather conditions can lead to reduced activity, as well as increases in certain costs, both of which negatively affect gross profit. On the other hand, the absence of snow during the winter could cause us to experience reduced revenues in our B&amp;I segment, as many of our contracts specify additional payments for snow-related services.</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46AD"/>
        </w:rPr>
        <w:t>Catastrophic events, disasters, pandemics, and terrorist attacks could disrupt our services.</w:t>
      </w:r>
    </w:p>
    <w:p>
      <w:pPr>
        <w:spacing w:after="0" w:line="165" w:lineRule="exact"/>
        <w:rPr>
          <w:sz w:val="20"/>
          <w:szCs w:val="20"/>
          <w:color w:val="auto"/>
        </w:rPr>
      </w:pPr>
    </w:p>
    <w:p>
      <w:pPr>
        <w:jc w:val="both"/>
        <w:ind w:firstLine="619"/>
        <w:spacing w:after="0" w:line="257" w:lineRule="auto"/>
        <w:rPr>
          <w:sz w:val="20"/>
          <w:szCs w:val="20"/>
          <w:color w:val="auto"/>
        </w:rPr>
      </w:pPr>
      <w:r>
        <w:rPr>
          <w:rFonts w:ascii="Arial" w:cs="Arial" w:eastAsia="Arial" w:hAnsi="Arial"/>
          <w:sz w:val="17"/>
          <w:szCs w:val="17"/>
          <w:color w:val="auto"/>
        </w:rPr>
        <w:t>We may encounter disruptions involving power, communications, transportation or other utilities, or essential services depended upon by us or by third parties with whom we conduct business. This could include disruptions due to disasters, pandemics, weather-related or similar events (such as fires, hurricanes, blizzards, earthquakes, and floods), political instability, labor strikes, or war (including acts of terrorism or hostilities) that could impact our markets. If a disruption occurs in one location and persons in that location are unable to communicate with or travel to or work from other locations, our ability to service and interact with our clients and others may suffer, and we may not be able to successfully implement contingency plans that depend on communications or travel. These events may increase the volatility of financial results due to unforeseen costs with partial or no corresponding compensation from clients. There also can be no assurance that the disaster recovery and crisis management procedures we employ will suffice in any particular situation to avoid a significant loss. In addition, to the extent centralized administrative locations are disabled for a long period of time, key business processes, such as accounts payable, information technology, payroll, and general management operations, could be interrupted.</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46AD"/>
        </w:rPr>
        <w:t>Actions of activist investors could disrupt our business.</w:t>
      </w:r>
    </w:p>
    <w:p>
      <w:pPr>
        <w:spacing w:after="0" w:line="165"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Public companies have been the target of activist investors. In the event that a third party, such as an activist investor, proposes to change our governance policies, board of directors, or other aspects of our operations or strategy, our review and consideration of such proposals may create a significant distraction for our management and employees. This could negatively impact our ability to execute various strategic initiatives and may require management to expend significant time and resources responding to such proposals. Such proposals may also create uncertainties with respect to our financial position and operations and may adversely affect our ability to attract and retain key employees.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ITEM 1B. UNRESOLVED STAFF COMMENTS.</w:t>
      </w:r>
    </w:p>
    <w:p>
      <w:pPr>
        <w:spacing w:after="0" w:line="167" w:lineRule="exact"/>
        <w:rPr>
          <w:sz w:val="20"/>
          <w:szCs w:val="20"/>
          <w:color w:val="auto"/>
        </w:rPr>
      </w:pPr>
    </w:p>
    <w:p>
      <w:pPr>
        <w:ind w:left="620"/>
        <w:spacing w:after="0"/>
        <w:rPr>
          <w:sz w:val="20"/>
          <w:szCs w:val="20"/>
          <w:color w:val="auto"/>
        </w:rPr>
      </w:pPr>
      <w:r>
        <w:rPr>
          <w:rFonts w:ascii="Arial" w:cs="Arial" w:eastAsia="Arial" w:hAnsi="Arial"/>
          <w:sz w:val="17"/>
          <w:szCs w:val="17"/>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67" w:right="339" w:bottom="1440" w:gutter="0" w:footer="0" w:header="0"/>
        </w:sectPr>
      </w:pPr>
    </w:p>
    <w:bookmarkStart w:id="20" w:name="page21"/>
    <w:bookmarkEnd w:id="20"/>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Item 1C. Cybersecurity</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Risk Management and Strategy</w:t>
      </w:r>
    </w:p>
    <w:p>
      <w:pPr>
        <w:spacing w:after="0" w:line="168"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ABM recognizes the importance of cybersecurity risk management, which is integrated within our overall enterprise risk management framework and is aligned with standard industry information security frameworks. Specifically, cybersecurity is one of the key risk topics covered within ABM’s enterprise risk framework through the Company’s regular identification, assessment, and reporting processes. Our internal information security program is managed by a dedicated team of cybersecurity professionals led by our Chief Information Security Officer, who reports to our Chief Information Officer.</w:t>
      </w:r>
    </w:p>
    <w:p>
      <w:pPr>
        <w:spacing w:after="0" w:line="119"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7"/>
          <w:szCs w:val="17"/>
          <w:color w:val="auto"/>
        </w:rPr>
        <w:t>We have implemented cross-functional cybersecurity processes, technologies, and controls to assess, identify, and mitigate cybersecurity-related risks, and to detect and prevent cybersecurity incidents. In evaluating cybersecurity incidents, management considers the potential impact on our results of operations, control framework, and financial condition, as well as the potential impact, on our business strategy or reputation.</w:t>
      </w:r>
    </w:p>
    <w:p>
      <w:pPr>
        <w:spacing w:after="0" w:line="111"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We adhere to a risk-based, multilayered “defense in depth” strategy that incorporates multiple layers of security controls, including, but not limited to, security monitoring, endpoint protection, and identity and access management. Our processes are designed to oversee and identify material risks from cybersecurity threats associated with third-party technologies and systems, including those that leverage artificial intelligence. Where appropriate, these processes include pre-procurement assessments of contractual terms addressing cybersecurity and data protection, as well as reviews based on assessed vendor risk.</w:t>
      </w:r>
    </w:p>
    <w:p>
      <w:pPr>
        <w:spacing w:after="0" w:line="119"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7"/>
          <w:szCs w:val="17"/>
          <w:color w:val="auto"/>
        </w:rPr>
        <w:t>We regularly test and assess our systems and controls to evaluate the maturity and effectiveness of our information security program. We also regularly engage and retain expert independent external assessors and consultants to help continuously improve our security, posture, align with industry best practices, and evaluate external threats.</w:t>
      </w:r>
    </w:p>
    <w:p>
      <w:pPr>
        <w:spacing w:after="0" w:line="111"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7"/>
          <w:szCs w:val="17"/>
          <w:color w:val="auto"/>
        </w:rPr>
        <w:t>We provide regular, mandatory training for our employees regarding cybersecurity threats to raise awareness of how employees can help prevent and report potential cybersecurity incidents. We reinforce this training with periodic cybersecurity awareness reminders and phishing simulations.</w:t>
      </w:r>
    </w:p>
    <w:p>
      <w:pPr>
        <w:spacing w:after="0" w:line="111" w:lineRule="exact"/>
        <w:rPr>
          <w:sz w:val="20"/>
          <w:szCs w:val="20"/>
          <w:color w:val="auto"/>
        </w:rPr>
      </w:pPr>
    </w:p>
    <w:p>
      <w:pPr>
        <w:jc w:val="both"/>
        <w:ind w:firstLine="619"/>
        <w:spacing w:after="0" w:line="260" w:lineRule="auto"/>
        <w:rPr>
          <w:sz w:val="20"/>
          <w:szCs w:val="20"/>
          <w:color w:val="auto"/>
        </w:rPr>
      </w:pPr>
      <w:r>
        <w:rPr>
          <w:rFonts w:ascii="Arial" w:cs="Arial" w:eastAsia="Arial" w:hAnsi="Arial"/>
          <w:sz w:val="17"/>
          <w:szCs w:val="17"/>
          <w:color w:val="auto"/>
        </w:rPr>
        <w:t>Although the Company dedicates significant resources to protecting against cybersecurity risks, the Company has experienced, and expects to continue to be subject to, cybersecurity threats. To date, the Company is not aware of any cybersecurity incidents that have materially affected or are reasonably likely to materially affect the Company, including its business strategy, results of operations, or financial condition. However, the Company continues to face cybersecurity risks such as those described in “Item 1A. Risk Factors” of this Annual Report on Form 10-K, and there can be no assurance that cybersecurity threats or incidents will not have a material adverse effect in the future. While we maintain cybersecurity risk insurance, such insurance may not be sufficient to cover all losses from cybersecurity incidents.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Governance</w:t>
      </w:r>
    </w:p>
    <w:p>
      <w:pPr>
        <w:spacing w:after="0" w:line="168" w:lineRule="exact"/>
        <w:rPr>
          <w:sz w:val="20"/>
          <w:szCs w:val="20"/>
          <w:color w:val="auto"/>
        </w:rPr>
      </w:pPr>
    </w:p>
    <w:p>
      <w:pPr>
        <w:jc w:val="both"/>
        <w:ind w:firstLine="619"/>
        <w:spacing w:after="0" w:line="258" w:lineRule="auto"/>
        <w:rPr>
          <w:sz w:val="20"/>
          <w:szCs w:val="20"/>
          <w:color w:val="auto"/>
        </w:rPr>
      </w:pPr>
      <w:r>
        <w:rPr>
          <w:rFonts w:ascii="Arial" w:cs="Arial" w:eastAsia="Arial" w:hAnsi="Arial"/>
          <w:sz w:val="17"/>
          <w:szCs w:val="17"/>
          <w:color w:val="auto"/>
        </w:rPr>
        <w:t>ABM’s management is responsible for the day-to-day administration of our cybersecurity policies, processes, practices, and risk management. Within management, the Company’s Chief Information Security Officer has specific responsibility for cybersecurity risk management and reports to our Chief Information Officer. Our Chief Information Security Officer meets regularly with our executive management team to review our cybersecurity programs, objectives, trends, and threats. Our Chief Information Officer has over 20 years of experience as a technology leader, with responsibilities for developing and executing technology strategies across diverse industries, including technology, commercial real estate, manufacturing, healthcare, and aviation. Our Chief Information Security Officer also has over 20 years of significant leadership experience in audit, risk, compliance, and security across complex global organizations and formerly served as Chief Information Security Officer at two Fortune 500 organizations.</w:t>
      </w:r>
    </w:p>
    <w:p>
      <w:pPr>
        <w:spacing w:after="0" w:line="124"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Our Board of Directors oversees the Company’s risk management and strategy related to its cybersecurity and artificial intelligence (“AI”) programs, policies, and practices, including (i) the Company’s processes for assessing, identifying, managing, and mitigating material risks from cybersecurity and AI-related threats and emerging developments; (ii) whether any risks from cybersecurity threats or AI technologies have materially affected or are reasonably likely to materially affect the Company; (iii) the expertise of members of management with respect</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 w:name="page22"/>
    <w:bookmarkEnd w:id="21"/>
    <w:p>
      <w:pPr>
        <w:jc w:val="both"/>
        <w:spacing w:after="0" w:line="265" w:lineRule="auto"/>
        <w:rPr>
          <w:sz w:val="20"/>
          <w:szCs w:val="20"/>
          <w:color w:val="auto"/>
        </w:rPr>
      </w:pPr>
      <w:r>
        <w:rPr>
          <w:rFonts w:ascii="Arial" w:cs="Arial" w:eastAsia="Arial" w:hAnsi="Arial"/>
          <w:sz w:val="17"/>
          <w:szCs w:val="17"/>
          <w:color w:val="auto"/>
        </w:rPr>
        <w:t>to assessing and managing risks from cybersecurity threats and AI technologies; and (iv) the Company’s disclosure controls and procedures with respect to material cybersecurity or AI-related risks and incidents. The Board of Directors is assisted by its Stakeholder and Enterprise Risk Committee, which oversees the Company’s enterprise risk management program and the identification, evaluation, and mitigation of stakeholder risks, including those relating to cybersecurity.</w:t>
      </w:r>
    </w:p>
    <w:p>
      <w:pPr>
        <w:spacing w:after="0" w:line="116" w:lineRule="exact"/>
        <w:rPr>
          <w:sz w:val="20"/>
          <w:szCs w:val="20"/>
          <w:color w:val="auto"/>
        </w:rPr>
      </w:pPr>
    </w:p>
    <w:p>
      <w:pPr>
        <w:jc w:val="both"/>
        <w:ind w:firstLine="619"/>
        <w:spacing w:after="0" w:line="258" w:lineRule="auto"/>
        <w:rPr>
          <w:sz w:val="20"/>
          <w:szCs w:val="20"/>
          <w:color w:val="auto"/>
        </w:rPr>
      </w:pPr>
      <w:r>
        <w:rPr>
          <w:rFonts w:ascii="Arial" w:cs="Arial" w:eastAsia="Arial" w:hAnsi="Arial"/>
          <w:sz w:val="17"/>
          <w:szCs w:val="17"/>
          <w:color w:val="auto"/>
        </w:rPr>
        <w:t>In addition, ABM maintains a monitoring system and escalation process to inform senior management and the Board of Directors of any potentially material cybersecurity issues. Specifically, our cybersecurity operations team monitors and reviews cybersecurity developments and threats, conducts initial assessments of these threats, and escalates any matter requiring senior management’s attention to our Chief Information Officer. We have also developed cyber incident response plans and related playbooks to guide the handling of information security incidents, outlining a coordinated approach to investigate, contain, and mitigate incidents. These response plans establish clear communication protocols for notifying senior management and other key stakeholders based on defined severity thresholds. Under these plans, any significant incident is escalated to a multifunctional materiality committee comprised of management representatives for information technology, legal, compliance, operations, finance, and accounting.</w:t>
      </w:r>
    </w:p>
    <w:p>
      <w:pPr>
        <w:spacing w:after="0" w:line="124"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ABM’s Chief Information Officer and Chief Information Security Officer regularly provide reports and updates to other members of senior management, our Board of Directors, and our Board’s Stakeholder and Enterprise Risk Committee. In connection with these updates, our Board of Directors reviews the Company’s cybersecurity programs and oversees the Company’s efforts to continually enhance the Company’s cybersecurity posture and to mitigate related risks. The reports from ABM’s Chief Information Officer and Chief Information Security Officer also include updates on emerging trends and progress on overall enterprise cybersecurity priorities.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ITEM 2. PROPERTIES.</w:t>
      </w:r>
    </w:p>
    <w:p>
      <w:pPr>
        <w:spacing w:after="0" w:line="168" w:lineRule="exact"/>
        <w:rPr>
          <w:sz w:val="20"/>
          <w:szCs w:val="20"/>
          <w:color w:val="auto"/>
        </w:rPr>
      </w:pPr>
    </w:p>
    <w:p>
      <w:pPr>
        <w:ind w:left="620"/>
        <w:spacing w:after="0"/>
        <w:rPr>
          <w:sz w:val="20"/>
          <w:szCs w:val="20"/>
          <w:color w:val="auto"/>
        </w:rPr>
      </w:pPr>
      <w:r>
        <w:rPr>
          <w:rFonts w:ascii="Arial" w:cs="Arial" w:eastAsia="Arial" w:hAnsi="Arial"/>
          <w:sz w:val="17"/>
          <w:szCs w:val="17"/>
          <w:color w:val="auto"/>
        </w:rPr>
        <w:t>Our principal executive office is located at One Liberty Plaza, 7th Floor, New York, New York 10006.</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Principal Properties as of October 31, 2025</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160" w:type="dxa"/>
            <w:vAlign w:val="bottom"/>
            <w:vMerge w:val="restart"/>
          </w:tcPr>
          <w:p>
            <w:pPr>
              <w:jc w:val="center"/>
              <w:spacing w:after="0"/>
              <w:rPr>
                <w:sz w:val="20"/>
                <w:szCs w:val="20"/>
                <w:color w:val="auto"/>
              </w:rPr>
            </w:pPr>
            <w:r>
              <w:rPr>
                <w:rFonts w:ascii="Arial" w:cs="Arial" w:eastAsia="Arial" w:hAnsi="Arial"/>
                <w:sz w:val="17"/>
                <w:szCs w:val="17"/>
                <w:b w:val="1"/>
                <w:bCs w:val="1"/>
                <w:color w:val="auto"/>
              </w:rPr>
              <w:t>Location</w:t>
            </w:r>
          </w:p>
        </w:tc>
        <w:tc>
          <w:tcPr>
            <w:tcW w:w="2260" w:type="dxa"/>
            <w:vAlign w:val="bottom"/>
            <w:vMerge w:val="restart"/>
          </w:tcPr>
          <w:p>
            <w:pPr>
              <w:jc w:val="center"/>
              <w:ind w:left="2"/>
              <w:spacing w:after="0"/>
              <w:rPr>
                <w:sz w:val="20"/>
                <w:szCs w:val="20"/>
                <w:color w:val="auto"/>
              </w:rPr>
            </w:pPr>
            <w:r>
              <w:rPr>
                <w:rFonts w:ascii="Arial" w:cs="Arial" w:eastAsia="Arial" w:hAnsi="Arial"/>
                <w:sz w:val="17"/>
                <w:szCs w:val="17"/>
                <w:b w:val="1"/>
                <w:bCs w:val="1"/>
                <w:color w:val="auto"/>
              </w:rPr>
              <w:t>Character of Office</w:t>
            </w:r>
          </w:p>
        </w:tc>
        <w:tc>
          <w:tcPr>
            <w:tcW w:w="2360" w:type="dxa"/>
            <w:vAlign w:val="bottom"/>
            <w:vMerge w:val="restart"/>
          </w:tcPr>
          <w:p>
            <w:pPr>
              <w:jc w:val="center"/>
              <w:spacing w:after="0"/>
              <w:rPr>
                <w:sz w:val="20"/>
                <w:szCs w:val="20"/>
                <w:color w:val="auto"/>
              </w:rPr>
            </w:pPr>
            <w:r>
              <w:rPr>
                <w:rFonts w:ascii="Arial" w:cs="Arial" w:eastAsia="Arial" w:hAnsi="Arial"/>
                <w:sz w:val="17"/>
                <w:szCs w:val="17"/>
                <w:b w:val="1"/>
                <w:bCs w:val="1"/>
                <w:color w:val="auto"/>
              </w:rPr>
              <w:t>Approximate Square Feet</w:t>
            </w:r>
          </w:p>
        </w:tc>
        <w:tc>
          <w:tcPr>
            <w:tcW w:w="2120" w:type="dxa"/>
            <w:vAlign w:val="bottom"/>
          </w:tcPr>
          <w:p>
            <w:pPr>
              <w:jc w:val="center"/>
              <w:spacing w:after="0"/>
              <w:rPr>
                <w:sz w:val="20"/>
                <w:szCs w:val="20"/>
                <w:color w:val="auto"/>
              </w:rPr>
            </w:pPr>
            <w:r>
              <w:rPr>
                <w:rFonts w:ascii="Arial" w:cs="Arial" w:eastAsia="Arial" w:hAnsi="Arial"/>
                <w:sz w:val="17"/>
                <w:szCs w:val="17"/>
                <w:b w:val="1"/>
                <w:bCs w:val="1"/>
                <w:color w:val="auto"/>
              </w:rPr>
              <w:t>Lease Expiration Date,</w:t>
            </w:r>
          </w:p>
        </w:tc>
        <w:tc>
          <w:tcPr>
            <w:tcW w:w="2260" w:type="dxa"/>
            <w:vAlign w:val="bottom"/>
            <w:vMerge w:val="restart"/>
          </w:tcPr>
          <w:p>
            <w:pPr>
              <w:jc w:val="center"/>
              <w:ind w:left="22"/>
              <w:spacing w:after="0"/>
              <w:rPr>
                <w:sz w:val="20"/>
                <w:szCs w:val="20"/>
                <w:color w:val="auto"/>
              </w:rPr>
            </w:pPr>
            <w:r>
              <w:rPr>
                <w:rFonts w:ascii="Arial" w:cs="Arial" w:eastAsia="Arial" w:hAnsi="Arial"/>
                <w:sz w:val="17"/>
                <w:szCs w:val="17"/>
                <w:b w:val="1"/>
                <w:bCs w:val="1"/>
                <w:color w:val="auto"/>
              </w:rPr>
              <w:t>Segment</w:t>
            </w:r>
          </w:p>
        </w:tc>
        <w:tc>
          <w:tcPr>
            <w:tcW w:w="0" w:type="dxa"/>
            <w:vAlign w:val="bottom"/>
          </w:tcPr>
          <w:p>
            <w:pPr>
              <w:spacing w:after="0"/>
              <w:rPr>
                <w:sz w:val="1"/>
                <w:szCs w:val="1"/>
                <w:color w:val="auto"/>
              </w:rPr>
            </w:pPr>
          </w:p>
        </w:tc>
      </w:tr>
      <w:tr>
        <w:trPr>
          <w:trHeight w:val="232"/>
        </w:trPr>
        <w:tc>
          <w:tcPr>
            <w:tcW w:w="2160" w:type="dxa"/>
            <w:vAlign w:val="bottom"/>
            <w:tcBorders>
              <w:bottom w:val="single" w:sz="8" w:color="auto"/>
            </w:tcBorders>
            <w:vMerge w:val="continue"/>
          </w:tcPr>
          <w:p>
            <w:pPr>
              <w:spacing w:after="0"/>
              <w:rPr>
                <w:sz w:val="20"/>
                <w:szCs w:val="20"/>
                <w:color w:val="auto"/>
              </w:rPr>
            </w:pPr>
          </w:p>
        </w:tc>
        <w:tc>
          <w:tcPr>
            <w:tcW w:w="2260" w:type="dxa"/>
            <w:vAlign w:val="bottom"/>
            <w:tcBorders>
              <w:bottom w:val="single" w:sz="8" w:color="auto"/>
            </w:tcBorders>
            <w:vMerge w:val="continue"/>
          </w:tcPr>
          <w:p>
            <w:pPr>
              <w:spacing w:after="0"/>
              <w:rPr>
                <w:sz w:val="20"/>
                <w:szCs w:val="20"/>
                <w:color w:val="auto"/>
              </w:rPr>
            </w:pPr>
          </w:p>
        </w:tc>
        <w:tc>
          <w:tcPr>
            <w:tcW w:w="2360" w:type="dxa"/>
            <w:vAlign w:val="bottom"/>
            <w:tcBorders>
              <w:bottom w:val="single" w:sz="8" w:color="auto"/>
            </w:tcBorders>
            <w:vMerge w:val="continue"/>
          </w:tcPr>
          <w:p>
            <w:pPr>
              <w:spacing w:after="0"/>
              <w:rPr>
                <w:sz w:val="20"/>
                <w:szCs w:val="20"/>
                <w:color w:val="auto"/>
              </w:rPr>
            </w:pPr>
          </w:p>
        </w:tc>
        <w:tc>
          <w:tcPr>
            <w:tcW w:w="212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rPr>
              <w:t>Unless Owned</w:t>
            </w:r>
          </w:p>
        </w:tc>
        <w:tc>
          <w:tcPr>
            <w:tcW w:w="22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2160" w:type="dxa"/>
            <w:vAlign w:val="bottom"/>
            <w:shd w:val="clear" w:color="auto" w:fill="DCE2EF"/>
          </w:tcPr>
          <w:p>
            <w:pPr>
              <w:jc w:val="center"/>
              <w:spacing w:after="0"/>
              <w:rPr>
                <w:sz w:val="20"/>
                <w:szCs w:val="20"/>
                <w:color w:val="auto"/>
              </w:rPr>
            </w:pPr>
            <w:r>
              <w:rPr>
                <w:rFonts w:ascii="Arial" w:cs="Arial" w:eastAsia="Arial" w:hAnsi="Arial"/>
                <w:sz w:val="15"/>
                <w:szCs w:val="15"/>
                <w:color w:val="auto"/>
              </w:rPr>
              <w:t>Sugar Land, Texas</w:t>
            </w:r>
          </w:p>
        </w:tc>
        <w:tc>
          <w:tcPr>
            <w:tcW w:w="2260" w:type="dxa"/>
            <w:vAlign w:val="bottom"/>
            <w:shd w:val="clear" w:color="auto" w:fill="DCE2EF"/>
          </w:tcPr>
          <w:p>
            <w:pPr>
              <w:jc w:val="center"/>
              <w:ind w:left="2"/>
              <w:spacing w:after="0"/>
              <w:rPr>
                <w:sz w:val="20"/>
                <w:szCs w:val="20"/>
                <w:color w:val="auto"/>
              </w:rPr>
            </w:pPr>
            <w:r>
              <w:rPr>
                <w:rFonts w:ascii="Arial" w:cs="Arial" w:eastAsia="Arial" w:hAnsi="Arial"/>
                <w:sz w:val="15"/>
                <w:szCs w:val="15"/>
                <w:color w:val="auto"/>
              </w:rPr>
              <w:t>Enterprise Services</w:t>
            </w:r>
          </w:p>
        </w:tc>
        <w:tc>
          <w:tcPr>
            <w:tcW w:w="2360" w:type="dxa"/>
            <w:vAlign w:val="bottom"/>
            <w:shd w:val="clear" w:color="auto" w:fill="DCE2EF"/>
          </w:tcPr>
          <w:p>
            <w:pPr>
              <w:jc w:val="center"/>
              <w:spacing w:after="0"/>
              <w:rPr>
                <w:sz w:val="20"/>
                <w:szCs w:val="20"/>
                <w:color w:val="auto"/>
              </w:rPr>
            </w:pPr>
            <w:r>
              <w:rPr>
                <w:rFonts w:ascii="Arial" w:cs="Arial" w:eastAsia="Arial" w:hAnsi="Arial"/>
                <w:sz w:val="15"/>
                <w:szCs w:val="15"/>
                <w:color w:val="auto"/>
              </w:rPr>
              <w:t>62,500</w:t>
            </w:r>
          </w:p>
        </w:tc>
        <w:tc>
          <w:tcPr>
            <w:tcW w:w="2120" w:type="dxa"/>
            <w:vAlign w:val="bottom"/>
            <w:shd w:val="clear" w:color="auto" w:fill="DCE2EF"/>
          </w:tcPr>
          <w:p>
            <w:pPr>
              <w:jc w:val="center"/>
              <w:spacing w:after="0"/>
              <w:rPr>
                <w:sz w:val="20"/>
                <w:szCs w:val="20"/>
                <w:color w:val="auto"/>
              </w:rPr>
            </w:pPr>
            <w:r>
              <w:rPr>
                <w:rFonts w:ascii="Arial" w:cs="Arial" w:eastAsia="Arial" w:hAnsi="Arial"/>
                <w:sz w:val="15"/>
                <w:szCs w:val="15"/>
                <w:color w:val="auto"/>
              </w:rPr>
              <w:t>3/31/2028</w:t>
            </w:r>
          </w:p>
        </w:tc>
        <w:tc>
          <w:tcPr>
            <w:tcW w:w="2260" w:type="dxa"/>
            <w:vAlign w:val="bottom"/>
            <w:shd w:val="clear" w:color="auto" w:fill="DCE2EF"/>
          </w:tcPr>
          <w:p>
            <w:pPr>
              <w:jc w:val="center"/>
              <w:ind w:left="22"/>
              <w:spacing w:after="0"/>
              <w:rPr>
                <w:sz w:val="20"/>
                <w:szCs w:val="20"/>
                <w:color w:val="auto"/>
              </w:rPr>
            </w:pPr>
            <w:r>
              <w:rPr>
                <w:rFonts w:ascii="Arial" w:cs="Arial" w:eastAsia="Arial" w:hAnsi="Arial"/>
                <w:sz w:val="15"/>
                <w:szCs w:val="15"/>
                <w:color w:val="auto"/>
                <w:w w:val="95"/>
              </w:rPr>
              <w:t>All</w:t>
            </w:r>
          </w:p>
        </w:tc>
        <w:tc>
          <w:tcPr>
            <w:tcW w:w="0" w:type="dxa"/>
            <w:vAlign w:val="bottom"/>
          </w:tcPr>
          <w:p>
            <w:pPr>
              <w:spacing w:after="0"/>
              <w:rPr>
                <w:sz w:val="1"/>
                <w:szCs w:val="1"/>
                <w:color w:val="auto"/>
              </w:rPr>
            </w:pPr>
          </w:p>
        </w:tc>
      </w:tr>
      <w:tr>
        <w:trPr>
          <w:trHeight w:val="205"/>
        </w:trPr>
        <w:tc>
          <w:tcPr>
            <w:tcW w:w="2160" w:type="dxa"/>
            <w:vAlign w:val="bottom"/>
          </w:tcPr>
          <w:p>
            <w:pPr>
              <w:jc w:val="center"/>
              <w:spacing w:after="0"/>
              <w:rPr>
                <w:sz w:val="20"/>
                <w:szCs w:val="20"/>
                <w:color w:val="auto"/>
              </w:rPr>
            </w:pPr>
            <w:r>
              <w:rPr>
                <w:rFonts w:ascii="Arial" w:cs="Arial" w:eastAsia="Arial" w:hAnsi="Arial"/>
                <w:sz w:val="15"/>
                <w:szCs w:val="15"/>
                <w:color w:val="auto"/>
              </w:rPr>
              <w:t>Cumming, Georgia</w:t>
            </w:r>
          </w:p>
        </w:tc>
        <w:tc>
          <w:tcPr>
            <w:tcW w:w="2260" w:type="dxa"/>
            <w:vAlign w:val="bottom"/>
          </w:tcPr>
          <w:p>
            <w:pPr>
              <w:jc w:val="center"/>
              <w:ind w:left="2"/>
              <w:spacing w:after="0"/>
              <w:rPr>
                <w:sz w:val="20"/>
                <w:szCs w:val="20"/>
                <w:color w:val="auto"/>
              </w:rPr>
            </w:pPr>
            <w:r>
              <w:rPr>
                <w:rFonts w:ascii="Arial" w:cs="Arial" w:eastAsia="Arial" w:hAnsi="Arial"/>
                <w:sz w:val="15"/>
                <w:szCs w:val="15"/>
                <w:color w:val="auto"/>
              </w:rPr>
              <w:t>Operations Support</w:t>
            </w:r>
          </w:p>
        </w:tc>
        <w:tc>
          <w:tcPr>
            <w:tcW w:w="2360" w:type="dxa"/>
            <w:vAlign w:val="bottom"/>
          </w:tcPr>
          <w:p>
            <w:pPr>
              <w:jc w:val="center"/>
              <w:spacing w:after="0"/>
              <w:rPr>
                <w:sz w:val="20"/>
                <w:szCs w:val="20"/>
                <w:color w:val="auto"/>
              </w:rPr>
            </w:pPr>
            <w:r>
              <w:rPr>
                <w:rFonts w:ascii="Arial" w:cs="Arial" w:eastAsia="Arial" w:hAnsi="Arial"/>
                <w:sz w:val="15"/>
                <w:szCs w:val="15"/>
                <w:color w:val="auto"/>
              </w:rPr>
              <w:t>57,637</w:t>
            </w:r>
          </w:p>
        </w:tc>
        <w:tc>
          <w:tcPr>
            <w:tcW w:w="2120" w:type="dxa"/>
            <w:vAlign w:val="bottom"/>
          </w:tcPr>
          <w:p>
            <w:pPr>
              <w:jc w:val="center"/>
              <w:spacing w:after="0"/>
              <w:rPr>
                <w:sz w:val="20"/>
                <w:szCs w:val="20"/>
                <w:color w:val="auto"/>
              </w:rPr>
            </w:pPr>
            <w:r>
              <w:rPr>
                <w:rFonts w:ascii="Arial" w:cs="Arial" w:eastAsia="Arial" w:hAnsi="Arial"/>
                <w:sz w:val="15"/>
                <w:szCs w:val="15"/>
                <w:color w:val="auto"/>
              </w:rPr>
              <w:t>1/31/2034</w:t>
            </w:r>
          </w:p>
        </w:tc>
        <w:tc>
          <w:tcPr>
            <w:tcW w:w="2260" w:type="dxa"/>
            <w:vAlign w:val="bottom"/>
          </w:tcPr>
          <w:p>
            <w:pPr>
              <w:jc w:val="center"/>
              <w:ind w:left="22"/>
              <w:spacing w:after="0"/>
              <w:rPr>
                <w:sz w:val="20"/>
                <w:szCs w:val="20"/>
                <w:color w:val="auto"/>
              </w:rPr>
            </w:pPr>
            <w:r>
              <w:rPr>
                <w:rFonts w:ascii="Arial" w:cs="Arial" w:eastAsia="Arial" w:hAnsi="Arial"/>
                <w:sz w:val="15"/>
                <w:szCs w:val="15"/>
                <w:color w:val="auto"/>
              </w:rPr>
              <w:t>Technical Solutions</w:t>
            </w:r>
          </w:p>
        </w:tc>
        <w:tc>
          <w:tcPr>
            <w:tcW w:w="0" w:type="dxa"/>
            <w:vAlign w:val="bottom"/>
          </w:tcPr>
          <w:p>
            <w:pPr>
              <w:spacing w:after="0"/>
              <w:rPr>
                <w:sz w:val="1"/>
                <w:szCs w:val="1"/>
                <w:color w:val="auto"/>
              </w:rPr>
            </w:pPr>
          </w:p>
        </w:tc>
      </w:tr>
      <w:tr>
        <w:trPr>
          <w:trHeight w:val="207"/>
        </w:trPr>
        <w:tc>
          <w:tcPr>
            <w:tcW w:w="2160" w:type="dxa"/>
            <w:vAlign w:val="bottom"/>
            <w:shd w:val="clear" w:color="auto" w:fill="DCE2EF"/>
          </w:tcPr>
          <w:p>
            <w:pPr>
              <w:jc w:val="center"/>
              <w:spacing w:after="0"/>
              <w:rPr>
                <w:sz w:val="20"/>
                <w:szCs w:val="20"/>
                <w:color w:val="auto"/>
              </w:rPr>
            </w:pPr>
            <w:r>
              <w:rPr>
                <w:rFonts w:ascii="Arial" w:cs="Arial" w:eastAsia="Arial" w:hAnsi="Arial"/>
                <w:sz w:val="15"/>
                <w:szCs w:val="15"/>
                <w:color w:val="auto"/>
              </w:rPr>
              <w:t>New York, New York</w:t>
            </w:r>
          </w:p>
        </w:tc>
        <w:tc>
          <w:tcPr>
            <w:tcW w:w="2260" w:type="dxa"/>
            <w:vAlign w:val="bottom"/>
            <w:shd w:val="clear" w:color="auto" w:fill="DCE2EF"/>
          </w:tcPr>
          <w:p>
            <w:pPr>
              <w:jc w:val="center"/>
              <w:ind w:left="2"/>
              <w:spacing w:after="0"/>
              <w:rPr>
                <w:sz w:val="20"/>
                <w:szCs w:val="20"/>
                <w:color w:val="auto"/>
              </w:rPr>
            </w:pPr>
            <w:r>
              <w:rPr>
                <w:rFonts w:ascii="Arial" w:cs="Arial" w:eastAsia="Arial" w:hAnsi="Arial"/>
                <w:sz w:val="15"/>
                <w:szCs w:val="15"/>
                <w:color w:val="auto"/>
              </w:rPr>
              <w:t>Corporate Headquarters</w:t>
            </w:r>
          </w:p>
        </w:tc>
        <w:tc>
          <w:tcPr>
            <w:tcW w:w="2360" w:type="dxa"/>
            <w:vAlign w:val="bottom"/>
            <w:shd w:val="clear" w:color="auto" w:fill="DCE2EF"/>
          </w:tcPr>
          <w:p>
            <w:pPr>
              <w:jc w:val="center"/>
              <w:spacing w:after="0"/>
              <w:rPr>
                <w:sz w:val="20"/>
                <w:szCs w:val="20"/>
                <w:color w:val="auto"/>
              </w:rPr>
            </w:pPr>
            <w:r>
              <w:rPr>
                <w:rFonts w:ascii="Arial" w:cs="Arial" w:eastAsia="Arial" w:hAnsi="Arial"/>
                <w:sz w:val="15"/>
                <w:szCs w:val="15"/>
                <w:color w:val="auto"/>
              </w:rPr>
              <w:t>44,000</w:t>
            </w:r>
          </w:p>
        </w:tc>
        <w:tc>
          <w:tcPr>
            <w:tcW w:w="2120" w:type="dxa"/>
            <w:vAlign w:val="bottom"/>
            <w:shd w:val="clear" w:color="auto" w:fill="DCE2EF"/>
          </w:tcPr>
          <w:p>
            <w:pPr>
              <w:jc w:val="center"/>
              <w:spacing w:after="0"/>
              <w:rPr>
                <w:sz w:val="20"/>
                <w:szCs w:val="20"/>
                <w:color w:val="auto"/>
              </w:rPr>
            </w:pPr>
            <w:r>
              <w:rPr>
                <w:rFonts w:ascii="Arial" w:cs="Arial" w:eastAsia="Arial" w:hAnsi="Arial"/>
                <w:sz w:val="15"/>
                <w:szCs w:val="15"/>
                <w:color w:val="auto"/>
              </w:rPr>
              <w:t>1/3/2032</w:t>
            </w:r>
          </w:p>
        </w:tc>
        <w:tc>
          <w:tcPr>
            <w:tcW w:w="2260" w:type="dxa"/>
            <w:vAlign w:val="bottom"/>
            <w:shd w:val="clear" w:color="auto" w:fill="DCE2EF"/>
          </w:tcPr>
          <w:p>
            <w:pPr>
              <w:jc w:val="center"/>
              <w:ind w:left="22"/>
              <w:spacing w:after="0"/>
              <w:rPr>
                <w:sz w:val="20"/>
                <w:szCs w:val="20"/>
                <w:color w:val="auto"/>
              </w:rPr>
            </w:pPr>
            <w:r>
              <w:rPr>
                <w:rFonts w:ascii="Arial" w:cs="Arial" w:eastAsia="Arial" w:hAnsi="Arial"/>
                <w:sz w:val="15"/>
                <w:szCs w:val="15"/>
                <w:color w:val="auto"/>
              </w:rPr>
              <w:t>Corporate and B&amp;I</w:t>
            </w:r>
          </w:p>
        </w:tc>
        <w:tc>
          <w:tcPr>
            <w:tcW w:w="0" w:type="dxa"/>
            <w:vAlign w:val="bottom"/>
          </w:tcPr>
          <w:p>
            <w:pPr>
              <w:spacing w:after="0"/>
              <w:rPr>
                <w:sz w:val="1"/>
                <w:szCs w:val="1"/>
                <w:color w:val="auto"/>
              </w:rPr>
            </w:pPr>
          </w:p>
        </w:tc>
      </w:tr>
      <w:tr>
        <w:trPr>
          <w:trHeight w:val="205"/>
        </w:trPr>
        <w:tc>
          <w:tcPr>
            <w:tcW w:w="2160" w:type="dxa"/>
            <w:vAlign w:val="bottom"/>
          </w:tcPr>
          <w:p>
            <w:pPr>
              <w:jc w:val="center"/>
              <w:spacing w:after="0"/>
              <w:rPr>
                <w:sz w:val="20"/>
                <w:szCs w:val="20"/>
                <w:color w:val="auto"/>
              </w:rPr>
            </w:pPr>
            <w:r>
              <w:rPr>
                <w:rFonts w:ascii="Arial" w:cs="Arial" w:eastAsia="Arial" w:hAnsi="Arial"/>
                <w:sz w:val="15"/>
                <w:szCs w:val="15"/>
                <w:color w:val="auto"/>
              </w:rPr>
              <w:t>Tustin, California</w:t>
            </w:r>
          </w:p>
        </w:tc>
        <w:tc>
          <w:tcPr>
            <w:tcW w:w="2260" w:type="dxa"/>
            <w:vAlign w:val="bottom"/>
          </w:tcPr>
          <w:p>
            <w:pPr>
              <w:jc w:val="center"/>
              <w:ind w:left="2"/>
              <w:spacing w:after="0"/>
              <w:rPr>
                <w:sz w:val="20"/>
                <w:szCs w:val="20"/>
                <w:color w:val="auto"/>
              </w:rPr>
            </w:pPr>
            <w:r>
              <w:rPr>
                <w:rFonts w:ascii="Arial" w:cs="Arial" w:eastAsia="Arial" w:hAnsi="Arial"/>
                <w:sz w:val="15"/>
                <w:szCs w:val="15"/>
                <w:color w:val="auto"/>
              </w:rPr>
              <w:t>Operations Support</w:t>
            </w:r>
          </w:p>
        </w:tc>
        <w:tc>
          <w:tcPr>
            <w:tcW w:w="2360" w:type="dxa"/>
            <w:vAlign w:val="bottom"/>
          </w:tcPr>
          <w:p>
            <w:pPr>
              <w:jc w:val="center"/>
              <w:spacing w:after="0"/>
              <w:rPr>
                <w:sz w:val="20"/>
                <w:szCs w:val="20"/>
                <w:color w:val="auto"/>
              </w:rPr>
            </w:pPr>
            <w:r>
              <w:rPr>
                <w:rFonts w:ascii="Arial" w:cs="Arial" w:eastAsia="Arial" w:hAnsi="Arial"/>
                <w:sz w:val="15"/>
                <w:szCs w:val="15"/>
                <w:color w:val="auto"/>
              </w:rPr>
              <w:t>40,000</w:t>
            </w:r>
          </w:p>
        </w:tc>
        <w:tc>
          <w:tcPr>
            <w:tcW w:w="2120" w:type="dxa"/>
            <w:vAlign w:val="bottom"/>
          </w:tcPr>
          <w:p>
            <w:pPr>
              <w:jc w:val="center"/>
              <w:spacing w:after="0"/>
              <w:rPr>
                <w:sz w:val="20"/>
                <w:szCs w:val="20"/>
                <w:color w:val="auto"/>
              </w:rPr>
            </w:pPr>
            <w:r>
              <w:rPr>
                <w:rFonts w:ascii="Arial" w:cs="Arial" w:eastAsia="Arial" w:hAnsi="Arial"/>
                <w:sz w:val="15"/>
                <w:szCs w:val="15"/>
                <w:color w:val="auto"/>
              </w:rPr>
              <w:t>7/31/2029</w:t>
            </w:r>
          </w:p>
        </w:tc>
        <w:tc>
          <w:tcPr>
            <w:tcW w:w="2260" w:type="dxa"/>
            <w:vAlign w:val="bottom"/>
          </w:tcPr>
          <w:p>
            <w:pPr>
              <w:jc w:val="center"/>
              <w:ind w:left="22"/>
              <w:spacing w:after="0"/>
              <w:rPr>
                <w:sz w:val="20"/>
                <w:szCs w:val="20"/>
                <w:color w:val="auto"/>
              </w:rPr>
            </w:pPr>
            <w:r>
              <w:rPr>
                <w:rFonts w:ascii="Arial" w:cs="Arial" w:eastAsia="Arial" w:hAnsi="Arial"/>
                <w:sz w:val="15"/>
                <w:szCs w:val="15"/>
                <w:color w:val="auto"/>
              </w:rPr>
              <w:t>B&amp;I and Technical Solutions</w:t>
            </w:r>
          </w:p>
        </w:tc>
        <w:tc>
          <w:tcPr>
            <w:tcW w:w="0" w:type="dxa"/>
            <w:vAlign w:val="bottom"/>
          </w:tcPr>
          <w:p>
            <w:pPr>
              <w:spacing w:after="0"/>
              <w:rPr>
                <w:sz w:val="1"/>
                <w:szCs w:val="1"/>
                <w:color w:val="auto"/>
              </w:rPr>
            </w:pPr>
          </w:p>
        </w:tc>
      </w:tr>
      <w:tr>
        <w:trPr>
          <w:trHeight w:val="207"/>
        </w:trPr>
        <w:tc>
          <w:tcPr>
            <w:tcW w:w="2160" w:type="dxa"/>
            <w:vAlign w:val="bottom"/>
            <w:shd w:val="clear" w:color="auto" w:fill="DCE2EF"/>
          </w:tcPr>
          <w:p>
            <w:pPr>
              <w:jc w:val="center"/>
              <w:spacing w:after="0"/>
              <w:rPr>
                <w:sz w:val="20"/>
                <w:szCs w:val="20"/>
                <w:color w:val="auto"/>
              </w:rPr>
            </w:pPr>
            <w:r>
              <w:rPr>
                <w:rFonts w:ascii="Arial" w:cs="Arial" w:eastAsia="Arial" w:hAnsi="Arial"/>
                <w:sz w:val="15"/>
                <w:szCs w:val="15"/>
                <w:color w:val="auto"/>
              </w:rPr>
              <w:t>Atlanta, Georgia</w:t>
            </w:r>
          </w:p>
        </w:tc>
        <w:tc>
          <w:tcPr>
            <w:tcW w:w="2260" w:type="dxa"/>
            <w:vAlign w:val="bottom"/>
            <w:shd w:val="clear" w:color="auto" w:fill="DCE2EF"/>
          </w:tcPr>
          <w:p>
            <w:pPr>
              <w:jc w:val="center"/>
              <w:ind w:left="2"/>
              <w:spacing w:after="0"/>
              <w:rPr>
                <w:sz w:val="20"/>
                <w:szCs w:val="20"/>
                <w:color w:val="auto"/>
              </w:rPr>
            </w:pPr>
            <w:r>
              <w:rPr>
                <w:rFonts w:ascii="Arial" w:cs="Arial" w:eastAsia="Arial" w:hAnsi="Arial"/>
                <w:sz w:val="15"/>
                <w:szCs w:val="15"/>
                <w:color w:val="auto"/>
              </w:rPr>
              <w:t>Operations Support</w:t>
            </w:r>
          </w:p>
        </w:tc>
        <w:tc>
          <w:tcPr>
            <w:tcW w:w="2360" w:type="dxa"/>
            <w:vAlign w:val="bottom"/>
            <w:shd w:val="clear" w:color="auto" w:fill="DCE2EF"/>
          </w:tcPr>
          <w:p>
            <w:pPr>
              <w:jc w:val="center"/>
              <w:spacing w:after="0"/>
              <w:rPr>
                <w:sz w:val="20"/>
                <w:szCs w:val="20"/>
                <w:color w:val="auto"/>
              </w:rPr>
            </w:pPr>
            <w:r>
              <w:rPr>
                <w:rFonts w:ascii="Arial" w:cs="Arial" w:eastAsia="Arial" w:hAnsi="Arial"/>
                <w:sz w:val="15"/>
                <w:szCs w:val="15"/>
                <w:color w:val="auto"/>
              </w:rPr>
              <w:t>37,000</w:t>
            </w:r>
          </w:p>
        </w:tc>
        <w:tc>
          <w:tcPr>
            <w:tcW w:w="2120" w:type="dxa"/>
            <w:vAlign w:val="bottom"/>
            <w:shd w:val="clear" w:color="auto" w:fill="DCE2EF"/>
          </w:tcPr>
          <w:p>
            <w:pPr>
              <w:jc w:val="center"/>
              <w:spacing w:after="0"/>
              <w:rPr>
                <w:sz w:val="20"/>
                <w:szCs w:val="20"/>
                <w:color w:val="auto"/>
              </w:rPr>
            </w:pPr>
            <w:r>
              <w:rPr>
                <w:rFonts w:ascii="Arial" w:cs="Arial" w:eastAsia="Arial" w:hAnsi="Arial"/>
                <w:sz w:val="15"/>
                <w:szCs w:val="15"/>
                <w:color w:val="auto"/>
              </w:rPr>
              <w:t>10/31/2027</w:t>
            </w:r>
          </w:p>
        </w:tc>
        <w:tc>
          <w:tcPr>
            <w:tcW w:w="2260" w:type="dxa"/>
            <w:vAlign w:val="bottom"/>
            <w:shd w:val="clear" w:color="auto" w:fill="DCE2EF"/>
          </w:tcPr>
          <w:p>
            <w:pPr>
              <w:jc w:val="center"/>
              <w:ind w:left="22"/>
              <w:spacing w:after="0"/>
              <w:rPr>
                <w:sz w:val="20"/>
                <w:szCs w:val="20"/>
                <w:color w:val="auto"/>
              </w:rPr>
            </w:pPr>
            <w:r>
              <w:rPr>
                <w:rFonts w:ascii="Arial" w:cs="Arial" w:eastAsia="Arial" w:hAnsi="Arial"/>
                <w:sz w:val="15"/>
                <w:szCs w:val="15"/>
                <w:color w:val="auto"/>
                <w:w w:val="95"/>
              </w:rPr>
              <w:t>All</w:t>
            </w:r>
          </w:p>
        </w:tc>
        <w:tc>
          <w:tcPr>
            <w:tcW w:w="0" w:type="dxa"/>
            <w:vAlign w:val="bottom"/>
          </w:tcPr>
          <w:p>
            <w:pPr>
              <w:spacing w:after="0"/>
              <w:rPr>
                <w:sz w:val="1"/>
                <w:szCs w:val="1"/>
                <w:color w:val="auto"/>
              </w:rPr>
            </w:pPr>
          </w:p>
        </w:tc>
      </w:tr>
      <w:tr>
        <w:trPr>
          <w:trHeight w:val="205"/>
        </w:trPr>
        <w:tc>
          <w:tcPr>
            <w:tcW w:w="2160" w:type="dxa"/>
            <w:vAlign w:val="bottom"/>
          </w:tcPr>
          <w:p>
            <w:pPr>
              <w:jc w:val="center"/>
              <w:spacing w:after="0"/>
              <w:rPr>
                <w:sz w:val="20"/>
                <w:szCs w:val="20"/>
                <w:color w:val="auto"/>
              </w:rPr>
            </w:pPr>
            <w:r>
              <w:rPr>
                <w:rFonts w:ascii="Arial" w:cs="Arial" w:eastAsia="Arial" w:hAnsi="Arial"/>
                <w:sz w:val="15"/>
                <w:szCs w:val="15"/>
                <w:color w:val="auto"/>
              </w:rPr>
              <w:t>Chicago, Illinois</w:t>
            </w:r>
          </w:p>
        </w:tc>
        <w:tc>
          <w:tcPr>
            <w:tcW w:w="2260" w:type="dxa"/>
            <w:vAlign w:val="bottom"/>
          </w:tcPr>
          <w:p>
            <w:pPr>
              <w:jc w:val="center"/>
              <w:ind w:left="2"/>
              <w:spacing w:after="0"/>
              <w:rPr>
                <w:sz w:val="20"/>
                <w:szCs w:val="20"/>
                <w:color w:val="auto"/>
              </w:rPr>
            </w:pPr>
            <w:r>
              <w:rPr>
                <w:rFonts w:ascii="Arial" w:cs="Arial" w:eastAsia="Arial" w:hAnsi="Arial"/>
                <w:sz w:val="15"/>
                <w:szCs w:val="15"/>
                <w:color w:val="auto"/>
              </w:rPr>
              <w:t>Operations Support</w:t>
            </w:r>
          </w:p>
        </w:tc>
        <w:tc>
          <w:tcPr>
            <w:tcW w:w="2360" w:type="dxa"/>
            <w:vAlign w:val="bottom"/>
          </w:tcPr>
          <w:p>
            <w:pPr>
              <w:jc w:val="center"/>
              <w:spacing w:after="0"/>
              <w:rPr>
                <w:sz w:val="20"/>
                <w:szCs w:val="20"/>
                <w:color w:val="auto"/>
              </w:rPr>
            </w:pPr>
            <w:r>
              <w:rPr>
                <w:rFonts w:ascii="Arial" w:cs="Arial" w:eastAsia="Arial" w:hAnsi="Arial"/>
                <w:sz w:val="15"/>
                <w:szCs w:val="15"/>
                <w:color w:val="auto"/>
              </w:rPr>
              <w:t>28,109</w:t>
            </w:r>
          </w:p>
        </w:tc>
        <w:tc>
          <w:tcPr>
            <w:tcW w:w="2120" w:type="dxa"/>
            <w:vAlign w:val="bottom"/>
          </w:tcPr>
          <w:p>
            <w:pPr>
              <w:jc w:val="center"/>
              <w:spacing w:after="0"/>
              <w:rPr>
                <w:sz w:val="20"/>
                <w:szCs w:val="20"/>
                <w:color w:val="auto"/>
              </w:rPr>
            </w:pPr>
            <w:r>
              <w:rPr>
                <w:rFonts w:ascii="Arial" w:cs="Arial" w:eastAsia="Arial" w:hAnsi="Arial"/>
                <w:sz w:val="15"/>
                <w:szCs w:val="15"/>
                <w:color w:val="auto"/>
              </w:rPr>
              <w:t>7/31/2034</w:t>
            </w:r>
          </w:p>
        </w:tc>
        <w:tc>
          <w:tcPr>
            <w:tcW w:w="2260" w:type="dxa"/>
            <w:vAlign w:val="bottom"/>
          </w:tcPr>
          <w:p>
            <w:pPr>
              <w:jc w:val="center"/>
              <w:ind w:left="2"/>
              <w:spacing w:after="0"/>
              <w:rPr>
                <w:sz w:val="20"/>
                <w:szCs w:val="20"/>
                <w:color w:val="auto"/>
              </w:rPr>
            </w:pPr>
            <w:r>
              <w:rPr>
                <w:rFonts w:ascii="Arial" w:cs="Arial" w:eastAsia="Arial" w:hAnsi="Arial"/>
                <w:sz w:val="15"/>
                <w:szCs w:val="15"/>
                <w:color w:val="auto"/>
              </w:rPr>
              <w:t>B&amp;I, EDU, and Corporate</w:t>
            </w:r>
          </w:p>
        </w:tc>
        <w:tc>
          <w:tcPr>
            <w:tcW w:w="0" w:type="dxa"/>
            <w:vAlign w:val="bottom"/>
          </w:tcPr>
          <w:p>
            <w:pPr>
              <w:spacing w:after="0"/>
              <w:rPr>
                <w:sz w:val="1"/>
                <w:szCs w:val="1"/>
                <w:color w:val="auto"/>
              </w:rPr>
            </w:pPr>
          </w:p>
        </w:tc>
      </w:tr>
      <w:tr>
        <w:trPr>
          <w:trHeight w:val="156"/>
        </w:trPr>
        <w:tc>
          <w:tcPr>
            <w:tcW w:w="2160" w:type="dxa"/>
            <w:vAlign w:val="bottom"/>
            <w:vMerge w:val="restart"/>
            <w:shd w:val="clear" w:color="auto" w:fill="DCE2EF"/>
          </w:tcPr>
          <w:p>
            <w:pPr>
              <w:jc w:val="center"/>
              <w:spacing w:after="0"/>
              <w:rPr>
                <w:sz w:val="20"/>
                <w:szCs w:val="20"/>
                <w:color w:val="auto"/>
              </w:rPr>
            </w:pPr>
            <w:r>
              <w:rPr>
                <w:rFonts w:ascii="Arial" w:cs="Arial" w:eastAsia="Arial" w:hAnsi="Arial"/>
                <w:sz w:val="15"/>
                <w:szCs w:val="15"/>
                <w:color w:val="auto"/>
              </w:rPr>
              <w:t>Dallas, Texas</w:t>
            </w:r>
          </w:p>
        </w:tc>
        <w:tc>
          <w:tcPr>
            <w:tcW w:w="2260" w:type="dxa"/>
            <w:vAlign w:val="bottom"/>
            <w:shd w:val="clear" w:color="auto" w:fill="DCE2EF"/>
          </w:tcPr>
          <w:p>
            <w:pPr>
              <w:jc w:val="center"/>
              <w:ind w:left="22"/>
              <w:spacing w:after="0" w:line="156" w:lineRule="exact"/>
              <w:rPr>
                <w:sz w:val="20"/>
                <w:szCs w:val="20"/>
                <w:color w:val="auto"/>
              </w:rPr>
            </w:pPr>
            <w:r>
              <w:rPr>
                <w:rFonts w:ascii="Arial" w:cs="Arial" w:eastAsia="Arial" w:hAnsi="Arial"/>
                <w:sz w:val="15"/>
                <w:szCs w:val="15"/>
                <w:color w:val="auto"/>
              </w:rPr>
              <w:t>Warehouse and Operations</w:t>
            </w:r>
          </w:p>
        </w:tc>
        <w:tc>
          <w:tcPr>
            <w:tcW w:w="2360" w:type="dxa"/>
            <w:vAlign w:val="bottom"/>
            <w:vMerge w:val="restart"/>
            <w:shd w:val="clear" w:color="auto" w:fill="DCE2EF"/>
          </w:tcPr>
          <w:p>
            <w:pPr>
              <w:jc w:val="center"/>
              <w:spacing w:after="0"/>
              <w:rPr>
                <w:sz w:val="20"/>
                <w:szCs w:val="20"/>
                <w:color w:val="auto"/>
              </w:rPr>
            </w:pPr>
            <w:r>
              <w:rPr>
                <w:rFonts w:ascii="Arial" w:cs="Arial" w:eastAsia="Arial" w:hAnsi="Arial"/>
                <w:sz w:val="15"/>
                <w:szCs w:val="15"/>
                <w:color w:val="auto"/>
              </w:rPr>
              <w:t>27,500</w:t>
            </w:r>
          </w:p>
        </w:tc>
        <w:tc>
          <w:tcPr>
            <w:tcW w:w="2120" w:type="dxa"/>
            <w:vAlign w:val="bottom"/>
            <w:vMerge w:val="restart"/>
            <w:shd w:val="clear" w:color="auto" w:fill="DCE2EF"/>
          </w:tcPr>
          <w:p>
            <w:pPr>
              <w:jc w:val="center"/>
              <w:spacing w:after="0"/>
              <w:rPr>
                <w:sz w:val="20"/>
                <w:szCs w:val="20"/>
                <w:color w:val="auto"/>
              </w:rPr>
            </w:pPr>
            <w:r>
              <w:rPr>
                <w:rFonts w:ascii="Arial" w:cs="Arial" w:eastAsia="Arial" w:hAnsi="Arial"/>
                <w:sz w:val="15"/>
                <w:szCs w:val="15"/>
                <w:color w:val="auto"/>
              </w:rPr>
              <w:t>9/30/2028</w:t>
            </w:r>
          </w:p>
        </w:tc>
        <w:tc>
          <w:tcPr>
            <w:tcW w:w="2260" w:type="dxa"/>
            <w:vAlign w:val="bottom"/>
            <w:shd w:val="clear" w:color="auto" w:fill="DCE2EF"/>
          </w:tcPr>
          <w:p>
            <w:pPr>
              <w:jc w:val="center"/>
              <w:ind w:left="2"/>
              <w:spacing w:after="0" w:line="156" w:lineRule="exact"/>
              <w:rPr>
                <w:sz w:val="20"/>
                <w:szCs w:val="20"/>
                <w:color w:val="auto"/>
              </w:rPr>
            </w:pPr>
            <w:r>
              <w:rPr>
                <w:rFonts w:ascii="Arial" w:cs="Arial" w:eastAsia="Arial" w:hAnsi="Arial"/>
                <w:sz w:val="15"/>
                <w:szCs w:val="15"/>
                <w:color w:val="auto"/>
              </w:rPr>
              <w:t>Technical Solutions, B&amp;I,</w:t>
            </w:r>
          </w:p>
        </w:tc>
        <w:tc>
          <w:tcPr>
            <w:tcW w:w="0" w:type="dxa"/>
            <w:vAlign w:val="bottom"/>
          </w:tcPr>
          <w:p>
            <w:pPr>
              <w:spacing w:after="0"/>
              <w:rPr>
                <w:sz w:val="1"/>
                <w:szCs w:val="1"/>
                <w:color w:val="auto"/>
              </w:rPr>
            </w:pPr>
          </w:p>
        </w:tc>
      </w:tr>
      <w:tr>
        <w:trPr>
          <w:trHeight w:val="127"/>
        </w:trPr>
        <w:tc>
          <w:tcPr>
            <w:tcW w:w="2160" w:type="dxa"/>
            <w:vAlign w:val="bottom"/>
            <w:vMerge w:val="continue"/>
            <w:shd w:val="clear" w:color="auto" w:fill="DCE2EF"/>
          </w:tcPr>
          <w:p>
            <w:pPr>
              <w:spacing w:after="0"/>
              <w:rPr>
                <w:sz w:val="11"/>
                <w:szCs w:val="11"/>
                <w:color w:val="auto"/>
              </w:rPr>
            </w:pPr>
          </w:p>
        </w:tc>
        <w:tc>
          <w:tcPr>
            <w:tcW w:w="2260" w:type="dxa"/>
            <w:vAlign w:val="bottom"/>
            <w:vMerge w:val="restart"/>
            <w:shd w:val="clear" w:color="auto" w:fill="DCE2EF"/>
          </w:tcPr>
          <w:p>
            <w:pPr>
              <w:jc w:val="center"/>
              <w:ind w:left="2"/>
              <w:spacing w:after="0"/>
              <w:rPr>
                <w:sz w:val="20"/>
                <w:szCs w:val="20"/>
                <w:color w:val="auto"/>
              </w:rPr>
            </w:pPr>
            <w:r>
              <w:rPr>
                <w:rFonts w:ascii="Arial" w:cs="Arial" w:eastAsia="Arial" w:hAnsi="Arial"/>
                <w:sz w:val="15"/>
                <w:szCs w:val="15"/>
                <w:color w:val="auto"/>
              </w:rPr>
              <w:t>Support</w:t>
            </w:r>
          </w:p>
        </w:tc>
        <w:tc>
          <w:tcPr>
            <w:tcW w:w="2360" w:type="dxa"/>
            <w:vAlign w:val="bottom"/>
            <w:vMerge w:val="continue"/>
            <w:shd w:val="clear" w:color="auto" w:fill="DCE2EF"/>
          </w:tcPr>
          <w:p>
            <w:pPr>
              <w:spacing w:after="0"/>
              <w:rPr>
                <w:sz w:val="11"/>
                <w:szCs w:val="11"/>
                <w:color w:val="auto"/>
              </w:rPr>
            </w:pPr>
          </w:p>
        </w:tc>
        <w:tc>
          <w:tcPr>
            <w:tcW w:w="2120" w:type="dxa"/>
            <w:vAlign w:val="bottom"/>
            <w:vMerge w:val="continue"/>
            <w:shd w:val="clear" w:color="auto" w:fill="DCE2EF"/>
          </w:tcPr>
          <w:p>
            <w:pPr>
              <w:spacing w:after="0"/>
              <w:rPr>
                <w:sz w:val="11"/>
                <w:szCs w:val="11"/>
                <w:color w:val="auto"/>
              </w:rPr>
            </w:pPr>
          </w:p>
        </w:tc>
        <w:tc>
          <w:tcPr>
            <w:tcW w:w="2260" w:type="dxa"/>
            <w:vAlign w:val="bottom"/>
            <w:vMerge w:val="restart"/>
            <w:shd w:val="clear" w:color="auto" w:fill="DCE2EF"/>
          </w:tcPr>
          <w:p>
            <w:pPr>
              <w:jc w:val="center"/>
              <w:ind w:left="22"/>
              <w:spacing w:after="0"/>
              <w:rPr>
                <w:sz w:val="20"/>
                <w:szCs w:val="20"/>
                <w:color w:val="auto"/>
              </w:rPr>
            </w:pPr>
            <w:r>
              <w:rPr>
                <w:rFonts w:ascii="Arial" w:cs="Arial" w:eastAsia="Arial" w:hAnsi="Arial"/>
                <w:sz w:val="15"/>
                <w:szCs w:val="15"/>
                <w:color w:val="auto"/>
              </w:rPr>
              <w:t>Aviation, Corporate, and M&amp;D</w:t>
            </w:r>
          </w:p>
        </w:tc>
        <w:tc>
          <w:tcPr>
            <w:tcW w:w="0" w:type="dxa"/>
            <w:vAlign w:val="bottom"/>
          </w:tcPr>
          <w:p>
            <w:pPr>
              <w:spacing w:after="0"/>
              <w:rPr>
                <w:sz w:val="1"/>
                <w:szCs w:val="1"/>
                <w:color w:val="auto"/>
              </w:rPr>
            </w:pPr>
          </w:p>
        </w:tc>
      </w:tr>
      <w:tr>
        <w:trPr>
          <w:trHeight w:val="79"/>
        </w:trPr>
        <w:tc>
          <w:tcPr>
            <w:tcW w:w="2160" w:type="dxa"/>
            <w:vAlign w:val="bottom"/>
            <w:shd w:val="clear" w:color="auto" w:fill="DCE2EF"/>
          </w:tcPr>
          <w:p>
            <w:pPr>
              <w:spacing w:after="0"/>
              <w:rPr>
                <w:sz w:val="6"/>
                <w:szCs w:val="6"/>
                <w:color w:val="auto"/>
              </w:rPr>
            </w:pPr>
          </w:p>
        </w:tc>
        <w:tc>
          <w:tcPr>
            <w:tcW w:w="2260" w:type="dxa"/>
            <w:vAlign w:val="bottom"/>
            <w:vMerge w:val="continue"/>
            <w:shd w:val="clear" w:color="auto" w:fill="DCE2EF"/>
          </w:tcPr>
          <w:p>
            <w:pPr>
              <w:spacing w:after="0"/>
              <w:rPr>
                <w:sz w:val="6"/>
                <w:szCs w:val="6"/>
                <w:color w:val="auto"/>
              </w:rPr>
            </w:pPr>
          </w:p>
        </w:tc>
        <w:tc>
          <w:tcPr>
            <w:tcW w:w="2360" w:type="dxa"/>
            <w:vAlign w:val="bottom"/>
            <w:shd w:val="clear" w:color="auto" w:fill="DCE2EF"/>
          </w:tcPr>
          <w:p>
            <w:pPr>
              <w:spacing w:after="0"/>
              <w:rPr>
                <w:sz w:val="6"/>
                <w:szCs w:val="6"/>
                <w:color w:val="auto"/>
              </w:rPr>
            </w:pPr>
          </w:p>
        </w:tc>
        <w:tc>
          <w:tcPr>
            <w:tcW w:w="2120" w:type="dxa"/>
            <w:vAlign w:val="bottom"/>
            <w:shd w:val="clear" w:color="auto" w:fill="DCE2EF"/>
          </w:tcPr>
          <w:p>
            <w:pPr>
              <w:spacing w:after="0"/>
              <w:rPr>
                <w:sz w:val="6"/>
                <w:szCs w:val="6"/>
                <w:color w:val="auto"/>
              </w:rPr>
            </w:pPr>
          </w:p>
        </w:tc>
        <w:tc>
          <w:tcPr>
            <w:tcW w:w="2260" w:type="dxa"/>
            <w:vAlign w:val="bottom"/>
            <w:vMerge w:val="continue"/>
            <w:shd w:val="clear" w:color="auto" w:fill="DCE2EF"/>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2160" w:type="dxa"/>
            <w:vAlign w:val="bottom"/>
          </w:tcPr>
          <w:p>
            <w:pPr>
              <w:jc w:val="center"/>
              <w:spacing w:after="0"/>
              <w:rPr>
                <w:sz w:val="20"/>
                <w:szCs w:val="20"/>
                <w:color w:val="auto"/>
              </w:rPr>
            </w:pPr>
            <w:r>
              <w:rPr>
                <w:rFonts w:ascii="Arial" w:cs="Arial" w:eastAsia="Arial" w:hAnsi="Arial"/>
                <w:sz w:val="15"/>
                <w:szCs w:val="15"/>
                <w:color w:val="auto"/>
              </w:rPr>
              <w:t>Los Angeles, California</w:t>
            </w:r>
          </w:p>
        </w:tc>
        <w:tc>
          <w:tcPr>
            <w:tcW w:w="2260" w:type="dxa"/>
            <w:vAlign w:val="bottom"/>
          </w:tcPr>
          <w:p>
            <w:pPr>
              <w:jc w:val="center"/>
              <w:ind w:left="2"/>
              <w:spacing w:after="0"/>
              <w:rPr>
                <w:sz w:val="20"/>
                <w:szCs w:val="20"/>
                <w:color w:val="auto"/>
              </w:rPr>
            </w:pPr>
            <w:r>
              <w:rPr>
                <w:rFonts w:ascii="Arial" w:cs="Arial" w:eastAsia="Arial" w:hAnsi="Arial"/>
                <w:sz w:val="15"/>
                <w:szCs w:val="15"/>
                <w:color w:val="auto"/>
              </w:rPr>
              <w:t>Operations Support</w:t>
            </w:r>
          </w:p>
        </w:tc>
        <w:tc>
          <w:tcPr>
            <w:tcW w:w="2360" w:type="dxa"/>
            <w:vAlign w:val="bottom"/>
          </w:tcPr>
          <w:p>
            <w:pPr>
              <w:jc w:val="center"/>
              <w:spacing w:after="0"/>
              <w:rPr>
                <w:sz w:val="20"/>
                <w:szCs w:val="20"/>
                <w:color w:val="auto"/>
              </w:rPr>
            </w:pPr>
            <w:r>
              <w:rPr>
                <w:rFonts w:ascii="Arial" w:cs="Arial" w:eastAsia="Arial" w:hAnsi="Arial"/>
                <w:sz w:val="15"/>
                <w:szCs w:val="15"/>
                <w:color w:val="auto"/>
              </w:rPr>
              <w:t>25,722</w:t>
            </w:r>
          </w:p>
        </w:tc>
        <w:tc>
          <w:tcPr>
            <w:tcW w:w="2120" w:type="dxa"/>
            <w:vAlign w:val="bottom"/>
          </w:tcPr>
          <w:p>
            <w:pPr>
              <w:jc w:val="center"/>
              <w:spacing w:after="0"/>
              <w:rPr>
                <w:sz w:val="20"/>
                <w:szCs w:val="20"/>
                <w:color w:val="auto"/>
              </w:rPr>
            </w:pPr>
            <w:r>
              <w:rPr>
                <w:rFonts w:ascii="Arial" w:cs="Arial" w:eastAsia="Arial" w:hAnsi="Arial"/>
                <w:sz w:val="15"/>
                <w:szCs w:val="15"/>
                <w:color w:val="auto"/>
              </w:rPr>
              <w:t>11/30/2032</w:t>
            </w:r>
          </w:p>
        </w:tc>
        <w:tc>
          <w:tcPr>
            <w:tcW w:w="2260" w:type="dxa"/>
            <w:vAlign w:val="bottom"/>
          </w:tcPr>
          <w:p>
            <w:pPr>
              <w:jc w:val="center"/>
              <w:ind w:left="22"/>
              <w:spacing w:after="0"/>
              <w:rPr>
                <w:sz w:val="20"/>
                <w:szCs w:val="20"/>
                <w:color w:val="auto"/>
              </w:rPr>
            </w:pPr>
            <w:r>
              <w:rPr>
                <w:rFonts w:ascii="Arial" w:cs="Arial" w:eastAsia="Arial" w:hAnsi="Arial"/>
                <w:sz w:val="15"/>
                <w:szCs w:val="15"/>
                <w:color w:val="auto"/>
                <w:w w:val="99"/>
              </w:rPr>
              <w:t>B&amp;I</w:t>
            </w:r>
          </w:p>
        </w:tc>
        <w:tc>
          <w:tcPr>
            <w:tcW w:w="0" w:type="dxa"/>
            <w:vAlign w:val="bottom"/>
          </w:tcPr>
          <w:p>
            <w:pPr>
              <w:spacing w:after="0"/>
              <w:rPr>
                <w:sz w:val="1"/>
                <w:szCs w:val="1"/>
                <w:color w:val="auto"/>
              </w:rPr>
            </w:pPr>
          </w:p>
        </w:tc>
      </w:tr>
      <w:tr>
        <w:trPr>
          <w:trHeight w:val="207"/>
        </w:trPr>
        <w:tc>
          <w:tcPr>
            <w:tcW w:w="2160" w:type="dxa"/>
            <w:vAlign w:val="bottom"/>
            <w:shd w:val="clear" w:color="auto" w:fill="DCE2EF"/>
          </w:tcPr>
          <w:p>
            <w:pPr>
              <w:jc w:val="center"/>
              <w:spacing w:after="0"/>
              <w:rPr>
                <w:sz w:val="20"/>
                <w:szCs w:val="20"/>
                <w:color w:val="auto"/>
              </w:rPr>
            </w:pPr>
            <w:r>
              <w:rPr>
                <w:rFonts w:ascii="Arial" w:cs="Arial" w:eastAsia="Arial" w:hAnsi="Arial"/>
                <w:sz w:val="15"/>
                <w:szCs w:val="15"/>
                <w:color w:val="auto"/>
              </w:rPr>
              <w:t>San Francisco, California</w:t>
            </w:r>
          </w:p>
        </w:tc>
        <w:tc>
          <w:tcPr>
            <w:tcW w:w="2260" w:type="dxa"/>
            <w:vAlign w:val="bottom"/>
            <w:shd w:val="clear" w:color="auto" w:fill="DCE2EF"/>
          </w:tcPr>
          <w:p>
            <w:pPr>
              <w:jc w:val="center"/>
              <w:ind w:left="2"/>
              <w:spacing w:after="0"/>
              <w:rPr>
                <w:sz w:val="20"/>
                <w:szCs w:val="20"/>
                <w:color w:val="auto"/>
              </w:rPr>
            </w:pPr>
            <w:r>
              <w:rPr>
                <w:rFonts w:ascii="Arial" w:cs="Arial" w:eastAsia="Arial" w:hAnsi="Arial"/>
                <w:sz w:val="15"/>
                <w:szCs w:val="15"/>
                <w:color w:val="auto"/>
              </w:rPr>
              <w:t>Operations Support</w:t>
            </w:r>
          </w:p>
        </w:tc>
        <w:tc>
          <w:tcPr>
            <w:tcW w:w="2360" w:type="dxa"/>
            <w:vAlign w:val="bottom"/>
            <w:shd w:val="clear" w:color="auto" w:fill="DCE2EF"/>
          </w:tcPr>
          <w:p>
            <w:pPr>
              <w:jc w:val="center"/>
              <w:spacing w:after="0"/>
              <w:rPr>
                <w:sz w:val="20"/>
                <w:szCs w:val="20"/>
                <w:color w:val="auto"/>
              </w:rPr>
            </w:pPr>
            <w:r>
              <w:rPr>
                <w:rFonts w:ascii="Arial" w:cs="Arial" w:eastAsia="Arial" w:hAnsi="Arial"/>
                <w:sz w:val="15"/>
                <w:szCs w:val="15"/>
                <w:color w:val="auto"/>
              </w:rPr>
              <w:t>21,324</w:t>
            </w:r>
          </w:p>
        </w:tc>
        <w:tc>
          <w:tcPr>
            <w:tcW w:w="2120" w:type="dxa"/>
            <w:vAlign w:val="bottom"/>
            <w:shd w:val="clear" w:color="auto" w:fill="DCE2EF"/>
          </w:tcPr>
          <w:p>
            <w:pPr>
              <w:jc w:val="center"/>
              <w:spacing w:after="0"/>
              <w:rPr>
                <w:sz w:val="20"/>
                <w:szCs w:val="20"/>
                <w:color w:val="auto"/>
              </w:rPr>
            </w:pPr>
            <w:r>
              <w:rPr>
                <w:rFonts w:ascii="Arial" w:cs="Arial" w:eastAsia="Arial" w:hAnsi="Arial"/>
                <w:sz w:val="15"/>
                <w:szCs w:val="15"/>
                <w:color w:val="auto"/>
              </w:rPr>
              <w:t>6/30/2029</w:t>
            </w:r>
          </w:p>
        </w:tc>
        <w:tc>
          <w:tcPr>
            <w:tcW w:w="2260" w:type="dxa"/>
            <w:vAlign w:val="bottom"/>
            <w:shd w:val="clear" w:color="auto" w:fill="DCE2EF"/>
          </w:tcPr>
          <w:p>
            <w:pPr>
              <w:jc w:val="center"/>
              <w:ind w:left="22"/>
              <w:spacing w:after="0"/>
              <w:rPr>
                <w:sz w:val="20"/>
                <w:szCs w:val="20"/>
                <w:color w:val="auto"/>
              </w:rPr>
            </w:pPr>
            <w:r>
              <w:rPr>
                <w:rFonts w:ascii="Arial" w:cs="Arial" w:eastAsia="Arial" w:hAnsi="Arial"/>
                <w:sz w:val="15"/>
                <w:szCs w:val="15"/>
                <w:color w:val="auto"/>
              </w:rPr>
              <w:t>B&amp;I and Corporate</w:t>
            </w:r>
          </w:p>
        </w:tc>
        <w:tc>
          <w:tcPr>
            <w:tcW w:w="0" w:type="dxa"/>
            <w:vAlign w:val="bottom"/>
          </w:tcPr>
          <w:p>
            <w:pPr>
              <w:spacing w:after="0"/>
              <w:rPr>
                <w:sz w:val="1"/>
                <w:szCs w:val="1"/>
                <w:color w:val="auto"/>
              </w:rPr>
            </w:pPr>
          </w:p>
        </w:tc>
      </w:tr>
    </w:tbl>
    <w:p>
      <w:pPr>
        <w:spacing w:after="0" w:line="280"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7"/>
          <w:szCs w:val="17"/>
          <w:color w:val="auto"/>
        </w:rPr>
        <w:t>In addition to the above properties, we have other offices, warehouses, and parking facilities in various locations, primarily in the United States. See Note 5, “Leases,” in the Notes to consolidated financial statements for additional information regarding leases. We believe that these properties are well-maintained, in good operating condition, and suitable for the purposes for which they are used.</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67" w:right="339" w:bottom="1440" w:gutter="0" w:footer="0" w:header="0"/>
        </w:sectPr>
      </w:pPr>
    </w:p>
    <w:bookmarkStart w:id="22" w:name="page23"/>
    <w:bookmarkEnd w:id="22"/>
    <w:p>
      <w:pPr>
        <w:spacing w:after="0"/>
        <w:rPr>
          <w:sz w:val="20"/>
          <w:szCs w:val="20"/>
          <w:color w:val="auto"/>
        </w:rPr>
      </w:pPr>
      <w:r>
        <w:rPr>
          <w:rFonts w:ascii="Arial" w:cs="Arial" w:eastAsia="Arial" w:hAnsi="Arial"/>
          <w:sz w:val="17"/>
          <w:szCs w:val="17"/>
          <w:b w:val="1"/>
          <w:bCs w:val="1"/>
          <w:color w:val="0046AD"/>
        </w:rPr>
        <w:t>ITEM 3. LEGAL PROCEEDINGS.</w:t>
      </w:r>
    </w:p>
    <w:p>
      <w:pPr>
        <w:spacing w:after="0" w:line="168" w:lineRule="exact"/>
        <w:rPr>
          <w:sz w:val="20"/>
          <w:szCs w:val="20"/>
          <w:color w:val="auto"/>
        </w:rPr>
      </w:pPr>
    </w:p>
    <w:p>
      <w:pPr>
        <w:ind w:firstLine="619"/>
        <w:spacing w:after="0" w:line="290" w:lineRule="auto"/>
        <w:rPr>
          <w:sz w:val="20"/>
          <w:szCs w:val="20"/>
          <w:color w:val="auto"/>
        </w:rPr>
      </w:pPr>
      <w:r>
        <w:rPr>
          <w:rFonts w:ascii="Arial" w:cs="Arial" w:eastAsia="Arial" w:hAnsi="Arial"/>
          <w:sz w:val="17"/>
          <w:szCs w:val="17"/>
          <w:color w:val="auto"/>
        </w:rPr>
        <w:t>Information with respect to legal matters is set forth in Note 14, “Commitments and Contingencies,” in the Notes to consolidated financial statements (included in Part II., Item 8 of this Form 10-K) and is incorporated herein by reference.</w:t>
      </w:r>
    </w:p>
    <w:p>
      <w:pPr>
        <w:spacing w:after="0" w:line="93"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ITEM 4. MINE SAFETY DISCLOSURES.</w:t>
      </w:r>
    </w:p>
    <w:p>
      <w:pPr>
        <w:spacing w:after="0" w:line="168" w:lineRule="exact"/>
        <w:rPr>
          <w:sz w:val="20"/>
          <w:szCs w:val="20"/>
          <w:color w:val="auto"/>
        </w:rPr>
      </w:pPr>
    </w:p>
    <w:p>
      <w:pPr>
        <w:ind w:left="620"/>
        <w:spacing w:after="0"/>
        <w:rPr>
          <w:sz w:val="20"/>
          <w:szCs w:val="20"/>
          <w:color w:val="auto"/>
        </w:rPr>
      </w:pPr>
      <w:r>
        <w:rPr>
          <w:rFonts w:ascii="Arial" w:cs="Arial" w:eastAsia="Arial" w:hAnsi="Arial"/>
          <w:sz w:val="17"/>
          <w:szCs w:val="17"/>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65" w:right="339" w:bottom="1440" w:gutter="0" w:footer="0" w:header="0"/>
        </w:sectPr>
      </w:pPr>
    </w:p>
    <w:bookmarkStart w:id="23" w:name="page24"/>
    <w:bookmarkEnd w:id="23"/>
    <w:p>
      <w:pPr>
        <w:jc w:val="center"/>
        <w:spacing w:after="0"/>
        <w:rPr>
          <w:sz w:val="20"/>
          <w:szCs w:val="20"/>
          <w:color w:val="auto"/>
        </w:rPr>
      </w:pPr>
      <w:r>
        <w:rPr>
          <w:rFonts w:ascii="Arial" w:cs="Arial" w:eastAsia="Arial" w:hAnsi="Arial"/>
          <w:sz w:val="17"/>
          <w:szCs w:val="17"/>
          <w:b w:val="1"/>
          <w:bCs w:val="1"/>
          <w:color w:val="0046AD"/>
        </w:rPr>
        <w:t>PART II</w:t>
      </w:r>
    </w:p>
    <w:p>
      <w:pPr>
        <w:spacing w:after="0" w:line="165" w:lineRule="exact"/>
        <w:rPr>
          <w:sz w:val="20"/>
          <w:szCs w:val="20"/>
          <w:color w:val="auto"/>
        </w:rPr>
      </w:pPr>
    </w:p>
    <w:p>
      <w:pPr>
        <w:jc w:val="both"/>
        <w:spacing w:after="0" w:line="304" w:lineRule="auto"/>
        <w:rPr>
          <w:sz w:val="20"/>
          <w:szCs w:val="20"/>
          <w:color w:val="auto"/>
        </w:rPr>
      </w:pPr>
      <w:r>
        <w:rPr>
          <w:rFonts w:ascii="Arial" w:cs="Arial" w:eastAsia="Arial" w:hAnsi="Arial"/>
          <w:sz w:val="17"/>
          <w:szCs w:val="17"/>
          <w:b w:val="1"/>
          <w:bCs w:val="1"/>
          <w:color w:val="0046AD"/>
        </w:rPr>
        <w:t>ITEM 5. MARKET FOR REGISTRANT’S COMMON EQUITY, RELATED STOCKHOLDER MATTERS, AND ISSUER PURCHASES OF EQUITY SECURITIES.</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Market Information, Dividends, and Stockholders</w:t>
      </w:r>
    </w:p>
    <w:p>
      <w:pPr>
        <w:spacing w:after="0" w:line="168"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7"/>
          <w:szCs w:val="17"/>
          <w:color w:val="auto"/>
        </w:rPr>
        <w:t>Our common stock is listed on the New York Stock Exchange (NYSE: ABM). We have paid cash dividends every quarter since 1965. Future dividends will be determined based on our earnings, capital requirements, financial condition, and other factors considered relevant by our Board of Directors.</w:t>
      </w:r>
    </w:p>
    <w:p>
      <w:pPr>
        <w:spacing w:after="0" w:line="11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At December 18, 2025, there were 2,666 registered holders of our common stock.</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Common Stock Repurchases</w:t>
      </w:r>
    </w:p>
    <w:p>
      <w:pPr>
        <w:spacing w:after="0" w:line="168" w:lineRule="exact"/>
        <w:rPr>
          <w:sz w:val="20"/>
          <w:szCs w:val="20"/>
          <w:color w:val="auto"/>
        </w:rPr>
      </w:pPr>
    </w:p>
    <w:p>
      <w:pPr>
        <w:jc w:val="both"/>
        <w:ind w:firstLine="619"/>
        <w:spacing w:after="0" w:line="261" w:lineRule="auto"/>
        <w:rPr>
          <w:sz w:val="20"/>
          <w:szCs w:val="20"/>
          <w:color w:val="auto"/>
        </w:rPr>
      </w:pPr>
      <w:r>
        <w:rPr>
          <w:rFonts w:ascii="Arial" w:cs="Arial" w:eastAsia="Arial" w:hAnsi="Arial"/>
          <w:sz w:val="17"/>
          <w:szCs w:val="17"/>
          <w:color w:val="auto"/>
        </w:rPr>
        <w:t>Effective September 3, 2025, our Board of Directors expanded our existing share repurchase program by an additional $ 150.0 million. Share repurchases may take place on the open market or otherwise, and all or part of the repurchases may be made pursuant to Rule 10b5-1 plans or in privately negotiated transactions. The timing of repurchases is at our discretion and will depend upon several factors, including market and business conditions, future cash flows, share price, share availability, and other factors. Repurchased shares are retired and returned to an authorized but unissued status. At October 31, 2025, authorization for $183.1 million of repurchases remained under the Share Repurchase Program.</w:t>
      </w:r>
    </w:p>
    <w:p>
      <w:pPr>
        <w:spacing w:after="0" w:line="3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46AD"/>
        </w:rPr>
        <w:t>Issuer Purchases of Equity Securities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100" w:type="dxa"/>
            <w:vAlign w:val="bottom"/>
            <w:gridSpan w:val="2"/>
            <w:vMerge w:val="restart"/>
          </w:tcPr>
          <w:p>
            <w:pPr>
              <w:jc w:val="center"/>
              <w:ind w:right="100"/>
              <w:spacing w:after="0"/>
              <w:rPr>
                <w:sz w:val="20"/>
                <w:szCs w:val="20"/>
                <w:color w:val="auto"/>
              </w:rPr>
            </w:pPr>
            <w:r>
              <w:rPr>
                <w:rFonts w:ascii="Arial" w:cs="Arial" w:eastAsia="Arial" w:hAnsi="Arial"/>
                <w:sz w:val="15"/>
                <w:szCs w:val="15"/>
                <w:b w:val="1"/>
                <w:bCs w:val="1"/>
                <w:color w:val="auto"/>
              </w:rPr>
              <w:t>Total Number of Shares</w:t>
            </w:r>
          </w:p>
        </w:tc>
        <w:tc>
          <w:tcPr>
            <w:tcW w:w="120" w:type="dxa"/>
            <w:vAlign w:val="bottom"/>
          </w:tcPr>
          <w:p>
            <w:pPr>
              <w:spacing w:after="0"/>
              <w:rPr>
                <w:sz w:val="14"/>
                <w:szCs w:val="14"/>
                <w:color w:val="auto"/>
              </w:rPr>
            </w:pPr>
          </w:p>
        </w:tc>
        <w:tc>
          <w:tcPr>
            <w:tcW w:w="1960" w:type="dxa"/>
            <w:vAlign w:val="bottom"/>
            <w:gridSpan w:val="2"/>
            <w:vMerge w:val="restart"/>
          </w:tcPr>
          <w:p>
            <w:pPr>
              <w:jc w:val="center"/>
              <w:ind w:right="200"/>
              <w:spacing w:after="0"/>
              <w:rPr>
                <w:sz w:val="20"/>
                <w:szCs w:val="20"/>
                <w:color w:val="auto"/>
              </w:rPr>
            </w:pPr>
            <w:r>
              <w:rPr>
                <w:rFonts w:ascii="Arial" w:cs="Arial" w:eastAsia="Arial" w:hAnsi="Arial"/>
                <w:sz w:val="15"/>
                <w:szCs w:val="15"/>
                <w:b w:val="1"/>
                <w:bCs w:val="1"/>
                <w:color w:val="auto"/>
              </w:rPr>
              <w:t>Average Price Paid per</w:t>
            </w:r>
          </w:p>
        </w:tc>
        <w:tc>
          <w:tcPr>
            <w:tcW w:w="2000" w:type="dxa"/>
            <w:vAlign w:val="bottom"/>
          </w:tcPr>
          <w:p>
            <w:pPr>
              <w:jc w:val="center"/>
              <w:spacing w:after="0"/>
              <w:rPr>
                <w:sz w:val="20"/>
                <w:szCs w:val="20"/>
                <w:color w:val="auto"/>
              </w:rPr>
            </w:pPr>
            <w:r>
              <w:rPr>
                <w:rFonts w:ascii="Arial" w:cs="Arial" w:eastAsia="Arial" w:hAnsi="Arial"/>
                <w:sz w:val="15"/>
                <w:szCs w:val="15"/>
                <w:b w:val="1"/>
                <w:bCs w:val="1"/>
                <w:color w:val="auto"/>
              </w:rPr>
              <w:t>Total Number of Shares</w:t>
            </w:r>
          </w:p>
        </w:tc>
        <w:tc>
          <w:tcPr>
            <w:tcW w:w="100" w:type="dxa"/>
            <w:vAlign w:val="bottom"/>
          </w:tcPr>
          <w:p>
            <w:pPr>
              <w:spacing w:after="0"/>
              <w:rPr>
                <w:sz w:val="14"/>
                <w:szCs w:val="14"/>
                <w:color w:val="auto"/>
              </w:rPr>
            </w:pPr>
          </w:p>
        </w:tc>
        <w:tc>
          <w:tcPr>
            <w:tcW w:w="2000" w:type="dxa"/>
            <w:vAlign w:val="bottom"/>
            <w:gridSpan w:val="2"/>
          </w:tcPr>
          <w:p>
            <w:pPr>
              <w:jc w:val="center"/>
              <w:spacing w:after="0"/>
              <w:rPr>
                <w:sz w:val="20"/>
                <w:szCs w:val="20"/>
                <w:color w:val="auto"/>
              </w:rPr>
            </w:pPr>
            <w:r>
              <w:rPr>
                <w:rFonts w:ascii="Arial" w:cs="Arial" w:eastAsia="Arial" w:hAnsi="Arial"/>
                <w:sz w:val="15"/>
                <w:szCs w:val="15"/>
                <w:b w:val="1"/>
                <w:bCs w:val="1"/>
                <w:color w:val="auto"/>
              </w:rPr>
              <w:t>Approximate Dollar Value</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10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960" w:type="dxa"/>
            <w:vAlign w:val="bottom"/>
            <w:gridSpan w:val="2"/>
            <w:vMerge w:val="continue"/>
          </w:tcPr>
          <w:p>
            <w:pPr>
              <w:spacing w:after="0"/>
              <w:rPr>
                <w:sz w:val="13"/>
                <w:szCs w:val="13"/>
                <w:color w:val="auto"/>
              </w:rPr>
            </w:pPr>
          </w:p>
        </w:tc>
        <w:tc>
          <w:tcPr>
            <w:tcW w:w="2000" w:type="dxa"/>
            <w:vAlign w:val="bottom"/>
          </w:tcPr>
          <w:p>
            <w:pPr>
              <w:jc w:val="center"/>
              <w:spacing w:after="0" w:line="155" w:lineRule="exact"/>
              <w:rPr>
                <w:sz w:val="20"/>
                <w:szCs w:val="20"/>
                <w:color w:val="auto"/>
              </w:rPr>
            </w:pPr>
            <w:r>
              <w:rPr>
                <w:rFonts w:ascii="Arial" w:cs="Arial" w:eastAsia="Arial" w:hAnsi="Arial"/>
                <w:sz w:val="15"/>
                <w:szCs w:val="15"/>
                <w:b w:val="1"/>
                <w:bCs w:val="1"/>
                <w:color w:val="auto"/>
              </w:rPr>
              <w:t>Purchased as Part of</w:t>
            </w:r>
          </w:p>
        </w:tc>
        <w:tc>
          <w:tcPr>
            <w:tcW w:w="100" w:type="dxa"/>
            <w:vAlign w:val="bottom"/>
          </w:tcPr>
          <w:p>
            <w:pPr>
              <w:spacing w:after="0"/>
              <w:rPr>
                <w:sz w:val="13"/>
                <w:szCs w:val="13"/>
                <w:color w:val="auto"/>
              </w:rPr>
            </w:pPr>
          </w:p>
        </w:tc>
        <w:tc>
          <w:tcPr>
            <w:tcW w:w="2000" w:type="dxa"/>
            <w:vAlign w:val="bottom"/>
            <w:gridSpan w:val="2"/>
          </w:tcPr>
          <w:p>
            <w:pPr>
              <w:jc w:val="center"/>
              <w:spacing w:after="0" w:line="155" w:lineRule="exact"/>
              <w:rPr>
                <w:sz w:val="20"/>
                <w:szCs w:val="20"/>
                <w:color w:val="auto"/>
              </w:rPr>
            </w:pPr>
            <w:r>
              <w:rPr>
                <w:rFonts w:ascii="Arial" w:cs="Arial" w:eastAsia="Arial" w:hAnsi="Arial"/>
                <w:sz w:val="15"/>
                <w:szCs w:val="15"/>
                <w:b w:val="1"/>
                <w:bCs w:val="1"/>
                <w:color w:val="auto"/>
              </w:rPr>
              <w:t>of Shares that May Yet Be</w:t>
            </w:r>
          </w:p>
        </w:tc>
        <w:tc>
          <w:tcPr>
            <w:tcW w:w="0" w:type="dxa"/>
            <w:vAlign w:val="bottom"/>
          </w:tcPr>
          <w:p>
            <w:pPr>
              <w:spacing w:after="0"/>
              <w:rPr>
                <w:sz w:val="1"/>
                <w:szCs w:val="1"/>
                <w:color w:val="auto"/>
              </w:rPr>
            </w:pPr>
          </w:p>
        </w:tc>
      </w:tr>
      <w:tr>
        <w:trPr>
          <w:trHeight w:val="155"/>
        </w:trPr>
        <w:tc>
          <w:tcPr>
            <w:tcW w:w="296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4"/>
                <w:szCs w:val="14"/>
                <w:i w:val="1"/>
                <w:iCs w:val="1"/>
                <w:color w:val="auto"/>
              </w:rPr>
              <w:t>(in millions, except per share amounts)</w:t>
            </w:r>
          </w:p>
        </w:tc>
        <w:tc>
          <w:tcPr>
            <w:tcW w:w="2100" w:type="dxa"/>
            <w:vAlign w:val="bottom"/>
            <w:gridSpan w:val="2"/>
          </w:tcPr>
          <w:p>
            <w:pPr>
              <w:jc w:val="center"/>
              <w:ind w:right="100"/>
              <w:spacing w:after="0" w:line="135" w:lineRule="exact"/>
              <w:rPr>
                <w:sz w:val="20"/>
                <w:szCs w:val="20"/>
                <w:color w:val="auto"/>
              </w:rPr>
            </w:pPr>
            <w:r>
              <w:rPr>
                <w:rFonts w:ascii="Arial" w:cs="Arial" w:eastAsia="Arial" w:hAnsi="Arial"/>
                <w:sz w:val="15"/>
                <w:szCs w:val="15"/>
                <w:b w:val="1"/>
                <w:bCs w:val="1"/>
                <w:color w:val="auto"/>
              </w:rPr>
              <w:t>Purchased</w:t>
            </w:r>
          </w:p>
        </w:tc>
        <w:tc>
          <w:tcPr>
            <w:tcW w:w="120" w:type="dxa"/>
            <w:vAlign w:val="bottom"/>
          </w:tcPr>
          <w:p>
            <w:pPr>
              <w:spacing w:after="0"/>
              <w:rPr>
                <w:sz w:val="13"/>
                <w:szCs w:val="13"/>
                <w:color w:val="auto"/>
              </w:rPr>
            </w:pPr>
          </w:p>
        </w:tc>
        <w:tc>
          <w:tcPr>
            <w:tcW w:w="1960" w:type="dxa"/>
            <w:vAlign w:val="bottom"/>
            <w:gridSpan w:val="2"/>
          </w:tcPr>
          <w:p>
            <w:pPr>
              <w:jc w:val="center"/>
              <w:ind w:right="200"/>
              <w:spacing w:after="0" w:line="135" w:lineRule="exact"/>
              <w:rPr>
                <w:sz w:val="20"/>
                <w:szCs w:val="20"/>
                <w:color w:val="auto"/>
              </w:rPr>
            </w:pPr>
            <w:r>
              <w:rPr>
                <w:rFonts w:ascii="Arial" w:cs="Arial" w:eastAsia="Arial" w:hAnsi="Arial"/>
                <w:sz w:val="12"/>
                <w:szCs w:val="12"/>
                <w:b w:val="1"/>
                <w:bCs w:val="1"/>
                <w:color w:val="auto"/>
              </w:rPr>
              <w:t>Share</w:t>
            </w:r>
            <w:r>
              <w:rPr>
                <w:rFonts w:ascii="Arial" w:cs="Arial" w:eastAsia="Arial" w:hAnsi="Arial"/>
                <w:sz w:val="15"/>
                <w:szCs w:val="15"/>
                <w:b w:val="1"/>
                <w:bCs w:val="1"/>
                <w:color w:val="auto"/>
                <w:vertAlign w:val="superscript"/>
              </w:rPr>
              <w:t>(1)</w:t>
            </w:r>
          </w:p>
        </w:tc>
        <w:tc>
          <w:tcPr>
            <w:tcW w:w="2000" w:type="dxa"/>
            <w:vAlign w:val="bottom"/>
          </w:tcPr>
          <w:p>
            <w:pPr>
              <w:jc w:val="center"/>
              <w:spacing w:after="0" w:line="135" w:lineRule="exact"/>
              <w:rPr>
                <w:sz w:val="20"/>
                <w:szCs w:val="20"/>
                <w:color w:val="auto"/>
              </w:rPr>
            </w:pPr>
            <w:r>
              <w:rPr>
                <w:rFonts w:ascii="Arial" w:cs="Arial" w:eastAsia="Arial" w:hAnsi="Arial"/>
                <w:sz w:val="15"/>
                <w:szCs w:val="15"/>
                <w:b w:val="1"/>
                <w:bCs w:val="1"/>
                <w:color w:val="auto"/>
              </w:rPr>
              <w:t>Publicly Announced Plan</w:t>
            </w:r>
          </w:p>
        </w:tc>
        <w:tc>
          <w:tcPr>
            <w:tcW w:w="100" w:type="dxa"/>
            <w:vAlign w:val="bottom"/>
          </w:tcPr>
          <w:p>
            <w:pPr>
              <w:spacing w:after="0"/>
              <w:rPr>
                <w:sz w:val="13"/>
                <w:szCs w:val="13"/>
                <w:color w:val="auto"/>
              </w:rPr>
            </w:pPr>
          </w:p>
        </w:tc>
        <w:tc>
          <w:tcPr>
            <w:tcW w:w="2000" w:type="dxa"/>
            <w:vAlign w:val="bottom"/>
            <w:gridSpan w:val="2"/>
          </w:tcPr>
          <w:p>
            <w:pPr>
              <w:jc w:val="center"/>
              <w:spacing w:after="0" w:line="135" w:lineRule="exact"/>
              <w:rPr>
                <w:sz w:val="20"/>
                <w:szCs w:val="20"/>
                <w:color w:val="auto"/>
              </w:rPr>
            </w:pPr>
            <w:r>
              <w:rPr>
                <w:rFonts w:ascii="Arial" w:cs="Arial" w:eastAsia="Arial" w:hAnsi="Arial"/>
                <w:sz w:val="15"/>
                <w:szCs w:val="15"/>
                <w:b w:val="1"/>
                <w:bCs w:val="1"/>
                <w:color w:val="auto"/>
              </w:rPr>
              <w:t>Purchased Under the Plan</w:t>
            </w:r>
          </w:p>
        </w:tc>
        <w:tc>
          <w:tcPr>
            <w:tcW w:w="0" w:type="dxa"/>
            <w:vAlign w:val="bottom"/>
          </w:tcPr>
          <w:p>
            <w:pPr>
              <w:spacing w:after="0"/>
              <w:rPr>
                <w:sz w:val="1"/>
                <w:szCs w:val="1"/>
                <w:color w:val="auto"/>
              </w:rPr>
            </w:pPr>
          </w:p>
        </w:tc>
      </w:tr>
      <w:tr>
        <w:trPr>
          <w:trHeight w:val="32"/>
        </w:trPr>
        <w:tc>
          <w:tcPr>
            <w:tcW w:w="20" w:type="dxa"/>
            <w:vAlign w:val="bottom"/>
            <w:tcBorders>
              <w:bottom w:val="single" w:sz="8" w:color="DCE2EF"/>
            </w:tcBorders>
          </w:tcPr>
          <w:p>
            <w:pPr>
              <w:spacing w:after="0"/>
              <w:rPr>
                <w:sz w:val="2"/>
                <w:szCs w:val="2"/>
                <w:color w:val="auto"/>
              </w:rPr>
            </w:pPr>
          </w:p>
        </w:tc>
        <w:tc>
          <w:tcPr>
            <w:tcW w:w="2140" w:type="dxa"/>
            <w:vAlign w:val="bottom"/>
            <w:tcBorders>
              <w:top w:val="single" w:sz="8" w:color="auto"/>
              <w:bottom w:val="single" w:sz="8" w:color="DCE2EF"/>
            </w:tcBorders>
          </w:tcPr>
          <w:p>
            <w:pPr>
              <w:spacing w:after="0"/>
              <w:rPr>
                <w:sz w:val="2"/>
                <w:szCs w:val="2"/>
                <w:color w:val="auto"/>
              </w:rPr>
            </w:pPr>
          </w:p>
        </w:tc>
        <w:tc>
          <w:tcPr>
            <w:tcW w:w="800" w:type="dxa"/>
            <w:vAlign w:val="bottom"/>
            <w:tcBorders>
              <w:bottom w:val="single" w:sz="8" w:color="DCE2EF"/>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80" w:type="dxa"/>
            <w:vAlign w:val="bottom"/>
            <w:tcBorders>
              <w:bottom w:val="single" w:sz="8" w:color="DCE2EF"/>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2960" w:type="dxa"/>
            <w:vAlign w:val="bottom"/>
            <w:gridSpan w:val="3"/>
            <w:shd w:val="clear" w:color="auto" w:fill="DCE2EF"/>
          </w:tcPr>
          <w:p>
            <w:pPr>
              <w:ind w:left="20"/>
              <w:spacing w:after="0"/>
              <w:rPr>
                <w:sz w:val="20"/>
                <w:szCs w:val="20"/>
                <w:color w:val="auto"/>
              </w:rPr>
            </w:pPr>
            <w:r>
              <w:rPr>
                <w:rFonts w:ascii="Arial" w:cs="Arial" w:eastAsia="Arial" w:hAnsi="Arial"/>
                <w:sz w:val="15"/>
                <w:szCs w:val="15"/>
                <w:b w:val="1"/>
                <w:bCs w:val="1"/>
                <w:color w:val="auto"/>
              </w:rPr>
              <w:t>Period</w:t>
            </w:r>
          </w:p>
        </w:tc>
        <w:tc>
          <w:tcPr>
            <w:tcW w:w="2000" w:type="dxa"/>
            <w:vAlign w:val="bottom"/>
            <w:shd w:val="clear" w:color="auto" w:fill="DCE2EF"/>
          </w:tcPr>
          <w:p>
            <w:pPr>
              <w:spacing w:after="0"/>
              <w:rPr>
                <w:sz w:val="16"/>
                <w:szCs w:val="16"/>
                <w:color w:val="auto"/>
              </w:rPr>
            </w:pPr>
          </w:p>
        </w:tc>
        <w:tc>
          <w:tcPr>
            <w:tcW w:w="100" w:type="dxa"/>
            <w:vAlign w:val="bottom"/>
            <w:shd w:val="clear" w:color="auto" w:fill="DCE2EF"/>
          </w:tcPr>
          <w:p>
            <w:pPr>
              <w:spacing w:after="0"/>
              <w:rPr>
                <w:sz w:val="16"/>
                <w:szCs w:val="16"/>
                <w:color w:val="auto"/>
              </w:rPr>
            </w:pPr>
          </w:p>
        </w:tc>
        <w:tc>
          <w:tcPr>
            <w:tcW w:w="120" w:type="dxa"/>
            <w:vAlign w:val="bottom"/>
            <w:shd w:val="clear" w:color="auto" w:fill="DCE2EF"/>
          </w:tcPr>
          <w:p>
            <w:pPr>
              <w:spacing w:after="0"/>
              <w:rPr>
                <w:sz w:val="16"/>
                <w:szCs w:val="16"/>
                <w:color w:val="auto"/>
              </w:rPr>
            </w:pPr>
          </w:p>
        </w:tc>
        <w:tc>
          <w:tcPr>
            <w:tcW w:w="1880" w:type="dxa"/>
            <w:vAlign w:val="bottom"/>
            <w:shd w:val="clear" w:color="auto" w:fill="DCE2EF"/>
          </w:tcPr>
          <w:p>
            <w:pPr>
              <w:spacing w:after="0"/>
              <w:rPr>
                <w:sz w:val="16"/>
                <w:szCs w:val="16"/>
                <w:color w:val="auto"/>
              </w:rPr>
            </w:pPr>
          </w:p>
        </w:tc>
        <w:tc>
          <w:tcPr>
            <w:tcW w:w="80" w:type="dxa"/>
            <w:vAlign w:val="bottom"/>
            <w:shd w:val="clear" w:color="auto" w:fill="DCE2EF"/>
          </w:tcPr>
          <w:p>
            <w:pPr>
              <w:spacing w:after="0"/>
              <w:rPr>
                <w:sz w:val="16"/>
                <w:szCs w:val="16"/>
                <w:color w:val="auto"/>
              </w:rPr>
            </w:pPr>
          </w:p>
        </w:tc>
        <w:tc>
          <w:tcPr>
            <w:tcW w:w="2000" w:type="dxa"/>
            <w:vAlign w:val="bottom"/>
            <w:shd w:val="clear" w:color="auto" w:fill="DCE2EF"/>
          </w:tcPr>
          <w:p>
            <w:pPr>
              <w:spacing w:after="0"/>
              <w:rPr>
                <w:sz w:val="16"/>
                <w:szCs w:val="16"/>
                <w:color w:val="auto"/>
              </w:rPr>
            </w:pPr>
          </w:p>
        </w:tc>
        <w:tc>
          <w:tcPr>
            <w:tcW w:w="100" w:type="dxa"/>
            <w:vAlign w:val="bottom"/>
            <w:shd w:val="clear" w:color="auto" w:fill="DCE2EF"/>
          </w:tcPr>
          <w:p>
            <w:pPr>
              <w:spacing w:after="0"/>
              <w:rPr>
                <w:sz w:val="16"/>
                <w:szCs w:val="16"/>
                <w:color w:val="auto"/>
              </w:rPr>
            </w:pPr>
          </w:p>
        </w:tc>
        <w:tc>
          <w:tcPr>
            <w:tcW w:w="820" w:type="dxa"/>
            <w:vAlign w:val="bottom"/>
            <w:shd w:val="clear" w:color="auto" w:fill="DCE2EF"/>
          </w:tcPr>
          <w:p>
            <w:pPr>
              <w:spacing w:after="0"/>
              <w:rPr>
                <w:sz w:val="16"/>
                <w:szCs w:val="16"/>
                <w:color w:val="auto"/>
              </w:rPr>
            </w:pPr>
          </w:p>
        </w:tc>
        <w:tc>
          <w:tcPr>
            <w:tcW w:w="1180" w:type="dxa"/>
            <w:vAlign w:val="bottom"/>
            <w:shd w:val="clear" w:color="auto" w:fill="DCE2E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960" w:type="dxa"/>
            <w:vAlign w:val="bottom"/>
            <w:gridSpan w:val="3"/>
          </w:tcPr>
          <w:p>
            <w:pPr>
              <w:ind w:left="20"/>
              <w:spacing w:after="0"/>
              <w:rPr>
                <w:sz w:val="20"/>
                <w:szCs w:val="20"/>
                <w:color w:val="auto"/>
              </w:rPr>
            </w:pPr>
            <w:r>
              <w:rPr>
                <w:rFonts w:ascii="Arial" w:cs="Arial" w:eastAsia="Arial" w:hAnsi="Arial"/>
                <w:sz w:val="15"/>
                <w:szCs w:val="15"/>
                <w:color w:val="auto"/>
              </w:rPr>
              <w:t>8/1/2025 – 8/31/2025</w:t>
            </w:r>
          </w:p>
        </w:tc>
        <w:tc>
          <w:tcPr>
            <w:tcW w:w="2000" w:type="dxa"/>
            <w:vAlign w:val="bottom"/>
          </w:tcPr>
          <w:p>
            <w:pPr>
              <w:jc w:val="right"/>
              <w:ind w:right="3"/>
              <w:spacing w:after="0"/>
              <w:rPr>
                <w:sz w:val="20"/>
                <w:szCs w:val="20"/>
                <w:color w:val="auto"/>
              </w:rPr>
            </w:pPr>
            <w:r>
              <w:rPr>
                <w:rFonts w:ascii="Arial" w:cs="Arial" w:eastAsia="Arial" w:hAnsi="Arial"/>
                <w:sz w:val="15"/>
                <w:szCs w:val="15"/>
                <w:color w:val="auto"/>
              </w:rPr>
              <w:t>0.49</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880" w:type="dxa"/>
            <w:vAlign w:val="bottom"/>
          </w:tcPr>
          <w:p>
            <w:pPr>
              <w:jc w:val="right"/>
              <w:ind w:right="6"/>
              <w:spacing w:after="0"/>
              <w:rPr>
                <w:sz w:val="20"/>
                <w:szCs w:val="20"/>
                <w:color w:val="auto"/>
              </w:rPr>
            </w:pPr>
            <w:r>
              <w:rPr>
                <w:rFonts w:ascii="Arial" w:cs="Arial" w:eastAsia="Arial" w:hAnsi="Arial"/>
                <w:sz w:val="15"/>
                <w:szCs w:val="15"/>
                <w:color w:val="auto"/>
              </w:rPr>
              <w:t>46.83</w:t>
            </w:r>
          </w:p>
        </w:tc>
        <w:tc>
          <w:tcPr>
            <w:tcW w:w="80" w:type="dxa"/>
            <w:vAlign w:val="bottom"/>
          </w:tcPr>
          <w:p>
            <w:pPr>
              <w:spacing w:after="0"/>
              <w:rPr>
                <w:sz w:val="17"/>
                <w:szCs w:val="17"/>
                <w:color w:val="auto"/>
              </w:rPr>
            </w:pPr>
          </w:p>
        </w:tc>
        <w:tc>
          <w:tcPr>
            <w:tcW w:w="2000" w:type="dxa"/>
            <w:vAlign w:val="bottom"/>
          </w:tcPr>
          <w:p>
            <w:pPr>
              <w:jc w:val="right"/>
              <w:ind w:right="3"/>
              <w:spacing w:after="0"/>
              <w:rPr>
                <w:sz w:val="20"/>
                <w:szCs w:val="20"/>
                <w:color w:val="auto"/>
              </w:rPr>
            </w:pPr>
            <w:r>
              <w:rPr>
                <w:rFonts w:ascii="Arial" w:cs="Arial" w:eastAsia="Arial" w:hAnsi="Arial"/>
                <w:sz w:val="15"/>
                <w:szCs w:val="15"/>
                <w:color w:val="auto"/>
              </w:rPr>
              <w:t>0.49</w:t>
            </w:r>
          </w:p>
        </w:tc>
        <w:tc>
          <w:tcPr>
            <w:tcW w:w="920" w:type="dxa"/>
            <w:vAlign w:val="bottom"/>
            <w:gridSpan w:val="2"/>
          </w:tcPr>
          <w:p>
            <w:pPr>
              <w:jc w:val="right"/>
              <w:ind w:right="643"/>
              <w:spacing w:after="0"/>
              <w:rPr>
                <w:sz w:val="20"/>
                <w:szCs w:val="20"/>
                <w:color w:val="auto"/>
              </w:rPr>
            </w:pPr>
            <w:r>
              <w:rPr>
                <w:rFonts w:ascii="Arial" w:cs="Arial" w:eastAsia="Arial" w:hAnsi="Arial"/>
                <w:sz w:val="15"/>
                <w:szCs w:val="15"/>
                <w:color w:val="auto"/>
              </w:rPr>
              <w:t>$</w:t>
            </w:r>
          </w:p>
        </w:tc>
        <w:tc>
          <w:tcPr>
            <w:tcW w:w="1180" w:type="dxa"/>
            <w:vAlign w:val="bottom"/>
          </w:tcPr>
          <w:p>
            <w:pPr>
              <w:jc w:val="right"/>
              <w:spacing w:after="0"/>
              <w:rPr>
                <w:sz w:val="20"/>
                <w:szCs w:val="20"/>
                <w:color w:val="auto"/>
              </w:rPr>
            </w:pPr>
            <w:r>
              <w:rPr>
                <w:rFonts w:ascii="Arial" w:cs="Arial" w:eastAsia="Arial" w:hAnsi="Arial"/>
                <w:sz w:val="15"/>
                <w:szCs w:val="15"/>
                <w:color w:val="auto"/>
              </w:rPr>
              <w:t>83.1</w:t>
            </w:r>
          </w:p>
        </w:tc>
        <w:tc>
          <w:tcPr>
            <w:tcW w:w="0" w:type="dxa"/>
            <w:vAlign w:val="bottom"/>
          </w:tcPr>
          <w:p>
            <w:pPr>
              <w:spacing w:after="0"/>
              <w:rPr>
                <w:sz w:val="1"/>
                <w:szCs w:val="1"/>
                <w:color w:val="auto"/>
              </w:rPr>
            </w:pPr>
          </w:p>
        </w:tc>
      </w:tr>
      <w:tr>
        <w:trPr>
          <w:trHeight w:val="207"/>
        </w:trPr>
        <w:tc>
          <w:tcPr>
            <w:tcW w:w="2960" w:type="dxa"/>
            <w:vAlign w:val="bottom"/>
            <w:gridSpan w:val="3"/>
            <w:shd w:val="clear" w:color="auto" w:fill="DCE2EF"/>
          </w:tcPr>
          <w:p>
            <w:pPr>
              <w:ind w:left="20"/>
              <w:spacing w:after="0"/>
              <w:rPr>
                <w:sz w:val="20"/>
                <w:szCs w:val="20"/>
                <w:color w:val="auto"/>
              </w:rPr>
            </w:pPr>
            <w:r>
              <w:rPr>
                <w:rFonts w:ascii="Arial" w:cs="Arial" w:eastAsia="Arial" w:hAnsi="Arial"/>
                <w:sz w:val="15"/>
                <w:szCs w:val="15"/>
                <w:color w:val="auto"/>
              </w:rPr>
              <w:t>9/1/2025 – 9/30/2025</w:t>
            </w:r>
          </w:p>
        </w:tc>
        <w:tc>
          <w:tcPr>
            <w:tcW w:w="2100" w:type="dxa"/>
            <w:vAlign w:val="bottom"/>
            <w:gridSpan w:val="2"/>
            <w:shd w:val="clear" w:color="auto" w:fill="DCE2E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shd w:val="clear" w:color="auto" w:fill="DCE2EF"/>
          </w:tcPr>
          <w:p>
            <w:pPr>
              <w:jc w:val="right"/>
              <w:spacing w:after="0"/>
              <w:rPr>
                <w:sz w:val="20"/>
                <w:szCs w:val="20"/>
                <w:color w:val="auto"/>
              </w:rPr>
            </w:pPr>
            <w:r>
              <w:rPr>
                <w:rFonts w:ascii="Arial" w:cs="Arial" w:eastAsia="Arial" w:hAnsi="Arial"/>
                <w:sz w:val="15"/>
                <w:szCs w:val="15"/>
                <w:color w:val="auto"/>
                <w:w w:val="95"/>
              </w:rPr>
              <w:t>$</w:t>
            </w:r>
          </w:p>
        </w:tc>
        <w:tc>
          <w:tcPr>
            <w:tcW w:w="1960" w:type="dxa"/>
            <w:vAlign w:val="bottom"/>
            <w:gridSpan w:val="2"/>
            <w:shd w:val="clear" w:color="auto" w:fill="DCE2EF"/>
          </w:tcPr>
          <w:p>
            <w:pPr>
              <w:jc w:val="right"/>
              <w:ind w:right="160"/>
              <w:spacing w:after="0"/>
              <w:rPr>
                <w:sz w:val="20"/>
                <w:szCs w:val="20"/>
                <w:color w:val="auto"/>
              </w:rPr>
            </w:pPr>
            <w:r>
              <w:rPr>
                <w:rFonts w:ascii="Arial" w:cs="Arial" w:eastAsia="Arial" w:hAnsi="Arial"/>
                <w:sz w:val="15"/>
                <w:szCs w:val="15"/>
                <w:color w:val="auto"/>
              </w:rPr>
              <w:t>—</w:t>
            </w:r>
          </w:p>
        </w:tc>
        <w:tc>
          <w:tcPr>
            <w:tcW w:w="2000" w:type="dxa"/>
            <w:vAlign w:val="bottom"/>
            <w:shd w:val="clear" w:color="auto" w:fill="DCE2EF"/>
          </w:tcPr>
          <w:p>
            <w:pPr>
              <w:jc w:val="right"/>
              <w:ind w:right="3"/>
              <w:spacing w:after="0"/>
              <w:rPr>
                <w:sz w:val="20"/>
                <w:szCs w:val="20"/>
                <w:color w:val="auto"/>
              </w:rPr>
            </w:pPr>
            <w:r>
              <w:rPr>
                <w:rFonts w:ascii="Arial" w:cs="Arial" w:eastAsia="Arial" w:hAnsi="Arial"/>
                <w:sz w:val="15"/>
                <w:szCs w:val="15"/>
                <w:color w:val="auto"/>
              </w:rPr>
              <w:t>—</w:t>
            </w:r>
          </w:p>
        </w:tc>
        <w:tc>
          <w:tcPr>
            <w:tcW w:w="920" w:type="dxa"/>
            <w:vAlign w:val="bottom"/>
            <w:gridSpan w:val="2"/>
            <w:shd w:val="clear" w:color="auto" w:fill="DCE2EF"/>
          </w:tcPr>
          <w:p>
            <w:pPr>
              <w:jc w:val="right"/>
              <w:ind w:right="643"/>
              <w:spacing w:after="0"/>
              <w:rPr>
                <w:sz w:val="20"/>
                <w:szCs w:val="20"/>
                <w:color w:val="auto"/>
              </w:rPr>
            </w:pPr>
            <w:r>
              <w:rPr>
                <w:rFonts w:ascii="Arial" w:cs="Arial" w:eastAsia="Arial" w:hAnsi="Arial"/>
                <w:sz w:val="15"/>
                <w:szCs w:val="15"/>
                <w:color w:val="auto"/>
              </w:rPr>
              <w:t>$</w:t>
            </w:r>
          </w:p>
        </w:tc>
        <w:tc>
          <w:tcPr>
            <w:tcW w:w="1180" w:type="dxa"/>
            <w:vAlign w:val="bottom"/>
            <w:shd w:val="clear" w:color="auto" w:fill="DCE2EF"/>
          </w:tcPr>
          <w:p>
            <w:pPr>
              <w:jc w:val="right"/>
              <w:spacing w:after="0"/>
              <w:rPr>
                <w:sz w:val="20"/>
                <w:szCs w:val="20"/>
                <w:color w:val="auto"/>
              </w:rPr>
            </w:pPr>
            <w:r>
              <w:rPr>
                <w:rFonts w:ascii="Arial" w:cs="Arial" w:eastAsia="Arial" w:hAnsi="Arial"/>
                <w:sz w:val="15"/>
                <w:szCs w:val="15"/>
                <w:color w:val="auto"/>
              </w:rPr>
              <w:t>233.1</w:t>
            </w:r>
          </w:p>
        </w:tc>
        <w:tc>
          <w:tcPr>
            <w:tcW w:w="0" w:type="dxa"/>
            <w:vAlign w:val="bottom"/>
          </w:tcPr>
          <w:p>
            <w:pPr>
              <w:spacing w:after="0"/>
              <w:rPr>
                <w:sz w:val="1"/>
                <w:szCs w:val="1"/>
                <w:color w:val="auto"/>
              </w:rPr>
            </w:pPr>
          </w:p>
        </w:tc>
      </w:tr>
      <w:tr>
        <w:trPr>
          <w:trHeight w:val="205"/>
        </w:trPr>
        <w:tc>
          <w:tcPr>
            <w:tcW w:w="2960" w:type="dxa"/>
            <w:vAlign w:val="bottom"/>
            <w:tcBorders>
              <w:bottom w:val="single" w:sz="8" w:color="DCE2EF"/>
            </w:tcBorders>
            <w:gridSpan w:val="3"/>
          </w:tcPr>
          <w:p>
            <w:pPr>
              <w:ind w:left="20"/>
              <w:spacing w:after="0"/>
              <w:rPr>
                <w:sz w:val="20"/>
                <w:szCs w:val="20"/>
                <w:color w:val="auto"/>
              </w:rPr>
            </w:pPr>
            <w:r>
              <w:rPr>
                <w:rFonts w:ascii="Arial" w:cs="Arial" w:eastAsia="Arial" w:hAnsi="Arial"/>
                <w:sz w:val="15"/>
                <w:szCs w:val="15"/>
                <w:color w:val="auto"/>
              </w:rPr>
              <w:t>10/1/2025 – 10/31/2025</w:t>
            </w:r>
          </w:p>
        </w:tc>
        <w:tc>
          <w:tcPr>
            <w:tcW w:w="20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1.10</w:t>
            </w:r>
          </w:p>
        </w:tc>
        <w:tc>
          <w:tcPr>
            <w:tcW w:w="100" w:type="dxa"/>
            <w:vAlign w:val="bottom"/>
            <w:tcBorders>
              <w:bottom w:val="single" w:sz="8" w:color="DCE2EF"/>
            </w:tcBorders>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88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45.41</w:t>
            </w:r>
          </w:p>
        </w:tc>
        <w:tc>
          <w:tcPr>
            <w:tcW w:w="8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1.10</w:t>
            </w:r>
          </w:p>
        </w:tc>
        <w:tc>
          <w:tcPr>
            <w:tcW w:w="920" w:type="dxa"/>
            <w:vAlign w:val="bottom"/>
            <w:tcBorders>
              <w:bottom w:val="single" w:sz="8" w:color="DCE2EF"/>
            </w:tcBorders>
            <w:gridSpan w:val="2"/>
          </w:tcPr>
          <w:p>
            <w:pPr>
              <w:jc w:val="right"/>
              <w:ind w:right="643"/>
              <w:spacing w:after="0"/>
              <w:rPr>
                <w:sz w:val="20"/>
                <w:szCs w:val="20"/>
                <w:color w:val="auto"/>
              </w:rPr>
            </w:pPr>
            <w:r>
              <w:rPr>
                <w:rFonts w:ascii="Arial" w:cs="Arial" w:eastAsia="Arial" w:hAnsi="Arial"/>
                <w:sz w:val="15"/>
                <w:szCs w:val="15"/>
                <w:color w:val="auto"/>
              </w:rPr>
              <w:t>$</w:t>
            </w:r>
          </w:p>
        </w:tc>
        <w:tc>
          <w:tcPr>
            <w:tcW w:w="1180" w:type="dxa"/>
            <w:vAlign w:val="bottom"/>
            <w:tcBorders>
              <w:bottom w:val="single" w:sz="8" w:color="DCE2EF"/>
            </w:tcBorders>
          </w:tcPr>
          <w:p>
            <w:pPr>
              <w:jc w:val="right"/>
              <w:spacing w:after="0"/>
              <w:rPr>
                <w:sz w:val="20"/>
                <w:szCs w:val="20"/>
                <w:color w:val="auto"/>
              </w:rPr>
            </w:pPr>
            <w:r>
              <w:rPr>
                <w:rFonts w:ascii="Arial" w:cs="Arial" w:eastAsia="Arial" w:hAnsi="Arial"/>
                <w:sz w:val="15"/>
                <w:szCs w:val="15"/>
                <w:color w:val="auto"/>
              </w:rPr>
              <w:t>183.1</w:t>
            </w:r>
          </w:p>
        </w:tc>
        <w:tc>
          <w:tcPr>
            <w:tcW w:w="0" w:type="dxa"/>
            <w:vAlign w:val="bottom"/>
          </w:tcPr>
          <w:p>
            <w:pPr>
              <w:spacing w:after="0"/>
              <w:rPr>
                <w:sz w:val="1"/>
                <w:szCs w:val="1"/>
                <w:color w:val="auto"/>
              </w:rPr>
            </w:pPr>
          </w:p>
        </w:tc>
      </w:tr>
      <w:tr>
        <w:trPr>
          <w:trHeight w:val="225"/>
        </w:trPr>
        <w:tc>
          <w:tcPr>
            <w:tcW w:w="2960" w:type="dxa"/>
            <w:vAlign w:val="bottom"/>
            <w:tcBorders>
              <w:bottom w:val="single" w:sz="8" w:color="DCE2EF"/>
            </w:tcBorders>
            <w:gridSpan w:val="3"/>
            <w:shd w:val="clear" w:color="auto" w:fill="DCE2EF"/>
          </w:tcPr>
          <w:p>
            <w:pPr>
              <w:ind w:left="20"/>
              <w:spacing w:after="0"/>
              <w:rPr>
                <w:sz w:val="20"/>
                <w:szCs w:val="20"/>
                <w:color w:val="auto"/>
              </w:rPr>
            </w:pPr>
            <w:r>
              <w:rPr>
                <w:rFonts w:ascii="Arial" w:cs="Arial" w:eastAsia="Arial" w:hAnsi="Arial"/>
                <w:sz w:val="15"/>
                <w:szCs w:val="15"/>
                <w:b w:val="1"/>
                <w:bCs w:val="1"/>
                <w:color w:val="auto"/>
              </w:rPr>
              <w:t>Total</w:t>
            </w:r>
          </w:p>
        </w:tc>
        <w:tc>
          <w:tcPr>
            <w:tcW w:w="200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5"/>
                <w:szCs w:val="15"/>
                <w:color w:val="auto"/>
              </w:rPr>
              <w:t>1.59</w:t>
            </w:r>
          </w:p>
        </w:tc>
        <w:tc>
          <w:tcPr>
            <w:tcW w:w="100" w:type="dxa"/>
            <w:vAlign w:val="bottom"/>
            <w:tcBorders>
              <w:bottom w:val="single" w:sz="8" w:color="DCE2EF"/>
            </w:tcBorders>
            <w:shd w:val="clear" w:color="auto" w:fill="DCE2EF"/>
          </w:tcPr>
          <w:p>
            <w:pPr>
              <w:spacing w:after="0"/>
              <w:rPr>
                <w:sz w:val="19"/>
                <w:szCs w:val="19"/>
                <w:color w:val="auto"/>
              </w:rPr>
            </w:pPr>
          </w:p>
        </w:tc>
        <w:tc>
          <w:tcPr>
            <w:tcW w:w="12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5"/>
                <w:szCs w:val="15"/>
                <w:color w:val="auto"/>
                <w:w w:val="95"/>
              </w:rPr>
              <w:t>$</w:t>
            </w:r>
          </w:p>
        </w:tc>
        <w:tc>
          <w:tcPr>
            <w:tcW w:w="1880" w:type="dxa"/>
            <w:vAlign w:val="bottom"/>
            <w:tcBorders>
              <w:bottom w:val="single" w:sz="8" w:color="auto"/>
            </w:tcBorders>
            <w:shd w:val="clear" w:color="auto" w:fill="DCE2EF"/>
          </w:tcPr>
          <w:p>
            <w:pPr>
              <w:jc w:val="right"/>
              <w:ind w:right="6"/>
              <w:spacing w:after="0"/>
              <w:rPr>
                <w:sz w:val="20"/>
                <w:szCs w:val="20"/>
                <w:color w:val="auto"/>
              </w:rPr>
            </w:pPr>
            <w:r>
              <w:rPr>
                <w:rFonts w:ascii="Arial" w:cs="Arial" w:eastAsia="Arial" w:hAnsi="Arial"/>
                <w:sz w:val="15"/>
                <w:szCs w:val="15"/>
                <w:color w:val="auto"/>
              </w:rPr>
              <w:t>45.84</w:t>
            </w:r>
          </w:p>
        </w:tc>
        <w:tc>
          <w:tcPr>
            <w:tcW w:w="80" w:type="dxa"/>
            <w:vAlign w:val="bottom"/>
            <w:tcBorders>
              <w:bottom w:val="single" w:sz="8" w:color="DCE2EF"/>
            </w:tcBorders>
            <w:shd w:val="clear" w:color="auto" w:fill="DCE2EF"/>
          </w:tcPr>
          <w:p>
            <w:pPr>
              <w:spacing w:after="0"/>
              <w:rPr>
                <w:sz w:val="19"/>
                <w:szCs w:val="19"/>
                <w:color w:val="auto"/>
              </w:rPr>
            </w:pPr>
          </w:p>
        </w:tc>
        <w:tc>
          <w:tcPr>
            <w:tcW w:w="200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5"/>
                <w:szCs w:val="15"/>
                <w:color w:val="auto"/>
              </w:rPr>
              <w:t>1.59</w:t>
            </w:r>
          </w:p>
        </w:tc>
        <w:tc>
          <w:tcPr>
            <w:tcW w:w="100" w:type="dxa"/>
            <w:vAlign w:val="bottom"/>
            <w:tcBorders>
              <w:bottom w:val="single" w:sz="8" w:color="DCE2EF"/>
            </w:tcBorders>
            <w:shd w:val="clear" w:color="auto" w:fill="DCE2EF"/>
          </w:tcPr>
          <w:p>
            <w:pPr>
              <w:spacing w:after="0"/>
              <w:rPr>
                <w:sz w:val="19"/>
                <w:szCs w:val="19"/>
                <w:color w:val="auto"/>
              </w:rPr>
            </w:pPr>
          </w:p>
        </w:tc>
        <w:tc>
          <w:tcPr>
            <w:tcW w:w="820" w:type="dxa"/>
            <w:vAlign w:val="bottom"/>
            <w:tcBorders>
              <w:bottom w:val="single" w:sz="8" w:color="DCE2EF"/>
            </w:tcBorders>
            <w:shd w:val="clear" w:color="auto" w:fill="DCE2EF"/>
          </w:tcPr>
          <w:p>
            <w:pPr>
              <w:spacing w:after="0"/>
              <w:rPr>
                <w:sz w:val="19"/>
                <w:szCs w:val="19"/>
                <w:color w:val="auto"/>
              </w:rPr>
            </w:pPr>
          </w:p>
        </w:tc>
        <w:tc>
          <w:tcPr>
            <w:tcW w:w="1180" w:type="dxa"/>
            <w:vAlign w:val="bottom"/>
            <w:tcBorders>
              <w:bottom w:val="single" w:sz="8" w:color="DCE2EF"/>
            </w:tcBorders>
            <w:shd w:val="clear" w:color="auto" w:fill="DCE2E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DCE2EF"/>
            </w:tcBorders>
          </w:tcPr>
          <w:p>
            <w:pPr>
              <w:spacing w:after="0" w:line="20" w:lineRule="exact"/>
              <w:rPr>
                <w:sz w:val="1"/>
                <w:szCs w:val="1"/>
                <w:color w:val="auto"/>
              </w:rPr>
            </w:pPr>
          </w:p>
        </w:tc>
        <w:tc>
          <w:tcPr>
            <w:tcW w:w="2140" w:type="dxa"/>
            <w:vAlign w:val="bottom"/>
            <w:tcBorders>
              <w:top w:val="single" w:sz="8" w:color="DCE2EF"/>
            </w:tcBorders>
          </w:tcPr>
          <w:p>
            <w:pPr>
              <w:spacing w:after="0" w:line="20" w:lineRule="exact"/>
              <w:rPr>
                <w:sz w:val="1"/>
                <w:szCs w:val="1"/>
                <w:color w:val="auto"/>
              </w:rPr>
            </w:pPr>
          </w:p>
        </w:tc>
        <w:tc>
          <w:tcPr>
            <w:tcW w:w="800" w:type="dxa"/>
            <w:vAlign w:val="bottom"/>
            <w:tcBorders>
              <w:top w:val="single" w:sz="8" w:color="DCE2EF"/>
            </w:tcBorders>
          </w:tcPr>
          <w:p>
            <w:pPr>
              <w:spacing w:after="0" w:line="20" w:lineRule="exact"/>
              <w:rPr>
                <w:sz w:val="1"/>
                <w:szCs w:val="1"/>
                <w:color w:val="auto"/>
              </w:rPr>
            </w:pPr>
          </w:p>
        </w:tc>
        <w:tc>
          <w:tcPr>
            <w:tcW w:w="2000" w:type="dxa"/>
            <w:vAlign w:val="bottom"/>
            <w:tcBorders>
              <w:top w:val="single" w:sz="8" w:color="DCE2EF"/>
              <w:bottom w:val="single" w:sz="8" w:color="auto"/>
            </w:tcBorders>
          </w:tcPr>
          <w:p>
            <w:pPr>
              <w:spacing w:after="0" w:line="20" w:lineRule="exact"/>
              <w:rPr>
                <w:sz w:val="1"/>
                <w:szCs w:val="1"/>
                <w:color w:val="auto"/>
              </w:rPr>
            </w:pPr>
          </w:p>
        </w:tc>
        <w:tc>
          <w:tcPr>
            <w:tcW w:w="100" w:type="dxa"/>
            <w:vAlign w:val="bottom"/>
            <w:tcBorders>
              <w:top w:val="single" w:sz="8" w:color="DCE2EF"/>
            </w:tcBorders>
          </w:tcPr>
          <w:p>
            <w:pPr>
              <w:spacing w:after="0" w:line="20" w:lineRule="exact"/>
              <w:rPr>
                <w:sz w:val="1"/>
                <w:szCs w:val="1"/>
                <w:color w:val="auto"/>
              </w:rPr>
            </w:pPr>
          </w:p>
        </w:tc>
        <w:tc>
          <w:tcPr>
            <w:tcW w:w="120" w:type="dxa"/>
            <w:vAlign w:val="bottom"/>
            <w:tcBorders>
              <w:top w:val="single" w:sz="8" w:color="DCE2EF"/>
              <w:bottom w:val="single" w:sz="8" w:color="auto"/>
            </w:tcBorders>
          </w:tcPr>
          <w:p>
            <w:pPr>
              <w:spacing w:after="0" w:line="20" w:lineRule="exact"/>
              <w:rPr>
                <w:sz w:val="1"/>
                <w:szCs w:val="1"/>
                <w:color w:val="auto"/>
              </w:rPr>
            </w:pPr>
          </w:p>
        </w:tc>
        <w:tc>
          <w:tcPr>
            <w:tcW w:w="1880" w:type="dxa"/>
            <w:vAlign w:val="bottom"/>
            <w:tcBorders>
              <w:top w:val="single" w:sz="8" w:color="DCE2EF"/>
              <w:bottom w:val="single" w:sz="8" w:color="auto"/>
            </w:tcBorders>
          </w:tcPr>
          <w:p>
            <w:pPr>
              <w:spacing w:after="0" w:line="20" w:lineRule="exact"/>
              <w:rPr>
                <w:sz w:val="1"/>
                <w:szCs w:val="1"/>
                <w:color w:val="auto"/>
              </w:rPr>
            </w:pPr>
          </w:p>
        </w:tc>
        <w:tc>
          <w:tcPr>
            <w:tcW w:w="80" w:type="dxa"/>
            <w:vAlign w:val="bottom"/>
            <w:tcBorders>
              <w:top w:val="single" w:sz="8" w:color="DCE2EF"/>
            </w:tcBorders>
          </w:tcPr>
          <w:p>
            <w:pPr>
              <w:spacing w:after="0" w:line="20" w:lineRule="exact"/>
              <w:rPr>
                <w:sz w:val="1"/>
                <w:szCs w:val="1"/>
                <w:color w:val="auto"/>
              </w:rPr>
            </w:pPr>
          </w:p>
        </w:tc>
        <w:tc>
          <w:tcPr>
            <w:tcW w:w="2000" w:type="dxa"/>
            <w:vAlign w:val="bottom"/>
            <w:tcBorders>
              <w:top w:val="single" w:sz="8" w:color="DCE2EF"/>
              <w:bottom w:val="single" w:sz="8" w:color="auto"/>
            </w:tcBorders>
          </w:tcPr>
          <w:p>
            <w:pPr>
              <w:spacing w:after="0" w:line="20" w:lineRule="exact"/>
              <w:rPr>
                <w:sz w:val="1"/>
                <w:szCs w:val="1"/>
                <w:color w:val="auto"/>
              </w:rPr>
            </w:pPr>
          </w:p>
        </w:tc>
        <w:tc>
          <w:tcPr>
            <w:tcW w:w="100" w:type="dxa"/>
            <w:vAlign w:val="bottom"/>
            <w:tcBorders>
              <w:top w:val="single" w:sz="8" w:color="DCE2EF"/>
            </w:tcBorders>
          </w:tcPr>
          <w:p>
            <w:pPr>
              <w:spacing w:after="0" w:line="20" w:lineRule="exact"/>
              <w:rPr>
                <w:sz w:val="1"/>
                <w:szCs w:val="1"/>
                <w:color w:val="auto"/>
              </w:rPr>
            </w:pPr>
          </w:p>
        </w:tc>
        <w:tc>
          <w:tcPr>
            <w:tcW w:w="820" w:type="dxa"/>
            <w:vAlign w:val="bottom"/>
            <w:tcBorders>
              <w:top w:val="single" w:sz="8" w:color="DCE2EF"/>
            </w:tcBorders>
          </w:tcPr>
          <w:p>
            <w:pPr>
              <w:spacing w:after="0" w:line="20" w:lineRule="exact"/>
              <w:rPr>
                <w:sz w:val="1"/>
                <w:szCs w:val="1"/>
                <w:color w:val="auto"/>
              </w:rPr>
            </w:pPr>
          </w:p>
        </w:tc>
        <w:tc>
          <w:tcPr>
            <w:tcW w:w="1180" w:type="dxa"/>
            <w:vAlign w:val="bottom"/>
            <w:tcBorders>
              <w:top w:val="single" w:sz="8" w:color="DCE2E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180" w:hanging="177"/>
        <w:spacing w:after="0"/>
        <w:tabs>
          <w:tab w:leader="none" w:pos="180" w:val="left"/>
        </w:tabs>
        <w:numPr>
          <w:ilvl w:val="0"/>
          <w:numId w:val="6"/>
        </w:numPr>
        <w:rPr>
          <w:rFonts w:ascii="Arial" w:cs="Arial" w:eastAsia="Arial" w:hAnsi="Arial"/>
          <w:sz w:val="21"/>
          <w:szCs w:val="21"/>
          <w:color w:val="auto"/>
          <w:vertAlign w:val="superscript"/>
        </w:rPr>
      </w:pPr>
      <w:r>
        <w:rPr>
          <w:rFonts w:ascii="Arial" w:cs="Arial" w:eastAsia="Arial" w:hAnsi="Arial"/>
          <w:sz w:val="15"/>
          <w:szCs w:val="15"/>
          <w:color w:val="auto"/>
        </w:rPr>
        <w:t>Average price paid per share does not include any excise tax for share repurchases as part of the Inflation Reduction Act of 2022.</w:t>
      </w:r>
    </w:p>
    <w:p>
      <w:pPr>
        <w:spacing w:after="0" w:line="200" w:lineRule="exact"/>
        <w:rPr>
          <w:rFonts w:ascii="Arial" w:cs="Arial" w:eastAsia="Arial" w:hAnsi="Arial"/>
          <w:sz w:val="21"/>
          <w:szCs w:val="21"/>
          <w:color w:val="auto"/>
          <w:vertAlign w:val="superscript"/>
        </w:rPr>
      </w:pPr>
    </w:p>
    <w:p>
      <w:pPr>
        <w:spacing w:after="0" w:line="313" w:lineRule="exact"/>
        <w:rPr>
          <w:rFonts w:ascii="Arial" w:cs="Arial" w:eastAsia="Arial" w:hAnsi="Arial"/>
          <w:sz w:val="21"/>
          <w:szCs w:val="21"/>
          <w:color w:val="auto"/>
          <w:vertAlign w:val="superscript"/>
        </w:rPr>
      </w:pPr>
    </w:p>
    <w:p>
      <w:pPr>
        <w:ind w:left="5520"/>
        <w:spacing w:after="0"/>
        <w:rPr>
          <w:rFonts w:ascii="Arial" w:cs="Arial" w:eastAsia="Arial" w:hAnsi="Arial"/>
          <w:sz w:val="21"/>
          <w:szCs w:val="21"/>
          <w:color w:val="auto"/>
          <w:vertAlign w:val="superscript"/>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10" w:right="339" w:bottom="1440" w:gutter="0" w:footer="0" w:header="0"/>
        </w:sectPr>
      </w:pPr>
    </w:p>
    <w:bookmarkStart w:id="24" w:name="page25"/>
    <w:bookmarkEnd w:id="24"/>
    <w:p>
      <w:pPr>
        <w:spacing w:after="0"/>
        <w:rPr>
          <w:sz w:val="20"/>
          <w:szCs w:val="20"/>
          <w:color w:val="auto"/>
        </w:rPr>
      </w:pPr>
      <w:r>
        <w:rPr>
          <w:rFonts w:ascii="Arial" w:cs="Arial" w:eastAsia="Arial" w:hAnsi="Arial"/>
          <w:sz w:val="17"/>
          <w:szCs w:val="17"/>
          <w:b w:val="1"/>
          <w:bCs w:val="1"/>
          <w:color w:val="0046AD"/>
        </w:rPr>
        <w:t>Performance Graph</w:t>
      </w:r>
    </w:p>
    <w:p>
      <w:pPr>
        <w:spacing w:after="0" w:line="168" w:lineRule="exact"/>
        <w:rPr>
          <w:sz w:val="20"/>
          <w:szCs w:val="20"/>
          <w:color w:val="auto"/>
        </w:rPr>
      </w:pPr>
    </w:p>
    <w:p>
      <w:pPr>
        <w:jc w:val="both"/>
        <w:ind w:right="100" w:firstLine="619"/>
        <w:spacing w:after="0" w:line="271" w:lineRule="auto"/>
        <w:rPr>
          <w:sz w:val="20"/>
          <w:szCs w:val="20"/>
          <w:color w:val="auto"/>
        </w:rPr>
      </w:pPr>
      <w:r>
        <w:rPr>
          <w:rFonts w:ascii="Arial" w:cs="Arial" w:eastAsia="Arial" w:hAnsi="Arial"/>
          <w:sz w:val="17"/>
          <w:szCs w:val="17"/>
          <w:color w:val="auto"/>
        </w:rPr>
        <w:t>The following graph compares the five-year cumulative total return for our common stock against the Standard &amp; Poor’s 500 Index (“S&amp;P 500”) and the Standard &amp; Poor’s SmallCap 600 Index (“S&amp;P 600”). As our competitors are principally privately held, we do not believe it is feasible to construct a peer group comparison on an industry or line-of-business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81280</wp:posOffset>
            </wp:positionV>
            <wp:extent cx="5206365" cy="35610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206365" cy="3561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tbl>
      <w:tblPr>
        <w:tblLayout w:type="fixed"/>
        <w:tblInd w:w="620" w:type="dxa"/>
        <w:tblCellMar>
          <w:top w:w="0" w:type="dxa"/>
          <w:left w:w="0" w:type="dxa"/>
          <w:bottom w:w="0" w:type="dxa"/>
          <w:right w:w="0" w:type="dxa"/>
        </w:tblCellMar>
      </w:tblPr>
      <w:tr>
        <w:trPr>
          <w:trHeight w:val="195"/>
        </w:trPr>
        <w:tc>
          <w:tcPr>
            <w:tcW w:w="3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360" w:type="dxa"/>
            <w:vAlign w:val="bottom"/>
            <w:gridSpan w:val="5"/>
          </w:tcPr>
          <w:p>
            <w:pPr>
              <w:jc w:val="center"/>
              <w:ind w:right="240"/>
              <w:spacing w:after="0"/>
              <w:rPr>
                <w:sz w:val="20"/>
                <w:szCs w:val="20"/>
                <w:color w:val="auto"/>
              </w:rPr>
            </w:pPr>
            <w:r>
              <w:rPr>
                <w:rFonts w:ascii="Arial" w:cs="Arial" w:eastAsia="Arial" w:hAnsi="Arial"/>
                <w:sz w:val="17"/>
                <w:szCs w:val="17"/>
                <w:b w:val="1"/>
                <w:bCs w:val="1"/>
                <w:color w:val="auto"/>
              </w:rPr>
              <w:t>INDEXED RETURNS</w:t>
            </w: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232"/>
        </w:trPr>
        <w:tc>
          <w:tcPr>
            <w:tcW w:w="3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5"/>
          </w:tcPr>
          <w:p>
            <w:pPr>
              <w:jc w:val="center"/>
              <w:ind w:right="240"/>
              <w:spacing w:after="0"/>
              <w:rPr>
                <w:sz w:val="20"/>
                <w:szCs w:val="20"/>
                <w:color w:val="auto"/>
              </w:rPr>
            </w:pPr>
            <w:r>
              <w:rPr>
                <w:rFonts w:ascii="Arial" w:cs="Arial" w:eastAsia="Arial" w:hAnsi="Arial"/>
                <w:sz w:val="17"/>
                <w:szCs w:val="17"/>
                <w:b w:val="1"/>
                <w:bCs w:val="1"/>
                <w:color w:val="auto"/>
              </w:rPr>
              <w:t>Years Ended October 31,</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r>
      <w:tr>
        <w:trPr>
          <w:trHeight w:val="212"/>
        </w:trPr>
        <w:tc>
          <w:tcPr>
            <w:tcW w:w="3800" w:type="dxa"/>
            <w:vAlign w:val="bottom"/>
            <w:gridSpan w:val="2"/>
          </w:tcPr>
          <w:p>
            <w:pPr>
              <w:ind w:left="20"/>
              <w:spacing w:after="0"/>
              <w:rPr>
                <w:sz w:val="20"/>
                <w:szCs w:val="20"/>
                <w:color w:val="auto"/>
              </w:rPr>
            </w:pPr>
            <w:r>
              <w:rPr>
                <w:rFonts w:ascii="Arial" w:cs="Arial" w:eastAsia="Arial" w:hAnsi="Arial"/>
                <w:sz w:val="17"/>
                <w:szCs w:val="17"/>
                <w:b w:val="1"/>
                <w:bCs w:val="1"/>
                <w:color w:val="auto"/>
              </w:rPr>
              <w:t>Company / Index</w:t>
            </w:r>
          </w:p>
        </w:tc>
        <w:tc>
          <w:tcPr>
            <w:tcW w:w="240" w:type="dxa"/>
            <w:vAlign w:val="bottom"/>
          </w:tcPr>
          <w:p>
            <w:pPr>
              <w:spacing w:after="0"/>
              <w:rPr>
                <w:sz w:val="18"/>
                <w:szCs w:val="18"/>
                <w:color w:val="auto"/>
              </w:rPr>
            </w:pPr>
          </w:p>
        </w:tc>
        <w:tc>
          <w:tcPr>
            <w:tcW w:w="920" w:type="dxa"/>
            <w:vAlign w:val="bottom"/>
          </w:tcPr>
          <w:p>
            <w:pPr>
              <w:jc w:val="right"/>
              <w:ind w:right="314"/>
              <w:spacing w:after="0"/>
              <w:rPr>
                <w:sz w:val="20"/>
                <w:szCs w:val="20"/>
                <w:color w:val="auto"/>
              </w:rPr>
            </w:pPr>
            <w:r>
              <w:rPr>
                <w:rFonts w:ascii="Arial" w:cs="Arial" w:eastAsia="Arial" w:hAnsi="Arial"/>
                <w:sz w:val="17"/>
                <w:szCs w:val="17"/>
                <w:b w:val="1"/>
                <w:bCs w:val="1"/>
                <w:color w:val="auto"/>
              </w:rPr>
              <w:t>2020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294"/>
              <w:spacing w:after="0"/>
              <w:rPr>
                <w:sz w:val="20"/>
                <w:szCs w:val="20"/>
                <w:color w:val="auto"/>
              </w:rPr>
            </w:pPr>
            <w:r>
              <w:rPr>
                <w:rFonts w:ascii="Arial" w:cs="Arial" w:eastAsia="Arial" w:hAnsi="Arial"/>
                <w:sz w:val="17"/>
                <w:szCs w:val="17"/>
                <w:b w:val="1"/>
                <w:bCs w:val="1"/>
                <w:color w:val="auto"/>
              </w:rPr>
              <w:t>2021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ind w:right="314"/>
              <w:spacing w:after="0"/>
              <w:rPr>
                <w:sz w:val="20"/>
                <w:szCs w:val="20"/>
                <w:color w:val="auto"/>
              </w:rPr>
            </w:pPr>
            <w:r>
              <w:rPr>
                <w:rFonts w:ascii="Arial" w:cs="Arial" w:eastAsia="Arial" w:hAnsi="Arial"/>
                <w:sz w:val="17"/>
                <w:szCs w:val="17"/>
                <w:b w:val="1"/>
                <w:bCs w:val="1"/>
                <w:color w:val="auto"/>
              </w:rPr>
              <w:t>2022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ind w:right="314"/>
              <w:spacing w:after="0"/>
              <w:rPr>
                <w:sz w:val="20"/>
                <w:szCs w:val="20"/>
                <w:color w:val="auto"/>
              </w:rPr>
            </w:pPr>
            <w:r>
              <w:rPr>
                <w:rFonts w:ascii="Arial" w:cs="Arial" w:eastAsia="Arial" w:hAnsi="Arial"/>
                <w:sz w:val="17"/>
                <w:szCs w:val="17"/>
                <w:b w:val="1"/>
                <w:bCs w:val="1"/>
                <w:color w:val="auto"/>
              </w:rPr>
              <w:t>2023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294"/>
              <w:spacing w:after="0"/>
              <w:rPr>
                <w:sz w:val="20"/>
                <w:szCs w:val="20"/>
                <w:color w:val="auto"/>
              </w:rPr>
            </w:pPr>
            <w:r>
              <w:rPr>
                <w:rFonts w:ascii="Arial" w:cs="Arial" w:eastAsia="Arial" w:hAnsi="Arial"/>
                <w:sz w:val="17"/>
                <w:szCs w:val="17"/>
                <w:b w:val="1"/>
                <w:bCs w:val="1"/>
                <w:color w:val="auto"/>
              </w:rPr>
              <w:t>2024</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b w:val="1"/>
                <w:bCs w:val="1"/>
                <w:color w:val="auto"/>
              </w:rPr>
              <w:t>202</w:t>
            </w:r>
          </w:p>
        </w:tc>
      </w:tr>
      <w:tr>
        <w:trPr>
          <w:trHeight w:val="212"/>
        </w:trPr>
        <w:tc>
          <w:tcPr>
            <w:tcW w:w="3680" w:type="dxa"/>
            <w:vAlign w:val="bottom"/>
            <w:tcBorders>
              <w:top w:val="single" w:sz="8" w:color="auto"/>
            </w:tcBorders>
            <w:shd w:val="clear" w:color="auto" w:fill="DCE2EF"/>
          </w:tcPr>
          <w:p>
            <w:pPr>
              <w:ind w:left="20"/>
              <w:spacing w:after="0"/>
              <w:rPr>
                <w:sz w:val="20"/>
                <w:szCs w:val="20"/>
                <w:color w:val="auto"/>
              </w:rPr>
            </w:pPr>
            <w:r>
              <w:rPr>
                <w:rFonts w:ascii="Arial" w:cs="Arial" w:eastAsia="Arial" w:hAnsi="Arial"/>
                <w:sz w:val="17"/>
                <w:szCs w:val="17"/>
                <w:b w:val="1"/>
                <w:bCs w:val="1"/>
                <w:color w:val="auto"/>
              </w:rPr>
              <w:t>ABM Industries Incorporated</w:t>
            </w:r>
          </w:p>
        </w:tc>
        <w:tc>
          <w:tcPr>
            <w:tcW w:w="120" w:type="dxa"/>
            <w:vAlign w:val="bottom"/>
            <w:tcBorders>
              <w:top w:val="single" w:sz="8" w:color="DCE2EF"/>
            </w:tcBorders>
            <w:shd w:val="clear" w:color="auto" w:fill="DCE2EF"/>
          </w:tcPr>
          <w:p>
            <w:pPr>
              <w:spacing w:after="0"/>
              <w:rPr>
                <w:sz w:val="18"/>
                <w:szCs w:val="18"/>
                <w:color w:val="auto"/>
              </w:rPr>
            </w:pPr>
          </w:p>
        </w:tc>
        <w:tc>
          <w:tcPr>
            <w:tcW w:w="240" w:type="dxa"/>
            <w:vAlign w:val="bottom"/>
            <w:tcBorders>
              <w:top w:val="single" w:sz="8" w:color="auto"/>
            </w:tcBorders>
            <w:shd w:val="clear" w:color="auto" w:fill="DCE2EF"/>
          </w:tcPr>
          <w:p>
            <w:pPr>
              <w:jc w:val="right"/>
              <w:ind w:right="54"/>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tcBorders>
            <w:shd w:val="clear" w:color="auto" w:fill="DCE2EF"/>
          </w:tcPr>
          <w:p>
            <w:pPr>
              <w:jc w:val="right"/>
              <w:spacing w:after="0"/>
              <w:rPr>
                <w:sz w:val="20"/>
                <w:szCs w:val="20"/>
                <w:color w:val="auto"/>
              </w:rPr>
            </w:pPr>
            <w:r>
              <w:rPr>
                <w:rFonts w:ascii="Arial" w:cs="Arial" w:eastAsia="Arial" w:hAnsi="Arial"/>
                <w:sz w:val="17"/>
                <w:szCs w:val="17"/>
                <w:color w:val="auto"/>
              </w:rPr>
              <w:t>100.0</w:t>
            </w:r>
          </w:p>
        </w:tc>
        <w:tc>
          <w:tcPr>
            <w:tcW w:w="100" w:type="dxa"/>
            <w:vAlign w:val="bottom"/>
            <w:tcBorders>
              <w:top w:val="single" w:sz="8" w:color="DCE2EF"/>
            </w:tcBorders>
            <w:shd w:val="clear" w:color="auto" w:fill="DCE2EF"/>
          </w:tcPr>
          <w:p>
            <w:pPr>
              <w:spacing w:after="0"/>
              <w:rPr>
                <w:sz w:val="18"/>
                <w:szCs w:val="18"/>
                <w:color w:val="auto"/>
              </w:rPr>
            </w:pPr>
          </w:p>
        </w:tc>
        <w:tc>
          <w:tcPr>
            <w:tcW w:w="240" w:type="dxa"/>
            <w:vAlign w:val="bottom"/>
            <w:tcBorders>
              <w:top w:val="single" w:sz="8" w:color="auto"/>
            </w:tcBorders>
            <w:shd w:val="clear" w:color="auto" w:fill="DCE2EF"/>
          </w:tcPr>
          <w:p>
            <w:pPr>
              <w:jc w:val="right"/>
              <w:ind w:right="54"/>
              <w:spacing w:after="0"/>
              <w:rPr>
                <w:sz w:val="20"/>
                <w:szCs w:val="20"/>
                <w:color w:val="auto"/>
              </w:rPr>
            </w:pPr>
            <w:r>
              <w:rPr>
                <w:rFonts w:ascii="Arial" w:cs="Arial" w:eastAsia="Arial" w:hAnsi="Arial"/>
                <w:sz w:val="17"/>
                <w:szCs w:val="17"/>
                <w:color w:val="auto"/>
                <w:w w:val="84"/>
              </w:rPr>
              <w:t>$</w:t>
            </w:r>
          </w:p>
        </w:tc>
        <w:tc>
          <w:tcPr>
            <w:tcW w:w="900" w:type="dxa"/>
            <w:vAlign w:val="bottom"/>
            <w:tcBorders>
              <w:top w:val="single" w:sz="8" w:color="auto"/>
            </w:tcBorders>
            <w:shd w:val="clear" w:color="auto" w:fill="DCE2EF"/>
          </w:tcPr>
          <w:p>
            <w:pPr>
              <w:jc w:val="right"/>
              <w:spacing w:after="0"/>
              <w:rPr>
                <w:sz w:val="20"/>
                <w:szCs w:val="20"/>
                <w:color w:val="auto"/>
              </w:rPr>
            </w:pPr>
            <w:r>
              <w:rPr>
                <w:rFonts w:ascii="Arial" w:cs="Arial" w:eastAsia="Arial" w:hAnsi="Arial"/>
                <w:sz w:val="17"/>
                <w:szCs w:val="17"/>
                <w:color w:val="auto"/>
              </w:rPr>
              <w:t>128.9</w:t>
            </w:r>
          </w:p>
        </w:tc>
        <w:tc>
          <w:tcPr>
            <w:tcW w:w="100" w:type="dxa"/>
            <w:vAlign w:val="bottom"/>
            <w:tcBorders>
              <w:top w:val="single" w:sz="8" w:color="DCE2EF"/>
            </w:tcBorders>
            <w:shd w:val="clear" w:color="auto" w:fill="DCE2EF"/>
          </w:tcPr>
          <w:p>
            <w:pPr>
              <w:spacing w:after="0"/>
              <w:rPr>
                <w:sz w:val="18"/>
                <w:szCs w:val="18"/>
                <w:color w:val="auto"/>
              </w:rPr>
            </w:pPr>
          </w:p>
        </w:tc>
        <w:tc>
          <w:tcPr>
            <w:tcW w:w="160" w:type="dxa"/>
            <w:vAlign w:val="bottom"/>
            <w:tcBorders>
              <w:top w:val="single" w:sz="8" w:color="auto"/>
            </w:tcBorders>
            <w:shd w:val="clear" w:color="auto" w:fill="DCE2EF"/>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tcBorders>
              <w:top w:val="single" w:sz="8" w:color="auto"/>
            </w:tcBorders>
            <w:shd w:val="clear" w:color="auto" w:fill="DCE2EF"/>
          </w:tcPr>
          <w:p>
            <w:pPr>
              <w:jc w:val="right"/>
              <w:spacing w:after="0"/>
              <w:rPr>
                <w:sz w:val="20"/>
                <w:szCs w:val="20"/>
                <w:color w:val="auto"/>
              </w:rPr>
            </w:pPr>
            <w:r>
              <w:rPr>
                <w:rFonts w:ascii="Arial" w:cs="Arial" w:eastAsia="Arial" w:hAnsi="Arial"/>
                <w:sz w:val="17"/>
                <w:szCs w:val="17"/>
                <w:color w:val="auto"/>
              </w:rPr>
              <w:t>132.8</w:t>
            </w:r>
          </w:p>
        </w:tc>
        <w:tc>
          <w:tcPr>
            <w:tcW w:w="100" w:type="dxa"/>
            <w:vAlign w:val="bottom"/>
            <w:tcBorders>
              <w:top w:val="single" w:sz="8" w:color="DCE2EF"/>
            </w:tcBorders>
            <w:shd w:val="clear" w:color="auto" w:fill="DCE2EF"/>
          </w:tcPr>
          <w:p>
            <w:pPr>
              <w:spacing w:after="0"/>
              <w:rPr>
                <w:sz w:val="18"/>
                <w:szCs w:val="18"/>
                <w:color w:val="auto"/>
              </w:rPr>
            </w:pPr>
          </w:p>
        </w:tc>
        <w:tc>
          <w:tcPr>
            <w:tcW w:w="240" w:type="dxa"/>
            <w:vAlign w:val="bottom"/>
            <w:tcBorders>
              <w:top w:val="single" w:sz="8" w:color="auto"/>
            </w:tcBorders>
            <w:shd w:val="clear" w:color="auto" w:fill="DCE2EF"/>
          </w:tcPr>
          <w:p>
            <w:pPr>
              <w:jc w:val="right"/>
              <w:ind w:right="54"/>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tcBorders>
            <w:shd w:val="clear" w:color="auto" w:fill="DCE2EF"/>
          </w:tcPr>
          <w:p>
            <w:pPr>
              <w:jc w:val="right"/>
              <w:spacing w:after="0"/>
              <w:rPr>
                <w:sz w:val="20"/>
                <w:szCs w:val="20"/>
                <w:color w:val="auto"/>
              </w:rPr>
            </w:pPr>
            <w:r>
              <w:rPr>
                <w:rFonts w:ascii="Arial" w:cs="Arial" w:eastAsia="Arial" w:hAnsi="Arial"/>
                <w:sz w:val="17"/>
                <w:szCs w:val="17"/>
                <w:color w:val="auto"/>
              </w:rPr>
              <w:t>119.8</w:t>
            </w:r>
          </w:p>
        </w:tc>
        <w:tc>
          <w:tcPr>
            <w:tcW w:w="100" w:type="dxa"/>
            <w:vAlign w:val="bottom"/>
            <w:tcBorders>
              <w:top w:val="single" w:sz="8" w:color="DCE2EF"/>
            </w:tcBorders>
            <w:shd w:val="clear" w:color="auto" w:fill="DCE2EF"/>
          </w:tcPr>
          <w:p>
            <w:pPr>
              <w:spacing w:after="0"/>
              <w:rPr>
                <w:sz w:val="18"/>
                <w:szCs w:val="18"/>
                <w:color w:val="auto"/>
              </w:rPr>
            </w:pPr>
          </w:p>
        </w:tc>
        <w:tc>
          <w:tcPr>
            <w:tcW w:w="260" w:type="dxa"/>
            <w:vAlign w:val="bottom"/>
            <w:tcBorders>
              <w:top w:val="single" w:sz="8" w:color="auto"/>
            </w:tcBorders>
            <w:shd w:val="clear" w:color="auto" w:fill="DCE2EF"/>
          </w:tcPr>
          <w:p>
            <w:pPr>
              <w:jc w:val="right"/>
              <w:ind w:right="54"/>
              <w:spacing w:after="0"/>
              <w:rPr>
                <w:sz w:val="20"/>
                <w:szCs w:val="20"/>
                <w:color w:val="auto"/>
              </w:rPr>
            </w:pPr>
            <w:r>
              <w:rPr>
                <w:rFonts w:ascii="Arial" w:cs="Arial" w:eastAsia="Arial" w:hAnsi="Arial"/>
                <w:sz w:val="17"/>
                <w:szCs w:val="17"/>
                <w:color w:val="auto"/>
              </w:rPr>
              <w:t>$</w:t>
            </w:r>
          </w:p>
        </w:tc>
        <w:tc>
          <w:tcPr>
            <w:tcW w:w="900" w:type="dxa"/>
            <w:vAlign w:val="bottom"/>
            <w:tcBorders>
              <w:top w:val="single" w:sz="8" w:color="auto"/>
            </w:tcBorders>
            <w:shd w:val="clear" w:color="auto" w:fill="DCE2EF"/>
          </w:tcPr>
          <w:p>
            <w:pPr>
              <w:jc w:val="right"/>
              <w:spacing w:after="0"/>
              <w:rPr>
                <w:sz w:val="20"/>
                <w:szCs w:val="20"/>
                <w:color w:val="auto"/>
              </w:rPr>
            </w:pPr>
            <w:r>
              <w:rPr>
                <w:rFonts w:ascii="Arial" w:cs="Arial" w:eastAsia="Arial" w:hAnsi="Arial"/>
                <w:sz w:val="17"/>
                <w:szCs w:val="17"/>
                <w:color w:val="auto"/>
              </w:rPr>
              <w:t>164.7</w:t>
            </w:r>
          </w:p>
        </w:tc>
        <w:tc>
          <w:tcPr>
            <w:tcW w:w="100" w:type="dxa"/>
            <w:vAlign w:val="bottom"/>
            <w:tcBorders>
              <w:top w:val="single" w:sz="8" w:color="DCE2EF"/>
            </w:tcBorders>
            <w:shd w:val="clear" w:color="auto" w:fill="DCE2EF"/>
          </w:tcPr>
          <w:p>
            <w:pPr>
              <w:spacing w:after="0"/>
              <w:rPr>
                <w:sz w:val="18"/>
                <w:szCs w:val="18"/>
                <w:color w:val="auto"/>
              </w:rPr>
            </w:pPr>
          </w:p>
        </w:tc>
        <w:tc>
          <w:tcPr>
            <w:tcW w:w="640" w:type="dxa"/>
            <w:vAlign w:val="bottom"/>
            <w:tcBorders>
              <w:top w:val="single" w:sz="8" w:color="auto"/>
            </w:tcBorders>
            <w:shd w:val="clear" w:color="auto" w:fill="DCE2EF"/>
          </w:tcPr>
          <w:p>
            <w:pPr>
              <w:jc w:val="right"/>
              <w:ind w:right="434"/>
              <w:spacing w:after="0"/>
              <w:rPr>
                <w:sz w:val="20"/>
                <w:szCs w:val="20"/>
                <w:color w:val="auto"/>
              </w:rPr>
            </w:pPr>
            <w:r>
              <w:rPr>
                <w:rFonts w:ascii="Arial" w:cs="Arial" w:eastAsia="Arial" w:hAnsi="Arial"/>
                <w:sz w:val="17"/>
                <w:szCs w:val="17"/>
                <w:color w:val="auto"/>
              </w:rPr>
              <w:t>$</w:t>
            </w:r>
          </w:p>
        </w:tc>
      </w:tr>
      <w:tr>
        <w:trPr>
          <w:trHeight w:val="219"/>
        </w:trPr>
        <w:tc>
          <w:tcPr>
            <w:tcW w:w="3800" w:type="dxa"/>
            <w:vAlign w:val="bottom"/>
            <w:gridSpan w:val="2"/>
          </w:tcPr>
          <w:p>
            <w:pPr>
              <w:ind w:left="20"/>
              <w:spacing w:after="0"/>
              <w:rPr>
                <w:sz w:val="20"/>
                <w:szCs w:val="20"/>
                <w:color w:val="auto"/>
              </w:rPr>
            </w:pPr>
            <w:r>
              <w:rPr>
                <w:rFonts w:ascii="Arial" w:cs="Arial" w:eastAsia="Arial" w:hAnsi="Arial"/>
                <w:sz w:val="17"/>
                <w:szCs w:val="17"/>
                <w:b w:val="1"/>
                <w:bCs w:val="1"/>
                <w:color w:val="auto"/>
              </w:rPr>
              <w:t>S&amp;P 500 Index</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100.0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142.9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122.0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134.4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185.5</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19"/>
        </w:trPr>
        <w:tc>
          <w:tcPr>
            <w:tcW w:w="3800" w:type="dxa"/>
            <w:vAlign w:val="bottom"/>
            <w:gridSpan w:val="2"/>
            <w:shd w:val="clear" w:color="auto" w:fill="DCE2EF"/>
          </w:tcPr>
          <w:p>
            <w:pPr>
              <w:ind w:left="20"/>
              <w:spacing w:after="0"/>
              <w:rPr>
                <w:sz w:val="20"/>
                <w:szCs w:val="20"/>
                <w:color w:val="auto"/>
              </w:rPr>
            </w:pPr>
            <w:r>
              <w:rPr>
                <w:rFonts w:ascii="Arial" w:cs="Arial" w:eastAsia="Arial" w:hAnsi="Arial"/>
                <w:sz w:val="17"/>
                <w:szCs w:val="17"/>
                <w:b w:val="1"/>
                <w:bCs w:val="1"/>
                <w:color w:val="auto"/>
              </w:rPr>
              <w:t>S&amp;P SmallCap 600 Index</w:t>
            </w:r>
          </w:p>
        </w:tc>
        <w:tc>
          <w:tcPr>
            <w:tcW w:w="240" w:type="dxa"/>
            <w:vAlign w:val="bottom"/>
            <w:shd w:val="clear" w:color="auto" w:fill="DCE2EF"/>
          </w:tcPr>
          <w:p>
            <w:pPr>
              <w:spacing w:after="0"/>
              <w:rPr>
                <w:sz w:val="19"/>
                <w:szCs w:val="19"/>
                <w:color w:val="auto"/>
              </w:rPr>
            </w:pPr>
          </w:p>
        </w:tc>
        <w:tc>
          <w:tcPr>
            <w:tcW w:w="920" w:type="dxa"/>
            <w:vAlign w:val="bottom"/>
            <w:shd w:val="clear" w:color="auto" w:fill="DCE2EF"/>
          </w:tcPr>
          <w:p>
            <w:pPr>
              <w:jc w:val="right"/>
              <w:spacing w:after="0"/>
              <w:rPr>
                <w:sz w:val="20"/>
                <w:szCs w:val="20"/>
                <w:color w:val="auto"/>
              </w:rPr>
            </w:pPr>
            <w:r>
              <w:rPr>
                <w:rFonts w:ascii="Arial" w:cs="Arial" w:eastAsia="Arial" w:hAnsi="Arial"/>
                <w:sz w:val="17"/>
                <w:szCs w:val="17"/>
                <w:color w:val="auto"/>
              </w:rPr>
              <w:t>100.0</w:t>
            </w:r>
          </w:p>
        </w:tc>
        <w:tc>
          <w:tcPr>
            <w:tcW w:w="100" w:type="dxa"/>
            <w:vAlign w:val="bottom"/>
            <w:shd w:val="clear" w:color="auto" w:fill="DCE2EF"/>
          </w:tcPr>
          <w:p>
            <w:pPr>
              <w:spacing w:after="0"/>
              <w:rPr>
                <w:sz w:val="19"/>
                <w:szCs w:val="19"/>
                <w:color w:val="auto"/>
              </w:rPr>
            </w:pPr>
          </w:p>
        </w:tc>
        <w:tc>
          <w:tcPr>
            <w:tcW w:w="240" w:type="dxa"/>
            <w:vAlign w:val="bottom"/>
            <w:shd w:val="clear" w:color="auto" w:fill="DCE2EF"/>
          </w:tcPr>
          <w:p>
            <w:pPr>
              <w:spacing w:after="0"/>
              <w:rPr>
                <w:sz w:val="19"/>
                <w:szCs w:val="19"/>
                <w:color w:val="auto"/>
              </w:rPr>
            </w:pPr>
          </w:p>
        </w:tc>
        <w:tc>
          <w:tcPr>
            <w:tcW w:w="900" w:type="dxa"/>
            <w:vAlign w:val="bottom"/>
            <w:shd w:val="clear" w:color="auto" w:fill="DCE2EF"/>
          </w:tcPr>
          <w:p>
            <w:pPr>
              <w:jc w:val="right"/>
              <w:spacing w:after="0"/>
              <w:rPr>
                <w:sz w:val="20"/>
                <w:szCs w:val="20"/>
                <w:color w:val="auto"/>
              </w:rPr>
            </w:pPr>
            <w:r>
              <w:rPr>
                <w:rFonts w:ascii="Arial" w:cs="Arial" w:eastAsia="Arial" w:hAnsi="Arial"/>
                <w:sz w:val="17"/>
                <w:szCs w:val="17"/>
                <w:color w:val="auto"/>
              </w:rPr>
              <w:t>158.9</w:t>
            </w:r>
          </w:p>
        </w:tc>
        <w:tc>
          <w:tcPr>
            <w:tcW w:w="100" w:type="dxa"/>
            <w:vAlign w:val="bottom"/>
            <w:shd w:val="clear" w:color="auto" w:fill="DCE2EF"/>
          </w:tcPr>
          <w:p>
            <w:pPr>
              <w:spacing w:after="0"/>
              <w:rPr>
                <w:sz w:val="19"/>
                <w:szCs w:val="19"/>
                <w:color w:val="auto"/>
              </w:rPr>
            </w:pPr>
          </w:p>
        </w:tc>
        <w:tc>
          <w:tcPr>
            <w:tcW w:w="160" w:type="dxa"/>
            <w:vAlign w:val="bottom"/>
            <w:shd w:val="clear" w:color="auto" w:fill="DCE2EF"/>
          </w:tcPr>
          <w:p>
            <w:pPr>
              <w:spacing w:after="0"/>
              <w:rPr>
                <w:sz w:val="19"/>
                <w:szCs w:val="19"/>
                <w:color w:val="auto"/>
              </w:rPr>
            </w:pPr>
          </w:p>
        </w:tc>
        <w:tc>
          <w:tcPr>
            <w:tcW w:w="1000" w:type="dxa"/>
            <w:vAlign w:val="bottom"/>
            <w:shd w:val="clear" w:color="auto" w:fill="DCE2EF"/>
          </w:tcPr>
          <w:p>
            <w:pPr>
              <w:jc w:val="right"/>
              <w:spacing w:after="0"/>
              <w:rPr>
                <w:sz w:val="20"/>
                <w:szCs w:val="20"/>
                <w:color w:val="auto"/>
              </w:rPr>
            </w:pPr>
            <w:r>
              <w:rPr>
                <w:rFonts w:ascii="Arial" w:cs="Arial" w:eastAsia="Arial" w:hAnsi="Arial"/>
                <w:sz w:val="17"/>
                <w:szCs w:val="17"/>
                <w:color w:val="auto"/>
              </w:rPr>
              <w:t>140.2</w:t>
            </w:r>
          </w:p>
        </w:tc>
        <w:tc>
          <w:tcPr>
            <w:tcW w:w="100" w:type="dxa"/>
            <w:vAlign w:val="bottom"/>
            <w:shd w:val="clear" w:color="auto" w:fill="DCE2EF"/>
          </w:tcPr>
          <w:p>
            <w:pPr>
              <w:spacing w:after="0"/>
              <w:rPr>
                <w:sz w:val="19"/>
                <w:szCs w:val="19"/>
                <w:color w:val="auto"/>
              </w:rPr>
            </w:pPr>
          </w:p>
        </w:tc>
        <w:tc>
          <w:tcPr>
            <w:tcW w:w="240" w:type="dxa"/>
            <w:vAlign w:val="bottom"/>
            <w:shd w:val="clear" w:color="auto" w:fill="DCE2EF"/>
          </w:tcPr>
          <w:p>
            <w:pPr>
              <w:spacing w:after="0"/>
              <w:rPr>
                <w:sz w:val="19"/>
                <w:szCs w:val="19"/>
                <w:color w:val="auto"/>
              </w:rPr>
            </w:pPr>
          </w:p>
        </w:tc>
        <w:tc>
          <w:tcPr>
            <w:tcW w:w="920" w:type="dxa"/>
            <w:vAlign w:val="bottom"/>
            <w:shd w:val="clear" w:color="auto" w:fill="DCE2EF"/>
          </w:tcPr>
          <w:p>
            <w:pPr>
              <w:jc w:val="right"/>
              <w:spacing w:after="0"/>
              <w:rPr>
                <w:sz w:val="20"/>
                <w:szCs w:val="20"/>
                <w:color w:val="auto"/>
              </w:rPr>
            </w:pPr>
            <w:r>
              <w:rPr>
                <w:rFonts w:ascii="Arial" w:cs="Arial" w:eastAsia="Arial" w:hAnsi="Arial"/>
                <w:sz w:val="17"/>
                <w:szCs w:val="17"/>
                <w:color w:val="auto"/>
              </w:rPr>
              <w:t>129.4</w:t>
            </w:r>
          </w:p>
        </w:tc>
        <w:tc>
          <w:tcPr>
            <w:tcW w:w="100" w:type="dxa"/>
            <w:vAlign w:val="bottom"/>
            <w:shd w:val="clear" w:color="auto" w:fill="DCE2EF"/>
          </w:tcPr>
          <w:p>
            <w:pPr>
              <w:spacing w:after="0"/>
              <w:rPr>
                <w:sz w:val="19"/>
                <w:szCs w:val="19"/>
                <w:color w:val="auto"/>
              </w:rPr>
            </w:pPr>
          </w:p>
        </w:tc>
        <w:tc>
          <w:tcPr>
            <w:tcW w:w="260" w:type="dxa"/>
            <w:vAlign w:val="bottom"/>
            <w:shd w:val="clear" w:color="auto" w:fill="DCE2EF"/>
          </w:tcPr>
          <w:p>
            <w:pPr>
              <w:spacing w:after="0"/>
              <w:rPr>
                <w:sz w:val="19"/>
                <w:szCs w:val="19"/>
                <w:color w:val="auto"/>
              </w:rPr>
            </w:pPr>
          </w:p>
        </w:tc>
        <w:tc>
          <w:tcPr>
            <w:tcW w:w="900" w:type="dxa"/>
            <w:vAlign w:val="bottom"/>
            <w:shd w:val="clear" w:color="auto" w:fill="DCE2EF"/>
          </w:tcPr>
          <w:p>
            <w:pPr>
              <w:jc w:val="right"/>
              <w:spacing w:after="0"/>
              <w:rPr>
                <w:sz w:val="20"/>
                <w:szCs w:val="20"/>
                <w:color w:val="auto"/>
              </w:rPr>
            </w:pPr>
            <w:r>
              <w:rPr>
                <w:rFonts w:ascii="Arial" w:cs="Arial" w:eastAsia="Arial" w:hAnsi="Arial"/>
                <w:sz w:val="17"/>
                <w:szCs w:val="17"/>
                <w:color w:val="auto"/>
              </w:rPr>
              <w:t>168.3</w:t>
            </w:r>
          </w:p>
        </w:tc>
        <w:tc>
          <w:tcPr>
            <w:tcW w:w="100" w:type="dxa"/>
            <w:vAlign w:val="bottom"/>
            <w:shd w:val="clear" w:color="auto" w:fill="DCE2EF"/>
          </w:tcPr>
          <w:p>
            <w:pPr>
              <w:spacing w:after="0"/>
              <w:rPr>
                <w:sz w:val="19"/>
                <w:szCs w:val="19"/>
                <w:color w:val="auto"/>
              </w:rPr>
            </w:pPr>
          </w:p>
        </w:tc>
        <w:tc>
          <w:tcPr>
            <w:tcW w:w="640" w:type="dxa"/>
            <w:vAlign w:val="bottom"/>
            <w:shd w:val="clear" w:color="auto" w:fill="DCE2EF"/>
          </w:tcPr>
          <w:p>
            <w:pPr>
              <w:spacing w:after="0"/>
              <w:rPr>
                <w:sz w:val="19"/>
                <w:szCs w:val="19"/>
                <w:color w:val="auto"/>
              </w:rPr>
            </w:pPr>
          </w:p>
        </w:tc>
      </w:tr>
    </w:tbl>
    <w:p>
      <w:pPr>
        <w:spacing w:after="0" w:line="267" w:lineRule="exact"/>
        <w:rPr>
          <w:sz w:val="20"/>
          <w:szCs w:val="20"/>
          <w:color w:val="auto"/>
        </w:rPr>
      </w:pPr>
    </w:p>
    <w:p>
      <w:pPr>
        <w:jc w:val="both"/>
        <w:ind w:right="100" w:firstLine="619"/>
        <w:spacing w:after="0" w:line="271" w:lineRule="auto"/>
        <w:rPr>
          <w:sz w:val="20"/>
          <w:szCs w:val="20"/>
          <w:color w:val="auto"/>
        </w:rPr>
      </w:pPr>
      <w:r>
        <w:rPr>
          <w:rFonts w:ascii="Arial" w:cs="Arial" w:eastAsia="Arial" w:hAnsi="Arial"/>
          <w:sz w:val="17"/>
          <w:szCs w:val="17"/>
          <w:color w:val="auto"/>
        </w:rPr>
        <w:t>This performance graph shall not be deemed to be “soliciting material” or “filed” with the SEC, or subject to Regulation 14A or 14C, or subject to the liabilities of Section 18 of the Securities Exchange Act of 1934, as amended. The comparisons in the performance graph are based on historical data and are not indicative of, or intended to forecast, the possible future performance of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340"/>
          </w:cols>
          <w:pgMar w:left="320" w:top="1010" w:right="239" w:bottom="1440" w:gutter="0" w:footer="0" w:header="0"/>
        </w:sectPr>
      </w:pPr>
    </w:p>
    <w:bookmarkStart w:id="25" w:name="page26"/>
    <w:bookmarkEnd w:id="25"/>
    <w:p>
      <w:pPr>
        <w:spacing w:after="0"/>
        <w:rPr>
          <w:sz w:val="20"/>
          <w:szCs w:val="20"/>
          <w:color w:val="auto"/>
        </w:rPr>
      </w:pPr>
      <w:r>
        <w:rPr>
          <w:rFonts w:ascii="Arial" w:cs="Arial" w:eastAsia="Arial" w:hAnsi="Arial"/>
          <w:sz w:val="17"/>
          <w:szCs w:val="17"/>
          <w:b w:val="1"/>
          <w:bCs w:val="1"/>
          <w:color w:val="0046AD"/>
        </w:rPr>
        <w:t>ITEM 6. [RESERVED]</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ITEM 7. MANAGEMENT’S DISCUSSION AND ANALYSIS OF FINANCIAL CONDITION AND RESULTS OF OPERATIONS.</w:t>
      </w:r>
    </w:p>
    <w:p>
      <w:pPr>
        <w:spacing w:after="0" w:line="168" w:lineRule="exact"/>
        <w:rPr>
          <w:sz w:val="20"/>
          <w:szCs w:val="20"/>
          <w:color w:val="auto"/>
        </w:rPr>
      </w:pPr>
    </w:p>
    <w:p>
      <w:pPr>
        <w:jc w:val="both"/>
        <w:ind w:firstLine="619"/>
        <w:spacing w:after="0" w:line="257" w:lineRule="auto"/>
        <w:rPr>
          <w:sz w:val="20"/>
          <w:szCs w:val="20"/>
          <w:color w:val="auto"/>
        </w:rPr>
      </w:pPr>
      <w:r>
        <w:rPr>
          <w:rFonts w:ascii="Arial" w:cs="Arial" w:eastAsia="Arial" w:hAnsi="Arial"/>
          <w:sz w:val="17"/>
          <w:szCs w:val="17"/>
          <w:color w:val="auto"/>
        </w:rPr>
        <w:t xml:space="preserve">The following MD&amp;A is intended to facilitate an understanding of the results of operations and financial condition of ABM. This MD&amp;A is provided as a supplement to, and should be read in conjunction with, our Financial Statements. This MD&amp;A contains both historical and forward-looking statements, within the meaning of the Private Securities Litigation Reform Act of 1995, that involve risks and uncertainties. We make forward-looking statements related to future expectations, estimates, and projections that are uncertain and often contain words such as “anticipate,” “believe,” “could,” “estimate,” “expect,” “forecast,” “intend,” “likely,” “may,” “outlook,” “plan,” “predict,” “should,” “target,” or other similar words or phrases. These statements are not guarantees of future performance and are subject to known and unknown risks, uncertainties, and assumptions that are difficult to predict. Factors that might cause such differences include, but are not limited to, those discussed in Part 1. of this Form 10-K under </w:t>
      </w:r>
      <w:r>
        <w:rPr>
          <w:rFonts w:ascii="Arial" w:cs="Arial" w:eastAsia="Arial" w:hAnsi="Arial"/>
          <w:sz w:val="17"/>
          <w:szCs w:val="17"/>
          <w:u w:val="single" w:color="auto"/>
          <w:color w:val="0000FF"/>
        </w:rPr>
        <w:t>Item 1A.</w:t>
      </w:r>
      <w:r>
        <w:rPr>
          <w:rFonts w:ascii="Arial" w:cs="Arial" w:eastAsia="Arial" w:hAnsi="Arial"/>
          <w:sz w:val="17"/>
          <w:szCs w:val="17"/>
          <w:color w:val="auto"/>
        </w:rPr>
        <w:t>, “Risk Factors,” which are incorporated herein by reference. Our future results and financial condition may be materially different from those we currently anticipate. Throughout the MD&amp;A, amounts and percentages may not recalculate due to rounding. Unless otherwise indicated, all information in the MD&amp;A and references to years are based on our fiscal year, which ends on October 31.</w:t>
      </w:r>
    </w:p>
    <w:p>
      <w:pPr>
        <w:spacing w:after="0" w:line="316"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0046AD"/>
        </w:rPr>
        <w:t>Business Overview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19050</wp:posOffset>
            </wp:positionV>
            <wp:extent cx="712216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22160" cy="8255"/>
                    </a:xfrm>
                    <a:prstGeom prst="rect">
                      <a:avLst/>
                    </a:prstGeom>
                    <a:noFill/>
                  </pic:spPr>
                </pic:pic>
              </a:graphicData>
            </a:graphic>
          </wp:anchor>
        </w:drawing>
      </w:r>
    </w:p>
    <w:p>
      <w:pPr>
        <w:spacing w:after="0" w:line="249" w:lineRule="exact"/>
        <w:rPr>
          <w:sz w:val="20"/>
          <w:szCs w:val="20"/>
          <w:color w:val="auto"/>
        </w:rPr>
      </w:pPr>
    </w:p>
    <w:p>
      <w:pPr>
        <w:jc w:val="both"/>
        <w:ind w:firstLine="619"/>
        <w:spacing w:after="0" w:line="304" w:lineRule="auto"/>
        <w:rPr>
          <w:sz w:val="20"/>
          <w:szCs w:val="20"/>
          <w:color w:val="auto"/>
        </w:rPr>
      </w:pPr>
      <w:r>
        <w:rPr>
          <w:rFonts w:ascii="Arial" w:cs="Arial" w:eastAsia="Arial" w:hAnsi="Arial"/>
          <w:sz w:val="17"/>
          <w:szCs w:val="17"/>
          <w:color w:val="auto"/>
        </w:rPr>
        <w:t xml:space="preserve">ABM is a leading provider of integrated facility solutions, customized by industry, with a mission to </w:t>
      </w:r>
      <w:r>
        <w:rPr>
          <w:rFonts w:ascii="Arial" w:cs="Arial" w:eastAsia="Arial" w:hAnsi="Arial"/>
          <w:sz w:val="17"/>
          <w:szCs w:val="17"/>
          <w:b w:val="1"/>
          <w:bCs w:val="1"/>
          <w:color w:val="003DA5"/>
        </w:rPr>
        <w:t>make a difference, every person, every</w:t>
      </w:r>
      <w:r>
        <w:rPr>
          <w:rFonts w:ascii="Arial" w:cs="Arial" w:eastAsia="Arial" w:hAnsi="Arial"/>
          <w:sz w:val="17"/>
          <w:szCs w:val="17"/>
          <w:color w:val="auto"/>
        </w:rPr>
        <w:t xml:space="preserve"> </w:t>
      </w:r>
      <w:r>
        <w:rPr>
          <w:rFonts w:ascii="Arial" w:cs="Arial" w:eastAsia="Arial" w:hAnsi="Arial"/>
          <w:sz w:val="17"/>
          <w:szCs w:val="17"/>
          <w:b w:val="1"/>
          <w:bCs w:val="1"/>
          <w:color w:val="003DA5"/>
        </w:rPr>
        <w:t>day</w:t>
      </w:r>
      <w:r>
        <w:rPr>
          <w:rFonts w:ascii="Arial" w:cs="Arial" w:eastAsia="Arial" w:hAnsi="Arial"/>
          <w:sz w:val="17"/>
          <w:szCs w:val="17"/>
          <w:color w:val="000000"/>
        </w:rPr>
        <w:t>. Our principal operations are in the United States, and in 2025 our U.S. operations generated approximately 92% of our revenues.</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Strategic Growth</w:t>
      </w:r>
    </w:p>
    <w:p>
      <w:pPr>
        <w:spacing w:after="0" w:line="168"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We remain focused on long-term, profitable growth by delivering valued service offerings to both new and existing clients within our industry groups and across our many service lines. Our revenue growth strategy is predicated on pursuing new sales and targeting a favorable retention rate among existing contracts. Cross-selling and up-selling projects and services is also an integral part of our strategy. We believe our strategic growth initiatives, coupled with our continued focus on marketing, capital, and sales resources, will increase profitability.</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color w:val="E98300"/>
        </w:rPr>
        <w:t xml:space="preserve">ELEVATE </w:t>
      </w:r>
      <w:r>
        <w:rPr>
          <w:rFonts w:ascii="Arial" w:cs="Arial" w:eastAsia="Arial" w:hAnsi="Arial"/>
          <w:sz w:val="17"/>
          <w:szCs w:val="17"/>
          <w:b w:val="1"/>
          <w:bCs w:val="1"/>
          <w:color w:val="0046AD"/>
        </w:rPr>
        <w:t>Transformation</w:t>
      </w:r>
    </w:p>
    <w:p>
      <w:pPr>
        <w:spacing w:after="0" w:line="166" w:lineRule="exact"/>
        <w:rPr>
          <w:sz w:val="20"/>
          <w:szCs w:val="20"/>
          <w:color w:val="auto"/>
        </w:rPr>
      </w:pPr>
    </w:p>
    <w:p>
      <w:pPr>
        <w:ind w:left="620"/>
        <w:spacing w:after="0"/>
        <w:rPr>
          <w:sz w:val="20"/>
          <w:szCs w:val="20"/>
          <w:color w:val="auto"/>
        </w:rPr>
      </w:pPr>
      <w:r>
        <w:rPr>
          <w:rFonts w:ascii="Arial" w:cs="Arial" w:eastAsia="Arial" w:hAnsi="Arial"/>
          <w:sz w:val="17"/>
          <w:szCs w:val="17"/>
          <w:color w:val="auto"/>
        </w:rPr>
        <w:t xml:space="preserve">Through our </w:t>
      </w:r>
      <w:r>
        <w:rPr>
          <w:rFonts w:ascii="Arial" w:cs="Arial" w:eastAsia="Arial" w:hAnsi="Arial"/>
          <w:sz w:val="17"/>
          <w:szCs w:val="17"/>
          <w:b w:val="1"/>
          <w:bCs w:val="1"/>
          <w:color w:val="E98300"/>
        </w:rPr>
        <w:t>ELEVATE</w:t>
      </w:r>
      <w:r>
        <w:rPr>
          <w:rFonts w:ascii="Arial" w:cs="Arial" w:eastAsia="Arial" w:hAnsi="Arial"/>
          <w:sz w:val="17"/>
          <w:szCs w:val="17"/>
          <w:color w:val="auto"/>
        </w:rPr>
        <w:t xml:space="preserve"> strategy, as described in Item 1., “Business,” we continue to focus our efforts on:</w:t>
      </w:r>
    </w:p>
    <w:p>
      <w:pPr>
        <w:spacing w:after="0" w:line="180" w:lineRule="exact"/>
        <w:rPr>
          <w:sz w:val="20"/>
          <w:szCs w:val="20"/>
          <w:color w:val="auto"/>
        </w:rPr>
      </w:pPr>
    </w:p>
    <w:p>
      <w:pPr>
        <w:ind w:left="680" w:hanging="290"/>
        <w:spacing w:after="0"/>
        <w:tabs>
          <w:tab w:leader="none" w:pos="680" w:val="left"/>
        </w:tabs>
        <w:numPr>
          <w:ilvl w:val="0"/>
          <w:numId w:val="7"/>
        </w:numPr>
        <w:rPr>
          <w:rFonts w:ascii="Arial" w:cs="Arial" w:eastAsia="Arial" w:hAnsi="Arial"/>
          <w:sz w:val="19"/>
          <w:szCs w:val="19"/>
          <w:color w:val="auto"/>
        </w:rPr>
      </w:pPr>
      <w:r>
        <w:rPr>
          <w:rFonts w:ascii="Arial" w:cs="Arial" w:eastAsia="Arial" w:hAnsi="Arial"/>
          <w:sz w:val="17"/>
          <w:szCs w:val="17"/>
          <w:color w:val="auto"/>
        </w:rPr>
        <w:t>the client experience, by serving as a trusted advisor who can provide innovative multiservice solutions and consistent service delivery;</w:t>
      </w:r>
    </w:p>
    <w:p>
      <w:pPr>
        <w:spacing w:after="0" w:line="232" w:lineRule="exact"/>
        <w:rPr>
          <w:rFonts w:ascii="Arial" w:cs="Arial" w:eastAsia="Arial" w:hAnsi="Arial"/>
          <w:sz w:val="19"/>
          <w:szCs w:val="19"/>
          <w:color w:val="auto"/>
        </w:rPr>
      </w:pPr>
    </w:p>
    <w:p>
      <w:pPr>
        <w:ind w:left="700" w:hanging="310"/>
        <w:spacing w:after="0" w:line="277" w:lineRule="auto"/>
        <w:tabs>
          <w:tab w:leader="none" w:pos="689" w:val="left"/>
        </w:tabs>
        <w:numPr>
          <w:ilvl w:val="0"/>
          <w:numId w:val="7"/>
        </w:numPr>
        <w:rPr>
          <w:rFonts w:ascii="Arial" w:cs="Arial" w:eastAsia="Arial" w:hAnsi="Arial"/>
          <w:sz w:val="19"/>
          <w:szCs w:val="19"/>
          <w:color w:val="auto"/>
        </w:rPr>
      </w:pPr>
      <w:r>
        <w:rPr>
          <w:rFonts w:ascii="Arial" w:cs="Arial" w:eastAsia="Arial" w:hAnsi="Arial"/>
          <w:sz w:val="17"/>
          <w:szCs w:val="17"/>
          <w:color w:val="auto"/>
        </w:rPr>
        <w:t>the team member experience, by investing in workforce management, training, developing the next generation of ABM leaders, and building on our inclusive culture; and</w:t>
      </w:r>
    </w:p>
    <w:p>
      <w:pPr>
        <w:spacing w:after="0" w:line="192" w:lineRule="exact"/>
        <w:rPr>
          <w:rFonts w:ascii="Arial" w:cs="Arial" w:eastAsia="Arial" w:hAnsi="Arial"/>
          <w:sz w:val="19"/>
          <w:szCs w:val="19"/>
          <w:color w:val="auto"/>
        </w:rPr>
      </w:pPr>
    </w:p>
    <w:p>
      <w:pPr>
        <w:ind w:left="700" w:hanging="310"/>
        <w:spacing w:after="0" w:line="261" w:lineRule="auto"/>
        <w:tabs>
          <w:tab w:leader="none" w:pos="689" w:val="left"/>
        </w:tabs>
        <w:numPr>
          <w:ilvl w:val="0"/>
          <w:numId w:val="7"/>
        </w:numPr>
        <w:rPr>
          <w:rFonts w:ascii="Arial" w:cs="Arial" w:eastAsia="Arial" w:hAnsi="Arial"/>
          <w:sz w:val="19"/>
          <w:szCs w:val="19"/>
          <w:color w:val="auto"/>
        </w:rPr>
      </w:pPr>
      <w:r>
        <w:rPr>
          <w:rFonts w:ascii="Arial" w:cs="Arial" w:eastAsia="Arial" w:hAnsi="Arial"/>
          <w:sz w:val="17"/>
          <w:szCs w:val="17"/>
          <w:color w:val="auto"/>
        </w:rPr>
        <w:t>our use of technology and data to power client and employee experiences with cutting-edge data and analytics, processes, and tools that we expect to fundamentally change how we operate our business.</w:t>
      </w:r>
    </w:p>
    <w:p>
      <w:pPr>
        <w:spacing w:after="0" w:line="117"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7"/>
          <w:szCs w:val="17"/>
          <w:color w:val="auto"/>
        </w:rPr>
        <w:t>We believe that our technology and data investments will enable: the development and deployment of client-facing technology to improve service delivery to our clients; the use of advanced data analytics for sales targeting, employee retention, and recruiting; and the upgrade of our Enterprise Resource Planning and payroll systems.</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10" w:right="339" w:bottom="1440" w:gutter="0" w:footer="0" w:header="0"/>
        </w:sectPr>
      </w:pPr>
    </w:p>
    <w:bookmarkStart w:id="26" w:name="page27"/>
    <w:bookmarkEnd w:id="26"/>
    <w:p>
      <w:pPr>
        <w:spacing w:after="0"/>
        <w:rPr>
          <w:sz w:val="20"/>
          <w:szCs w:val="20"/>
          <w:color w:val="auto"/>
        </w:rPr>
      </w:pPr>
      <w:r>
        <w:rPr>
          <w:rFonts w:ascii="Arial" w:cs="Arial" w:eastAsia="Arial" w:hAnsi="Arial"/>
          <w:sz w:val="17"/>
          <w:szCs w:val="17"/>
          <w:b w:val="1"/>
          <w:bCs w:val="1"/>
          <w:color w:val="0046AD"/>
        </w:rPr>
        <w:t>Developments and Trends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67945</wp:posOffset>
            </wp:positionV>
            <wp:extent cx="713867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40"/>
          </w:cols>
          <w:pgMar w:left="320" w:top="907" w:right="339" w:bottom="1440" w:gutter="0" w:footer="0" w:header="0"/>
        </w:sectPr>
      </w:pPr>
    </w:p>
    <w:p>
      <w:pPr>
        <w:spacing w:after="0" w:line="282"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Restructuring Program</w:t>
      </w:r>
    </w:p>
    <w:p>
      <w:pPr>
        <w:spacing w:after="0" w:line="168"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In the fourth quarter of 2025, we launched a restructuring program to further streamline our operations and improve the efficiency of our support functions. This initiative is intended to enhance overall organizational effectiveness and ensure alignment between our cost structure and strategic growth objectives. Once fully implemented in 2026, this program is expected to deliver approximately $35.0 million of annualized cost savings. During the fourth quarter of 2025, we recorded $13.4 million in restructuring charges related to these actions and expect to record additional $2.0 - $3.0 million in 2026.</w:t>
      </w:r>
    </w:p>
    <w:p>
      <w:pPr>
        <w:spacing w:after="0" w:line="11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We will continue to review our overhead and cost structure for efficiency opportunities under this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07" w:right="339" w:bottom="1440" w:gutter="0" w:footer="0" w:header="0"/>
          <w:type w:val="continuous"/>
        </w:sectPr>
      </w:pPr>
    </w:p>
    <w:bookmarkStart w:id="27" w:name="page28"/>
    <w:bookmarkEnd w:id="27"/>
    <w:p>
      <w:pPr>
        <w:spacing w:after="0"/>
        <w:rPr>
          <w:sz w:val="20"/>
          <w:szCs w:val="20"/>
          <w:color w:val="auto"/>
        </w:rPr>
      </w:pPr>
      <w:r>
        <w:rPr>
          <w:rFonts w:ascii="Arial" w:cs="Arial" w:eastAsia="Arial" w:hAnsi="Arial"/>
          <w:sz w:val="17"/>
          <w:szCs w:val="17"/>
          <w:b w:val="1"/>
          <w:bCs w:val="1"/>
          <w:color w:val="0046AD"/>
        </w:rPr>
        <w:t>Key Financial Highlights</w:t>
      </w:r>
    </w:p>
    <w:p>
      <w:pPr>
        <w:spacing w:after="0" w:line="180" w:lineRule="exact"/>
        <w:rPr>
          <w:sz w:val="20"/>
          <w:szCs w:val="20"/>
          <w:color w:val="auto"/>
        </w:rPr>
      </w:pPr>
    </w:p>
    <w:p>
      <w:pPr>
        <w:jc w:val="both"/>
        <w:ind w:left="620" w:hanging="307"/>
        <w:spacing w:after="0" w:line="258" w:lineRule="auto"/>
        <w:tabs>
          <w:tab w:leader="none" w:pos="609" w:val="left"/>
        </w:tabs>
        <w:numPr>
          <w:ilvl w:val="0"/>
          <w:numId w:val="8"/>
        </w:numPr>
        <w:rPr>
          <w:rFonts w:ascii="Arial" w:cs="Arial" w:eastAsia="Arial" w:hAnsi="Arial"/>
          <w:sz w:val="19"/>
          <w:szCs w:val="19"/>
          <w:color w:val="auto"/>
        </w:rPr>
      </w:pPr>
      <w:r>
        <w:rPr>
          <w:rFonts w:ascii="Arial" w:cs="Arial" w:eastAsia="Arial" w:hAnsi="Arial"/>
          <w:sz w:val="17"/>
          <w:szCs w:val="17"/>
          <w:color w:val="auto"/>
        </w:rPr>
        <w:t>Revenues increased by $386.5 million, or 4.6%, to $8,745.9 million during 2025, as compared to 2024. Revenue growth was comprised of organic growth of 3.8% and acquisition growth of 0.8%. The organic revenue growth was due to the net new business and expansion of business with existing customers within Aviation, B&amp;I, M&amp;D, and Education and higher microgrid projects within Technical Solutions. The increase in revenues was partially offset by strategic pricing decisions, including for contract rebids within B&amp;I. Acquisition growth of $68.4 million was driven by revenue from the Quality Uptime and LMC acquisitions.</w:t>
      </w:r>
    </w:p>
    <w:p>
      <w:pPr>
        <w:spacing w:after="0" w:line="136" w:lineRule="exact"/>
        <w:rPr>
          <w:rFonts w:ascii="Arial" w:cs="Arial" w:eastAsia="Arial" w:hAnsi="Arial"/>
          <w:sz w:val="19"/>
          <w:szCs w:val="19"/>
          <w:color w:val="auto"/>
        </w:rPr>
      </w:pPr>
    </w:p>
    <w:p>
      <w:pPr>
        <w:ind w:left="620" w:hanging="307"/>
        <w:spacing w:after="0" w:line="261" w:lineRule="auto"/>
        <w:tabs>
          <w:tab w:leader="none" w:pos="609" w:val="left"/>
        </w:tabs>
        <w:numPr>
          <w:ilvl w:val="0"/>
          <w:numId w:val="8"/>
        </w:numPr>
        <w:rPr>
          <w:rFonts w:ascii="Arial" w:cs="Arial" w:eastAsia="Arial" w:hAnsi="Arial"/>
          <w:sz w:val="19"/>
          <w:szCs w:val="19"/>
          <w:color w:val="auto"/>
        </w:rPr>
      </w:pPr>
      <w:r>
        <w:rPr>
          <w:rFonts w:ascii="Arial" w:cs="Arial" w:eastAsia="Arial" w:hAnsi="Arial"/>
          <w:sz w:val="17"/>
          <w:szCs w:val="17"/>
          <w:color w:val="auto"/>
        </w:rPr>
        <w:t>Operating profit increased by $99.7 million to $311.7 million during 2025, as compared to 2024. The increase in operating profit was attributable to:</w:t>
      </w:r>
    </w:p>
    <w:p>
      <w:pPr>
        <w:spacing w:after="0" w:line="117" w:lineRule="exact"/>
        <w:rPr>
          <w:rFonts w:ascii="Arial" w:cs="Arial" w:eastAsia="Arial" w:hAnsi="Arial"/>
          <w:sz w:val="19"/>
          <w:szCs w:val="19"/>
          <w:color w:val="auto"/>
        </w:rPr>
      </w:pPr>
    </w:p>
    <w:p>
      <w:pPr>
        <w:ind w:left="1240" w:hanging="309"/>
        <w:spacing w:after="0"/>
        <w:tabs>
          <w:tab w:leader="none" w:pos="1240" w:val="left"/>
        </w:tabs>
        <w:numPr>
          <w:ilvl w:val="1"/>
          <w:numId w:val="8"/>
        </w:numPr>
        <w:rPr>
          <w:rFonts w:ascii="Arial" w:cs="Arial" w:eastAsia="Arial" w:hAnsi="Arial"/>
          <w:sz w:val="17"/>
          <w:szCs w:val="17"/>
          <w:color w:val="auto"/>
        </w:rPr>
      </w:pPr>
      <w:r>
        <w:rPr>
          <w:rFonts w:ascii="Arial" w:cs="Arial" w:eastAsia="Arial" w:hAnsi="Arial"/>
          <w:sz w:val="17"/>
          <w:szCs w:val="17"/>
          <w:color w:val="auto"/>
        </w:rPr>
        <w:t>respective revenue increases for all industry groups,</w:t>
      </w:r>
    </w:p>
    <w:p>
      <w:pPr>
        <w:spacing w:after="0" w:line="165" w:lineRule="exact"/>
        <w:rPr>
          <w:rFonts w:ascii="Arial" w:cs="Arial" w:eastAsia="Arial" w:hAnsi="Arial"/>
          <w:sz w:val="17"/>
          <w:szCs w:val="17"/>
          <w:color w:val="auto"/>
        </w:rPr>
      </w:pPr>
    </w:p>
    <w:p>
      <w:pPr>
        <w:ind w:left="1240" w:hanging="309"/>
        <w:spacing w:after="0"/>
        <w:tabs>
          <w:tab w:leader="none" w:pos="1240" w:val="left"/>
        </w:tabs>
        <w:numPr>
          <w:ilvl w:val="1"/>
          <w:numId w:val="8"/>
        </w:numPr>
        <w:rPr>
          <w:rFonts w:ascii="Arial" w:cs="Arial" w:eastAsia="Arial" w:hAnsi="Arial"/>
          <w:sz w:val="17"/>
          <w:szCs w:val="17"/>
          <w:color w:val="auto"/>
        </w:rPr>
      </w:pPr>
      <w:r>
        <w:rPr>
          <w:rFonts w:ascii="Arial" w:cs="Arial" w:eastAsia="Arial" w:hAnsi="Arial"/>
          <w:sz w:val="17"/>
          <w:szCs w:val="17"/>
          <w:color w:val="auto"/>
        </w:rPr>
        <w:t>operational efficiencies within Aviation and Education, and</w:t>
      </w:r>
    </w:p>
    <w:p>
      <w:pPr>
        <w:spacing w:after="0" w:line="165" w:lineRule="exact"/>
        <w:rPr>
          <w:rFonts w:ascii="Arial" w:cs="Arial" w:eastAsia="Arial" w:hAnsi="Arial"/>
          <w:sz w:val="17"/>
          <w:szCs w:val="17"/>
          <w:color w:val="auto"/>
        </w:rPr>
      </w:pPr>
    </w:p>
    <w:p>
      <w:pPr>
        <w:ind w:left="1240" w:hanging="309"/>
        <w:spacing w:after="0"/>
        <w:tabs>
          <w:tab w:leader="none" w:pos="1240" w:val="left"/>
        </w:tabs>
        <w:numPr>
          <w:ilvl w:val="1"/>
          <w:numId w:val="8"/>
        </w:numPr>
        <w:rPr>
          <w:rFonts w:ascii="Arial" w:cs="Arial" w:eastAsia="Arial" w:hAnsi="Arial"/>
          <w:sz w:val="17"/>
          <w:szCs w:val="17"/>
          <w:color w:val="auto"/>
        </w:rPr>
      </w:pPr>
      <w:r>
        <w:rPr>
          <w:rFonts w:ascii="Arial" w:cs="Arial" w:eastAsia="Arial" w:hAnsi="Arial"/>
          <w:sz w:val="17"/>
          <w:szCs w:val="17"/>
          <w:color w:val="auto"/>
        </w:rPr>
        <w:t>service mix within Technical Solutions.</w:t>
      </w:r>
    </w:p>
    <w:p>
      <w:pPr>
        <w:spacing w:after="0" w:line="16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increase was partially offset by:</w:t>
      </w:r>
    </w:p>
    <w:p>
      <w:pPr>
        <w:spacing w:after="0" w:line="165" w:lineRule="exact"/>
        <w:rPr>
          <w:sz w:val="20"/>
          <w:szCs w:val="20"/>
          <w:color w:val="auto"/>
        </w:rPr>
      </w:pPr>
    </w:p>
    <w:p>
      <w:pPr>
        <w:ind w:left="1240" w:right="120" w:hanging="309"/>
        <w:spacing w:after="0" w:line="290" w:lineRule="auto"/>
        <w:tabs>
          <w:tab w:leader="none" w:pos="1236" w:val="left"/>
        </w:tabs>
        <w:numPr>
          <w:ilvl w:val="1"/>
          <w:numId w:val="9"/>
        </w:numPr>
        <w:rPr>
          <w:rFonts w:ascii="Arial" w:cs="Arial" w:eastAsia="Arial" w:hAnsi="Arial"/>
          <w:sz w:val="17"/>
          <w:szCs w:val="17"/>
          <w:color w:val="auto"/>
        </w:rPr>
      </w:pPr>
      <w:r>
        <w:rPr>
          <w:rFonts w:ascii="Arial" w:cs="Arial" w:eastAsia="Arial" w:hAnsi="Arial"/>
          <w:sz w:val="17"/>
          <w:szCs w:val="17"/>
          <w:color w:val="auto"/>
        </w:rPr>
        <w:t>strategic pricing decisions for contract rebids and proactive extensions, combined with managing the timing of contract escalations to maintain and expand certain customer accounts within B&amp;I, and</w:t>
      </w:r>
    </w:p>
    <w:p>
      <w:pPr>
        <w:spacing w:after="0" w:line="94" w:lineRule="exact"/>
        <w:rPr>
          <w:rFonts w:ascii="Arial" w:cs="Arial" w:eastAsia="Arial" w:hAnsi="Arial"/>
          <w:sz w:val="17"/>
          <w:szCs w:val="17"/>
          <w:color w:val="auto"/>
        </w:rPr>
      </w:pPr>
    </w:p>
    <w:p>
      <w:pPr>
        <w:ind w:left="1240" w:hanging="309"/>
        <w:spacing w:after="0"/>
        <w:tabs>
          <w:tab w:leader="none" w:pos="1240" w:val="left"/>
        </w:tabs>
        <w:numPr>
          <w:ilvl w:val="1"/>
          <w:numId w:val="9"/>
        </w:numPr>
        <w:rPr>
          <w:rFonts w:ascii="Arial" w:cs="Arial" w:eastAsia="Arial" w:hAnsi="Arial"/>
          <w:sz w:val="17"/>
          <w:szCs w:val="17"/>
          <w:color w:val="auto"/>
        </w:rPr>
      </w:pPr>
      <w:r>
        <w:rPr>
          <w:rFonts w:ascii="Arial" w:cs="Arial" w:eastAsia="Arial" w:hAnsi="Arial"/>
          <w:sz w:val="17"/>
          <w:szCs w:val="17"/>
          <w:color w:val="auto"/>
        </w:rPr>
        <w:t>strategic pricing on select new wins within M&amp;D.</w:t>
      </w:r>
    </w:p>
    <w:p>
      <w:pPr>
        <w:spacing w:after="0" w:line="204" w:lineRule="exact"/>
        <w:rPr>
          <w:rFonts w:ascii="Arial" w:cs="Arial" w:eastAsia="Arial" w:hAnsi="Arial"/>
          <w:sz w:val="17"/>
          <w:szCs w:val="17"/>
          <w:color w:val="auto"/>
        </w:rPr>
      </w:pPr>
    </w:p>
    <w:p>
      <w:pPr>
        <w:jc w:val="both"/>
        <w:ind w:left="620" w:hanging="307"/>
        <w:spacing w:after="0" w:line="243" w:lineRule="auto"/>
        <w:tabs>
          <w:tab w:leader="none" w:pos="615" w:val="left"/>
        </w:tabs>
        <w:numPr>
          <w:ilvl w:val="0"/>
          <w:numId w:val="9"/>
        </w:numPr>
        <w:rPr>
          <w:rFonts w:ascii="Arial" w:cs="Arial" w:eastAsia="Arial" w:hAnsi="Arial"/>
          <w:sz w:val="21"/>
          <w:szCs w:val="21"/>
          <w:color w:val="auto"/>
        </w:rPr>
      </w:pPr>
      <w:r>
        <w:rPr>
          <w:rFonts w:ascii="Arial" w:cs="Arial" w:eastAsia="Arial" w:hAnsi="Arial"/>
          <w:sz w:val="17"/>
          <w:szCs w:val="17"/>
          <w:color w:val="auto"/>
        </w:rPr>
        <w:t>Our effective tax rate on income was 26.2% for 2025, as compared to 39.1% during 2024. Our effective tax rate for 2024 was negatively impacted by a $95.7 million non-taxable change to increase the fair value of the contingent consideration related to the RavenVolt Acquisition.</w:t>
      </w:r>
    </w:p>
    <w:p>
      <w:pPr>
        <w:spacing w:after="0" w:line="146" w:lineRule="exact"/>
        <w:rPr>
          <w:rFonts w:ascii="Arial" w:cs="Arial" w:eastAsia="Arial" w:hAnsi="Arial"/>
          <w:sz w:val="21"/>
          <w:szCs w:val="21"/>
          <w:color w:val="auto"/>
        </w:rPr>
      </w:pPr>
    </w:p>
    <w:p>
      <w:pPr>
        <w:ind w:left="620" w:hanging="307"/>
        <w:spacing w:after="0" w:line="277" w:lineRule="auto"/>
        <w:tabs>
          <w:tab w:leader="none" w:pos="609" w:val="left"/>
        </w:tabs>
        <w:numPr>
          <w:ilvl w:val="0"/>
          <w:numId w:val="9"/>
        </w:numPr>
        <w:rPr>
          <w:rFonts w:ascii="Arial" w:cs="Arial" w:eastAsia="Arial" w:hAnsi="Arial"/>
          <w:sz w:val="19"/>
          <w:szCs w:val="19"/>
          <w:color w:val="auto"/>
        </w:rPr>
      </w:pPr>
      <w:r>
        <w:rPr>
          <w:rFonts w:ascii="Arial" w:cs="Arial" w:eastAsia="Arial" w:hAnsi="Arial"/>
          <w:sz w:val="17"/>
          <w:szCs w:val="17"/>
          <w:color w:val="auto"/>
        </w:rPr>
        <w:t>Net cash provided by operating activities was $234.4 million during 2025. Our net cash provided by operating cash activities was higher than prior year, primarily due to the timing of certain working capital requirements.</w:t>
      </w:r>
    </w:p>
    <w:p>
      <w:pPr>
        <w:spacing w:after="0" w:line="115" w:lineRule="exact"/>
        <w:rPr>
          <w:rFonts w:ascii="Arial" w:cs="Arial" w:eastAsia="Arial" w:hAnsi="Arial"/>
          <w:sz w:val="19"/>
          <w:szCs w:val="19"/>
          <w:color w:val="auto"/>
        </w:rPr>
      </w:pPr>
    </w:p>
    <w:p>
      <w:pPr>
        <w:ind w:left="620" w:hanging="307"/>
        <w:spacing w:after="0" w:line="277" w:lineRule="auto"/>
        <w:tabs>
          <w:tab w:leader="none" w:pos="609" w:val="left"/>
        </w:tabs>
        <w:numPr>
          <w:ilvl w:val="0"/>
          <w:numId w:val="9"/>
        </w:numPr>
        <w:rPr>
          <w:rFonts w:ascii="Arial" w:cs="Arial" w:eastAsia="Arial" w:hAnsi="Arial"/>
          <w:sz w:val="19"/>
          <w:szCs w:val="19"/>
          <w:color w:val="auto"/>
        </w:rPr>
      </w:pPr>
      <w:r>
        <w:rPr>
          <w:rFonts w:ascii="Arial" w:cs="Arial" w:eastAsia="Arial" w:hAnsi="Arial"/>
          <w:sz w:val="17"/>
          <w:szCs w:val="17"/>
          <w:color w:val="auto"/>
        </w:rPr>
        <w:t>Dividends of $65.6 million were paid to shareholders, and dividends totaling $1.06 per common share were declared during 2025. Additionally, we repurchased 2.6 million shares for $121.3 million, excluding excise taxes, during 2025.</w:t>
      </w:r>
    </w:p>
    <w:p>
      <w:pPr>
        <w:spacing w:after="0" w:line="115" w:lineRule="exact"/>
        <w:rPr>
          <w:rFonts w:ascii="Arial" w:cs="Arial" w:eastAsia="Arial" w:hAnsi="Arial"/>
          <w:sz w:val="19"/>
          <w:szCs w:val="19"/>
          <w:color w:val="auto"/>
        </w:rPr>
      </w:pPr>
    </w:p>
    <w:p>
      <w:pPr>
        <w:ind w:left="620" w:hanging="307"/>
        <w:spacing w:after="0" w:line="261" w:lineRule="auto"/>
        <w:tabs>
          <w:tab w:leader="none" w:pos="609" w:val="left"/>
        </w:tabs>
        <w:numPr>
          <w:ilvl w:val="0"/>
          <w:numId w:val="9"/>
        </w:numPr>
        <w:rPr>
          <w:rFonts w:ascii="Arial" w:cs="Arial" w:eastAsia="Arial" w:hAnsi="Arial"/>
          <w:sz w:val="19"/>
          <w:szCs w:val="19"/>
          <w:color w:val="auto"/>
        </w:rPr>
      </w:pPr>
      <w:r>
        <w:rPr>
          <w:rFonts w:ascii="Arial" w:cs="Arial" w:eastAsia="Arial" w:hAnsi="Arial"/>
          <w:sz w:val="17"/>
          <w:szCs w:val="17"/>
          <w:color w:val="auto"/>
        </w:rPr>
        <w:t>At October 31, 2025, total outstanding borrowings under our Amended Credit Facility were $1,569.0 million, and we had up to $577.5 million of borrowing capacity.</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10" w:right="339" w:bottom="1440" w:gutter="0" w:footer="0" w:header="0"/>
        </w:sectPr>
      </w:pPr>
    </w:p>
    <w:bookmarkStart w:id="28" w:name="page29"/>
    <w:bookmarkEnd w:id="28"/>
    <w:p>
      <w:pPr>
        <w:spacing w:after="0"/>
        <w:rPr>
          <w:sz w:val="20"/>
          <w:szCs w:val="20"/>
          <w:color w:val="auto"/>
        </w:rPr>
      </w:pPr>
      <w:r>
        <w:rPr>
          <w:rFonts w:ascii="Arial" w:cs="Arial" w:eastAsia="Arial" w:hAnsi="Arial"/>
          <w:sz w:val="17"/>
          <w:szCs w:val="17"/>
          <w:b w:val="1"/>
          <w:bCs w:val="1"/>
          <w:color w:val="0046AD"/>
        </w:rPr>
        <w:t>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67945</wp:posOffset>
            </wp:positionV>
            <wp:extent cx="713867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46AD"/>
        </w:rPr>
        <w:t>Consolidated</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gridSpan w:val="6"/>
          </w:tcPr>
          <w:p>
            <w:pPr>
              <w:jc w:val="right"/>
              <w:ind w:right="163"/>
              <w:spacing w:after="0"/>
              <w:rPr>
                <w:sz w:val="20"/>
                <w:szCs w:val="20"/>
                <w:color w:val="auto"/>
              </w:rPr>
            </w:pPr>
            <w:r>
              <w:rPr>
                <w:rFonts w:ascii="Arial" w:cs="Arial" w:eastAsia="Arial" w:hAnsi="Arial"/>
                <w:sz w:val="15"/>
                <w:szCs w:val="15"/>
                <w:b w:val="1"/>
                <w:bCs w:val="1"/>
                <w:color w:val="auto"/>
              </w:rPr>
              <w:t>Years Ended October 31,</w:t>
            </w:r>
          </w:p>
        </w:tc>
        <w:tc>
          <w:tcPr>
            <w:tcW w:w="11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gridSpan w:val="2"/>
          </w:tcPr>
          <w:p>
            <w:pPr>
              <w:ind w:left="400"/>
              <w:spacing w:after="0"/>
              <w:rPr>
                <w:sz w:val="20"/>
                <w:szCs w:val="20"/>
                <w:color w:val="auto"/>
              </w:rPr>
            </w:pPr>
            <w:r>
              <w:rPr>
                <w:rFonts w:ascii="Arial" w:cs="Arial" w:eastAsia="Arial" w:hAnsi="Arial"/>
                <w:sz w:val="15"/>
                <w:szCs w:val="15"/>
                <w:b w:val="1"/>
                <w:bCs w:val="1"/>
                <w:color w:val="auto"/>
              </w:rPr>
              <w:t>2025 vs. 2024</w:t>
            </w:r>
          </w:p>
        </w:tc>
      </w:tr>
      <w:tr>
        <w:trPr>
          <w:trHeight w:val="148"/>
        </w:trPr>
        <w:tc>
          <w:tcPr>
            <w:tcW w:w="434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4"/>
                <w:szCs w:val="14"/>
                <w:i w:val="1"/>
                <w:iCs w:val="1"/>
                <w:u w:val="single" w:color="auto"/>
                <w:color w:val="auto"/>
              </w:rPr>
              <w:t>(</w:t>
            </w:r>
            <w:r>
              <w:rPr>
                <w:rFonts w:ascii="Times New Roman" w:cs="Times New Roman" w:eastAsia="Times New Roman" w:hAnsi="Times New Roman"/>
                <w:sz w:val="14"/>
                <w:szCs w:val="14"/>
                <w:i w:val="1"/>
                <w:iCs w:val="1"/>
                <w:color w:val="auto"/>
              </w:rPr>
              <w:t>$ in millions)</w:t>
            </w:r>
          </w:p>
        </w:tc>
        <w:tc>
          <w:tcPr>
            <w:tcW w:w="320" w:type="dxa"/>
            <w:vAlign w:val="bottom"/>
          </w:tcPr>
          <w:p>
            <w:pPr>
              <w:spacing w:after="0"/>
              <w:rPr>
                <w:sz w:val="12"/>
                <w:szCs w:val="12"/>
                <w:color w:val="auto"/>
              </w:rPr>
            </w:pPr>
          </w:p>
        </w:tc>
        <w:tc>
          <w:tcPr>
            <w:tcW w:w="1000" w:type="dxa"/>
            <w:vAlign w:val="bottom"/>
          </w:tcPr>
          <w:p>
            <w:pPr>
              <w:jc w:val="right"/>
              <w:ind w:right="363"/>
              <w:spacing w:after="0" w:line="135" w:lineRule="exact"/>
              <w:rPr>
                <w:sz w:val="20"/>
                <w:szCs w:val="20"/>
                <w:color w:val="auto"/>
              </w:rPr>
            </w:pPr>
            <w:r>
              <w:rPr>
                <w:rFonts w:ascii="Arial" w:cs="Arial" w:eastAsia="Arial" w:hAnsi="Arial"/>
                <w:sz w:val="15"/>
                <w:szCs w:val="15"/>
                <w:b w:val="1"/>
                <w:bCs w:val="1"/>
                <w:color w:val="auto"/>
              </w:rPr>
              <w:t>2025</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tcPr>
          <w:p>
            <w:pPr>
              <w:jc w:val="right"/>
              <w:ind w:right="463"/>
              <w:spacing w:after="0" w:line="135" w:lineRule="exact"/>
              <w:rPr>
                <w:sz w:val="20"/>
                <w:szCs w:val="20"/>
                <w:color w:val="auto"/>
              </w:rPr>
            </w:pPr>
            <w:r>
              <w:rPr>
                <w:rFonts w:ascii="Arial" w:cs="Arial" w:eastAsia="Arial" w:hAnsi="Arial"/>
                <w:sz w:val="15"/>
                <w:szCs w:val="15"/>
                <w:b w:val="1"/>
                <w:bCs w:val="1"/>
                <w:color w:val="auto"/>
              </w:rPr>
              <w:t>2024</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tcPr>
          <w:p>
            <w:pPr>
              <w:jc w:val="right"/>
              <w:ind w:right="483"/>
              <w:spacing w:after="0" w:line="135" w:lineRule="exact"/>
              <w:rPr>
                <w:sz w:val="20"/>
                <w:szCs w:val="20"/>
                <w:color w:val="auto"/>
              </w:rPr>
            </w:pPr>
            <w:r>
              <w:rPr>
                <w:rFonts w:ascii="Arial" w:cs="Arial" w:eastAsia="Arial" w:hAnsi="Arial"/>
                <w:sz w:val="15"/>
                <w:szCs w:val="15"/>
                <w:b w:val="1"/>
                <w:bCs w:val="1"/>
                <w:color w:val="auto"/>
              </w:rPr>
              <w:t>2023</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20" w:type="dxa"/>
            <w:vAlign w:val="bottom"/>
            <w:gridSpan w:val="2"/>
          </w:tcPr>
          <w:p>
            <w:pPr>
              <w:ind w:left="160"/>
              <w:spacing w:after="0" w:line="135" w:lineRule="exact"/>
              <w:rPr>
                <w:sz w:val="20"/>
                <w:szCs w:val="20"/>
                <w:color w:val="auto"/>
              </w:rPr>
            </w:pPr>
            <w:r>
              <w:rPr>
                <w:rFonts w:ascii="Arial" w:cs="Arial" w:eastAsia="Arial" w:hAnsi="Arial"/>
                <w:sz w:val="15"/>
                <w:szCs w:val="15"/>
                <w:b w:val="1"/>
                <w:bCs w:val="1"/>
                <w:color w:val="auto"/>
              </w:rPr>
              <w:t>Increase/(Decrease)</w:t>
            </w:r>
          </w:p>
        </w:tc>
      </w:tr>
      <w:tr>
        <w:trPr>
          <w:trHeight w:val="32"/>
        </w:trPr>
        <w:tc>
          <w:tcPr>
            <w:tcW w:w="20" w:type="dxa"/>
            <w:vAlign w:val="bottom"/>
            <w:tcBorders>
              <w:bottom w:val="single" w:sz="8" w:color="DCE2EF"/>
            </w:tcBorders>
          </w:tcPr>
          <w:p>
            <w:pPr>
              <w:spacing w:after="0"/>
              <w:rPr>
                <w:sz w:val="2"/>
                <w:szCs w:val="2"/>
                <w:color w:val="auto"/>
              </w:rPr>
            </w:pPr>
          </w:p>
        </w:tc>
        <w:tc>
          <w:tcPr>
            <w:tcW w:w="780" w:type="dxa"/>
            <w:vAlign w:val="bottom"/>
            <w:tcBorders>
              <w:top w:val="single" w:sz="8" w:color="auto"/>
              <w:bottom w:val="single" w:sz="8" w:color="DCE2EF"/>
            </w:tcBorders>
          </w:tcPr>
          <w:p>
            <w:pPr>
              <w:spacing w:after="0"/>
              <w:rPr>
                <w:sz w:val="2"/>
                <w:szCs w:val="2"/>
                <w:color w:val="auto"/>
              </w:rPr>
            </w:pPr>
          </w:p>
        </w:tc>
        <w:tc>
          <w:tcPr>
            <w:tcW w:w="3540" w:type="dxa"/>
            <w:vAlign w:val="bottom"/>
            <w:tcBorders>
              <w:bottom w:val="single" w:sz="8" w:color="DCE2E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99"/>
        </w:trPr>
        <w:tc>
          <w:tcPr>
            <w:tcW w:w="4340" w:type="dxa"/>
            <w:vAlign w:val="bottom"/>
            <w:gridSpan w:val="3"/>
            <w:shd w:val="clear" w:color="auto" w:fill="DCE2EF"/>
          </w:tcPr>
          <w:p>
            <w:pPr>
              <w:ind w:left="20"/>
              <w:spacing w:after="0"/>
              <w:rPr>
                <w:sz w:val="20"/>
                <w:szCs w:val="20"/>
                <w:color w:val="auto"/>
              </w:rPr>
            </w:pPr>
            <w:r>
              <w:rPr>
                <w:rFonts w:ascii="Arial" w:cs="Arial" w:eastAsia="Arial" w:hAnsi="Arial"/>
                <w:sz w:val="15"/>
                <w:szCs w:val="15"/>
                <w:b w:val="1"/>
                <w:bCs w:val="1"/>
                <w:color w:val="auto"/>
              </w:rPr>
              <w:t>Revenues</w:t>
            </w:r>
          </w:p>
        </w:tc>
        <w:tc>
          <w:tcPr>
            <w:tcW w:w="320" w:type="dxa"/>
            <w:vAlign w:val="bottom"/>
            <w:shd w:val="clear" w:color="auto" w:fill="DCE2EF"/>
          </w:tcPr>
          <w:p>
            <w:pPr>
              <w:jc w:val="right"/>
              <w:ind w:right="143"/>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DCE2EF"/>
          </w:tcPr>
          <w:p>
            <w:pPr>
              <w:jc w:val="right"/>
              <w:spacing w:after="0"/>
              <w:rPr>
                <w:sz w:val="20"/>
                <w:szCs w:val="20"/>
                <w:color w:val="auto"/>
              </w:rPr>
            </w:pPr>
            <w:r>
              <w:rPr>
                <w:rFonts w:ascii="Arial" w:cs="Arial" w:eastAsia="Arial" w:hAnsi="Arial"/>
                <w:sz w:val="15"/>
                <w:szCs w:val="15"/>
                <w:color w:val="auto"/>
              </w:rPr>
              <w:t>8,745.9</w:t>
            </w:r>
          </w:p>
        </w:tc>
        <w:tc>
          <w:tcPr>
            <w:tcW w:w="540" w:type="dxa"/>
            <w:vAlign w:val="bottom"/>
            <w:gridSpan w:val="3"/>
            <w:shd w:val="clear" w:color="auto" w:fill="DCE2EF"/>
          </w:tcPr>
          <w:p>
            <w:pPr>
              <w:jc w:val="right"/>
              <w:ind w:right="220"/>
              <w:spacing w:after="0"/>
              <w:rPr>
                <w:sz w:val="20"/>
                <w:szCs w:val="20"/>
                <w:color w:val="auto"/>
              </w:rPr>
            </w:pPr>
            <w:r>
              <w:rPr>
                <w:rFonts w:ascii="Arial" w:cs="Arial" w:eastAsia="Arial" w:hAnsi="Arial"/>
                <w:sz w:val="15"/>
                <w:szCs w:val="15"/>
                <w:color w:val="auto"/>
              </w:rPr>
              <w:t>$</w:t>
            </w:r>
          </w:p>
        </w:tc>
        <w:tc>
          <w:tcPr>
            <w:tcW w:w="1120" w:type="dxa"/>
            <w:vAlign w:val="bottom"/>
            <w:shd w:val="clear" w:color="auto" w:fill="DCE2EF"/>
          </w:tcPr>
          <w:p>
            <w:pPr>
              <w:jc w:val="right"/>
              <w:ind w:right="103"/>
              <w:spacing w:after="0"/>
              <w:rPr>
                <w:sz w:val="20"/>
                <w:szCs w:val="20"/>
                <w:color w:val="auto"/>
              </w:rPr>
            </w:pPr>
            <w:r>
              <w:rPr>
                <w:rFonts w:ascii="Arial" w:cs="Arial" w:eastAsia="Arial" w:hAnsi="Arial"/>
                <w:sz w:val="15"/>
                <w:szCs w:val="15"/>
                <w:color w:val="auto"/>
              </w:rPr>
              <w:t>8,359.4</w:t>
            </w:r>
          </w:p>
        </w:tc>
        <w:tc>
          <w:tcPr>
            <w:tcW w:w="100" w:type="dxa"/>
            <w:vAlign w:val="bottom"/>
            <w:shd w:val="clear" w:color="auto" w:fill="DCE2EF"/>
          </w:tcPr>
          <w:p>
            <w:pPr>
              <w:spacing w:after="0"/>
              <w:rPr>
                <w:sz w:val="17"/>
                <w:szCs w:val="17"/>
                <w:color w:val="auto"/>
              </w:rPr>
            </w:pPr>
          </w:p>
        </w:tc>
        <w:tc>
          <w:tcPr>
            <w:tcW w:w="340" w:type="dxa"/>
            <w:vAlign w:val="bottom"/>
            <w:shd w:val="clear" w:color="auto" w:fill="DCE2EF"/>
          </w:tcPr>
          <w:p>
            <w:pPr>
              <w:jc w:val="right"/>
              <w:ind w:right="143"/>
              <w:spacing w:after="0"/>
              <w:rPr>
                <w:sz w:val="20"/>
                <w:szCs w:val="20"/>
                <w:color w:val="auto"/>
              </w:rPr>
            </w:pPr>
            <w:r>
              <w:rPr>
                <w:rFonts w:ascii="Arial" w:cs="Arial" w:eastAsia="Arial" w:hAnsi="Arial"/>
                <w:sz w:val="15"/>
                <w:szCs w:val="15"/>
                <w:color w:val="auto"/>
              </w:rPr>
              <w:t>$</w:t>
            </w:r>
          </w:p>
        </w:tc>
        <w:tc>
          <w:tcPr>
            <w:tcW w:w="1120" w:type="dxa"/>
            <w:vAlign w:val="bottom"/>
            <w:shd w:val="clear" w:color="auto" w:fill="DCE2EF"/>
          </w:tcPr>
          <w:p>
            <w:pPr>
              <w:jc w:val="right"/>
              <w:ind w:right="123"/>
              <w:spacing w:after="0"/>
              <w:rPr>
                <w:sz w:val="20"/>
                <w:szCs w:val="20"/>
                <w:color w:val="auto"/>
              </w:rPr>
            </w:pPr>
            <w:r>
              <w:rPr>
                <w:rFonts w:ascii="Arial" w:cs="Arial" w:eastAsia="Arial" w:hAnsi="Arial"/>
                <w:sz w:val="15"/>
                <w:szCs w:val="15"/>
                <w:color w:val="auto"/>
              </w:rPr>
              <w:t>8,096.4</w:t>
            </w:r>
          </w:p>
        </w:tc>
        <w:tc>
          <w:tcPr>
            <w:tcW w:w="100" w:type="dxa"/>
            <w:vAlign w:val="bottom"/>
            <w:shd w:val="clear" w:color="auto" w:fill="DCE2EF"/>
          </w:tcPr>
          <w:p>
            <w:pPr>
              <w:spacing w:after="0"/>
              <w:rPr>
                <w:sz w:val="17"/>
                <w:szCs w:val="17"/>
                <w:color w:val="auto"/>
              </w:rPr>
            </w:pPr>
          </w:p>
        </w:tc>
        <w:tc>
          <w:tcPr>
            <w:tcW w:w="240" w:type="dxa"/>
            <w:vAlign w:val="bottom"/>
            <w:shd w:val="clear" w:color="auto" w:fill="DCE2EF"/>
          </w:tcPr>
          <w:p>
            <w:pPr>
              <w:jc w:val="right"/>
              <w:ind w:right="63"/>
              <w:spacing w:after="0"/>
              <w:rPr>
                <w:sz w:val="20"/>
                <w:szCs w:val="20"/>
                <w:color w:val="auto"/>
              </w:rPr>
            </w:pPr>
            <w:r>
              <w:rPr>
                <w:rFonts w:ascii="Arial" w:cs="Arial" w:eastAsia="Arial" w:hAnsi="Arial"/>
                <w:sz w:val="15"/>
                <w:szCs w:val="15"/>
                <w:color w:val="auto"/>
                <w:w w:val="95"/>
              </w:rPr>
              <w:t>$</w:t>
            </w:r>
          </w:p>
        </w:tc>
        <w:tc>
          <w:tcPr>
            <w:tcW w:w="840" w:type="dxa"/>
            <w:vAlign w:val="bottom"/>
            <w:shd w:val="clear" w:color="auto" w:fill="DCE2EF"/>
          </w:tcPr>
          <w:p>
            <w:pPr>
              <w:jc w:val="right"/>
              <w:spacing w:after="0"/>
              <w:rPr>
                <w:sz w:val="20"/>
                <w:szCs w:val="20"/>
                <w:color w:val="auto"/>
              </w:rPr>
            </w:pPr>
            <w:r>
              <w:rPr>
                <w:rFonts w:ascii="Arial" w:cs="Arial" w:eastAsia="Arial" w:hAnsi="Arial"/>
                <w:sz w:val="15"/>
                <w:szCs w:val="15"/>
                <w:color w:val="auto"/>
              </w:rPr>
              <w:t>386.5</w:t>
            </w:r>
          </w:p>
        </w:tc>
        <w:tc>
          <w:tcPr>
            <w:tcW w:w="1180" w:type="dxa"/>
            <w:vAlign w:val="bottom"/>
            <w:shd w:val="clear" w:color="auto" w:fill="DCE2EF"/>
          </w:tcPr>
          <w:p>
            <w:pPr>
              <w:jc w:val="center"/>
              <w:ind w:left="23"/>
              <w:spacing w:after="0"/>
              <w:rPr>
                <w:sz w:val="20"/>
                <w:szCs w:val="20"/>
                <w:color w:val="auto"/>
              </w:rPr>
            </w:pPr>
            <w:r>
              <w:rPr>
                <w:rFonts w:ascii="Arial" w:cs="Arial" w:eastAsia="Arial" w:hAnsi="Arial"/>
                <w:sz w:val="15"/>
                <w:szCs w:val="15"/>
                <w:color w:val="auto"/>
              </w:rPr>
              <w:t>4.6%</w:t>
            </w:r>
          </w:p>
        </w:tc>
      </w:tr>
      <w:tr>
        <w:trPr>
          <w:trHeight w:val="205"/>
        </w:trPr>
        <w:tc>
          <w:tcPr>
            <w:tcW w:w="4340" w:type="dxa"/>
            <w:vAlign w:val="bottom"/>
            <w:gridSpan w:val="3"/>
          </w:tcPr>
          <w:p>
            <w:pPr>
              <w:ind w:left="20"/>
              <w:spacing w:after="0"/>
              <w:rPr>
                <w:sz w:val="20"/>
                <w:szCs w:val="20"/>
                <w:color w:val="auto"/>
              </w:rPr>
            </w:pPr>
            <w:r>
              <w:rPr>
                <w:rFonts w:ascii="Arial" w:cs="Arial" w:eastAsia="Arial" w:hAnsi="Arial"/>
                <w:sz w:val="15"/>
                <w:szCs w:val="15"/>
                <w:color w:val="auto"/>
              </w:rPr>
              <w:t>Operating expenses</w:t>
            </w: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7,670.8</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ind w:right="103"/>
              <w:spacing w:after="0"/>
              <w:rPr>
                <w:sz w:val="20"/>
                <w:szCs w:val="20"/>
                <w:color w:val="auto"/>
              </w:rPr>
            </w:pPr>
            <w:r>
              <w:rPr>
                <w:rFonts w:ascii="Arial" w:cs="Arial" w:eastAsia="Arial" w:hAnsi="Arial"/>
                <w:sz w:val="15"/>
                <w:szCs w:val="15"/>
                <w:color w:val="auto"/>
              </w:rPr>
              <w:t>7,325.9</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ind w:right="123"/>
              <w:spacing w:after="0"/>
              <w:rPr>
                <w:sz w:val="20"/>
                <w:szCs w:val="20"/>
                <w:color w:val="auto"/>
              </w:rPr>
            </w:pPr>
            <w:r>
              <w:rPr>
                <w:rFonts w:ascii="Arial" w:cs="Arial" w:eastAsia="Arial" w:hAnsi="Arial"/>
                <w:sz w:val="15"/>
                <w:szCs w:val="15"/>
                <w:color w:val="auto"/>
              </w:rPr>
              <w:t>7,037.6</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344.9</w:t>
            </w:r>
          </w:p>
        </w:tc>
        <w:tc>
          <w:tcPr>
            <w:tcW w:w="1180" w:type="dxa"/>
            <w:vAlign w:val="bottom"/>
          </w:tcPr>
          <w:p>
            <w:pPr>
              <w:jc w:val="center"/>
              <w:ind w:left="23"/>
              <w:spacing w:after="0"/>
              <w:rPr>
                <w:sz w:val="20"/>
                <w:szCs w:val="20"/>
                <w:color w:val="auto"/>
              </w:rPr>
            </w:pPr>
            <w:r>
              <w:rPr>
                <w:rFonts w:ascii="Arial" w:cs="Arial" w:eastAsia="Arial" w:hAnsi="Arial"/>
                <w:sz w:val="15"/>
                <w:szCs w:val="15"/>
                <w:color w:val="auto"/>
              </w:rPr>
              <w:t>4.7%</w:t>
            </w:r>
          </w:p>
        </w:tc>
      </w:tr>
      <w:tr>
        <w:trPr>
          <w:trHeight w:val="194"/>
        </w:trPr>
        <w:tc>
          <w:tcPr>
            <w:tcW w:w="20" w:type="dxa"/>
            <w:vAlign w:val="bottom"/>
            <w:shd w:val="clear" w:color="auto" w:fill="DCE2EF"/>
          </w:tcPr>
          <w:p>
            <w:pPr>
              <w:spacing w:after="0"/>
              <w:rPr>
                <w:sz w:val="16"/>
                <w:szCs w:val="16"/>
                <w:color w:val="auto"/>
              </w:rPr>
            </w:pPr>
          </w:p>
        </w:tc>
        <w:tc>
          <w:tcPr>
            <w:tcW w:w="4320" w:type="dxa"/>
            <w:vAlign w:val="bottom"/>
            <w:gridSpan w:val="2"/>
            <w:shd w:val="clear" w:color="auto" w:fill="DCE2EF"/>
          </w:tcPr>
          <w:p>
            <w:pPr>
              <w:ind w:left="120"/>
              <w:spacing w:after="0"/>
              <w:rPr>
                <w:sz w:val="20"/>
                <w:szCs w:val="20"/>
                <w:color w:val="auto"/>
              </w:rPr>
            </w:pPr>
            <w:r>
              <w:rPr>
                <w:rFonts w:ascii="Arial" w:cs="Arial" w:eastAsia="Arial" w:hAnsi="Arial"/>
                <w:sz w:val="14"/>
                <w:szCs w:val="14"/>
                <w:i w:val="1"/>
                <w:iCs w:val="1"/>
                <w:color w:val="auto"/>
              </w:rPr>
              <w:t>Gross margin</w:t>
            </w:r>
          </w:p>
        </w:tc>
        <w:tc>
          <w:tcPr>
            <w:tcW w:w="320" w:type="dxa"/>
            <w:vAlign w:val="bottom"/>
            <w:shd w:val="clear" w:color="auto" w:fill="DCE2EF"/>
          </w:tcPr>
          <w:p>
            <w:pPr>
              <w:spacing w:after="0"/>
              <w:rPr>
                <w:sz w:val="16"/>
                <w:szCs w:val="16"/>
                <w:color w:val="auto"/>
              </w:rPr>
            </w:pPr>
          </w:p>
        </w:tc>
        <w:tc>
          <w:tcPr>
            <w:tcW w:w="1120" w:type="dxa"/>
            <w:vAlign w:val="bottom"/>
            <w:gridSpan w:val="2"/>
            <w:shd w:val="clear" w:color="auto" w:fill="DCE2EF"/>
          </w:tcPr>
          <w:p>
            <w:pPr>
              <w:jc w:val="right"/>
              <w:spacing w:after="0"/>
              <w:rPr>
                <w:sz w:val="20"/>
                <w:szCs w:val="20"/>
                <w:color w:val="auto"/>
              </w:rPr>
            </w:pPr>
            <w:r>
              <w:rPr>
                <w:rFonts w:ascii="Arial" w:cs="Arial" w:eastAsia="Arial" w:hAnsi="Arial"/>
                <w:sz w:val="14"/>
                <w:szCs w:val="14"/>
                <w:i w:val="1"/>
                <w:iCs w:val="1"/>
                <w:color w:val="auto"/>
              </w:rPr>
              <w:t>12.3 %</w:t>
            </w:r>
          </w:p>
        </w:tc>
        <w:tc>
          <w:tcPr>
            <w:tcW w:w="100" w:type="dxa"/>
            <w:vAlign w:val="bottom"/>
            <w:shd w:val="clear" w:color="auto" w:fill="DCE2EF"/>
          </w:tcPr>
          <w:p>
            <w:pPr>
              <w:spacing w:after="0"/>
              <w:rPr>
                <w:sz w:val="16"/>
                <w:szCs w:val="16"/>
                <w:color w:val="auto"/>
              </w:rPr>
            </w:pPr>
          </w:p>
        </w:tc>
        <w:tc>
          <w:tcPr>
            <w:tcW w:w="320" w:type="dxa"/>
            <w:vAlign w:val="bottom"/>
            <w:shd w:val="clear" w:color="auto" w:fill="DCE2EF"/>
          </w:tcPr>
          <w:p>
            <w:pPr>
              <w:spacing w:after="0"/>
              <w:rPr>
                <w:sz w:val="16"/>
                <w:szCs w:val="16"/>
                <w:color w:val="auto"/>
              </w:rPr>
            </w:pPr>
          </w:p>
        </w:tc>
        <w:tc>
          <w:tcPr>
            <w:tcW w:w="112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12.4 %</w:t>
            </w:r>
          </w:p>
        </w:tc>
        <w:tc>
          <w:tcPr>
            <w:tcW w:w="100" w:type="dxa"/>
            <w:vAlign w:val="bottom"/>
            <w:shd w:val="clear" w:color="auto" w:fill="DCE2EF"/>
          </w:tcPr>
          <w:p>
            <w:pPr>
              <w:spacing w:after="0"/>
              <w:rPr>
                <w:sz w:val="16"/>
                <w:szCs w:val="16"/>
                <w:color w:val="auto"/>
              </w:rPr>
            </w:pPr>
          </w:p>
        </w:tc>
        <w:tc>
          <w:tcPr>
            <w:tcW w:w="340" w:type="dxa"/>
            <w:vAlign w:val="bottom"/>
            <w:shd w:val="clear" w:color="auto" w:fill="DCE2EF"/>
          </w:tcPr>
          <w:p>
            <w:pPr>
              <w:spacing w:after="0"/>
              <w:rPr>
                <w:sz w:val="16"/>
                <w:szCs w:val="16"/>
                <w:color w:val="auto"/>
              </w:rPr>
            </w:pPr>
          </w:p>
        </w:tc>
        <w:tc>
          <w:tcPr>
            <w:tcW w:w="112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13.1 %</w:t>
            </w:r>
          </w:p>
        </w:tc>
        <w:tc>
          <w:tcPr>
            <w:tcW w:w="100" w:type="dxa"/>
            <w:vAlign w:val="bottom"/>
            <w:shd w:val="clear" w:color="auto" w:fill="DCE2EF"/>
          </w:tcPr>
          <w:p>
            <w:pPr>
              <w:spacing w:after="0"/>
              <w:rPr>
                <w:sz w:val="16"/>
                <w:szCs w:val="16"/>
                <w:color w:val="auto"/>
              </w:rPr>
            </w:pPr>
          </w:p>
        </w:tc>
        <w:tc>
          <w:tcPr>
            <w:tcW w:w="240" w:type="dxa"/>
            <w:vAlign w:val="bottom"/>
            <w:shd w:val="clear" w:color="auto" w:fill="DCE2EF"/>
          </w:tcPr>
          <w:p>
            <w:pPr>
              <w:spacing w:after="0"/>
              <w:rPr>
                <w:sz w:val="16"/>
                <w:szCs w:val="16"/>
                <w:color w:val="auto"/>
              </w:rPr>
            </w:pPr>
          </w:p>
        </w:tc>
        <w:tc>
          <w:tcPr>
            <w:tcW w:w="840" w:type="dxa"/>
            <w:vAlign w:val="bottom"/>
            <w:shd w:val="clear" w:color="auto" w:fill="DCE2EF"/>
          </w:tcPr>
          <w:p>
            <w:pPr>
              <w:ind w:left="400"/>
              <w:spacing w:after="0"/>
              <w:rPr>
                <w:sz w:val="20"/>
                <w:szCs w:val="20"/>
                <w:color w:val="auto"/>
              </w:rPr>
            </w:pPr>
            <w:r>
              <w:rPr>
                <w:rFonts w:ascii="Arial" w:cs="Arial" w:eastAsia="Arial" w:hAnsi="Arial"/>
                <w:sz w:val="14"/>
                <w:szCs w:val="14"/>
                <w:i w:val="1"/>
                <w:iCs w:val="1"/>
                <w:color w:val="auto"/>
                <w:w w:val="96"/>
              </w:rPr>
              <w:t>(7) bps</w:t>
            </w:r>
          </w:p>
        </w:tc>
        <w:tc>
          <w:tcPr>
            <w:tcW w:w="1180" w:type="dxa"/>
            <w:vAlign w:val="bottom"/>
            <w:shd w:val="clear" w:color="auto" w:fill="DCE2EF"/>
          </w:tcPr>
          <w:p>
            <w:pPr>
              <w:spacing w:after="0"/>
              <w:rPr>
                <w:sz w:val="16"/>
                <w:szCs w:val="16"/>
                <w:color w:val="auto"/>
              </w:rPr>
            </w:pPr>
          </w:p>
        </w:tc>
      </w:tr>
      <w:tr>
        <w:trPr>
          <w:trHeight w:val="205"/>
        </w:trPr>
        <w:tc>
          <w:tcPr>
            <w:tcW w:w="4340" w:type="dxa"/>
            <w:vAlign w:val="bottom"/>
            <w:gridSpan w:val="3"/>
          </w:tcPr>
          <w:p>
            <w:pPr>
              <w:ind w:left="20"/>
              <w:spacing w:after="0"/>
              <w:rPr>
                <w:sz w:val="20"/>
                <w:szCs w:val="20"/>
                <w:color w:val="auto"/>
              </w:rPr>
            </w:pPr>
            <w:r>
              <w:rPr>
                <w:rFonts w:ascii="Arial" w:cs="Arial" w:eastAsia="Arial" w:hAnsi="Arial"/>
                <w:sz w:val="15"/>
                <w:szCs w:val="15"/>
                <w:color w:val="auto"/>
              </w:rPr>
              <w:t>Selling, general and administrative expenses</w:t>
            </w: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697.4</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ind w:right="103"/>
              <w:spacing w:after="0"/>
              <w:rPr>
                <w:sz w:val="20"/>
                <w:szCs w:val="20"/>
                <w:color w:val="auto"/>
              </w:rPr>
            </w:pPr>
            <w:r>
              <w:rPr>
                <w:rFonts w:ascii="Arial" w:cs="Arial" w:eastAsia="Arial" w:hAnsi="Arial"/>
                <w:sz w:val="15"/>
                <w:szCs w:val="15"/>
                <w:color w:val="auto"/>
              </w:rPr>
              <w:t>765.3</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ind w:right="123"/>
              <w:spacing w:after="0"/>
              <w:rPr>
                <w:sz w:val="20"/>
                <w:szCs w:val="20"/>
                <w:color w:val="auto"/>
              </w:rPr>
            </w:pPr>
            <w:r>
              <w:rPr>
                <w:rFonts w:ascii="Arial" w:cs="Arial" w:eastAsia="Arial" w:hAnsi="Arial"/>
                <w:sz w:val="15"/>
                <w:szCs w:val="15"/>
                <w:color w:val="auto"/>
              </w:rPr>
              <w:t>572.8</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(67.9)</w:t>
            </w:r>
          </w:p>
        </w:tc>
        <w:tc>
          <w:tcPr>
            <w:tcW w:w="1180" w:type="dxa"/>
            <w:vAlign w:val="bottom"/>
          </w:tcPr>
          <w:p>
            <w:pPr>
              <w:jc w:val="center"/>
              <w:ind w:left="43"/>
              <w:spacing w:after="0"/>
              <w:rPr>
                <w:sz w:val="20"/>
                <w:szCs w:val="20"/>
                <w:color w:val="auto"/>
              </w:rPr>
            </w:pPr>
            <w:r>
              <w:rPr>
                <w:rFonts w:ascii="Arial" w:cs="Arial" w:eastAsia="Arial" w:hAnsi="Arial"/>
                <w:sz w:val="15"/>
                <w:szCs w:val="15"/>
                <w:color w:val="auto"/>
              </w:rPr>
              <w:t>(8.9)%</w:t>
            </w:r>
          </w:p>
        </w:tc>
      </w:tr>
      <w:tr>
        <w:trPr>
          <w:trHeight w:val="207"/>
        </w:trPr>
        <w:tc>
          <w:tcPr>
            <w:tcW w:w="4340" w:type="dxa"/>
            <w:vAlign w:val="bottom"/>
            <w:gridSpan w:val="3"/>
            <w:shd w:val="clear" w:color="auto" w:fill="DCE2EF"/>
          </w:tcPr>
          <w:p>
            <w:pPr>
              <w:ind w:left="20"/>
              <w:spacing w:after="0"/>
              <w:rPr>
                <w:sz w:val="20"/>
                <w:szCs w:val="20"/>
                <w:color w:val="auto"/>
              </w:rPr>
            </w:pPr>
            <w:r>
              <w:rPr>
                <w:rFonts w:ascii="Arial" w:cs="Arial" w:eastAsia="Arial" w:hAnsi="Arial"/>
                <w:sz w:val="15"/>
                <w:szCs w:val="15"/>
                <w:color w:val="auto"/>
              </w:rPr>
              <w:t>Restructuring and related expenses</w:t>
            </w:r>
          </w:p>
        </w:tc>
        <w:tc>
          <w:tcPr>
            <w:tcW w:w="320" w:type="dxa"/>
            <w:vAlign w:val="bottom"/>
            <w:shd w:val="clear" w:color="auto" w:fill="DCE2EF"/>
          </w:tcPr>
          <w:p>
            <w:pPr>
              <w:spacing w:after="0"/>
              <w:rPr>
                <w:sz w:val="18"/>
                <w:szCs w:val="18"/>
                <w:color w:val="auto"/>
              </w:rPr>
            </w:pPr>
          </w:p>
        </w:tc>
        <w:tc>
          <w:tcPr>
            <w:tcW w:w="1000" w:type="dxa"/>
            <w:vAlign w:val="bottom"/>
            <w:shd w:val="clear" w:color="auto" w:fill="DCE2EF"/>
          </w:tcPr>
          <w:p>
            <w:pPr>
              <w:jc w:val="right"/>
              <w:spacing w:after="0"/>
              <w:rPr>
                <w:sz w:val="20"/>
                <w:szCs w:val="20"/>
                <w:color w:val="auto"/>
              </w:rPr>
            </w:pPr>
            <w:r>
              <w:rPr>
                <w:rFonts w:ascii="Arial" w:cs="Arial" w:eastAsia="Arial" w:hAnsi="Arial"/>
                <w:sz w:val="15"/>
                <w:szCs w:val="15"/>
                <w:color w:val="auto"/>
              </w:rPr>
              <w:t>13.4</w:t>
            </w:r>
          </w:p>
        </w:tc>
        <w:tc>
          <w:tcPr>
            <w:tcW w:w="120" w:type="dxa"/>
            <w:vAlign w:val="bottom"/>
            <w:shd w:val="clear" w:color="auto" w:fill="DCE2EF"/>
          </w:tcPr>
          <w:p>
            <w:pPr>
              <w:spacing w:after="0"/>
              <w:rPr>
                <w:sz w:val="18"/>
                <w:szCs w:val="18"/>
                <w:color w:val="auto"/>
              </w:rPr>
            </w:pPr>
          </w:p>
        </w:tc>
        <w:tc>
          <w:tcPr>
            <w:tcW w:w="100" w:type="dxa"/>
            <w:vAlign w:val="bottom"/>
            <w:shd w:val="clear" w:color="auto" w:fill="DCE2EF"/>
          </w:tcPr>
          <w:p>
            <w:pPr>
              <w:spacing w:after="0"/>
              <w:rPr>
                <w:sz w:val="18"/>
                <w:szCs w:val="18"/>
                <w:color w:val="auto"/>
              </w:rPr>
            </w:pPr>
          </w:p>
        </w:tc>
        <w:tc>
          <w:tcPr>
            <w:tcW w:w="320" w:type="dxa"/>
            <w:vAlign w:val="bottom"/>
            <w:shd w:val="clear" w:color="auto" w:fill="DCE2EF"/>
          </w:tcPr>
          <w:p>
            <w:pPr>
              <w:spacing w:after="0"/>
              <w:rPr>
                <w:sz w:val="18"/>
                <w:szCs w:val="18"/>
                <w:color w:val="auto"/>
              </w:rPr>
            </w:pPr>
          </w:p>
        </w:tc>
        <w:tc>
          <w:tcPr>
            <w:tcW w:w="1220" w:type="dxa"/>
            <w:vAlign w:val="bottom"/>
            <w:gridSpan w:val="2"/>
            <w:shd w:val="clear" w:color="auto" w:fill="DCE2EF"/>
          </w:tcPr>
          <w:p>
            <w:pPr>
              <w:jc w:val="right"/>
              <w:ind w:right="280"/>
              <w:spacing w:after="0"/>
              <w:rPr>
                <w:sz w:val="20"/>
                <w:szCs w:val="20"/>
                <w:color w:val="auto"/>
              </w:rPr>
            </w:pPr>
            <w:r>
              <w:rPr>
                <w:rFonts w:ascii="Arial" w:cs="Arial" w:eastAsia="Arial" w:hAnsi="Arial"/>
                <w:sz w:val="15"/>
                <w:szCs w:val="15"/>
                <w:color w:val="auto"/>
              </w:rPr>
              <w:t>—</w:t>
            </w:r>
          </w:p>
        </w:tc>
        <w:tc>
          <w:tcPr>
            <w:tcW w:w="340" w:type="dxa"/>
            <w:vAlign w:val="bottom"/>
            <w:shd w:val="clear" w:color="auto" w:fill="DCE2EF"/>
          </w:tcPr>
          <w:p>
            <w:pPr>
              <w:spacing w:after="0"/>
              <w:rPr>
                <w:sz w:val="18"/>
                <w:szCs w:val="18"/>
                <w:color w:val="auto"/>
              </w:rPr>
            </w:pPr>
          </w:p>
        </w:tc>
        <w:tc>
          <w:tcPr>
            <w:tcW w:w="1220" w:type="dxa"/>
            <w:vAlign w:val="bottom"/>
            <w:gridSpan w:val="2"/>
            <w:shd w:val="clear" w:color="auto" w:fill="DCE2EF"/>
          </w:tcPr>
          <w:p>
            <w:pPr>
              <w:jc w:val="right"/>
              <w:ind w:right="300"/>
              <w:spacing w:after="0"/>
              <w:rPr>
                <w:sz w:val="20"/>
                <w:szCs w:val="20"/>
                <w:color w:val="auto"/>
              </w:rPr>
            </w:pPr>
            <w:r>
              <w:rPr>
                <w:rFonts w:ascii="Arial" w:cs="Arial" w:eastAsia="Arial" w:hAnsi="Arial"/>
                <w:sz w:val="15"/>
                <w:szCs w:val="15"/>
                <w:color w:val="auto"/>
              </w:rPr>
              <w:t>—</w:t>
            </w:r>
          </w:p>
        </w:tc>
        <w:tc>
          <w:tcPr>
            <w:tcW w:w="240" w:type="dxa"/>
            <w:vAlign w:val="bottom"/>
            <w:shd w:val="clear" w:color="auto" w:fill="DCE2EF"/>
          </w:tcPr>
          <w:p>
            <w:pPr>
              <w:spacing w:after="0"/>
              <w:rPr>
                <w:sz w:val="18"/>
                <w:szCs w:val="18"/>
                <w:color w:val="auto"/>
              </w:rPr>
            </w:pPr>
          </w:p>
        </w:tc>
        <w:tc>
          <w:tcPr>
            <w:tcW w:w="840" w:type="dxa"/>
            <w:vAlign w:val="bottom"/>
            <w:shd w:val="clear" w:color="auto" w:fill="DCE2EF"/>
          </w:tcPr>
          <w:p>
            <w:pPr>
              <w:jc w:val="right"/>
              <w:spacing w:after="0"/>
              <w:rPr>
                <w:sz w:val="20"/>
                <w:szCs w:val="20"/>
                <w:color w:val="auto"/>
              </w:rPr>
            </w:pPr>
            <w:r>
              <w:rPr>
                <w:rFonts w:ascii="Arial" w:cs="Arial" w:eastAsia="Arial" w:hAnsi="Arial"/>
                <w:sz w:val="15"/>
                <w:szCs w:val="15"/>
                <w:color w:val="auto"/>
              </w:rPr>
              <w:t>13.4</w:t>
            </w:r>
          </w:p>
        </w:tc>
        <w:tc>
          <w:tcPr>
            <w:tcW w:w="1180" w:type="dxa"/>
            <w:vAlign w:val="bottom"/>
            <w:shd w:val="clear" w:color="auto" w:fill="DCE2EF"/>
          </w:tcPr>
          <w:p>
            <w:pPr>
              <w:ind w:left="500"/>
              <w:spacing w:after="0"/>
              <w:rPr>
                <w:sz w:val="20"/>
                <w:szCs w:val="20"/>
                <w:color w:val="auto"/>
              </w:rPr>
            </w:pPr>
            <w:r>
              <w:rPr>
                <w:rFonts w:ascii="Arial" w:cs="Arial" w:eastAsia="Arial" w:hAnsi="Arial"/>
                <w:sz w:val="15"/>
                <w:szCs w:val="15"/>
                <w:color w:val="auto"/>
              </w:rPr>
              <w:t>NM*</w:t>
            </w:r>
          </w:p>
        </w:tc>
      </w:tr>
      <w:tr>
        <w:trPr>
          <w:trHeight w:val="205"/>
        </w:trPr>
        <w:tc>
          <w:tcPr>
            <w:tcW w:w="4340" w:type="dxa"/>
            <w:vAlign w:val="bottom"/>
            <w:tcBorders>
              <w:bottom w:val="single" w:sz="8" w:color="DCE2EF"/>
            </w:tcBorders>
            <w:gridSpan w:val="3"/>
          </w:tcPr>
          <w:p>
            <w:pPr>
              <w:ind w:left="20"/>
              <w:spacing w:after="0"/>
              <w:rPr>
                <w:sz w:val="20"/>
                <w:szCs w:val="20"/>
                <w:color w:val="auto"/>
              </w:rPr>
            </w:pPr>
            <w:r>
              <w:rPr>
                <w:rFonts w:ascii="Arial" w:cs="Arial" w:eastAsia="Arial" w:hAnsi="Arial"/>
                <w:sz w:val="15"/>
                <w:szCs w:val="15"/>
                <w:color w:val="auto"/>
              </w:rPr>
              <w:t>Amortization of intangible assets</w:t>
            </w: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52.5</w:t>
            </w: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DCE2E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color w:val="auto"/>
              </w:rPr>
              <w:t>56.1</w:t>
            </w:r>
          </w:p>
        </w:tc>
        <w:tc>
          <w:tcPr>
            <w:tcW w:w="100" w:type="dxa"/>
            <w:vAlign w:val="bottom"/>
            <w:tcBorders>
              <w:bottom w:val="single" w:sz="8" w:color="DCE2E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rPr>
              <w:t>76.5</w:t>
            </w:r>
          </w:p>
        </w:tc>
        <w:tc>
          <w:tcPr>
            <w:tcW w:w="100" w:type="dxa"/>
            <w:vAlign w:val="bottom"/>
            <w:tcBorders>
              <w:bottom w:val="single" w:sz="8" w:color="DCE2E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(3.6)</w:t>
            </w:r>
          </w:p>
        </w:tc>
        <w:tc>
          <w:tcPr>
            <w:tcW w:w="1180" w:type="dxa"/>
            <w:vAlign w:val="bottom"/>
            <w:tcBorders>
              <w:bottom w:val="single" w:sz="8" w:color="DCE2EF"/>
            </w:tcBorders>
          </w:tcPr>
          <w:p>
            <w:pPr>
              <w:jc w:val="center"/>
              <w:ind w:left="43"/>
              <w:spacing w:after="0"/>
              <w:rPr>
                <w:sz w:val="20"/>
                <w:szCs w:val="20"/>
                <w:color w:val="auto"/>
              </w:rPr>
            </w:pPr>
            <w:r>
              <w:rPr>
                <w:rFonts w:ascii="Arial" w:cs="Arial" w:eastAsia="Arial" w:hAnsi="Arial"/>
                <w:sz w:val="15"/>
                <w:szCs w:val="15"/>
                <w:color w:val="auto"/>
              </w:rPr>
              <w:t>(6.4)%</w:t>
            </w:r>
          </w:p>
        </w:tc>
      </w:tr>
      <w:tr>
        <w:trPr>
          <w:trHeight w:val="200"/>
        </w:trPr>
        <w:tc>
          <w:tcPr>
            <w:tcW w:w="4340" w:type="dxa"/>
            <w:vAlign w:val="bottom"/>
            <w:gridSpan w:val="3"/>
            <w:shd w:val="clear" w:color="auto" w:fill="DCE2EF"/>
          </w:tcPr>
          <w:p>
            <w:pPr>
              <w:ind w:left="20"/>
              <w:spacing w:after="0"/>
              <w:rPr>
                <w:sz w:val="20"/>
                <w:szCs w:val="20"/>
                <w:color w:val="auto"/>
              </w:rPr>
            </w:pPr>
            <w:r>
              <w:rPr>
                <w:rFonts w:ascii="Arial" w:cs="Arial" w:eastAsia="Arial" w:hAnsi="Arial"/>
                <w:sz w:val="15"/>
                <w:szCs w:val="15"/>
                <w:b w:val="1"/>
                <w:bCs w:val="1"/>
                <w:color w:val="auto"/>
              </w:rPr>
              <w:t>Operating profit</w:t>
            </w:r>
          </w:p>
        </w:tc>
        <w:tc>
          <w:tcPr>
            <w:tcW w:w="320" w:type="dxa"/>
            <w:vAlign w:val="bottom"/>
            <w:shd w:val="clear" w:color="auto" w:fill="DCE2EF"/>
          </w:tcPr>
          <w:p>
            <w:pPr>
              <w:spacing w:after="0"/>
              <w:rPr>
                <w:sz w:val="17"/>
                <w:szCs w:val="17"/>
                <w:color w:val="auto"/>
              </w:rPr>
            </w:pPr>
          </w:p>
        </w:tc>
        <w:tc>
          <w:tcPr>
            <w:tcW w:w="1000" w:type="dxa"/>
            <w:vAlign w:val="bottom"/>
            <w:shd w:val="clear" w:color="auto" w:fill="DCE2EF"/>
          </w:tcPr>
          <w:p>
            <w:pPr>
              <w:jc w:val="right"/>
              <w:spacing w:after="0"/>
              <w:rPr>
                <w:sz w:val="20"/>
                <w:szCs w:val="20"/>
                <w:color w:val="auto"/>
              </w:rPr>
            </w:pPr>
            <w:r>
              <w:rPr>
                <w:rFonts w:ascii="Arial" w:cs="Arial" w:eastAsia="Arial" w:hAnsi="Arial"/>
                <w:sz w:val="15"/>
                <w:szCs w:val="15"/>
                <w:color w:val="auto"/>
              </w:rPr>
              <w:t>311.7</w:t>
            </w:r>
          </w:p>
        </w:tc>
        <w:tc>
          <w:tcPr>
            <w:tcW w:w="120" w:type="dxa"/>
            <w:vAlign w:val="bottom"/>
            <w:shd w:val="clear" w:color="auto" w:fill="DCE2EF"/>
          </w:tcPr>
          <w:p>
            <w:pPr>
              <w:spacing w:after="0"/>
              <w:rPr>
                <w:sz w:val="17"/>
                <w:szCs w:val="17"/>
                <w:color w:val="auto"/>
              </w:rPr>
            </w:pPr>
          </w:p>
        </w:tc>
        <w:tc>
          <w:tcPr>
            <w:tcW w:w="100" w:type="dxa"/>
            <w:vAlign w:val="bottom"/>
            <w:shd w:val="clear" w:color="auto" w:fill="DCE2EF"/>
          </w:tcPr>
          <w:p>
            <w:pPr>
              <w:spacing w:after="0"/>
              <w:rPr>
                <w:sz w:val="17"/>
                <w:szCs w:val="17"/>
                <w:color w:val="auto"/>
              </w:rPr>
            </w:pPr>
          </w:p>
        </w:tc>
        <w:tc>
          <w:tcPr>
            <w:tcW w:w="320" w:type="dxa"/>
            <w:vAlign w:val="bottom"/>
            <w:shd w:val="clear" w:color="auto" w:fill="DCE2EF"/>
          </w:tcPr>
          <w:p>
            <w:pPr>
              <w:spacing w:after="0"/>
              <w:rPr>
                <w:sz w:val="17"/>
                <w:szCs w:val="17"/>
                <w:color w:val="auto"/>
              </w:rPr>
            </w:pPr>
          </w:p>
        </w:tc>
        <w:tc>
          <w:tcPr>
            <w:tcW w:w="1120" w:type="dxa"/>
            <w:vAlign w:val="bottom"/>
            <w:shd w:val="clear" w:color="auto" w:fill="DCE2EF"/>
          </w:tcPr>
          <w:p>
            <w:pPr>
              <w:jc w:val="right"/>
              <w:ind w:right="103"/>
              <w:spacing w:after="0"/>
              <w:rPr>
                <w:sz w:val="20"/>
                <w:szCs w:val="20"/>
                <w:color w:val="auto"/>
              </w:rPr>
            </w:pPr>
            <w:r>
              <w:rPr>
                <w:rFonts w:ascii="Arial" w:cs="Arial" w:eastAsia="Arial" w:hAnsi="Arial"/>
                <w:sz w:val="15"/>
                <w:szCs w:val="15"/>
                <w:color w:val="auto"/>
              </w:rPr>
              <w:t>212.0</w:t>
            </w:r>
          </w:p>
        </w:tc>
        <w:tc>
          <w:tcPr>
            <w:tcW w:w="100" w:type="dxa"/>
            <w:vAlign w:val="bottom"/>
            <w:shd w:val="clear" w:color="auto" w:fill="DCE2EF"/>
          </w:tcPr>
          <w:p>
            <w:pPr>
              <w:spacing w:after="0"/>
              <w:rPr>
                <w:sz w:val="17"/>
                <w:szCs w:val="17"/>
                <w:color w:val="auto"/>
              </w:rPr>
            </w:pPr>
          </w:p>
        </w:tc>
        <w:tc>
          <w:tcPr>
            <w:tcW w:w="340" w:type="dxa"/>
            <w:vAlign w:val="bottom"/>
            <w:shd w:val="clear" w:color="auto" w:fill="DCE2EF"/>
          </w:tcPr>
          <w:p>
            <w:pPr>
              <w:spacing w:after="0"/>
              <w:rPr>
                <w:sz w:val="17"/>
                <w:szCs w:val="17"/>
                <w:color w:val="auto"/>
              </w:rPr>
            </w:pPr>
          </w:p>
        </w:tc>
        <w:tc>
          <w:tcPr>
            <w:tcW w:w="1120" w:type="dxa"/>
            <w:vAlign w:val="bottom"/>
            <w:shd w:val="clear" w:color="auto" w:fill="DCE2EF"/>
          </w:tcPr>
          <w:p>
            <w:pPr>
              <w:jc w:val="right"/>
              <w:ind w:right="123"/>
              <w:spacing w:after="0"/>
              <w:rPr>
                <w:sz w:val="20"/>
                <w:szCs w:val="20"/>
                <w:color w:val="auto"/>
              </w:rPr>
            </w:pPr>
            <w:r>
              <w:rPr>
                <w:rFonts w:ascii="Arial" w:cs="Arial" w:eastAsia="Arial" w:hAnsi="Arial"/>
                <w:sz w:val="15"/>
                <w:szCs w:val="15"/>
                <w:color w:val="auto"/>
              </w:rPr>
              <w:t>409.5</w:t>
            </w:r>
          </w:p>
        </w:tc>
        <w:tc>
          <w:tcPr>
            <w:tcW w:w="100" w:type="dxa"/>
            <w:vAlign w:val="bottom"/>
            <w:shd w:val="clear" w:color="auto" w:fill="DCE2EF"/>
          </w:tcPr>
          <w:p>
            <w:pPr>
              <w:spacing w:after="0"/>
              <w:rPr>
                <w:sz w:val="17"/>
                <w:szCs w:val="17"/>
                <w:color w:val="auto"/>
              </w:rPr>
            </w:pPr>
          </w:p>
        </w:tc>
        <w:tc>
          <w:tcPr>
            <w:tcW w:w="240" w:type="dxa"/>
            <w:vAlign w:val="bottom"/>
            <w:shd w:val="clear" w:color="auto" w:fill="DCE2EF"/>
          </w:tcPr>
          <w:p>
            <w:pPr>
              <w:spacing w:after="0"/>
              <w:rPr>
                <w:sz w:val="17"/>
                <w:szCs w:val="17"/>
                <w:color w:val="auto"/>
              </w:rPr>
            </w:pPr>
          </w:p>
        </w:tc>
        <w:tc>
          <w:tcPr>
            <w:tcW w:w="840" w:type="dxa"/>
            <w:vAlign w:val="bottom"/>
            <w:shd w:val="clear" w:color="auto" w:fill="DCE2EF"/>
          </w:tcPr>
          <w:p>
            <w:pPr>
              <w:jc w:val="right"/>
              <w:spacing w:after="0"/>
              <w:rPr>
                <w:sz w:val="20"/>
                <w:szCs w:val="20"/>
                <w:color w:val="auto"/>
              </w:rPr>
            </w:pPr>
            <w:r>
              <w:rPr>
                <w:rFonts w:ascii="Arial" w:cs="Arial" w:eastAsia="Arial" w:hAnsi="Arial"/>
                <w:sz w:val="15"/>
                <w:szCs w:val="15"/>
                <w:color w:val="auto"/>
              </w:rPr>
              <w:t>99.7</w:t>
            </w:r>
          </w:p>
        </w:tc>
        <w:tc>
          <w:tcPr>
            <w:tcW w:w="1180" w:type="dxa"/>
            <w:vAlign w:val="bottom"/>
            <w:shd w:val="clear" w:color="auto" w:fill="DCE2EF"/>
          </w:tcPr>
          <w:p>
            <w:pPr>
              <w:jc w:val="center"/>
              <w:ind w:left="23"/>
              <w:spacing w:after="0"/>
              <w:rPr>
                <w:sz w:val="20"/>
                <w:szCs w:val="20"/>
                <w:color w:val="auto"/>
              </w:rPr>
            </w:pPr>
            <w:r>
              <w:rPr>
                <w:rFonts w:ascii="Arial" w:cs="Arial" w:eastAsia="Arial" w:hAnsi="Arial"/>
                <w:sz w:val="15"/>
                <w:szCs w:val="15"/>
                <w:color w:val="auto"/>
              </w:rPr>
              <w:t>47.0%</w:t>
            </w:r>
          </w:p>
        </w:tc>
      </w:tr>
      <w:tr>
        <w:trPr>
          <w:trHeight w:val="205"/>
        </w:trPr>
        <w:tc>
          <w:tcPr>
            <w:tcW w:w="4340" w:type="dxa"/>
            <w:vAlign w:val="bottom"/>
            <w:gridSpan w:val="3"/>
          </w:tcPr>
          <w:p>
            <w:pPr>
              <w:ind w:left="20"/>
              <w:spacing w:after="0"/>
              <w:rPr>
                <w:sz w:val="20"/>
                <w:szCs w:val="20"/>
                <w:color w:val="auto"/>
              </w:rPr>
            </w:pPr>
            <w:r>
              <w:rPr>
                <w:rFonts w:ascii="Arial" w:cs="Arial" w:eastAsia="Arial" w:hAnsi="Arial"/>
                <w:sz w:val="15"/>
                <w:szCs w:val="15"/>
                <w:color w:val="auto"/>
              </w:rPr>
              <w:t>Income from unconsolidated affiliates</w:t>
            </w: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4.6</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ind w:right="103"/>
              <w:spacing w:after="0"/>
              <w:rPr>
                <w:sz w:val="20"/>
                <w:szCs w:val="20"/>
                <w:color w:val="auto"/>
              </w:rPr>
            </w:pPr>
            <w:r>
              <w:rPr>
                <w:rFonts w:ascii="Arial" w:cs="Arial" w:eastAsia="Arial" w:hAnsi="Arial"/>
                <w:sz w:val="15"/>
                <w:szCs w:val="15"/>
                <w:color w:val="auto"/>
              </w:rPr>
              <w:t>6.5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ind w:right="123"/>
              <w:spacing w:after="0"/>
              <w:rPr>
                <w:sz w:val="20"/>
                <w:szCs w:val="20"/>
                <w:color w:val="auto"/>
              </w:rPr>
            </w:pPr>
            <w:r>
              <w:rPr>
                <w:rFonts w:ascii="Arial" w:cs="Arial" w:eastAsia="Arial" w:hAnsi="Arial"/>
                <w:sz w:val="15"/>
                <w:szCs w:val="15"/>
                <w:color w:val="auto"/>
              </w:rPr>
              <w:t>3.9</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(1.9)</w:t>
            </w:r>
          </w:p>
        </w:tc>
        <w:tc>
          <w:tcPr>
            <w:tcW w:w="1180" w:type="dxa"/>
            <w:vAlign w:val="bottom"/>
          </w:tcPr>
          <w:p>
            <w:pPr>
              <w:jc w:val="center"/>
              <w:ind w:left="43"/>
              <w:spacing w:after="0"/>
              <w:rPr>
                <w:sz w:val="20"/>
                <w:szCs w:val="20"/>
                <w:color w:val="auto"/>
              </w:rPr>
            </w:pPr>
            <w:r>
              <w:rPr>
                <w:rFonts w:ascii="Arial" w:cs="Arial" w:eastAsia="Arial" w:hAnsi="Arial"/>
                <w:sz w:val="15"/>
                <w:szCs w:val="15"/>
                <w:color w:val="auto"/>
              </w:rPr>
              <w:t>(29.3)%</w:t>
            </w:r>
          </w:p>
        </w:tc>
      </w:tr>
      <w:tr>
        <w:trPr>
          <w:trHeight w:val="207"/>
        </w:trPr>
        <w:tc>
          <w:tcPr>
            <w:tcW w:w="4340" w:type="dxa"/>
            <w:vAlign w:val="bottom"/>
            <w:gridSpan w:val="3"/>
            <w:shd w:val="clear" w:color="auto" w:fill="DCE2EF"/>
          </w:tcPr>
          <w:p>
            <w:pPr>
              <w:ind w:left="20"/>
              <w:spacing w:after="0"/>
              <w:rPr>
                <w:sz w:val="20"/>
                <w:szCs w:val="20"/>
                <w:color w:val="auto"/>
              </w:rPr>
            </w:pPr>
            <w:r>
              <w:rPr>
                <w:rFonts w:ascii="Arial" w:cs="Arial" w:eastAsia="Arial" w:hAnsi="Arial"/>
                <w:sz w:val="15"/>
                <w:szCs w:val="15"/>
                <w:color w:val="auto"/>
              </w:rPr>
              <w:t>Interest expense</w:t>
            </w:r>
          </w:p>
        </w:tc>
        <w:tc>
          <w:tcPr>
            <w:tcW w:w="320" w:type="dxa"/>
            <w:vAlign w:val="bottom"/>
            <w:tcBorders>
              <w:bottom w:val="single" w:sz="8" w:color="auto"/>
            </w:tcBorders>
            <w:shd w:val="clear" w:color="auto" w:fill="DCE2EF"/>
          </w:tcPr>
          <w:p>
            <w:pPr>
              <w:spacing w:after="0"/>
              <w:rPr>
                <w:sz w:val="18"/>
                <w:szCs w:val="18"/>
                <w:color w:val="auto"/>
              </w:rPr>
            </w:pPr>
          </w:p>
        </w:tc>
        <w:tc>
          <w:tcPr>
            <w:tcW w:w="100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5"/>
                <w:szCs w:val="15"/>
                <w:color w:val="auto"/>
              </w:rPr>
              <w:t>(96.4)</w:t>
            </w:r>
          </w:p>
        </w:tc>
        <w:tc>
          <w:tcPr>
            <w:tcW w:w="120" w:type="dxa"/>
            <w:vAlign w:val="bottom"/>
            <w:tcBorders>
              <w:bottom w:val="single" w:sz="8" w:color="auto"/>
            </w:tcBorders>
            <w:shd w:val="clear" w:color="auto" w:fill="DCE2EF"/>
          </w:tcPr>
          <w:p>
            <w:pPr>
              <w:spacing w:after="0"/>
              <w:rPr>
                <w:sz w:val="18"/>
                <w:szCs w:val="18"/>
                <w:color w:val="auto"/>
              </w:rPr>
            </w:pPr>
          </w:p>
        </w:tc>
        <w:tc>
          <w:tcPr>
            <w:tcW w:w="100" w:type="dxa"/>
            <w:vAlign w:val="bottom"/>
            <w:shd w:val="clear" w:color="auto" w:fill="DCE2EF"/>
          </w:tcPr>
          <w:p>
            <w:pPr>
              <w:spacing w:after="0"/>
              <w:rPr>
                <w:sz w:val="18"/>
                <w:szCs w:val="18"/>
                <w:color w:val="auto"/>
              </w:rPr>
            </w:pPr>
          </w:p>
        </w:tc>
        <w:tc>
          <w:tcPr>
            <w:tcW w:w="320" w:type="dxa"/>
            <w:vAlign w:val="bottom"/>
            <w:tcBorders>
              <w:bottom w:val="single" w:sz="8" w:color="auto"/>
            </w:tcBorders>
            <w:shd w:val="clear" w:color="auto" w:fill="DCE2EF"/>
          </w:tcPr>
          <w:p>
            <w:pPr>
              <w:spacing w:after="0"/>
              <w:rPr>
                <w:sz w:val="18"/>
                <w:szCs w:val="18"/>
                <w:color w:val="auto"/>
              </w:rPr>
            </w:pPr>
          </w:p>
        </w:tc>
        <w:tc>
          <w:tcPr>
            <w:tcW w:w="1120" w:type="dxa"/>
            <w:vAlign w:val="bottom"/>
            <w:tcBorders>
              <w:bottom w:val="single" w:sz="8" w:color="auto"/>
            </w:tcBorders>
            <w:shd w:val="clear" w:color="auto" w:fill="DCE2EF"/>
          </w:tcPr>
          <w:p>
            <w:pPr>
              <w:jc w:val="right"/>
              <w:ind w:right="63"/>
              <w:spacing w:after="0"/>
              <w:rPr>
                <w:sz w:val="20"/>
                <w:szCs w:val="20"/>
                <w:color w:val="auto"/>
              </w:rPr>
            </w:pPr>
            <w:r>
              <w:rPr>
                <w:rFonts w:ascii="Arial" w:cs="Arial" w:eastAsia="Arial" w:hAnsi="Arial"/>
                <w:sz w:val="15"/>
                <w:szCs w:val="15"/>
                <w:color w:val="auto"/>
              </w:rPr>
              <w:t>(85.0)</w:t>
            </w:r>
          </w:p>
        </w:tc>
        <w:tc>
          <w:tcPr>
            <w:tcW w:w="100" w:type="dxa"/>
            <w:vAlign w:val="bottom"/>
            <w:shd w:val="clear" w:color="auto" w:fill="DCE2EF"/>
          </w:tcPr>
          <w:p>
            <w:pPr>
              <w:spacing w:after="0"/>
              <w:rPr>
                <w:sz w:val="18"/>
                <w:szCs w:val="18"/>
                <w:color w:val="auto"/>
              </w:rPr>
            </w:pPr>
          </w:p>
        </w:tc>
        <w:tc>
          <w:tcPr>
            <w:tcW w:w="340" w:type="dxa"/>
            <w:vAlign w:val="bottom"/>
            <w:tcBorders>
              <w:bottom w:val="single" w:sz="8" w:color="auto"/>
            </w:tcBorders>
            <w:shd w:val="clear" w:color="auto" w:fill="DCE2EF"/>
          </w:tcPr>
          <w:p>
            <w:pPr>
              <w:spacing w:after="0"/>
              <w:rPr>
                <w:sz w:val="18"/>
                <w:szCs w:val="18"/>
                <w:color w:val="auto"/>
              </w:rPr>
            </w:pPr>
          </w:p>
        </w:tc>
        <w:tc>
          <w:tcPr>
            <w:tcW w:w="1120" w:type="dxa"/>
            <w:vAlign w:val="bottom"/>
            <w:tcBorders>
              <w:bottom w:val="single" w:sz="8" w:color="auto"/>
            </w:tcBorders>
            <w:shd w:val="clear" w:color="auto" w:fill="DCE2EF"/>
          </w:tcPr>
          <w:p>
            <w:pPr>
              <w:jc w:val="right"/>
              <w:ind w:right="63"/>
              <w:spacing w:after="0"/>
              <w:rPr>
                <w:sz w:val="20"/>
                <w:szCs w:val="20"/>
                <w:color w:val="auto"/>
              </w:rPr>
            </w:pPr>
            <w:r>
              <w:rPr>
                <w:rFonts w:ascii="Arial" w:cs="Arial" w:eastAsia="Arial" w:hAnsi="Arial"/>
                <w:sz w:val="15"/>
                <w:szCs w:val="15"/>
                <w:color w:val="auto"/>
              </w:rPr>
              <w:t>(82.3)</w:t>
            </w:r>
          </w:p>
        </w:tc>
        <w:tc>
          <w:tcPr>
            <w:tcW w:w="100" w:type="dxa"/>
            <w:vAlign w:val="bottom"/>
            <w:shd w:val="clear" w:color="auto" w:fill="DCE2EF"/>
          </w:tcPr>
          <w:p>
            <w:pPr>
              <w:spacing w:after="0"/>
              <w:rPr>
                <w:sz w:val="18"/>
                <w:szCs w:val="18"/>
                <w:color w:val="auto"/>
              </w:rPr>
            </w:pPr>
          </w:p>
        </w:tc>
        <w:tc>
          <w:tcPr>
            <w:tcW w:w="240" w:type="dxa"/>
            <w:vAlign w:val="bottom"/>
            <w:tcBorders>
              <w:bottom w:val="single" w:sz="8" w:color="auto"/>
            </w:tcBorders>
            <w:shd w:val="clear" w:color="auto" w:fill="DCE2EF"/>
          </w:tcPr>
          <w:p>
            <w:pPr>
              <w:spacing w:after="0"/>
              <w:rPr>
                <w:sz w:val="18"/>
                <w:szCs w:val="18"/>
                <w:color w:val="auto"/>
              </w:rPr>
            </w:pPr>
          </w:p>
        </w:tc>
        <w:tc>
          <w:tcPr>
            <w:tcW w:w="84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5"/>
                <w:szCs w:val="15"/>
                <w:color w:val="auto"/>
              </w:rPr>
              <w:t>(11.4)</w:t>
            </w:r>
          </w:p>
        </w:tc>
        <w:tc>
          <w:tcPr>
            <w:tcW w:w="1180" w:type="dxa"/>
            <w:vAlign w:val="bottom"/>
            <w:shd w:val="clear" w:color="auto" w:fill="DCE2EF"/>
          </w:tcPr>
          <w:p>
            <w:pPr>
              <w:jc w:val="center"/>
              <w:ind w:left="43"/>
              <w:spacing w:after="0"/>
              <w:rPr>
                <w:sz w:val="20"/>
                <w:szCs w:val="20"/>
                <w:color w:val="auto"/>
              </w:rPr>
            </w:pPr>
            <w:r>
              <w:rPr>
                <w:rFonts w:ascii="Arial" w:cs="Arial" w:eastAsia="Arial" w:hAnsi="Arial"/>
                <w:sz w:val="15"/>
                <w:szCs w:val="15"/>
                <w:color w:val="auto"/>
              </w:rPr>
              <w:t>(13.4)%</w:t>
            </w:r>
          </w:p>
        </w:tc>
      </w:tr>
      <w:tr>
        <w:trPr>
          <w:trHeight w:val="198"/>
        </w:trPr>
        <w:tc>
          <w:tcPr>
            <w:tcW w:w="4340" w:type="dxa"/>
            <w:vAlign w:val="bottom"/>
            <w:gridSpan w:val="3"/>
          </w:tcPr>
          <w:p>
            <w:pPr>
              <w:ind w:left="20"/>
              <w:spacing w:after="0"/>
              <w:rPr>
                <w:sz w:val="20"/>
                <w:szCs w:val="20"/>
                <w:color w:val="auto"/>
              </w:rPr>
            </w:pPr>
            <w:r>
              <w:rPr>
                <w:rFonts w:ascii="Arial" w:cs="Arial" w:eastAsia="Arial" w:hAnsi="Arial"/>
                <w:sz w:val="15"/>
                <w:szCs w:val="15"/>
                <w:color w:val="auto"/>
              </w:rPr>
              <w:t>Income before income taxes</w:t>
            </w: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219.9</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ind w:right="103"/>
              <w:spacing w:after="0"/>
              <w:rPr>
                <w:sz w:val="20"/>
                <w:szCs w:val="20"/>
                <w:color w:val="auto"/>
              </w:rPr>
            </w:pPr>
            <w:r>
              <w:rPr>
                <w:rFonts w:ascii="Arial" w:cs="Arial" w:eastAsia="Arial" w:hAnsi="Arial"/>
                <w:sz w:val="15"/>
                <w:szCs w:val="15"/>
                <w:color w:val="auto"/>
              </w:rPr>
              <w:t>133.6</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ind w:right="123"/>
              <w:spacing w:after="0"/>
              <w:rPr>
                <w:sz w:val="20"/>
                <w:szCs w:val="20"/>
                <w:color w:val="auto"/>
              </w:rPr>
            </w:pPr>
            <w:r>
              <w:rPr>
                <w:rFonts w:ascii="Arial" w:cs="Arial" w:eastAsia="Arial" w:hAnsi="Arial"/>
                <w:sz w:val="15"/>
                <w:szCs w:val="15"/>
                <w:color w:val="auto"/>
              </w:rPr>
              <w:t>331.1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86.3</w:t>
            </w:r>
          </w:p>
        </w:tc>
        <w:tc>
          <w:tcPr>
            <w:tcW w:w="1180" w:type="dxa"/>
            <w:vAlign w:val="bottom"/>
          </w:tcPr>
          <w:p>
            <w:pPr>
              <w:jc w:val="center"/>
              <w:ind w:left="23"/>
              <w:spacing w:after="0"/>
              <w:rPr>
                <w:sz w:val="20"/>
                <w:szCs w:val="20"/>
                <w:color w:val="auto"/>
              </w:rPr>
            </w:pPr>
            <w:r>
              <w:rPr>
                <w:rFonts w:ascii="Arial" w:cs="Arial" w:eastAsia="Arial" w:hAnsi="Arial"/>
                <w:sz w:val="15"/>
                <w:szCs w:val="15"/>
                <w:color w:val="auto"/>
              </w:rPr>
              <w:t>64.6%</w:t>
            </w:r>
          </w:p>
        </w:tc>
      </w:tr>
      <w:tr>
        <w:trPr>
          <w:trHeight w:val="207"/>
        </w:trPr>
        <w:tc>
          <w:tcPr>
            <w:tcW w:w="4340" w:type="dxa"/>
            <w:vAlign w:val="bottom"/>
            <w:gridSpan w:val="3"/>
            <w:shd w:val="clear" w:color="auto" w:fill="DCE2EF"/>
          </w:tcPr>
          <w:p>
            <w:pPr>
              <w:ind w:left="20"/>
              <w:spacing w:after="0"/>
              <w:rPr>
                <w:sz w:val="20"/>
                <w:szCs w:val="20"/>
                <w:color w:val="auto"/>
              </w:rPr>
            </w:pPr>
            <w:r>
              <w:rPr>
                <w:rFonts w:ascii="Arial" w:cs="Arial" w:eastAsia="Arial" w:hAnsi="Arial"/>
                <w:sz w:val="15"/>
                <w:szCs w:val="15"/>
                <w:color w:val="auto"/>
              </w:rPr>
              <w:t>Income tax provision</w:t>
            </w:r>
          </w:p>
        </w:tc>
        <w:tc>
          <w:tcPr>
            <w:tcW w:w="320" w:type="dxa"/>
            <w:vAlign w:val="bottom"/>
            <w:tcBorders>
              <w:bottom w:val="single" w:sz="8" w:color="auto"/>
            </w:tcBorders>
            <w:shd w:val="clear" w:color="auto" w:fill="DCE2EF"/>
          </w:tcPr>
          <w:p>
            <w:pPr>
              <w:spacing w:after="0"/>
              <w:rPr>
                <w:sz w:val="18"/>
                <w:szCs w:val="18"/>
                <w:color w:val="auto"/>
              </w:rPr>
            </w:pPr>
          </w:p>
        </w:tc>
        <w:tc>
          <w:tcPr>
            <w:tcW w:w="100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5"/>
                <w:szCs w:val="15"/>
                <w:color w:val="auto"/>
              </w:rPr>
              <w:t>(57.6)</w:t>
            </w:r>
          </w:p>
        </w:tc>
        <w:tc>
          <w:tcPr>
            <w:tcW w:w="120" w:type="dxa"/>
            <w:vAlign w:val="bottom"/>
            <w:tcBorders>
              <w:bottom w:val="single" w:sz="8" w:color="auto"/>
            </w:tcBorders>
            <w:shd w:val="clear" w:color="auto" w:fill="DCE2EF"/>
          </w:tcPr>
          <w:p>
            <w:pPr>
              <w:spacing w:after="0"/>
              <w:rPr>
                <w:sz w:val="18"/>
                <w:szCs w:val="18"/>
                <w:color w:val="auto"/>
              </w:rPr>
            </w:pPr>
          </w:p>
        </w:tc>
        <w:tc>
          <w:tcPr>
            <w:tcW w:w="100" w:type="dxa"/>
            <w:vAlign w:val="bottom"/>
            <w:shd w:val="clear" w:color="auto" w:fill="DCE2EF"/>
          </w:tcPr>
          <w:p>
            <w:pPr>
              <w:spacing w:after="0"/>
              <w:rPr>
                <w:sz w:val="18"/>
                <w:szCs w:val="18"/>
                <w:color w:val="auto"/>
              </w:rPr>
            </w:pPr>
          </w:p>
        </w:tc>
        <w:tc>
          <w:tcPr>
            <w:tcW w:w="320" w:type="dxa"/>
            <w:vAlign w:val="bottom"/>
            <w:tcBorders>
              <w:bottom w:val="single" w:sz="8" w:color="auto"/>
            </w:tcBorders>
            <w:shd w:val="clear" w:color="auto" w:fill="DCE2EF"/>
          </w:tcPr>
          <w:p>
            <w:pPr>
              <w:spacing w:after="0"/>
              <w:rPr>
                <w:sz w:val="18"/>
                <w:szCs w:val="18"/>
                <w:color w:val="auto"/>
              </w:rPr>
            </w:pPr>
          </w:p>
        </w:tc>
        <w:tc>
          <w:tcPr>
            <w:tcW w:w="1120" w:type="dxa"/>
            <w:vAlign w:val="bottom"/>
            <w:tcBorders>
              <w:bottom w:val="single" w:sz="8" w:color="auto"/>
            </w:tcBorders>
            <w:shd w:val="clear" w:color="auto" w:fill="DCE2EF"/>
          </w:tcPr>
          <w:p>
            <w:pPr>
              <w:jc w:val="right"/>
              <w:ind w:right="63"/>
              <w:spacing w:after="0"/>
              <w:rPr>
                <w:sz w:val="20"/>
                <w:szCs w:val="20"/>
                <w:color w:val="auto"/>
              </w:rPr>
            </w:pPr>
            <w:r>
              <w:rPr>
                <w:rFonts w:ascii="Arial" w:cs="Arial" w:eastAsia="Arial" w:hAnsi="Arial"/>
                <w:sz w:val="15"/>
                <w:szCs w:val="15"/>
                <w:color w:val="auto"/>
              </w:rPr>
              <w:t>(52.2)</w:t>
            </w:r>
          </w:p>
        </w:tc>
        <w:tc>
          <w:tcPr>
            <w:tcW w:w="100" w:type="dxa"/>
            <w:vAlign w:val="bottom"/>
            <w:shd w:val="clear" w:color="auto" w:fill="DCE2EF"/>
          </w:tcPr>
          <w:p>
            <w:pPr>
              <w:spacing w:after="0"/>
              <w:rPr>
                <w:sz w:val="18"/>
                <w:szCs w:val="18"/>
                <w:color w:val="auto"/>
              </w:rPr>
            </w:pPr>
          </w:p>
        </w:tc>
        <w:tc>
          <w:tcPr>
            <w:tcW w:w="340" w:type="dxa"/>
            <w:vAlign w:val="bottom"/>
            <w:tcBorders>
              <w:bottom w:val="single" w:sz="8" w:color="auto"/>
            </w:tcBorders>
            <w:shd w:val="clear" w:color="auto" w:fill="DCE2EF"/>
          </w:tcPr>
          <w:p>
            <w:pPr>
              <w:spacing w:after="0"/>
              <w:rPr>
                <w:sz w:val="18"/>
                <w:szCs w:val="18"/>
                <w:color w:val="auto"/>
              </w:rPr>
            </w:pPr>
          </w:p>
        </w:tc>
        <w:tc>
          <w:tcPr>
            <w:tcW w:w="1120" w:type="dxa"/>
            <w:vAlign w:val="bottom"/>
            <w:tcBorders>
              <w:bottom w:val="single" w:sz="8" w:color="auto"/>
            </w:tcBorders>
            <w:shd w:val="clear" w:color="auto" w:fill="DCE2EF"/>
          </w:tcPr>
          <w:p>
            <w:pPr>
              <w:jc w:val="right"/>
              <w:ind w:right="63"/>
              <w:spacing w:after="0"/>
              <w:rPr>
                <w:sz w:val="20"/>
                <w:szCs w:val="20"/>
                <w:color w:val="auto"/>
              </w:rPr>
            </w:pPr>
            <w:r>
              <w:rPr>
                <w:rFonts w:ascii="Arial" w:cs="Arial" w:eastAsia="Arial" w:hAnsi="Arial"/>
                <w:sz w:val="15"/>
                <w:szCs w:val="15"/>
                <w:color w:val="auto"/>
              </w:rPr>
              <w:t>(79.7)</w:t>
            </w:r>
          </w:p>
        </w:tc>
        <w:tc>
          <w:tcPr>
            <w:tcW w:w="100" w:type="dxa"/>
            <w:vAlign w:val="bottom"/>
            <w:shd w:val="clear" w:color="auto" w:fill="DCE2EF"/>
          </w:tcPr>
          <w:p>
            <w:pPr>
              <w:spacing w:after="0"/>
              <w:rPr>
                <w:sz w:val="18"/>
                <w:szCs w:val="18"/>
                <w:color w:val="auto"/>
              </w:rPr>
            </w:pPr>
          </w:p>
        </w:tc>
        <w:tc>
          <w:tcPr>
            <w:tcW w:w="240" w:type="dxa"/>
            <w:vAlign w:val="bottom"/>
            <w:tcBorders>
              <w:bottom w:val="single" w:sz="8" w:color="auto"/>
            </w:tcBorders>
            <w:shd w:val="clear" w:color="auto" w:fill="DCE2EF"/>
          </w:tcPr>
          <w:p>
            <w:pPr>
              <w:spacing w:after="0"/>
              <w:rPr>
                <w:sz w:val="18"/>
                <w:szCs w:val="18"/>
                <w:color w:val="auto"/>
              </w:rPr>
            </w:pPr>
          </w:p>
        </w:tc>
        <w:tc>
          <w:tcPr>
            <w:tcW w:w="84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5"/>
                <w:szCs w:val="15"/>
                <w:color w:val="auto"/>
              </w:rPr>
              <w:t>(5.4)</w:t>
            </w:r>
          </w:p>
        </w:tc>
        <w:tc>
          <w:tcPr>
            <w:tcW w:w="1180" w:type="dxa"/>
            <w:vAlign w:val="bottom"/>
            <w:shd w:val="clear" w:color="auto" w:fill="DCE2EF"/>
          </w:tcPr>
          <w:p>
            <w:pPr>
              <w:jc w:val="center"/>
              <w:ind w:left="43"/>
              <w:spacing w:after="0"/>
              <w:rPr>
                <w:sz w:val="20"/>
                <w:szCs w:val="20"/>
                <w:color w:val="auto"/>
              </w:rPr>
            </w:pPr>
            <w:r>
              <w:rPr>
                <w:rFonts w:ascii="Arial" w:cs="Arial" w:eastAsia="Arial" w:hAnsi="Arial"/>
                <w:sz w:val="15"/>
                <w:szCs w:val="15"/>
                <w:color w:val="auto"/>
              </w:rPr>
              <w:t>(10.2)%</w:t>
            </w:r>
          </w:p>
        </w:tc>
      </w:tr>
      <w:tr>
        <w:trPr>
          <w:trHeight w:val="199"/>
        </w:trPr>
        <w:tc>
          <w:tcPr>
            <w:tcW w:w="4340" w:type="dxa"/>
            <w:vAlign w:val="bottom"/>
            <w:tcBorders>
              <w:bottom w:val="single" w:sz="8" w:color="DCE2EF"/>
            </w:tcBorders>
            <w:gridSpan w:val="3"/>
          </w:tcPr>
          <w:p>
            <w:pPr>
              <w:ind w:left="20"/>
              <w:spacing w:after="0"/>
              <w:rPr>
                <w:sz w:val="20"/>
                <w:szCs w:val="20"/>
                <w:color w:val="auto"/>
              </w:rPr>
            </w:pPr>
            <w:r>
              <w:rPr>
                <w:rFonts w:ascii="Arial" w:cs="Arial" w:eastAsia="Arial" w:hAnsi="Arial"/>
                <w:sz w:val="15"/>
                <w:szCs w:val="15"/>
                <w:b w:val="1"/>
                <w:bCs w:val="1"/>
                <w:color w:val="auto"/>
              </w:rPr>
              <w:t>Net income</w:t>
            </w: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162.4</w:t>
            </w: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DCE2E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color w:val="auto"/>
              </w:rPr>
              <w:t>81.4</w:t>
            </w:r>
          </w:p>
        </w:tc>
        <w:tc>
          <w:tcPr>
            <w:tcW w:w="100" w:type="dxa"/>
            <w:vAlign w:val="bottom"/>
            <w:tcBorders>
              <w:bottom w:val="single" w:sz="8" w:color="DCE2E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rPr>
              <w:t>251.3</w:t>
            </w:r>
          </w:p>
        </w:tc>
        <w:tc>
          <w:tcPr>
            <w:tcW w:w="100" w:type="dxa"/>
            <w:vAlign w:val="bottom"/>
            <w:tcBorders>
              <w:bottom w:val="single" w:sz="8" w:color="DCE2E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81.0</w:t>
            </w:r>
          </w:p>
        </w:tc>
        <w:tc>
          <w:tcPr>
            <w:tcW w:w="1180" w:type="dxa"/>
            <w:vAlign w:val="bottom"/>
            <w:tcBorders>
              <w:bottom w:val="single" w:sz="8" w:color="DCE2EF"/>
            </w:tcBorders>
          </w:tcPr>
          <w:p>
            <w:pPr>
              <w:jc w:val="center"/>
              <w:ind w:left="23"/>
              <w:spacing w:after="0"/>
              <w:rPr>
                <w:sz w:val="20"/>
                <w:szCs w:val="20"/>
                <w:color w:val="auto"/>
              </w:rPr>
            </w:pPr>
            <w:r>
              <w:rPr>
                <w:rFonts w:ascii="Arial" w:cs="Arial" w:eastAsia="Arial" w:hAnsi="Arial"/>
                <w:sz w:val="15"/>
                <w:szCs w:val="15"/>
                <w:color w:val="auto"/>
              </w:rPr>
              <w:t>99.6%</w:t>
            </w:r>
          </w:p>
        </w:tc>
      </w:tr>
      <w:tr>
        <w:trPr>
          <w:trHeight w:val="186"/>
        </w:trPr>
        <w:tc>
          <w:tcPr>
            <w:tcW w:w="4340" w:type="dxa"/>
            <w:vAlign w:val="bottom"/>
            <w:gridSpan w:val="3"/>
            <w:shd w:val="clear" w:color="auto" w:fill="DCE2EF"/>
          </w:tcPr>
          <w:p>
            <w:pPr>
              <w:ind w:left="20"/>
              <w:spacing w:after="0"/>
              <w:rPr>
                <w:sz w:val="20"/>
                <w:szCs w:val="20"/>
                <w:color w:val="auto"/>
              </w:rPr>
            </w:pPr>
            <w:r>
              <w:rPr>
                <w:rFonts w:ascii="Arial" w:cs="Arial" w:eastAsia="Arial" w:hAnsi="Arial"/>
                <w:sz w:val="15"/>
                <w:szCs w:val="15"/>
                <w:color w:val="auto"/>
              </w:rPr>
              <w:t>Other comprehensive (loss)/income</w:t>
            </w:r>
          </w:p>
        </w:tc>
        <w:tc>
          <w:tcPr>
            <w:tcW w:w="320" w:type="dxa"/>
            <w:vAlign w:val="bottom"/>
            <w:shd w:val="clear" w:color="auto" w:fill="DCE2EF"/>
          </w:tcPr>
          <w:p>
            <w:pPr>
              <w:spacing w:after="0"/>
              <w:rPr>
                <w:sz w:val="16"/>
                <w:szCs w:val="16"/>
                <w:color w:val="auto"/>
              </w:rPr>
            </w:pPr>
          </w:p>
        </w:tc>
        <w:tc>
          <w:tcPr>
            <w:tcW w:w="1000" w:type="dxa"/>
            <w:vAlign w:val="bottom"/>
            <w:shd w:val="clear" w:color="auto" w:fill="DCE2EF"/>
          </w:tcPr>
          <w:p>
            <w:pPr>
              <w:spacing w:after="0"/>
              <w:rPr>
                <w:sz w:val="16"/>
                <w:szCs w:val="16"/>
                <w:color w:val="auto"/>
              </w:rPr>
            </w:pPr>
          </w:p>
        </w:tc>
        <w:tc>
          <w:tcPr>
            <w:tcW w:w="120" w:type="dxa"/>
            <w:vAlign w:val="bottom"/>
            <w:shd w:val="clear" w:color="auto" w:fill="DCE2EF"/>
          </w:tcPr>
          <w:p>
            <w:pPr>
              <w:spacing w:after="0"/>
              <w:rPr>
                <w:sz w:val="16"/>
                <w:szCs w:val="16"/>
                <w:color w:val="auto"/>
              </w:rPr>
            </w:pPr>
          </w:p>
        </w:tc>
        <w:tc>
          <w:tcPr>
            <w:tcW w:w="100" w:type="dxa"/>
            <w:vAlign w:val="bottom"/>
            <w:shd w:val="clear" w:color="auto" w:fill="DCE2EF"/>
          </w:tcPr>
          <w:p>
            <w:pPr>
              <w:spacing w:after="0"/>
              <w:rPr>
                <w:sz w:val="16"/>
                <w:szCs w:val="16"/>
                <w:color w:val="auto"/>
              </w:rPr>
            </w:pPr>
          </w:p>
        </w:tc>
        <w:tc>
          <w:tcPr>
            <w:tcW w:w="320" w:type="dxa"/>
            <w:vAlign w:val="bottom"/>
            <w:shd w:val="clear" w:color="auto" w:fill="DCE2EF"/>
          </w:tcPr>
          <w:p>
            <w:pPr>
              <w:spacing w:after="0"/>
              <w:rPr>
                <w:sz w:val="16"/>
                <w:szCs w:val="16"/>
                <w:color w:val="auto"/>
              </w:rPr>
            </w:pPr>
          </w:p>
        </w:tc>
        <w:tc>
          <w:tcPr>
            <w:tcW w:w="1120" w:type="dxa"/>
            <w:vAlign w:val="bottom"/>
            <w:shd w:val="clear" w:color="auto" w:fill="DCE2EF"/>
          </w:tcPr>
          <w:p>
            <w:pPr>
              <w:spacing w:after="0"/>
              <w:rPr>
                <w:sz w:val="16"/>
                <w:szCs w:val="16"/>
                <w:color w:val="auto"/>
              </w:rPr>
            </w:pPr>
          </w:p>
        </w:tc>
        <w:tc>
          <w:tcPr>
            <w:tcW w:w="100" w:type="dxa"/>
            <w:vAlign w:val="bottom"/>
            <w:shd w:val="clear" w:color="auto" w:fill="DCE2EF"/>
          </w:tcPr>
          <w:p>
            <w:pPr>
              <w:spacing w:after="0"/>
              <w:rPr>
                <w:sz w:val="16"/>
                <w:szCs w:val="16"/>
                <w:color w:val="auto"/>
              </w:rPr>
            </w:pPr>
          </w:p>
        </w:tc>
        <w:tc>
          <w:tcPr>
            <w:tcW w:w="340" w:type="dxa"/>
            <w:vAlign w:val="bottom"/>
            <w:shd w:val="clear" w:color="auto" w:fill="DCE2EF"/>
          </w:tcPr>
          <w:p>
            <w:pPr>
              <w:spacing w:after="0"/>
              <w:rPr>
                <w:sz w:val="16"/>
                <w:szCs w:val="16"/>
                <w:color w:val="auto"/>
              </w:rPr>
            </w:pPr>
          </w:p>
        </w:tc>
        <w:tc>
          <w:tcPr>
            <w:tcW w:w="1120" w:type="dxa"/>
            <w:vAlign w:val="bottom"/>
            <w:shd w:val="clear" w:color="auto" w:fill="DCE2EF"/>
          </w:tcPr>
          <w:p>
            <w:pPr>
              <w:spacing w:after="0"/>
              <w:rPr>
                <w:sz w:val="16"/>
                <w:szCs w:val="16"/>
                <w:color w:val="auto"/>
              </w:rPr>
            </w:pPr>
          </w:p>
        </w:tc>
        <w:tc>
          <w:tcPr>
            <w:tcW w:w="100" w:type="dxa"/>
            <w:vAlign w:val="bottom"/>
            <w:shd w:val="clear" w:color="auto" w:fill="DCE2EF"/>
          </w:tcPr>
          <w:p>
            <w:pPr>
              <w:spacing w:after="0"/>
              <w:rPr>
                <w:sz w:val="16"/>
                <w:szCs w:val="16"/>
                <w:color w:val="auto"/>
              </w:rPr>
            </w:pPr>
          </w:p>
        </w:tc>
        <w:tc>
          <w:tcPr>
            <w:tcW w:w="240" w:type="dxa"/>
            <w:vAlign w:val="bottom"/>
            <w:shd w:val="clear" w:color="auto" w:fill="DCE2EF"/>
          </w:tcPr>
          <w:p>
            <w:pPr>
              <w:spacing w:after="0"/>
              <w:rPr>
                <w:sz w:val="16"/>
                <w:szCs w:val="16"/>
                <w:color w:val="auto"/>
              </w:rPr>
            </w:pPr>
          </w:p>
        </w:tc>
        <w:tc>
          <w:tcPr>
            <w:tcW w:w="840" w:type="dxa"/>
            <w:vAlign w:val="bottom"/>
            <w:shd w:val="clear" w:color="auto" w:fill="DCE2EF"/>
          </w:tcPr>
          <w:p>
            <w:pPr>
              <w:spacing w:after="0"/>
              <w:rPr>
                <w:sz w:val="16"/>
                <w:szCs w:val="16"/>
                <w:color w:val="auto"/>
              </w:rPr>
            </w:pPr>
          </w:p>
        </w:tc>
        <w:tc>
          <w:tcPr>
            <w:tcW w:w="1180" w:type="dxa"/>
            <w:vAlign w:val="bottom"/>
            <w:shd w:val="clear" w:color="auto" w:fill="DCE2EF"/>
          </w:tcPr>
          <w:p>
            <w:pPr>
              <w:spacing w:after="0"/>
              <w:rPr>
                <w:sz w:val="16"/>
                <w:szCs w:val="16"/>
                <w:color w:val="auto"/>
              </w:rPr>
            </w:pPr>
          </w:p>
        </w:tc>
      </w:tr>
      <w:tr>
        <w:trPr>
          <w:trHeight w:val="205"/>
        </w:trPr>
        <w:tc>
          <w:tcPr>
            <w:tcW w:w="20" w:type="dxa"/>
            <w:vAlign w:val="bottom"/>
          </w:tcPr>
          <w:p>
            <w:pPr>
              <w:spacing w:after="0"/>
              <w:rPr>
                <w:sz w:val="17"/>
                <w:szCs w:val="17"/>
                <w:color w:val="auto"/>
              </w:rPr>
            </w:pPr>
          </w:p>
        </w:tc>
        <w:tc>
          <w:tcPr>
            <w:tcW w:w="4320" w:type="dxa"/>
            <w:vAlign w:val="bottom"/>
            <w:gridSpan w:val="2"/>
          </w:tcPr>
          <w:p>
            <w:pPr>
              <w:ind w:left="460"/>
              <w:spacing w:after="0"/>
              <w:rPr>
                <w:sz w:val="20"/>
                <w:szCs w:val="20"/>
                <w:color w:val="auto"/>
              </w:rPr>
            </w:pPr>
            <w:r>
              <w:rPr>
                <w:rFonts w:ascii="Arial" w:cs="Arial" w:eastAsia="Arial" w:hAnsi="Arial"/>
                <w:sz w:val="15"/>
                <w:szCs w:val="15"/>
                <w:color w:val="auto"/>
              </w:rPr>
              <w:t>Interest rate swaps</w:t>
            </w: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(9.3)</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ind w:right="63"/>
              <w:spacing w:after="0"/>
              <w:rPr>
                <w:sz w:val="20"/>
                <w:szCs w:val="20"/>
                <w:color w:val="auto"/>
              </w:rPr>
            </w:pPr>
            <w:r>
              <w:rPr>
                <w:rFonts w:ascii="Arial" w:cs="Arial" w:eastAsia="Arial" w:hAnsi="Arial"/>
                <w:sz w:val="15"/>
                <w:szCs w:val="15"/>
                <w:color w:val="auto"/>
              </w:rPr>
              <w:t>(22.9)</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ind w:right="63"/>
              <w:spacing w:after="0"/>
              <w:rPr>
                <w:sz w:val="20"/>
                <w:szCs w:val="20"/>
                <w:color w:val="auto"/>
              </w:rPr>
            </w:pPr>
            <w:r>
              <w:rPr>
                <w:rFonts w:ascii="Arial" w:cs="Arial" w:eastAsia="Arial" w:hAnsi="Arial"/>
                <w:sz w:val="15"/>
                <w:szCs w:val="15"/>
                <w:color w:val="auto"/>
              </w:rPr>
              <w:t>(0.5)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13.6</w:t>
            </w:r>
          </w:p>
        </w:tc>
        <w:tc>
          <w:tcPr>
            <w:tcW w:w="1180" w:type="dxa"/>
            <w:vAlign w:val="bottom"/>
          </w:tcPr>
          <w:p>
            <w:pPr>
              <w:jc w:val="center"/>
              <w:ind w:left="43"/>
              <w:spacing w:after="0"/>
              <w:rPr>
                <w:sz w:val="20"/>
                <w:szCs w:val="20"/>
                <w:color w:val="auto"/>
              </w:rPr>
            </w:pPr>
            <w:r>
              <w:rPr>
                <w:rFonts w:ascii="Arial" w:cs="Arial" w:eastAsia="Arial" w:hAnsi="Arial"/>
                <w:sz w:val="15"/>
                <w:szCs w:val="15"/>
                <w:color w:val="auto"/>
              </w:rPr>
              <w:t>(59.3)%</w:t>
            </w:r>
          </w:p>
        </w:tc>
      </w:tr>
      <w:tr>
        <w:trPr>
          <w:trHeight w:val="207"/>
        </w:trPr>
        <w:tc>
          <w:tcPr>
            <w:tcW w:w="20" w:type="dxa"/>
            <w:vAlign w:val="bottom"/>
            <w:shd w:val="clear" w:color="auto" w:fill="DCE2EF"/>
          </w:tcPr>
          <w:p>
            <w:pPr>
              <w:spacing w:after="0"/>
              <w:rPr>
                <w:sz w:val="18"/>
                <w:szCs w:val="18"/>
                <w:color w:val="auto"/>
              </w:rPr>
            </w:pPr>
          </w:p>
        </w:tc>
        <w:tc>
          <w:tcPr>
            <w:tcW w:w="4320" w:type="dxa"/>
            <w:vAlign w:val="bottom"/>
            <w:gridSpan w:val="2"/>
            <w:shd w:val="clear" w:color="auto" w:fill="DCE2EF"/>
          </w:tcPr>
          <w:p>
            <w:pPr>
              <w:ind w:left="460"/>
              <w:spacing w:after="0"/>
              <w:rPr>
                <w:sz w:val="20"/>
                <w:szCs w:val="20"/>
                <w:color w:val="auto"/>
              </w:rPr>
            </w:pPr>
            <w:r>
              <w:rPr>
                <w:rFonts w:ascii="Arial" w:cs="Arial" w:eastAsia="Arial" w:hAnsi="Arial"/>
                <w:sz w:val="15"/>
                <w:szCs w:val="15"/>
                <w:color w:val="auto"/>
              </w:rPr>
              <w:t>Foreign currency translation and other</w:t>
            </w:r>
          </w:p>
        </w:tc>
        <w:tc>
          <w:tcPr>
            <w:tcW w:w="320" w:type="dxa"/>
            <w:vAlign w:val="bottom"/>
            <w:shd w:val="clear" w:color="auto" w:fill="DCE2EF"/>
          </w:tcPr>
          <w:p>
            <w:pPr>
              <w:spacing w:after="0"/>
              <w:rPr>
                <w:sz w:val="18"/>
                <w:szCs w:val="18"/>
                <w:color w:val="auto"/>
              </w:rPr>
            </w:pPr>
          </w:p>
        </w:tc>
        <w:tc>
          <w:tcPr>
            <w:tcW w:w="1000" w:type="dxa"/>
            <w:vAlign w:val="bottom"/>
            <w:shd w:val="clear" w:color="auto" w:fill="DCE2EF"/>
          </w:tcPr>
          <w:p>
            <w:pPr>
              <w:jc w:val="right"/>
              <w:spacing w:after="0"/>
              <w:rPr>
                <w:sz w:val="20"/>
                <w:szCs w:val="20"/>
                <w:color w:val="auto"/>
              </w:rPr>
            </w:pPr>
            <w:r>
              <w:rPr>
                <w:rFonts w:ascii="Arial" w:cs="Arial" w:eastAsia="Arial" w:hAnsi="Arial"/>
                <w:sz w:val="15"/>
                <w:szCs w:val="15"/>
                <w:color w:val="auto"/>
              </w:rPr>
              <w:t>5.5</w:t>
            </w:r>
          </w:p>
        </w:tc>
        <w:tc>
          <w:tcPr>
            <w:tcW w:w="120" w:type="dxa"/>
            <w:vAlign w:val="bottom"/>
            <w:shd w:val="clear" w:color="auto" w:fill="DCE2EF"/>
          </w:tcPr>
          <w:p>
            <w:pPr>
              <w:spacing w:after="0"/>
              <w:rPr>
                <w:sz w:val="18"/>
                <w:szCs w:val="18"/>
                <w:color w:val="auto"/>
              </w:rPr>
            </w:pPr>
          </w:p>
        </w:tc>
        <w:tc>
          <w:tcPr>
            <w:tcW w:w="100" w:type="dxa"/>
            <w:vAlign w:val="bottom"/>
            <w:shd w:val="clear" w:color="auto" w:fill="DCE2EF"/>
          </w:tcPr>
          <w:p>
            <w:pPr>
              <w:spacing w:after="0"/>
              <w:rPr>
                <w:sz w:val="18"/>
                <w:szCs w:val="18"/>
                <w:color w:val="auto"/>
              </w:rPr>
            </w:pPr>
          </w:p>
        </w:tc>
        <w:tc>
          <w:tcPr>
            <w:tcW w:w="320" w:type="dxa"/>
            <w:vAlign w:val="bottom"/>
            <w:shd w:val="clear" w:color="auto" w:fill="DCE2EF"/>
          </w:tcPr>
          <w:p>
            <w:pPr>
              <w:spacing w:after="0"/>
              <w:rPr>
                <w:sz w:val="18"/>
                <w:szCs w:val="18"/>
                <w:color w:val="auto"/>
              </w:rPr>
            </w:pPr>
          </w:p>
        </w:tc>
        <w:tc>
          <w:tcPr>
            <w:tcW w:w="1120" w:type="dxa"/>
            <w:vAlign w:val="bottom"/>
            <w:shd w:val="clear" w:color="auto" w:fill="DCE2EF"/>
          </w:tcPr>
          <w:p>
            <w:pPr>
              <w:jc w:val="right"/>
              <w:ind w:right="103"/>
              <w:spacing w:after="0"/>
              <w:rPr>
                <w:sz w:val="20"/>
                <w:szCs w:val="20"/>
                <w:color w:val="auto"/>
              </w:rPr>
            </w:pPr>
            <w:r>
              <w:rPr>
                <w:rFonts w:ascii="Arial" w:cs="Arial" w:eastAsia="Arial" w:hAnsi="Arial"/>
                <w:sz w:val="15"/>
                <w:szCs w:val="15"/>
                <w:color w:val="auto"/>
              </w:rPr>
              <w:t>6.8</w:t>
            </w:r>
          </w:p>
        </w:tc>
        <w:tc>
          <w:tcPr>
            <w:tcW w:w="100" w:type="dxa"/>
            <w:vAlign w:val="bottom"/>
            <w:shd w:val="clear" w:color="auto" w:fill="DCE2EF"/>
          </w:tcPr>
          <w:p>
            <w:pPr>
              <w:spacing w:after="0"/>
              <w:rPr>
                <w:sz w:val="18"/>
                <w:szCs w:val="18"/>
                <w:color w:val="auto"/>
              </w:rPr>
            </w:pPr>
          </w:p>
        </w:tc>
        <w:tc>
          <w:tcPr>
            <w:tcW w:w="340" w:type="dxa"/>
            <w:vAlign w:val="bottom"/>
            <w:shd w:val="clear" w:color="auto" w:fill="DCE2EF"/>
          </w:tcPr>
          <w:p>
            <w:pPr>
              <w:spacing w:after="0"/>
              <w:rPr>
                <w:sz w:val="18"/>
                <w:szCs w:val="18"/>
                <w:color w:val="auto"/>
              </w:rPr>
            </w:pPr>
          </w:p>
        </w:tc>
        <w:tc>
          <w:tcPr>
            <w:tcW w:w="1120" w:type="dxa"/>
            <w:vAlign w:val="bottom"/>
            <w:shd w:val="clear" w:color="auto" w:fill="DCE2EF"/>
          </w:tcPr>
          <w:p>
            <w:pPr>
              <w:jc w:val="right"/>
              <w:ind w:right="123"/>
              <w:spacing w:after="0"/>
              <w:rPr>
                <w:sz w:val="20"/>
                <w:szCs w:val="20"/>
                <w:color w:val="auto"/>
              </w:rPr>
            </w:pPr>
            <w:r>
              <w:rPr>
                <w:rFonts w:ascii="Arial" w:cs="Arial" w:eastAsia="Arial" w:hAnsi="Arial"/>
                <w:sz w:val="15"/>
                <w:szCs w:val="15"/>
                <w:color w:val="auto"/>
              </w:rPr>
              <w:t>7.3</w:t>
            </w:r>
          </w:p>
        </w:tc>
        <w:tc>
          <w:tcPr>
            <w:tcW w:w="100" w:type="dxa"/>
            <w:vAlign w:val="bottom"/>
            <w:shd w:val="clear" w:color="auto" w:fill="DCE2EF"/>
          </w:tcPr>
          <w:p>
            <w:pPr>
              <w:spacing w:after="0"/>
              <w:rPr>
                <w:sz w:val="18"/>
                <w:szCs w:val="18"/>
                <w:color w:val="auto"/>
              </w:rPr>
            </w:pPr>
          </w:p>
        </w:tc>
        <w:tc>
          <w:tcPr>
            <w:tcW w:w="240" w:type="dxa"/>
            <w:vAlign w:val="bottom"/>
            <w:shd w:val="clear" w:color="auto" w:fill="DCE2EF"/>
          </w:tcPr>
          <w:p>
            <w:pPr>
              <w:spacing w:after="0"/>
              <w:rPr>
                <w:sz w:val="18"/>
                <w:szCs w:val="18"/>
                <w:color w:val="auto"/>
              </w:rPr>
            </w:pPr>
          </w:p>
        </w:tc>
        <w:tc>
          <w:tcPr>
            <w:tcW w:w="840" w:type="dxa"/>
            <w:vAlign w:val="bottom"/>
            <w:shd w:val="clear" w:color="auto" w:fill="DCE2EF"/>
          </w:tcPr>
          <w:p>
            <w:pPr>
              <w:jc w:val="right"/>
              <w:spacing w:after="0"/>
              <w:rPr>
                <w:sz w:val="20"/>
                <w:szCs w:val="20"/>
                <w:color w:val="auto"/>
              </w:rPr>
            </w:pPr>
            <w:r>
              <w:rPr>
                <w:rFonts w:ascii="Arial" w:cs="Arial" w:eastAsia="Arial" w:hAnsi="Arial"/>
                <w:sz w:val="15"/>
                <w:szCs w:val="15"/>
                <w:color w:val="auto"/>
              </w:rPr>
              <w:t>(1.3)</w:t>
            </w:r>
          </w:p>
        </w:tc>
        <w:tc>
          <w:tcPr>
            <w:tcW w:w="1180" w:type="dxa"/>
            <w:vAlign w:val="bottom"/>
            <w:shd w:val="clear" w:color="auto" w:fill="DCE2EF"/>
          </w:tcPr>
          <w:p>
            <w:pPr>
              <w:jc w:val="center"/>
              <w:ind w:left="43"/>
              <w:spacing w:after="0"/>
              <w:rPr>
                <w:sz w:val="20"/>
                <w:szCs w:val="20"/>
                <w:color w:val="auto"/>
              </w:rPr>
            </w:pPr>
            <w:r>
              <w:rPr>
                <w:rFonts w:ascii="Arial" w:cs="Arial" w:eastAsia="Arial" w:hAnsi="Arial"/>
                <w:sz w:val="15"/>
                <w:szCs w:val="15"/>
                <w:color w:val="auto"/>
              </w:rPr>
              <w:t>(19.5)%</w:t>
            </w:r>
          </w:p>
        </w:tc>
      </w:tr>
      <w:tr>
        <w:trPr>
          <w:trHeight w:val="205"/>
        </w:trPr>
        <w:tc>
          <w:tcPr>
            <w:tcW w:w="20" w:type="dxa"/>
            <w:vAlign w:val="bottom"/>
            <w:tcBorders>
              <w:bottom w:val="single" w:sz="8" w:color="DCE2EF"/>
            </w:tcBorders>
          </w:tcPr>
          <w:p>
            <w:pPr>
              <w:spacing w:after="0"/>
              <w:rPr>
                <w:sz w:val="17"/>
                <w:szCs w:val="17"/>
                <w:color w:val="auto"/>
              </w:rPr>
            </w:pPr>
          </w:p>
        </w:tc>
        <w:tc>
          <w:tcPr>
            <w:tcW w:w="4320" w:type="dxa"/>
            <w:vAlign w:val="bottom"/>
            <w:tcBorders>
              <w:bottom w:val="single" w:sz="8" w:color="DCE2EF"/>
            </w:tcBorders>
            <w:gridSpan w:val="2"/>
          </w:tcPr>
          <w:p>
            <w:pPr>
              <w:ind w:left="460"/>
              <w:spacing w:after="0"/>
              <w:rPr>
                <w:sz w:val="20"/>
                <w:szCs w:val="20"/>
                <w:color w:val="auto"/>
              </w:rPr>
            </w:pPr>
            <w:r>
              <w:rPr>
                <w:rFonts w:ascii="Arial" w:cs="Arial" w:eastAsia="Arial" w:hAnsi="Arial"/>
                <w:sz w:val="15"/>
                <w:szCs w:val="15"/>
                <w:color w:val="auto"/>
              </w:rPr>
              <w:t>Income tax provision</w:t>
            </w: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2.4</w:t>
            </w: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DCE2E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color w:val="auto"/>
              </w:rPr>
              <w:t>6.3</w:t>
            </w:r>
          </w:p>
        </w:tc>
        <w:tc>
          <w:tcPr>
            <w:tcW w:w="100" w:type="dxa"/>
            <w:vAlign w:val="bottom"/>
            <w:tcBorders>
              <w:bottom w:val="single" w:sz="8" w:color="DCE2E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rPr>
              <w:t>0.1</w:t>
            </w:r>
          </w:p>
        </w:tc>
        <w:tc>
          <w:tcPr>
            <w:tcW w:w="100" w:type="dxa"/>
            <w:vAlign w:val="bottom"/>
            <w:tcBorders>
              <w:bottom w:val="single" w:sz="8" w:color="DCE2E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(3.9)</w:t>
            </w:r>
          </w:p>
        </w:tc>
        <w:tc>
          <w:tcPr>
            <w:tcW w:w="1180" w:type="dxa"/>
            <w:vAlign w:val="bottom"/>
            <w:tcBorders>
              <w:bottom w:val="single" w:sz="8" w:color="DCE2EF"/>
            </w:tcBorders>
          </w:tcPr>
          <w:p>
            <w:pPr>
              <w:jc w:val="center"/>
              <w:ind w:left="43"/>
              <w:spacing w:after="0"/>
              <w:rPr>
                <w:sz w:val="20"/>
                <w:szCs w:val="20"/>
                <w:color w:val="auto"/>
              </w:rPr>
            </w:pPr>
            <w:r>
              <w:rPr>
                <w:rFonts w:ascii="Arial" w:cs="Arial" w:eastAsia="Arial" w:hAnsi="Arial"/>
                <w:sz w:val="15"/>
                <w:szCs w:val="15"/>
                <w:color w:val="auto"/>
              </w:rPr>
              <w:t>(62.0)%</w:t>
            </w:r>
          </w:p>
        </w:tc>
      </w:tr>
      <w:tr>
        <w:trPr>
          <w:trHeight w:val="220"/>
        </w:trPr>
        <w:tc>
          <w:tcPr>
            <w:tcW w:w="4340" w:type="dxa"/>
            <w:vAlign w:val="bottom"/>
            <w:gridSpan w:val="3"/>
            <w:shd w:val="clear" w:color="auto" w:fill="DCE2EF"/>
          </w:tcPr>
          <w:p>
            <w:pPr>
              <w:ind w:left="20"/>
              <w:spacing w:after="0"/>
              <w:rPr>
                <w:sz w:val="20"/>
                <w:szCs w:val="20"/>
                <w:color w:val="auto"/>
              </w:rPr>
            </w:pPr>
            <w:r>
              <w:rPr>
                <w:rFonts w:ascii="Arial" w:cs="Arial" w:eastAsia="Arial" w:hAnsi="Arial"/>
                <w:sz w:val="15"/>
                <w:szCs w:val="15"/>
                <w:b w:val="1"/>
                <w:bCs w:val="1"/>
                <w:color w:val="auto"/>
              </w:rPr>
              <w:t>Comprehensive income</w:t>
            </w:r>
          </w:p>
        </w:tc>
        <w:tc>
          <w:tcPr>
            <w:tcW w:w="320" w:type="dxa"/>
            <w:vAlign w:val="bottom"/>
            <w:shd w:val="clear" w:color="auto" w:fill="DCE2EF"/>
          </w:tcPr>
          <w:p>
            <w:pPr>
              <w:jc w:val="right"/>
              <w:ind w:right="143"/>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DCE2EF"/>
          </w:tcPr>
          <w:p>
            <w:pPr>
              <w:jc w:val="right"/>
              <w:spacing w:after="0"/>
              <w:rPr>
                <w:sz w:val="20"/>
                <w:szCs w:val="20"/>
                <w:color w:val="auto"/>
              </w:rPr>
            </w:pPr>
            <w:r>
              <w:rPr>
                <w:rFonts w:ascii="Arial" w:cs="Arial" w:eastAsia="Arial" w:hAnsi="Arial"/>
                <w:sz w:val="15"/>
                <w:szCs w:val="15"/>
                <w:color w:val="auto"/>
              </w:rPr>
              <w:t>161.0</w:t>
            </w:r>
          </w:p>
        </w:tc>
        <w:tc>
          <w:tcPr>
            <w:tcW w:w="540" w:type="dxa"/>
            <w:vAlign w:val="bottom"/>
            <w:gridSpan w:val="3"/>
            <w:shd w:val="clear" w:color="auto" w:fill="DCE2EF"/>
          </w:tcPr>
          <w:p>
            <w:pPr>
              <w:jc w:val="right"/>
              <w:ind w:right="220"/>
              <w:spacing w:after="0"/>
              <w:rPr>
                <w:sz w:val="20"/>
                <w:szCs w:val="20"/>
                <w:color w:val="auto"/>
              </w:rPr>
            </w:pPr>
            <w:r>
              <w:rPr>
                <w:rFonts w:ascii="Arial" w:cs="Arial" w:eastAsia="Arial" w:hAnsi="Arial"/>
                <w:sz w:val="15"/>
                <w:szCs w:val="15"/>
                <w:color w:val="auto"/>
              </w:rPr>
              <w:t>$</w:t>
            </w:r>
          </w:p>
        </w:tc>
        <w:tc>
          <w:tcPr>
            <w:tcW w:w="1120" w:type="dxa"/>
            <w:vAlign w:val="bottom"/>
            <w:shd w:val="clear" w:color="auto" w:fill="DCE2EF"/>
          </w:tcPr>
          <w:p>
            <w:pPr>
              <w:jc w:val="right"/>
              <w:ind w:right="103"/>
              <w:spacing w:after="0"/>
              <w:rPr>
                <w:sz w:val="20"/>
                <w:szCs w:val="20"/>
                <w:color w:val="auto"/>
              </w:rPr>
            </w:pPr>
            <w:r>
              <w:rPr>
                <w:rFonts w:ascii="Arial" w:cs="Arial" w:eastAsia="Arial" w:hAnsi="Arial"/>
                <w:sz w:val="15"/>
                <w:szCs w:val="15"/>
                <w:color w:val="auto"/>
              </w:rPr>
              <w:t>71.6</w:t>
            </w:r>
          </w:p>
        </w:tc>
        <w:tc>
          <w:tcPr>
            <w:tcW w:w="100" w:type="dxa"/>
            <w:vAlign w:val="bottom"/>
            <w:shd w:val="clear" w:color="auto" w:fill="DCE2EF"/>
          </w:tcPr>
          <w:p>
            <w:pPr>
              <w:spacing w:after="0"/>
              <w:rPr>
                <w:sz w:val="19"/>
                <w:szCs w:val="19"/>
                <w:color w:val="auto"/>
              </w:rPr>
            </w:pPr>
          </w:p>
        </w:tc>
        <w:tc>
          <w:tcPr>
            <w:tcW w:w="340" w:type="dxa"/>
            <w:vAlign w:val="bottom"/>
            <w:shd w:val="clear" w:color="auto" w:fill="DCE2EF"/>
          </w:tcPr>
          <w:p>
            <w:pPr>
              <w:jc w:val="right"/>
              <w:ind w:right="143"/>
              <w:spacing w:after="0"/>
              <w:rPr>
                <w:sz w:val="20"/>
                <w:szCs w:val="20"/>
                <w:color w:val="auto"/>
              </w:rPr>
            </w:pPr>
            <w:r>
              <w:rPr>
                <w:rFonts w:ascii="Arial" w:cs="Arial" w:eastAsia="Arial" w:hAnsi="Arial"/>
                <w:sz w:val="15"/>
                <w:szCs w:val="15"/>
                <w:color w:val="auto"/>
              </w:rPr>
              <w:t>$</w:t>
            </w:r>
          </w:p>
        </w:tc>
        <w:tc>
          <w:tcPr>
            <w:tcW w:w="1120" w:type="dxa"/>
            <w:vAlign w:val="bottom"/>
            <w:shd w:val="clear" w:color="auto" w:fill="DCE2EF"/>
          </w:tcPr>
          <w:p>
            <w:pPr>
              <w:jc w:val="right"/>
              <w:ind w:right="123"/>
              <w:spacing w:after="0"/>
              <w:rPr>
                <w:sz w:val="20"/>
                <w:szCs w:val="20"/>
                <w:color w:val="auto"/>
              </w:rPr>
            </w:pPr>
            <w:r>
              <w:rPr>
                <w:rFonts w:ascii="Arial" w:cs="Arial" w:eastAsia="Arial" w:hAnsi="Arial"/>
                <w:sz w:val="15"/>
                <w:szCs w:val="15"/>
                <w:color w:val="auto"/>
              </w:rPr>
              <w:t>258.1</w:t>
            </w:r>
          </w:p>
        </w:tc>
        <w:tc>
          <w:tcPr>
            <w:tcW w:w="100" w:type="dxa"/>
            <w:vAlign w:val="bottom"/>
            <w:shd w:val="clear" w:color="auto" w:fill="DCE2EF"/>
          </w:tcPr>
          <w:p>
            <w:pPr>
              <w:spacing w:after="0"/>
              <w:rPr>
                <w:sz w:val="19"/>
                <w:szCs w:val="19"/>
                <w:color w:val="auto"/>
              </w:rPr>
            </w:pPr>
          </w:p>
        </w:tc>
        <w:tc>
          <w:tcPr>
            <w:tcW w:w="240" w:type="dxa"/>
            <w:vAlign w:val="bottom"/>
            <w:shd w:val="clear" w:color="auto" w:fill="DCE2EF"/>
          </w:tcPr>
          <w:p>
            <w:pPr>
              <w:jc w:val="right"/>
              <w:ind w:right="63"/>
              <w:spacing w:after="0"/>
              <w:rPr>
                <w:sz w:val="20"/>
                <w:szCs w:val="20"/>
                <w:color w:val="auto"/>
              </w:rPr>
            </w:pPr>
            <w:r>
              <w:rPr>
                <w:rFonts w:ascii="Arial" w:cs="Arial" w:eastAsia="Arial" w:hAnsi="Arial"/>
                <w:sz w:val="15"/>
                <w:szCs w:val="15"/>
                <w:color w:val="auto"/>
                <w:w w:val="95"/>
              </w:rPr>
              <w:t>$</w:t>
            </w:r>
          </w:p>
        </w:tc>
        <w:tc>
          <w:tcPr>
            <w:tcW w:w="840" w:type="dxa"/>
            <w:vAlign w:val="bottom"/>
            <w:shd w:val="clear" w:color="auto" w:fill="DCE2EF"/>
          </w:tcPr>
          <w:p>
            <w:pPr>
              <w:jc w:val="right"/>
              <w:spacing w:after="0"/>
              <w:rPr>
                <w:sz w:val="20"/>
                <w:szCs w:val="20"/>
                <w:color w:val="auto"/>
              </w:rPr>
            </w:pPr>
            <w:r>
              <w:rPr>
                <w:rFonts w:ascii="Arial" w:cs="Arial" w:eastAsia="Arial" w:hAnsi="Arial"/>
                <w:sz w:val="15"/>
                <w:szCs w:val="15"/>
                <w:color w:val="auto"/>
              </w:rPr>
              <w:t>89.4</w:t>
            </w:r>
          </w:p>
        </w:tc>
        <w:tc>
          <w:tcPr>
            <w:tcW w:w="1180" w:type="dxa"/>
            <w:vAlign w:val="bottom"/>
            <w:shd w:val="clear" w:color="auto" w:fill="DCE2EF"/>
          </w:tcPr>
          <w:p>
            <w:pPr>
              <w:ind w:left="500"/>
              <w:spacing w:after="0"/>
              <w:rPr>
                <w:sz w:val="20"/>
                <w:szCs w:val="20"/>
                <w:color w:val="auto"/>
              </w:rPr>
            </w:pPr>
            <w:r>
              <w:rPr>
                <w:rFonts w:ascii="Arial" w:cs="Arial" w:eastAsia="Arial" w:hAnsi="Arial"/>
                <w:sz w:val="15"/>
                <w:szCs w:val="15"/>
                <w:color w:val="auto"/>
              </w:rPr>
              <w:t>NM*</w:t>
            </w:r>
          </w:p>
        </w:tc>
      </w:tr>
      <w:tr>
        <w:trPr>
          <w:trHeight w:val="20"/>
        </w:trPr>
        <w:tc>
          <w:tcPr>
            <w:tcW w:w="20" w:type="dxa"/>
            <w:vAlign w:val="bottom"/>
            <w:tcBorders>
              <w:top w:val="single" w:sz="8" w:color="DCE2EF"/>
            </w:tcBorders>
          </w:tcPr>
          <w:p>
            <w:pPr>
              <w:spacing w:after="0" w:line="20" w:lineRule="exact"/>
              <w:rPr>
                <w:sz w:val="1"/>
                <w:szCs w:val="1"/>
                <w:color w:val="auto"/>
              </w:rPr>
            </w:pPr>
          </w:p>
        </w:tc>
        <w:tc>
          <w:tcPr>
            <w:tcW w:w="780" w:type="dxa"/>
            <w:vAlign w:val="bottom"/>
            <w:tcBorders>
              <w:top w:val="single" w:sz="8" w:color="DCE2EF"/>
            </w:tcBorders>
          </w:tcPr>
          <w:p>
            <w:pPr>
              <w:spacing w:after="0" w:line="20" w:lineRule="exact"/>
              <w:rPr>
                <w:sz w:val="1"/>
                <w:szCs w:val="1"/>
                <w:color w:val="auto"/>
              </w:rPr>
            </w:pPr>
          </w:p>
        </w:tc>
        <w:tc>
          <w:tcPr>
            <w:tcW w:w="3540" w:type="dxa"/>
            <w:vAlign w:val="bottom"/>
            <w:tcBorders>
              <w:top w:val="single" w:sz="8" w:color="DCE2E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CE2E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CE2E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CE2E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DCE2EF"/>
            </w:tcBorders>
          </w:tcPr>
          <w:p>
            <w:pPr>
              <w:spacing w:after="0" w:line="20" w:lineRule="exact"/>
              <w:rPr>
                <w:sz w:val="1"/>
                <w:szCs w:val="1"/>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15"/>
          <w:szCs w:val="15"/>
          <w:color w:val="auto"/>
        </w:rPr>
        <w:t>*Not meaningful</w:t>
      </w:r>
    </w:p>
    <w:p>
      <w:pPr>
        <w:spacing w:after="0" w:line="171" w:lineRule="exact"/>
        <w:rPr>
          <w:sz w:val="20"/>
          <w:szCs w:val="20"/>
          <w:color w:val="auto"/>
        </w:rPr>
      </w:pPr>
    </w:p>
    <w:p>
      <w:pPr>
        <w:ind w:right="4460"/>
        <w:spacing w:after="0" w:line="443" w:lineRule="auto"/>
        <w:rPr>
          <w:sz w:val="20"/>
          <w:szCs w:val="20"/>
          <w:color w:val="auto"/>
        </w:rPr>
      </w:pPr>
      <w:r>
        <w:rPr>
          <w:rFonts w:ascii="Arial" w:cs="Arial" w:eastAsia="Arial" w:hAnsi="Arial"/>
          <w:sz w:val="17"/>
          <w:szCs w:val="17"/>
          <w:b w:val="1"/>
          <w:bCs w:val="1"/>
          <w:i w:val="1"/>
          <w:iCs w:val="1"/>
          <w:color w:val="0046AD"/>
        </w:rPr>
        <w:t>The Year Ended October 31, 2025, Compared with the Year Ended October 31, 2024 Revenues</w:t>
      </w:r>
    </w:p>
    <w:p>
      <w:pPr>
        <w:jc w:val="both"/>
        <w:ind w:firstLine="619"/>
        <w:spacing w:after="0" w:line="262" w:lineRule="auto"/>
        <w:rPr>
          <w:sz w:val="20"/>
          <w:szCs w:val="20"/>
          <w:color w:val="auto"/>
        </w:rPr>
      </w:pPr>
      <w:r>
        <w:rPr>
          <w:rFonts w:ascii="Arial" w:cs="Arial" w:eastAsia="Arial" w:hAnsi="Arial"/>
          <w:sz w:val="17"/>
          <w:szCs w:val="17"/>
          <w:color w:val="auto"/>
        </w:rPr>
        <w:t>Revenues increased by $386.5 million, or 4.6%, to $ 8,745.9 million during 2025, as compared to 2024. Revenue growth was comprised of organic growth of 3.8% and acquisition growth of 0.8%. The organic revenue growth was due to the net new business and expansion of business with existing customers within Aviation, B&amp;I, M&amp;D, and Education and higher microgrid projects within Technical Solutions. The increase in revenues was partially offset by strategic pricing decisions on contract rebids within B&amp;I. Acquisition growth of $68.4 million was driven by revenue from the Quality Uptime and LMC acquisitions.</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46AD"/>
        </w:rPr>
        <w:t>Operating Expenses</w:t>
      </w:r>
    </w:p>
    <w:p>
      <w:pPr>
        <w:spacing w:after="0" w:line="165"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Operating expenses increased by $ 344.9 million, or 4.7%, to $7,670.8 million during 2025, as compared to 2024. Gross margin decreased by 7 bps to 12.3% in 2025, as compared to 12.4% in 2024. The decrease in gross margin was primarily driven by strategic pricing decisions within M&amp;D and B&amp;I as well as the management of contract escalation timing to maintain and expand certain customer accounts within B&amp;I. This was partially offset by operational efficiencies within Education and service mix within ATS.</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46AD"/>
        </w:rPr>
        <w:t>Selling, General and Administrative Expenses</w:t>
      </w:r>
    </w:p>
    <w:p>
      <w:pPr>
        <w:spacing w:after="0" w:line="165"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17"/>
          <w:szCs w:val="17"/>
          <w:color w:val="auto"/>
        </w:rPr>
        <w:t>Selling, general and administrative expenses decreased by $67.9 million, or 8.9%, to $697.4 million during 2025, as compared to 2024. The decrease in selling, general and administrative expenses was primarily attributable to:</w:t>
      </w:r>
    </w:p>
    <w:p>
      <w:pPr>
        <w:spacing w:after="0" w:line="95" w:lineRule="exact"/>
        <w:rPr>
          <w:sz w:val="20"/>
          <w:szCs w:val="20"/>
          <w:color w:val="auto"/>
        </w:rPr>
      </w:pPr>
    </w:p>
    <w:p>
      <w:pPr>
        <w:ind w:left="620" w:right="240" w:hanging="307"/>
        <w:spacing w:after="0" w:line="290" w:lineRule="auto"/>
        <w:tabs>
          <w:tab w:leader="none" w:pos="616" w:val="left"/>
        </w:tabs>
        <w:numPr>
          <w:ilvl w:val="0"/>
          <w:numId w:val="10"/>
        </w:numPr>
        <w:rPr>
          <w:rFonts w:ascii="Arial" w:cs="Arial" w:eastAsia="Arial" w:hAnsi="Arial"/>
          <w:sz w:val="17"/>
          <w:szCs w:val="17"/>
          <w:color w:val="auto"/>
        </w:rPr>
      </w:pPr>
      <w:r>
        <w:rPr>
          <w:rFonts w:ascii="Arial" w:cs="Arial" w:eastAsia="Arial" w:hAnsi="Arial"/>
          <w:sz w:val="17"/>
          <w:szCs w:val="17"/>
          <w:color w:val="auto"/>
        </w:rPr>
        <w:t>an absence of a $95.7 million adjustment to increase the fair value of the contingent consideration related to the RavenVolt Acquisition in 2024, compared to a $1.6 million adjustment to decrease the fair value in 2025.</w:t>
      </w:r>
    </w:p>
    <w:p>
      <w:pPr>
        <w:spacing w:after="0" w:line="95" w:lineRule="exact"/>
        <w:rPr>
          <w:sz w:val="20"/>
          <w:szCs w:val="20"/>
          <w:color w:val="auto"/>
        </w:rPr>
      </w:pPr>
    </w:p>
    <w:p>
      <w:pPr>
        <w:spacing w:after="0"/>
        <w:rPr>
          <w:sz w:val="20"/>
          <w:szCs w:val="20"/>
          <w:color w:val="auto"/>
        </w:rPr>
      </w:pPr>
      <w:r>
        <w:rPr>
          <w:rFonts w:ascii="Arial" w:cs="Arial" w:eastAsia="Arial" w:hAnsi="Arial"/>
          <w:sz w:val="17"/>
          <w:szCs w:val="17"/>
          <w:color w:val="auto"/>
        </w:rPr>
        <w:t>This decrease was partially offset by:</w:t>
      </w:r>
    </w:p>
    <w:p>
      <w:pPr>
        <w:spacing w:after="0" w:line="165" w:lineRule="exact"/>
        <w:rPr>
          <w:sz w:val="20"/>
          <w:szCs w:val="20"/>
          <w:color w:val="auto"/>
        </w:rPr>
      </w:pPr>
    </w:p>
    <w:p>
      <w:pPr>
        <w:ind w:left="620" w:hanging="307"/>
        <w:spacing w:after="0"/>
        <w:tabs>
          <w:tab w:leader="none" w:pos="6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an $18.9 million increase in compensation and related expenses primarily due to headcount expansion from recent acquisitions; and</w:t>
      </w:r>
    </w:p>
    <w:p>
      <w:pPr>
        <w:spacing w:after="0" w:line="200" w:lineRule="exact"/>
        <w:rPr>
          <w:rFonts w:ascii="Arial" w:cs="Arial" w:eastAsia="Arial" w:hAnsi="Arial"/>
          <w:sz w:val="17"/>
          <w:szCs w:val="17"/>
          <w:color w:val="auto"/>
        </w:rPr>
      </w:pPr>
    </w:p>
    <w:p>
      <w:pPr>
        <w:spacing w:after="0" w:line="339" w:lineRule="exact"/>
        <w:rPr>
          <w:rFonts w:ascii="Arial" w:cs="Arial" w:eastAsia="Arial" w:hAnsi="Arial"/>
          <w:sz w:val="17"/>
          <w:szCs w:val="17"/>
          <w:color w:val="auto"/>
        </w:rPr>
      </w:pPr>
    </w:p>
    <w:p>
      <w:pPr>
        <w:ind w:left="5520"/>
        <w:spacing w:after="0"/>
        <w:rPr>
          <w:rFonts w:ascii="Arial" w:cs="Arial" w:eastAsia="Arial" w:hAnsi="Arial"/>
          <w:sz w:val="17"/>
          <w:szCs w:val="17"/>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07" w:right="339" w:bottom="1440" w:gutter="0" w:footer="0" w:header="0"/>
        </w:sectPr>
      </w:pPr>
    </w:p>
    <w:bookmarkStart w:id="29" w:name="page30"/>
    <w:bookmarkEnd w:id="29"/>
    <w:p>
      <w:pPr>
        <w:ind w:left="620" w:hanging="307"/>
        <w:spacing w:after="0"/>
        <w:tabs>
          <w:tab w:leader="none" w:pos="6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a $6.6 million increase in costs associated with systems’ go-live.</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46AD"/>
        </w:rPr>
        <w:t>Amortization of Intangible Assets</w:t>
      </w:r>
    </w:p>
    <w:p>
      <w:pPr>
        <w:spacing w:after="0" w:line="165"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7"/>
          <w:szCs w:val="17"/>
          <w:color w:val="auto"/>
        </w:rPr>
        <w:t>Amortization of intangible assets decreased by $3.6 million, or 6.4%, to $52.5 million during 2025, as compared to 2024. This decrease was due to lower amortization of intangibles, primarily intangibles acquired as part of the Able and GCA acquisitions, partially offset by amortization of intangibles from the Quality Uptime and LMC acquisitions.</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46AD"/>
        </w:rPr>
        <w:t>Interest Expense</w:t>
      </w:r>
    </w:p>
    <w:p>
      <w:pPr>
        <w:spacing w:after="0" w:line="165"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Interest expense increased by $11.4 million, or 13.4%, to $ 96.4 million during 2025, as compared to 2024. This increase was primarily driven by higher borrowings from our Amended Credit Facility to fund working capital requirements due to the transition to the Company’s new ERP system for our B&amp;I and M&amp;D segments that temporarily delayed invoicing to certain clients within these industry groups in the first half of 2025, and payment of the $75.0 million contingent consideration liability related to the RavenVolt Acquisition.</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46AD"/>
        </w:rPr>
        <w:t>Income Taxes</w:t>
      </w:r>
    </w:p>
    <w:p>
      <w:pPr>
        <w:spacing w:after="0" w:line="165"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During 2025 and 2024, we had effective tax rates of 26.2% and 39.1%, respectively, resulting in an income tax provision of $57.6 million and $52.2 million, respectively. Our effective tax rate for 2025 was benefited by a $3.1 million return to provision adjustment related to our non-U.S. operations. Our effective tax rate for 2024 was negatively impacted by a $95.7 million non-taxable change to increase the fair value of the contingent consideration related to the RavenVolt Acquisition, partially offset by a $7.3 million tax benefit for return to provision adjustments related to our non-U.S. operations, and a $5.5 million benefit related to energy efficiency incentives.</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46AD"/>
        </w:rPr>
        <w:t>Interest Rate Swaps</w:t>
      </w:r>
    </w:p>
    <w:p>
      <w:pPr>
        <w:spacing w:after="0" w:line="165"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17"/>
          <w:szCs w:val="17"/>
          <w:color w:val="auto"/>
        </w:rPr>
        <w:t>We had a loss of $9.3 million and $22.9 million on interest rate swaps during the years ended October 31, 2025 and October 31, 2024, respectively, primarily due to underlying changes in the fair value of our interest rate swaps. Our interest rate swaps will mature in 2026.</w:t>
      </w:r>
    </w:p>
    <w:p>
      <w:pPr>
        <w:spacing w:after="0" w:line="9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46AD"/>
        </w:rPr>
        <w:t>Foreign Currency Translation and Other</w:t>
      </w:r>
    </w:p>
    <w:p>
      <w:pPr>
        <w:spacing w:after="0" w:line="165"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We had a foreign currency translation gain of $5.5 million and $6.8 million during the years ended October 31, 2025 and October 31, 2024, respectively. This change was due to fluctuations in the exchange rate between the U.S. Dollar (“USD”), the British pound sterling (“GBP”), and the euro (“EUR”). Future gains and losses on foreign currency translation will be dependent upon changes in the relative value of foreign currencies to the USD and the extent of our foreign assets and liabilities.</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46AD"/>
        </w:rPr>
        <w:t>The Year Ended October 31, 2024, Compared with the Year Ended October 31, 2023</w:t>
      </w:r>
    </w:p>
    <w:p>
      <w:pPr>
        <w:spacing w:after="0" w:line="16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For a comparison of our Results of Operations for the year ended October 31, 2024, to the year ended October 31, 2023, see “Part II, Item</w:t>
      </w:r>
    </w:p>
    <w:p>
      <w:pPr>
        <w:spacing w:after="0" w:line="27" w:lineRule="exact"/>
        <w:rPr>
          <w:sz w:val="20"/>
          <w:szCs w:val="20"/>
          <w:color w:val="auto"/>
        </w:rPr>
      </w:pPr>
    </w:p>
    <w:p>
      <w:pPr>
        <w:ind w:firstLine="3"/>
        <w:spacing w:after="0" w:line="270" w:lineRule="auto"/>
        <w:tabs>
          <w:tab w:leader="none" w:pos="193" w:val="left"/>
        </w:tabs>
        <w:numPr>
          <w:ilvl w:val="0"/>
          <w:numId w:val="13"/>
        </w:numPr>
        <w:rPr>
          <w:rFonts w:ascii="Arial" w:cs="Arial" w:eastAsia="Arial" w:hAnsi="Arial"/>
          <w:sz w:val="17"/>
          <w:szCs w:val="17"/>
          <w:color w:val="auto"/>
        </w:rPr>
      </w:pPr>
      <w:r>
        <w:rPr>
          <w:rFonts w:ascii="Arial" w:cs="Arial" w:eastAsia="Arial" w:hAnsi="Arial"/>
          <w:sz w:val="17"/>
          <w:szCs w:val="17"/>
          <w:color w:val="auto"/>
        </w:rPr>
        <w:t>Management’s Discussion and Analysis of Financial Condition and Results of Operations” of our Form 10-K for the fiscal year ended October 31, 2024, filed with the SEC on December 19, 2024.</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30" w:name="page31"/>
    <w:bookmarkEnd w:id="30"/>
    <w:p>
      <w:pPr>
        <w:spacing w:after="0"/>
        <w:rPr>
          <w:sz w:val="20"/>
          <w:szCs w:val="20"/>
          <w:color w:val="auto"/>
        </w:rPr>
      </w:pPr>
      <w:r>
        <w:rPr>
          <w:rFonts w:ascii="Arial" w:cs="Arial" w:eastAsia="Arial" w:hAnsi="Arial"/>
          <w:sz w:val="17"/>
          <w:szCs w:val="17"/>
          <w:b w:val="1"/>
          <w:bCs w:val="1"/>
          <w:i w:val="1"/>
          <w:iCs w:val="1"/>
          <w:color w:val="0046AD"/>
        </w:rPr>
        <w:t>Segment Information</w:t>
      </w:r>
    </w:p>
    <w:p>
      <w:pPr>
        <w:spacing w:after="0" w:line="166" w:lineRule="exact"/>
        <w:rPr>
          <w:sz w:val="20"/>
          <w:szCs w:val="20"/>
          <w:color w:val="auto"/>
        </w:rPr>
      </w:pPr>
    </w:p>
    <w:p>
      <w:pPr>
        <w:ind w:left="620"/>
        <w:spacing w:after="0"/>
        <w:rPr>
          <w:sz w:val="20"/>
          <w:szCs w:val="20"/>
          <w:color w:val="auto"/>
        </w:rPr>
      </w:pPr>
      <w:r>
        <w:rPr>
          <w:rFonts w:ascii="Arial" w:cs="Arial" w:eastAsia="Arial" w:hAnsi="Arial"/>
          <w:sz w:val="17"/>
          <w:szCs w:val="17"/>
          <w:color w:val="auto"/>
        </w:rPr>
        <w:t>Our current reportable segments consist of B&amp;I, M&amp;D, Aviation, Education, and Technical Solutions.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46AD"/>
        </w:rPr>
        <w:t>Financial Information for Each Reportable Segment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000" w:type="dxa"/>
            <w:vAlign w:val="bottom"/>
            <w:tcBorders>
              <w:bottom w:val="single" w:sz="8" w:color="auto"/>
            </w:tcBorders>
            <w:gridSpan w:val="6"/>
          </w:tcPr>
          <w:p>
            <w:pPr>
              <w:jc w:val="right"/>
              <w:ind w:right="163"/>
              <w:spacing w:after="0"/>
              <w:rPr>
                <w:sz w:val="20"/>
                <w:szCs w:val="20"/>
                <w:color w:val="auto"/>
              </w:rPr>
            </w:pPr>
            <w:r>
              <w:rPr>
                <w:rFonts w:ascii="Arial" w:cs="Arial" w:eastAsia="Arial" w:hAnsi="Arial"/>
                <w:sz w:val="15"/>
                <w:szCs w:val="15"/>
                <w:b w:val="1"/>
                <w:bCs w:val="1"/>
                <w:color w:val="auto"/>
              </w:rPr>
              <w:t>Year Ended October 31,</w:t>
            </w:r>
          </w:p>
        </w:tc>
        <w:tc>
          <w:tcPr>
            <w:tcW w:w="10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gridSpan w:val="2"/>
          </w:tcPr>
          <w:p>
            <w:pPr>
              <w:jc w:val="center"/>
              <w:ind w:right="263"/>
              <w:spacing w:after="0"/>
              <w:rPr>
                <w:sz w:val="20"/>
                <w:szCs w:val="20"/>
                <w:color w:val="auto"/>
              </w:rPr>
            </w:pPr>
            <w:r>
              <w:rPr>
                <w:rFonts w:ascii="Arial" w:cs="Arial" w:eastAsia="Arial" w:hAnsi="Arial"/>
                <w:sz w:val="15"/>
                <w:szCs w:val="15"/>
                <w:b w:val="1"/>
                <w:bCs w:val="1"/>
                <w:color w:val="auto"/>
              </w:rPr>
              <w:t>2025 vs. 2024</w:t>
            </w:r>
          </w:p>
        </w:tc>
        <w:tc>
          <w:tcPr>
            <w:tcW w:w="0" w:type="dxa"/>
            <w:vAlign w:val="bottom"/>
          </w:tcPr>
          <w:p>
            <w:pPr>
              <w:spacing w:after="0"/>
              <w:rPr>
                <w:sz w:val="1"/>
                <w:szCs w:val="1"/>
                <w:color w:val="auto"/>
              </w:rPr>
            </w:pPr>
          </w:p>
        </w:tc>
      </w:tr>
      <w:tr>
        <w:trPr>
          <w:trHeight w:val="148"/>
        </w:trPr>
        <w:tc>
          <w:tcPr>
            <w:tcW w:w="412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4"/>
                <w:szCs w:val="14"/>
                <w:i w:val="1"/>
                <w:iCs w:val="1"/>
                <w:u w:val="single" w:color="auto"/>
                <w:color w:val="auto"/>
              </w:rPr>
              <w:t>(</w:t>
            </w:r>
            <w:r>
              <w:rPr>
                <w:rFonts w:ascii="Times New Roman" w:cs="Times New Roman" w:eastAsia="Times New Roman" w:hAnsi="Times New Roman"/>
                <w:sz w:val="14"/>
                <w:szCs w:val="14"/>
                <w:i w:val="1"/>
                <w:iCs w:val="1"/>
                <w:color w:val="auto"/>
              </w:rPr>
              <w:t>$ in millions)</w:t>
            </w:r>
          </w:p>
        </w:tc>
        <w:tc>
          <w:tcPr>
            <w:tcW w:w="300" w:type="dxa"/>
            <w:vAlign w:val="bottom"/>
          </w:tcPr>
          <w:p>
            <w:pPr>
              <w:spacing w:after="0"/>
              <w:rPr>
                <w:sz w:val="12"/>
                <w:szCs w:val="12"/>
                <w:color w:val="auto"/>
              </w:rPr>
            </w:pPr>
          </w:p>
        </w:tc>
        <w:tc>
          <w:tcPr>
            <w:tcW w:w="1080" w:type="dxa"/>
            <w:vAlign w:val="bottom"/>
          </w:tcPr>
          <w:p>
            <w:pPr>
              <w:jc w:val="right"/>
              <w:ind w:right="445"/>
              <w:spacing w:after="0" w:line="135" w:lineRule="exact"/>
              <w:rPr>
                <w:sz w:val="20"/>
                <w:szCs w:val="20"/>
                <w:color w:val="auto"/>
              </w:rPr>
            </w:pPr>
            <w:r>
              <w:rPr>
                <w:rFonts w:ascii="Arial" w:cs="Arial" w:eastAsia="Arial" w:hAnsi="Arial"/>
                <w:sz w:val="15"/>
                <w:szCs w:val="15"/>
                <w:b w:val="1"/>
                <w:bCs w:val="1"/>
                <w:color w:val="auto"/>
              </w:rPr>
              <w:t>2025</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tcPr>
          <w:p>
            <w:pPr>
              <w:jc w:val="right"/>
              <w:ind w:right="445"/>
              <w:spacing w:after="0" w:line="135" w:lineRule="exact"/>
              <w:rPr>
                <w:sz w:val="20"/>
                <w:szCs w:val="20"/>
                <w:color w:val="auto"/>
              </w:rPr>
            </w:pPr>
            <w:r>
              <w:rPr>
                <w:rFonts w:ascii="Arial" w:cs="Arial" w:eastAsia="Arial" w:hAnsi="Arial"/>
                <w:sz w:val="15"/>
                <w:szCs w:val="15"/>
                <w:b w:val="1"/>
                <w:bCs w:val="1"/>
                <w:color w:val="auto"/>
              </w:rPr>
              <w:t>2024</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tcPr>
          <w:p>
            <w:pPr>
              <w:jc w:val="right"/>
              <w:ind w:right="445"/>
              <w:spacing w:after="0" w:line="135" w:lineRule="exact"/>
              <w:rPr>
                <w:sz w:val="20"/>
                <w:szCs w:val="20"/>
                <w:color w:val="auto"/>
              </w:rPr>
            </w:pPr>
            <w:r>
              <w:rPr>
                <w:rFonts w:ascii="Arial" w:cs="Arial" w:eastAsia="Arial" w:hAnsi="Arial"/>
                <w:sz w:val="15"/>
                <w:szCs w:val="15"/>
                <w:b w:val="1"/>
                <w:bCs w:val="1"/>
                <w:color w:val="auto"/>
              </w:rPr>
              <w:t>2023</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300" w:type="dxa"/>
            <w:vAlign w:val="bottom"/>
            <w:gridSpan w:val="2"/>
          </w:tcPr>
          <w:p>
            <w:pPr>
              <w:jc w:val="center"/>
              <w:ind w:right="283"/>
              <w:spacing w:after="0" w:line="135" w:lineRule="exact"/>
              <w:rPr>
                <w:sz w:val="20"/>
                <w:szCs w:val="20"/>
                <w:color w:val="auto"/>
              </w:rPr>
            </w:pPr>
            <w:r>
              <w:rPr>
                <w:rFonts w:ascii="Arial" w:cs="Arial" w:eastAsia="Arial" w:hAnsi="Arial"/>
                <w:sz w:val="15"/>
                <w:szCs w:val="15"/>
                <w:b w:val="1"/>
                <w:bCs w:val="1"/>
                <w:color w:val="auto"/>
              </w:rPr>
              <w:t>Increase/(Decrease)</w:t>
            </w:r>
          </w:p>
        </w:tc>
        <w:tc>
          <w:tcPr>
            <w:tcW w:w="0" w:type="dxa"/>
            <w:vAlign w:val="bottom"/>
          </w:tcPr>
          <w:p>
            <w:pPr>
              <w:spacing w:after="0"/>
              <w:rPr>
                <w:sz w:val="1"/>
                <w:szCs w:val="1"/>
                <w:color w:val="auto"/>
              </w:rPr>
            </w:pPr>
          </w:p>
        </w:tc>
      </w:tr>
      <w:tr>
        <w:trPr>
          <w:trHeight w:val="32"/>
        </w:trPr>
        <w:tc>
          <w:tcPr>
            <w:tcW w:w="20" w:type="dxa"/>
            <w:vAlign w:val="bottom"/>
            <w:tcBorders>
              <w:bottom w:val="single" w:sz="8" w:color="DCE2EF"/>
            </w:tcBorders>
          </w:tcPr>
          <w:p>
            <w:pPr>
              <w:spacing w:after="0"/>
              <w:rPr>
                <w:sz w:val="2"/>
                <w:szCs w:val="2"/>
                <w:color w:val="auto"/>
              </w:rPr>
            </w:pPr>
          </w:p>
        </w:tc>
        <w:tc>
          <w:tcPr>
            <w:tcW w:w="780" w:type="dxa"/>
            <w:vAlign w:val="bottom"/>
            <w:tcBorders>
              <w:top w:val="single" w:sz="8" w:color="auto"/>
              <w:bottom w:val="single" w:sz="8" w:color="DCE2EF"/>
            </w:tcBorders>
          </w:tcPr>
          <w:p>
            <w:pPr>
              <w:spacing w:after="0"/>
              <w:rPr>
                <w:sz w:val="2"/>
                <w:szCs w:val="2"/>
                <w:color w:val="auto"/>
              </w:rPr>
            </w:pPr>
          </w:p>
        </w:tc>
        <w:tc>
          <w:tcPr>
            <w:tcW w:w="3320" w:type="dxa"/>
            <w:vAlign w:val="bottom"/>
            <w:tcBorders>
              <w:bottom w:val="single" w:sz="8" w:color="DCE2E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DCE2E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DCE2E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120" w:type="dxa"/>
            <w:vAlign w:val="bottom"/>
            <w:gridSpan w:val="3"/>
            <w:shd w:val="clear" w:color="auto" w:fill="DCE2EF"/>
          </w:tcPr>
          <w:p>
            <w:pPr>
              <w:ind w:left="20"/>
              <w:spacing w:after="0"/>
              <w:rPr>
                <w:sz w:val="20"/>
                <w:szCs w:val="20"/>
                <w:color w:val="auto"/>
              </w:rPr>
            </w:pPr>
            <w:r>
              <w:rPr>
                <w:rFonts w:ascii="Arial" w:cs="Arial" w:eastAsia="Arial" w:hAnsi="Arial"/>
                <w:sz w:val="15"/>
                <w:szCs w:val="15"/>
                <w:b w:val="1"/>
                <w:bCs w:val="1"/>
                <w:color w:val="auto"/>
              </w:rPr>
              <w:t>Revenues</w:t>
            </w:r>
          </w:p>
        </w:tc>
        <w:tc>
          <w:tcPr>
            <w:tcW w:w="300" w:type="dxa"/>
            <w:vAlign w:val="bottom"/>
            <w:shd w:val="clear" w:color="auto" w:fill="DCE2EF"/>
          </w:tcPr>
          <w:p>
            <w:pPr>
              <w:spacing w:after="0"/>
              <w:rPr>
                <w:sz w:val="16"/>
                <w:szCs w:val="16"/>
                <w:color w:val="auto"/>
              </w:rPr>
            </w:pPr>
          </w:p>
        </w:tc>
        <w:tc>
          <w:tcPr>
            <w:tcW w:w="1080" w:type="dxa"/>
            <w:vAlign w:val="bottom"/>
            <w:shd w:val="clear" w:color="auto" w:fill="DCE2EF"/>
          </w:tcPr>
          <w:p>
            <w:pPr>
              <w:spacing w:after="0"/>
              <w:rPr>
                <w:sz w:val="16"/>
                <w:szCs w:val="16"/>
                <w:color w:val="auto"/>
              </w:rPr>
            </w:pPr>
          </w:p>
        </w:tc>
        <w:tc>
          <w:tcPr>
            <w:tcW w:w="120" w:type="dxa"/>
            <w:vAlign w:val="bottom"/>
            <w:shd w:val="clear" w:color="auto" w:fill="DCE2EF"/>
          </w:tcPr>
          <w:p>
            <w:pPr>
              <w:spacing w:after="0"/>
              <w:rPr>
                <w:sz w:val="16"/>
                <w:szCs w:val="16"/>
                <w:color w:val="auto"/>
              </w:rPr>
            </w:pPr>
          </w:p>
        </w:tc>
        <w:tc>
          <w:tcPr>
            <w:tcW w:w="300" w:type="dxa"/>
            <w:vAlign w:val="bottom"/>
            <w:shd w:val="clear" w:color="auto" w:fill="DCE2EF"/>
          </w:tcPr>
          <w:p>
            <w:pPr>
              <w:spacing w:after="0"/>
              <w:rPr>
                <w:sz w:val="16"/>
                <w:szCs w:val="16"/>
                <w:color w:val="auto"/>
              </w:rPr>
            </w:pPr>
          </w:p>
        </w:tc>
        <w:tc>
          <w:tcPr>
            <w:tcW w:w="1080" w:type="dxa"/>
            <w:vAlign w:val="bottom"/>
            <w:shd w:val="clear" w:color="auto" w:fill="DCE2EF"/>
          </w:tcPr>
          <w:p>
            <w:pPr>
              <w:spacing w:after="0"/>
              <w:rPr>
                <w:sz w:val="16"/>
                <w:szCs w:val="16"/>
                <w:color w:val="auto"/>
              </w:rPr>
            </w:pPr>
          </w:p>
        </w:tc>
        <w:tc>
          <w:tcPr>
            <w:tcW w:w="100" w:type="dxa"/>
            <w:vAlign w:val="bottom"/>
            <w:shd w:val="clear" w:color="auto" w:fill="DCE2EF"/>
          </w:tcPr>
          <w:p>
            <w:pPr>
              <w:spacing w:after="0"/>
              <w:rPr>
                <w:sz w:val="16"/>
                <w:szCs w:val="16"/>
                <w:color w:val="auto"/>
              </w:rPr>
            </w:pPr>
          </w:p>
        </w:tc>
        <w:tc>
          <w:tcPr>
            <w:tcW w:w="320" w:type="dxa"/>
            <w:vAlign w:val="bottom"/>
            <w:shd w:val="clear" w:color="auto" w:fill="DCE2EF"/>
          </w:tcPr>
          <w:p>
            <w:pPr>
              <w:spacing w:after="0"/>
              <w:rPr>
                <w:sz w:val="16"/>
                <w:szCs w:val="16"/>
                <w:color w:val="auto"/>
              </w:rPr>
            </w:pPr>
          </w:p>
        </w:tc>
        <w:tc>
          <w:tcPr>
            <w:tcW w:w="1080" w:type="dxa"/>
            <w:vAlign w:val="bottom"/>
            <w:shd w:val="clear" w:color="auto" w:fill="DCE2EF"/>
          </w:tcPr>
          <w:p>
            <w:pPr>
              <w:spacing w:after="0"/>
              <w:rPr>
                <w:sz w:val="16"/>
                <w:szCs w:val="16"/>
                <w:color w:val="auto"/>
              </w:rPr>
            </w:pPr>
          </w:p>
        </w:tc>
        <w:tc>
          <w:tcPr>
            <w:tcW w:w="80" w:type="dxa"/>
            <w:vAlign w:val="bottom"/>
            <w:shd w:val="clear" w:color="auto" w:fill="DCE2EF"/>
          </w:tcPr>
          <w:p>
            <w:pPr>
              <w:spacing w:after="0"/>
              <w:rPr>
                <w:sz w:val="16"/>
                <w:szCs w:val="16"/>
                <w:color w:val="auto"/>
              </w:rPr>
            </w:pPr>
          </w:p>
        </w:tc>
        <w:tc>
          <w:tcPr>
            <w:tcW w:w="360" w:type="dxa"/>
            <w:vAlign w:val="bottom"/>
            <w:shd w:val="clear" w:color="auto" w:fill="DCE2EF"/>
          </w:tcPr>
          <w:p>
            <w:pPr>
              <w:spacing w:after="0"/>
              <w:rPr>
                <w:sz w:val="16"/>
                <w:szCs w:val="16"/>
                <w:color w:val="auto"/>
              </w:rPr>
            </w:pPr>
          </w:p>
        </w:tc>
        <w:tc>
          <w:tcPr>
            <w:tcW w:w="920" w:type="dxa"/>
            <w:vAlign w:val="bottom"/>
            <w:shd w:val="clear" w:color="auto" w:fill="DCE2EF"/>
          </w:tcPr>
          <w:p>
            <w:pPr>
              <w:spacing w:after="0"/>
              <w:rPr>
                <w:sz w:val="16"/>
                <w:szCs w:val="16"/>
                <w:color w:val="auto"/>
              </w:rPr>
            </w:pPr>
          </w:p>
        </w:tc>
        <w:tc>
          <w:tcPr>
            <w:tcW w:w="1380" w:type="dxa"/>
            <w:vAlign w:val="bottom"/>
            <w:shd w:val="clear" w:color="auto" w:fill="DCE2E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4120" w:type="dxa"/>
            <w:vAlign w:val="bottom"/>
            <w:gridSpan w:val="3"/>
          </w:tcPr>
          <w:p>
            <w:pPr>
              <w:ind w:left="20"/>
              <w:spacing w:after="0"/>
              <w:rPr>
                <w:sz w:val="20"/>
                <w:szCs w:val="20"/>
                <w:color w:val="auto"/>
              </w:rPr>
            </w:pPr>
            <w:r>
              <w:rPr>
                <w:rFonts w:ascii="Arial" w:cs="Arial" w:eastAsia="Arial" w:hAnsi="Arial"/>
                <w:sz w:val="15"/>
                <w:szCs w:val="15"/>
                <w:color w:val="auto"/>
              </w:rPr>
              <w:t>Business &amp; Industry</w:t>
            </w:r>
          </w:p>
        </w:tc>
        <w:tc>
          <w:tcPr>
            <w:tcW w:w="300" w:type="dxa"/>
            <w:vAlign w:val="bottom"/>
          </w:tcPr>
          <w:p>
            <w:pPr>
              <w:jc w:val="right"/>
              <w:ind w:right="123"/>
              <w:spacing w:after="0"/>
              <w:rPr>
                <w:sz w:val="20"/>
                <w:szCs w:val="20"/>
                <w:color w:val="auto"/>
              </w:rPr>
            </w:pPr>
            <w:r>
              <w:rPr>
                <w:rFonts w:ascii="Arial" w:cs="Arial" w:eastAsia="Arial" w:hAnsi="Arial"/>
                <w:sz w:val="15"/>
                <w:szCs w:val="15"/>
                <w:color w:val="auto"/>
                <w:w w:val="95"/>
              </w:rPr>
              <w:t>$</w:t>
            </w:r>
          </w:p>
        </w:tc>
        <w:tc>
          <w:tcPr>
            <w:tcW w:w="1080" w:type="dxa"/>
            <w:vAlign w:val="bottom"/>
          </w:tcPr>
          <w:p>
            <w:pPr>
              <w:jc w:val="right"/>
              <w:ind w:right="105"/>
              <w:spacing w:after="0"/>
              <w:rPr>
                <w:sz w:val="20"/>
                <w:szCs w:val="20"/>
                <w:color w:val="auto"/>
              </w:rPr>
            </w:pPr>
            <w:r>
              <w:rPr>
                <w:rFonts w:ascii="Arial" w:cs="Arial" w:eastAsia="Arial" w:hAnsi="Arial"/>
                <w:sz w:val="15"/>
                <w:szCs w:val="15"/>
                <w:color w:val="auto"/>
              </w:rPr>
              <w:t>4,126.0</w:t>
            </w:r>
          </w:p>
        </w:tc>
        <w:tc>
          <w:tcPr>
            <w:tcW w:w="120" w:type="dxa"/>
            <w:vAlign w:val="bottom"/>
          </w:tcPr>
          <w:p>
            <w:pPr>
              <w:spacing w:after="0"/>
              <w:rPr>
                <w:sz w:val="17"/>
                <w:szCs w:val="17"/>
                <w:color w:val="auto"/>
              </w:rPr>
            </w:pPr>
          </w:p>
        </w:tc>
        <w:tc>
          <w:tcPr>
            <w:tcW w:w="300" w:type="dxa"/>
            <w:vAlign w:val="bottom"/>
          </w:tcPr>
          <w:p>
            <w:pPr>
              <w:jc w:val="right"/>
              <w:ind w:right="123"/>
              <w:spacing w:after="0"/>
              <w:rPr>
                <w:sz w:val="20"/>
                <w:szCs w:val="20"/>
                <w:color w:val="auto"/>
              </w:rPr>
            </w:pPr>
            <w:r>
              <w:rPr>
                <w:rFonts w:ascii="Arial" w:cs="Arial" w:eastAsia="Arial" w:hAnsi="Arial"/>
                <w:sz w:val="15"/>
                <w:szCs w:val="15"/>
                <w:color w:val="auto"/>
                <w:w w:val="95"/>
              </w:rPr>
              <w:t>$</w:t>
            </w:r>
          </w:p>
        </w:tc>
        <w:tc>
          <w:tcPr>
            <w:tcW w:w="1080" w:type="dxa"/>
            <w:vAlign w:val="bottom"/>
          </w:tcPr>
          <w:p>
            <w:pPr>
              <w:jc w:val="right"/>
              <w:ind w:right="105"/>
              <w:spacing w:after="0"/>
              <w:rPr>
                <w:sz w:val="20"/>
                <w:szCs w:val="20"/>
                <w:color w:val="auto"/>
              </w:rPr>
            </w:pPr>
            <w:r>
              <w:rPr>
                <w:rFonts w:ascii="Arial" w:cs="Arial" w:eastAsia="Arial" w:hAnsi="Arial"/>
                <w:sz w:val="15"/>
                <w:szCs w:val="15"/>
                <w:color w:val="auto"/>
              </w:rPr>
              <w:t>4,059.1</w:t>
            </w:r>
          </w:p>
        </w:tc>
        <w:tc>
          <w:tcPr>
            <w:tcW w:w="100" w:type="dxa"/>
            <w:vAlign w:val="bottom"/>
          </w:tcPr>
          <w:p>
            <w:pPr>
              <w:spacing w:after="0"/>
              <w:rPr>
                <w:sz w:val="17"/>
                <w:szCs w:val="17"/>
                <w:color w:val="auto"/>
              </w:rPr>
            </w:pPr>
          </w:p>
        </w:tc>
        <w:tc>
          <w:tcPr>
            <w:tcW w:w="320" w:type="dxa"/>
            <w:vAlign w:val="bottom"/>
          </w:tcPr>
          <w:p>
            <w:pPr>
              <w:jc w:val="right"/>
              <w:ind w:right="143"/>
              <w:spacing w:after="0"/>
              <w:rPr>
                <w:sz w:val="20"/>
                <w:szCs w:val="20"/>
                <w:color w:val="auto"/>
              </w:rPr>
            </w:pPr>
            <w:r>
              <w:rPr>
                <w:rFonts w:ascii="Arial" w:cs="Arial" w:eastAsia="Arial" w:hAnsi="Arial"/>
                <w:sz w:val="15"/>
                <w:szCs w:val="15"/>
                <w:color w:val="auto"/>
                <w:w w:val="95"/>
              </w:rPr>
              <w:t>$</w:t>
            </w:r>
          </w:p>
        </w:tc>
        <w:tc>
          <w:tcPr>
            <w:tcW w:w="1080" w:type="dxa"/>
            <w:vAlign w:val="bottom"/>
          </w:tcPr>
          <w:p>
            <w:pPr>
              <w:jc w:val="right"/>
              <w:ind w:right="105"/>
              <w:spacing w:after="0"/>
              <w:rPr>
                <w:sz w:val="20"/>
                <w:szCs w:val="20"/>
                <w:color w:val="auto"/>
              </w:rPr>
            </w:pPr>
            <w:r>
              <w:rPr>
                <w:rFonts w:ascii="Arial" w:cs="Arial" w:eastAsia="Arial" w:hAnsi="Arial"/>
                <w:sz w:val="15"/>
                <w:szCs w:val="15"/>
                <w:color w:val="auto"/>
              </w:rPr>
              <w:t>4,089.4</w:t>
            </w:r>
          </w:p>
        </w:tc>
        <w:tc>
          <w:tcPr>
            <w:tcW w:w="80" w:type="dxa"/>
            <w:vAlign w:val="bottom"/>
          </w:tcPr>
          <w:p>
            <w:pPr>
              <w:spacing w:after="0"/>
              <w:rPr>
                <w:sz w:val="17"/>
                <w:szCs w:val="17"/>
                <w:color w:val="auto"/>
              </w:rPr>
            </w:pPr>
          </w:p>
        </w:tc>
        <w:tc>
          <w:tcPr>
            <w:tcW w:w="360" w:type="dxa"/>
            <w:vAlign w:val="bottom"/>
          </w:tcPr>
          <w:p>
            <w:pPr>
              <w:jc w:val="right"/>
              <w:ind w:right="163"/>
              <w:spacing w:after="0"/>
              <w:rPr>
                <w:sz w:val="20"/>
                <w:szCs w:val="20"/>
                <w:color w:val="auto"/>
              </w:rPr>
            </w:pPr>
            <w:r>
              <w:rPr>
                <w:rFonts w:ascii="Arial" w:cs="Arial" w:eastAsia="Arial" w:hAnsi="Arial"/>
                <w:sz w:val="15"/>
                <w:szCs w:val="15"/>
                <w:color w:val="auto"/>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66.9</w:t>
            </w:r>
          </w:p>
        </w:tc>
        <w:tc>
          <w:tcPr>
            <w:tcW w:w="1380" w:type="dxa"/>
            <w:vAlign w:val="bottom"/>
          </w:tcPr>
          <w:p>
            <w:pPr>
              <w:jc w:val="center"/>
              <w:ind w:left="43"/>
              <w:spacing w:after="0"/>
              <w:rPr>
                <w:sz w:val="20"/>
                <w:szCs w:val="20"/>
                <w:color w:val="auto"/>
              </w:rPr>
            </w:pPr>
            <w:r>
              <w:rPr>
                <w:rFonts w:ascii="Arial" w:cs="Arial" w:eastAsia="Arial" w:hAnsi="Arial"/>
                <w:sz w:val="15"/>
                <w:szCs w:val="15"/>
                <w:color w:val="auto"/>
                <w:w w:val="99"/>
              </w:rPr>
              <w:t>1.6%</w:t>
            </w:r>
          </w:p>
        </w:tc>
        <w:tc>
          <w:tcPr>
            <w:tcW w:w="0" w:type="dxa"/>
            <w:vAlign w:val="bottom"/>
          </w:tcPr>
          <w:p>
            <w:pPr>
              <w:spacing w:after="0"/>
              <w:rPr>
                <w:sz w:val="1"/>
                <w:szCs w:val="1"/>
                <w:color w:val="auto"/>
              </w:rPr>
            </w:pPr>
          </w:p>
        </w:tc>
      </w:tr>
      <w:tr>
        <w:trPr>
          <w:trHeight w:val="207"/>
        </w:trPr>
        <w:tc>
          <w:tcPr>
            <w:tcW w:w="4120" w:type="dxa"/>
            <w:vAlign w:val="bottom"/>
            <w:gridSpan w:val="3"/>
            <w:shd w:val="clear" w:color="auto" w:fill="DCE2EF"/>
          </w:tcPr>
          <w:p>
            <w:pPr>
              <w:ind w:left="20"/>
              <w:spacing w:after="0"/>
              <w:rPr>
                <w:sz w:val="20"/>
                <w:szCs w:val="20"/>
                <w:color w:val="auto"/>
              </w:rPr>
            </w:pPr>
            <w:r>
              <w:rPr>
                <w:rFonts w:ascii="Arial" w:cs="Arial" w:eastAsia="Arial" w:hAnsi="Arial"/>
                <w:sz w:val="15"/>
                <w:szCs w:val="15"/>
                <w:color w:val="auto"/>
              </w:rPr>
              <w:t>Manufacturing &amp; Distribution</w:t>
            </w:r>
          </w:p>
        </w:tc>
        <w:tc>
          <w:tcPr>
            <w:tcW w:w="300" w:type="dxa"/>
            <w:vAlign w:val="bottom"/>
            <w:shd w:val="clear" w:color="auto" w:fill="DCE2EF"/>
          </w:tcPr>
          <w:p>
            <w:pPr>
              <w:spacing w:after="0"/>
              <w:rPr>
                <w:sz w:val="18"/>
                <w:szCs w:val="18"/>
                <w:color w:val="auto"/>
              </w:rPr>
            </w:pPr>
          </w:p>
        </w:tc>
        <w:tc>
          <w:tcPr>
            <w:tcW w:w="1080" w:type="dxa"/>
            <w:vAlign w:val="bottom"/>
            <w:shd w:val="clear" w:color="auto" w:fill="DCE2EF"/>
          </w:tcPr>
          <w:p>
            <w:pPr>
              <w:jc w:val="right"/>
              <w:ind w:right="105"/>
              <w:spacing w:after="0"/>
              <w:rPr>
                <w:sz w:val="20"/>
                <w:szCs w:val="20"/>
                <w:color w:val="auto"/>
              </w:rPr>
            </w:pPr>
            <w:r>
              <w:rPr>
                <w:rFonts w:ascii="Arial" w:cs="Arial" w:eastAsia="Arial" w:hAnsi="Arial"/>
                <w:sz w:val="15"/>
                <w:szCs w:val="15"/>
                <w:color w:val="auto"/>
              </w:rPr>
              <w:t>1,618.6</w:t>
            </w:r>
          </w:p>
        </w:tc>
        <w:tc>
          <w:tcPr>
            <w:tcW w:w="120" w:type="dxa"/>
            <w:vAlign w:val="bottom"/>
            <w:shd w:val="clear" w:color="auto" w:fill="DCE2EF"/>
          </w:tcPr>
          <w:p>
            <w:pPr>
              <w:spacing w:after="0"/>
              <w:rPr>
                <w:sz w:val="18"/>
                <w:szCs w:val="18"/>
                <w:color w:val="auto"/>
              </w:rPr>
            </w:pPr>
          </w:p>
        </w:tc>
        <w:tc>
          <w:tcPr>
            <w:tcW w:w="300" w:type="dxa"/>
            <w:vAlign w:val="bottom"/>
            <w:shd w:val="clear" w:color="auto" w:fill="DCE2EF"/>
          </w:tcPr>
          <w:p>
            <w:pPr>
              <w:spacing w:after="0"/>
              <w:rPr>
                <w:sz w:val="18"/>
                <w:szCs w:val="18"/>
                <w:color w:val="auto"/>
              </w:rPr>
            </w:pPr>
          </w:p>
        </w:tc>
        <w:tc>
          <w:tcPr>
            <w:tcW w:w="1080" w:type="dxa"/>
            <w:vAlign w:val="bottom"/>
            <w:shd w:val="clear" w:color="auto" w:fill="DCE2EF"/>
          </w:tcPr>
          <w:p>
            <w:pPr>
              <w:jc w:val="right"/>
              <w:ind w:right="105"/>
              <w:spacing w:after="0"/>
              <w:rPr>
                <w:sz w:val="20"/>
                <w:szCs w:val="20"/>
                <w:color w:val="auto"/>
              </w:rPr>
            </w:pPr>
            <w:r>
              <w:rPr>
                <w:rFonts w:ascii="Arial" w:cs="Arial" w:eastAsia="Arial" w:hAnsi="Arial"/>
                <w:sz w:val="15"/>
                <w:szCs w:val="15"/>
                <w:color w:val="auto"/>
              </w:rPr>
              <w:t>1,554.3</w:t>
            </w:r>
          </w:p>
        </w:tc>
        <w:tc>
          <w:tcPr>
            <w:tcW w:w="100" w:type="dxa"/>
            <w:vAlign w:val="bottom"/>
            <w:shd w:val="clear" w:color="auto" w:fill="DCE2EF"/>
          </w:tcPr>
          <w:p>
            <w:pPr>
              <w:spacing w:after="0"/>
              <w:rPr>
                <w:sz w:val="18"/>
                <w:szCs w:val="18"/>
                <w:color w:val="auto"/>
              </w:rPr>
            </w:pPr>
          </w:p>
        </w:tc>
        <w:tc>
          <w:tcPr>
            <w:tcW w:w="320" w:type="dxa"/>
            <w:vAlign w:val="bottom"/>
            <w:shd w:val="clear" w:color="auto" w:fill="DCE2EF"/>
          </w:tcPr>
          <w:p>
            <w:pPr>
              <w:spacing w:after="0"/>
              <w:rPr>
                <w:sz w:val="18"/>
                <w:szCs w:val="18"/>
                <w:color w:val="auto"/>
              </w:rPr>
            </w:pPr>
          </w:p>
        </w:tc>
        <w:tc>
          <w:tcPr>
            <w:tcW w:w="1080" w:type="dxa"/>
            <w:vAlign w:val="bottom"/>
            <w:shd w:val="clear" w:color="auto" w:fill="DCE2EF"/>
          </w:tcPr>
          <w:p>
            <w:pPr>
              <w:jc w:val="right"/>
              <w:ind w:right="105"/>
              <w:spacing w:after="0"/>
              <w:rPr>
                <w:sz w:val="20"/>
                <w:szCs w:val="20"/>
                <w:color w:val="auto"/>
              </w:rPr>
            </w:pPr>
            <w:r>
              <w:rPr>
                <w:rFonts w:ascii="Arial" w:cs="Arial" w:eastAsia="Arial" w:hAnsi="Arial"/>
                <w:sz w:val="15"/>
                <w:szCs w:val="15"/>
                <w:color w:val="auto"/>
              </w:rPr>
              <w:t>1,526.7</w:t>
            </w:r>
          </w:p>
        </w:tc>
        <w:tc>
          <w:tcPr>
            <w:tcW w:w="80" w:type="dxa"/>
            <w:vAlign w:val="bottom"/>
            <w:shd w:val="clear" w:color="auto" w:fill="DCE2EF"/>
          </w:tcPr>
          <w:p>
            <w:pPr>
              <w:spacing w:after="0"/>
              <w:rPr>
                <w:sz w:val="18"/>
                <w:szCs w:val="18"/>
                <w:color w:val="auto"/>
              </w:rPr>
            </w:pPr>
          </w:p>
        </w:tc>
        <w:tc>
          <w:tcPr>
            <w:tcW w:w="360" w:type="dxa"/>
            <w:vAlign w:val="bottom"/>
            <w:shd w:val="clear" w:color="auto" w:fill="DCE2EF"/>
          </w:tcPr>
          <w:p>
            <w:pPr>
              <w:spacing w:after="0"/>
              <w:rPr>
                <w:sz w:val="18"/>
                <w:szCs w:val="18"/>
                <w:color w:val="auto"/>
              </w:rPr>
            </w:pPr>
          </w:p>
        </w:tc>
        <w:tc>
          <w:tcPr>
            <w:tcW w:w="920" w:type="dxa"/>
            <w:vAlign w:val="bottom"/>
            <w:shd w:val="clear" w:color="auto" w:fill="DCE2EF"/>
          </w:tcPr>
          <w:p>
            <w:pPr>
              <w:jc w:val="right"/>
              <w:spacing w:after="0"/>
              <w:rPr>
                <w:sz w:val="20"/>
                <w:szCs w:val="20"/>
                <w:color w:val="auto"/>
              </w:rPr>
            </w:pPr>
            <w:r>
              <w:rPr>
                <w:rFonts w:ascii="Arial" w:cs="Arial" w:eastAsia="Arial" w:hAnsi="Arial"/>
                <w:sz w:val="15"/>
                <w:szCs w:val="15"/>
                <w:color w:val="auto"/>
              </w:rPr>
              <w:t>64.3</w:t>
            </w:r>
          </w:p>
        </w:tc>
        <w:tc>
          <w:tcPr>
            <w:tcW w:w="1380" w:type="dxa"/>
            <w:vAlign w:val="bottom"/>
            <w:shd w:val="clear" w:color="auto" w:fill="DCE2EF"/>
          </w:tcPr>
          <w:p>
            <w:pPr>
              <w:jc w:val="center"/>
              <w:ind w:left="43"/>
              <w:spacing w:after="0"/>
              <w:rPr>
                <w:sz w:val="20"/>
                <w:szCs w:val="20"/>
                <w:color w:val="auto"/>
              </w:rPr>
            </w:pPr>
            <w:r>
              <w:rPr>
                <w:rFonts w:ascii="Arial" w:cs="Arial" w:eastAsia="Arial" w:hAnsi="Arial"/>
                <w:sz w:val="15"/>
                <w:szCs w:val="15"/>
                <w:color w:val="auto"/>
                <w:w w:val="99"/>
              </w:rPr>
              <w:t>4.1%</w:t>
            </w:r>
          </w:p>
        </w:tc>
        <w:tc>
          <w:tcPr>
            <w:tcW w:w="0" w:type="dxa"/>
            <w:vAlign w:val="bottom"/>
          </w:tcPr>
          <w:p>
            <w:pPr>
              <w:spacing w:after="0"/>
              <w:rPr>
                <w:sz w:val="1"/>
                <w:szCs w:val="1"/>
                <w:color w:val="auto"/>
              </w:rPr>
            </w:pPr>
          </w:p>
        </w:tc>
      </w:tr>
      <w:tr>
        <w:trPr>
          <w:trHeight w:val="205"/>
        </w:trPr>
        <w:tc>
          <w:tcPr>
            <w:tcW w:w="4120" w:type="dxa"/>
            <w:vAlign w:val="bottom"/>
            <w:gridSpan w:val="3"/>
          </w:tcPr>
          <w:p>
            <w:pPr>
              <w:ind w:left="20"/>
              <w:spacing w:after="0"/>
              <w:rPr>
                <w:sz w:val="20"/>
                <w:szCs w:val="20"/>
                <w:color w:val="auto"/>
              </w:rPr>
            </w:pPr>
            <w:r>
              <w:rPr>
                <w:rFonts w:ascii="Arial" w:cs="Arial" w:eastAsia="Arial" w:hAnsi="Arial"/>
                <w:sz w:val="15"/>
                <w:szCs w:val="15"/>
                <w:color w:val="auto"/>
              </w:rPr>
              <w:t>Aviation</w:t>
            </w:r>
          </w:p>
        </w:tc>
        <w:tc>
          <w:tcPr>
            <w:tcW w:w="300" w:type="dxa"/>
            <w:vAlign w:val="bottom"/>
          </w:tcPr>
          <w:p>
            <w:pPr>
              <w:spacing w:after="0"/>
              <w:rPr>
                <w:sz w:val="17"/>
                <w:szCs w:val="17"/>
                <w:color w:val="auto"/>
              </w:rPr>
            </w:pPr>
          </w:p>
        </w:tc>
        <w:tc>
          <w:tcPr>
            <w:tcW w:w="1080" w:type="dxa"/>
            <w:vAlign w:val="bottom"/>
          </w:tcPr>
          <w:p>
            <w:pPr>
              <w:jc w:val="right"/>
              <w:ind w:right="105"/>
              <w:spacing w:after="0"/>
              <w:rPr>
                <w:sz w:val="20"/>
                <w:szCs w:val="20"/>
                <w:color w:val="auto"/>
              </w:rPr>
            </w:pPr>
            <w:r>
              <w:rPr>
                <w:rFonts w:ascii="Arial" w:cs="Arial" w:eastAsia="Arial" w:hAnsi="Arial"/>
                <w:sz w:val="15"/>
                <w:szCs w:val="15"/>
                <w:color w:val="auto"/>
              </w:rPr>
              <w:t>1,118.7</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ind w:right="105"/>
              <w:spacing w:after="0"/>
              <w:rPr>
                <w:sz w:val="20"/>
                <w:szCs w:val="20"/>
                <w:color w:val="auto"/>
              </w:rPr>
            </w:pPr>
            <w:r>
              <w:rPr>
                <w:rFonts w:ascii="Arial" w:cs="Arial" w:eastAsia="Arial" w:hAnsi="Arial"/>
                <w:sz w:val="15"/>
                <w:szCs w:val="15"/>
                <w:color w:val="auto"/>
              </w:rPr>
              <w:t>1,032.6</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ind w:right="105"/>
              <w:spacing w:after="0"/>
              <w:rPr>
                <w:sz w:val="20"/>
                <w:szCs w:val="20"/>
                <w:color w:val="auto"/>
              </w:rPr>
            </w:pPr>
            <w:r>
              <w:rPr>
                <w:rFonts w:ascii="Arial" w:cs="Arial" w:eastAsia="Arial" w:hAnsi="Arial"/>
                <w:sz w:val="15"/>
                <w:szCs w:val="15"/>
                <w:color w:val="auto"/>
              </w:rPr>
              <w:t>925.7</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86.1</w:t>
            </w:r>
          </w:p>
        </w:tc>
        <w:tc>
          <w:tcPr>
            <w:tcW w:w="1380" w:type="dxa"/>
            <w:vAlign w:val="bottom"/>
          </w:tcPr>
          <w:p>
            <w:pPr>
              <w:jc w:val="center"/>
              <w:ind w:left="43"/>
              <w:spacing w:after="0"/>
              <w:rPr>
                <w:sz w:val="20"/>
                <w:szCs w:val="20"/>
                <w:color w:val="auto"/>
              </w:rPr>
            </w:pPr>
            <w:r>
              <w:rPr>
                <w:rFonts w:ascii="Arial" w:cs="Arial" w:eastAsia="Arial" w:hAnsi="Arial"/>
                <w:sz w:val="15"/>
                <w:szCs w:val="15"/>
                <w:color w:val="auto"/>
                <w:w w:val="99"/>
              </w:rPr>
              <w:t>8.3%</w:t>
            </w:r>
          </w:p>
        </w:tc>
        <w:tc>
          <w:tcPr>
            <w:tcW w:w="0" w:type="dxa"/>
            <w:vAlign w:val="bottom"/>
          </w:tcPr>
          <w:p>
            <w:pPr>
              <w:spacing w:after="0"/>
              <w:rPr>
                <w:sz w:val="1"/>
                <w:szCs w:val="1"/>
                <w:color w:val="auto"/>
              </w:rPr>
            </w:pPr>
          </w:p>
        </w:tc>
      </w:tr>
      <w:tr>
        <w:trPr>
          <w:trHeight w:val="207"/>
        </w:trPr>
        <w:tc>
          <w:tcPr>
            <w:tcW w:w="4120" w:type="dxa"/>
            <w:vAlign w:val="bottom"/>
            <w:gridSpan w:val="3"/>
            <w:shd w:val="clear" w:color="auto" w:fill="DCE2EF"/>
          </w:tcPr>
          <w:p>
            <w:pPr>
              <w:ind w:left="20"/>
              <w:spacing w:after="0"/>
              <w:rPr>
                <w:sz w:val="20"/>
                <w:szCs w:val="20"/>
                <w:color w:val="auto"/>
              </w:rPr>
            </w:pPr>
            <w:r>
              <w:rPr>
                <w:rFonts w:ascii="Arial" w:cs="Arial" w:eastAsia="Arial" w:hAnsi="Arial"/>
                <w:sz w:val="15"/>
                <w:szCs w:val="15"/>
                <w:color w:val="auto"/>
              </w:rPr>
              <w:t>Education</w:t>
            </w:r>
          </w:p>
        </w:tc>
        <w:tc>
          <w:tcPr>
            <w:tcW w:w="300" w:type="dxa"/>
            <w:vAlign w:val="bottom"/>
            <w:shd w:val="clear" w:color="auto" w:fill="DCE2EF"/>
          </w:tcPr>
          <w:p>
            <w:pPr>
              <w:spacing w:after="0"/>
              <w:rPr>
                <w:sz w:val="18"/>
                <w:szCs w:val="18"/>
                <w:color w:val="auto"/>
              </w:rPr>
            </w:pPr>
          </w:p>
        </w:tc>
        <w:tc>
          <w:tcPr>
            <w:tcW w:w="1080" w:type="dxa"/>
            <w:vAlign w:val="bottom"/>
            <w:shd w:val="clear" w:color="auto" w:fill="DCE2EF"/>
          </w:tcPr>
          <w:p>
            <w:pPr>
              <w:jc w:val="right"/>
              <w:ind w:right="105"/>
              <w:spacing w:after="0"/>
              <w:rPr>
                <w:sz w:val="20"/>
                <w:szCs w:val="20"/>
                <w:color w:val="auto"/>
              </w:rPr>
            </w:pPr>
            <w:r>
              <w:rPr>
                <w:rFonts w:ascii="Arial" w:cs="Arial" w:eastAsia="Arial" w:hAnsi="Arial"/>
                <w:sz w:val="15"/>
                <w:szCs w:val="15"/>
                <w:color w:val="auto"/>
              </w:rPr>
              <w:t>922.0</w:t>
            </w:r>
          </w:p>
        </w:tc>
        <w:tc>
          <w:tcPr>
            <w:tcW w:w="120" w:type="dxa"/>
            <w:vAlign w:val="bottom"/>
            <w:shd w:val="clear" w:color="auto" w:fill="DCE2EF"/>
          </w:tcPr>
          <w:p>
            <w:pPr>
              <w:spacing w:after="0"/>
              <w:rPr>
                <w:sz w:val="18"/>
                <w:szCs w:val="18"/>
                <w:color w:val="auto"/>
              </w:rPr>
            </w:pPr>
          </w:p>
        </w:tc>
        <w:tc>
          <w:tcPr>
            <w:tcW w:w="300" w:type="dxa"/>
            <w:vAlign w:val="bottom"/>
            <w:shd w:val="clear" w:color="auto" w:fill="DCE2EF"/>
          </w:tcPr>
          <w:p>
            <w:pPr>
              <w:spacing w:after="0"/>
              <w:rPr>
                <w:sz w:val="18"/>
                <w:szCs w:val="18"/>
                <w:color w:val="auto"/>
              </w:rPr>
            </w:pPr>
          </w:p>
        </w:tc>
        <w:tc>
          <w:tcPr>
            <w:tcW w:w="1080" w:type="dxa"/>
            <w:vAlign w:val="bottom"/>
            <w:shd w:val="clear" w:color="auto" w:fill="DCE2EF"/>
          </w:tcPr>
          <w:p>
            <w:pPr>
              <w:jc w:val="right"/>
              <w:ind w:right="105"/>
              <w:spacing w:after="0"/>
              <w:rPr>
                <w:sz w:val="20"/>
                <w:szCs w:val="20"/>
                <w:color w:val="auto"/>
              </w:rPr>
            </w:pPr>
            <w:r>
              <w:rPr>
                <w:rFonts w:ascii="Arial" w:cs="Arial" w:eastAsia="Arial" w:hAnsi="Arial"/>
                <w:sz w:val="15"/>
                <w:szCs w:val="15"/>
                <w:color w:val="auto"/>
              </w:rPr>
              <w:t>904.0</w:t>
            </w:r>
          </w:p>
        </w:tc>
        <w:tc>
          <w:tcPr>
            <w:tcW w:w="100" w:type="dxa"/>
            <w:vAlign w:val="bottom"/>
            <w:shd w:val="clear" w:color="auto" w:fill="DCE2EF"/>
          </w:tcPr>
          <w:p>
            <w:pPr>
              <w:spacing w:after="0"/>
              <w:rPr>
                <w:sz w:val="18"/>
                <w:szCs w:val="18"/>
                <w:color w:val="auto"/>
              </w:rPr>
            </w:pPr>
          </w:p>
        </w:tc>
        <w:tc>
          <w:tcPr>
            <w:tcW w:w="320" w:type="dxa"/>
            <w:vAlign w:val="bottom"/>
            <w:shd w:val="clear" w:color="auto" w:fill="DCE2EF"/>
          </w:tcPr>
          <w:p>
            <w:pPr>
              <w:spacing w:after="0"/>
              <w:rPr>
                <w:sz w:val="18"/>
                <w:szCs w:val="18"/>
                <w:color w:val="auto"/>
              </w:rPr>
            </w:pPr>
          </w:p>
        </w:tc>
        <w:tc>
          <w:tcPr>
            <w:tcW w:w="1080" w:type="dxa"/>
            <w:vAlign w:val="bottom"/>
            <w:shd w:val="clear" w:color="auto" w:fill="DCE2EF"/>
          </w:tcPr>
          <w:p>
            <w:pPr>
              <w:jc w:val="right"/>
              <w:ind w:right="105"/>
              <w:spacing w:after="0"/>
              <w:rPr>
                <w:sz w:val="20"/>
                <w:szCs w:val="20"/>
                <w:color w:val="auto"/>
              </w:rPr>
            </w:pPr>
            <w:r>
              <w:rPr>
                <w:rFonts w:ascii="Arial" w:cs="Arial" w:eastAsia="Arial" w:hAnsi="Arial"/>
                <w:sz w:val="15"/>
                <w:szCs w:val="15"/>
                <w:color w:val="auto"/>
              </w:rPr>
              <w:t>880.4</w:t>
            </w:r>
          </w:p>
        </w:tc>
        <w:tc>
          <w:tcPr>
            <w:tcW w:w="80" w:type="dxa"/>
            <w:vAlign w:val="bottom"/>
            <w:shd w:val="clear" w:color="auto" w:fill="DCE2EF"/>
          </w:tcPr>
          <w:p>
            <w:pPr>
              <w:spacing w:after="0"/>
              <w:rPr>
                <w:sz w:val="18"/>
                <w:szCs w:val="18"/>
                <w:color w:val="auto"/>
              </w:rPr>
            </w:pPr>
          </w:p>
        </w:tc>
        <w:tc>
          <w:tcPr>
            <w:tcW w:w="360" w:type="dxa"/>
            <w:vAlign w:val="bottom"/>
            <w:shd w:val="clear" w:color="auto" w:fill="DCE2EF"/>
          </w:tcPr>
          <w:p>
            <w:pPr>
              <w:spacing w:after="0"/>
              <w:rPr>
                <w:sz w:val="18"/>
                <w:szCs w:val="18"/>
                <w:color w:val="auto"/>
              </w:rPr>
            </w:pPr>
          </w:p>
        </w:tc>
        <w:tc>
          <w:tcPr>
            <w:tcW w:w="920" w:type="dxa"/>
            <w:vAlign w:val="bottom"/>
            <w:shd w:val="clear" w:color="auto" w:fill="DCE2EF"/>
          </w:tcPr>
          <w:p>
            <w:pPr>
              <w:jc w:val="right"/>
              <w:spacing w:after="0"/>
              <w:rPr>
                <w:sz w:val="20"/>
                <w:szCs w:val="20"/>
                <w:color w:val="auto"/>
              </w:rPr>
            </w:pPr>
            <w:r>
              <w:rPr>
                <w:rFonts w:ascii="Arial" w:cs="Arial" w:eastAsia="Arial" w:hAnsi="Arial"/>
                <w:sz w:val="15"/>
                <w:szCs w:val="15"/>
                <w:color w:val="auto"/>
              </w:rPr>
              <w:t>18.0</w:t>
            </w:r>
          </w:p>
        </w:tc>
        <w:tc>
          <w:tcPr>
            <w:tcW w:w="1380" w:type="dxa"/>
            <w:vAlign w:val="bottom"/>
            <w:shd w:val="clear" w:color="auto" w:fill="DCE2EF"/>
          </w:tcPr>
          <w:p>
            <w:pPr>
              <w:jc w:val="center"/>
              <w:ind w:left="43"/>
              <w:spacing w:after="0"/>
              <w:rPr>
                <w:sz w:val="20"/>
                <w:szCs w:val="20"/>
                <w:color w:val="auto"/>
              </w:rPr>
            </w:pPr>
            <w:r>
              <w:rPr>
                <w:rFonts w:ascii="Arial" w:cs="Arial" w:eastAsia="Arial" w:hAnsi="Arial"/>
                <w:sz w:val="15"/>
                <w:szCs w:val="15"/>
                <w:color w:val="auto"/>
                <w:w w:val="99"/>
              </w:rPr>
              <w:t>2.0%</w:t>
            </w:r>
          </w:p>
        </w:tc>
        <w:tc>
          <w:tcPr>
            <w:tcW w:w="0" w:type="dxa"/>
            <w:vAlign w:val="bottom"/>
          </w:tcPr>
          <w:p>
            <w:pPr>
              <w:spacing w:after="0"/>
              <w:rPr>
                <w:sz w:val="1"/>
                <w:szCs w:val="1"/>
                <w:color w:val="auto"/>
              </w:rPr>
            </w:pPr>
          </w:p>
        </w:tc>
      </w:tr>
      <w:tr>
        <w:trPr>
          <w:trHeight w:val="205"/>
        </w:trPr>
        <w:tc>
          <w:tcPr>
            <w:tcW w:w="4120" w:type="dxa"/>
            <w:vAlign w:val="bottom"/>
            <w:tcBorders>
              <w:bottom w:val="single" w:sz="8" w:color="DCE2EF"/>
            </w:tcBorders>
            <w:gridSpan w:val="3"/>
          </w:tcPr>
          <w:p>
            <w:pPr>
              <w:ind w:left="20"/>
              <w:spacing w:after="0"/>
              <w:rPr>
                <w:sz w:val="20"/>
                <w:szCs w:val="20"/>
                <w:color w:val="auto"/>
              </w:rPr>
            </w:pPr>
            <w:r>
              <w:rPr>
                <w:rFonts w:ascii="Arial" w:cs="Arial" w:eastAsia="Arial" w:hAnsi="Arial"/>
                <w:sz w:val="15"/>
                <w:szCs w:val="15"/>
                <w:color w:val="auto"/>
              </w:rPr>
              <w:t>Technical Solutions</w:t>
            </w: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rPr>
              <w:t>960.6</w:t>
            </w:r>
          </w:p>
        </w:tc>
        <w:tc>
          <w:tcPr>
            <w:tcW w:w="120" w:type="dxa"/>
            <w:vAlign w:val="bottom"/>
            <w:tcBorders>
              <w:bottom w:val="single" w:sz="8" w:color="DCE2E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rPr>
              <w:t>809.3</w:t>
            </w:r>
          </w:p>
        </w:tc>
        <w:tc>
          <w:tcPr>
            <w:tcW w:w="100" w:type="dxa"/>
            <w:vAlign w:val="bottom"/>
            <w:tcBorders>
              <w:bottom w:val="single" w:sz="8" w:color="DCE2E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rPr>
              <w:t>674.2</w:t>
            </w:r>
          </w:p>
        </w:tc>
        <w:tc>
          <w:tcPr>
            <w:tcW w:w="80" w:type="dxa"/>
            <w:vAlign w:val="bottom"/>
            <w:tcBorders>
              <w:bottom w:val="single" w:sz="8" w:color="DCE2E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151.3</w:t>
            </w:r>
          </w:p>
        </w:tc>
        <w:tc>
          <w:tcPr>
            <w:tcW w:w="1380" w:type="dxa"/>
            <w:vAlign w:val="bottom"/>
            <w:tcBorders>
              <w:bottom w:val="single" w:sz="8" w:color="DCE2EF"/>
            </w:tcBorders>
          </w:tcPr>
          <w:p>
            <w:pPr>
              <w:jc w:val="center"/>
              <w:ind w:left="23"/>
              <w:spacing w:after="0"/>
              <w:rPr>
                <w:sz w:val="20"/>
                <w:szCs w:val="20"/>
                <w:color w:val="auto"/>
              </w:rPr>
            </w:pPr>
            <w:r>
              <w:rPr>
                <w:rFonts w:ascii="Arial" w:cs="Arial" w:eastAsia="Arial" w:hAnsi="Arial"/>
                <w:sz w:val="15"/>
                <w:szCs w:val="15"/>
                <w:color w:val="auto"/>
              </w:rPr>
              <w:t>18.7%</w:t>
            </w:r>
          </w:p>
        </w:tc>
        <w:tc>
          <w:tcPr>
            <w:tcW w:w="0" w:type="dxa"/>
            <w:vAlign w:val="bottom"/>
          </w:tcPr>
          <w:p>
            <w:pPr>
              <w:spacing w:after="0"/>
              <w:rPr>
                <w:sz w:val="1"/>
                <w:szCs w:val="1"/>
                <w:color w:val="auto"/>
              </w:rPr>
            </w:pPr>
          </w:p>
        </w:tc>
      </w:tr>
      <w:tr>
        <w:trPr>
          <w:trHeight w:val="225"/>
        </w:trPr>
        <w:tc>
          <w:tcPr>
            <w:tcW w:w="20" w:type="dxa"/>
            <w:vAlign w:val="bottom"/>
            <w:tcBorders>
              <w:bottom w:val="single" w:sz="8" w:color="DCE2EF"/>
            </w:tcBorders>
            <w:shd w:val="clear" w:color="auto" w:fill="DCE2EF"/>
          </w:tcPr>
          <w:p>
            <w:pPr>
              <w:spacing w:after="0"/>
              <w:rPr>
                <w:sz w:val="19"/>
                <w:szCs w:val="19"/>
                <w:color w:val="auto"/>
              </w:rPr>
            </w:pPr>
          </w:p>
        </w:tc>
        <w:tc>
          <w:tcPr>
            <w:tcW w:w="780" w:type="dxa"/>
            <w:vAlign w:val="bottom"/>
            <w:tcBorders>
              <w:bottom w:val="single" w:sz="8" w:color="DCE2EF"/>
            </w:tcBorders>
            <w:shd w:val="clear" w:color="auto" w:fill="DCE2EF"/>
          </w:tcPr>
          <w:p>
            <w:pPr>
              <w:spacing w:after="0"/>
              <w:rPr>
                <w:sz w:val="19"/>
                <w:szCs w:val="19"/>
                <w:color w:val="auto"/>
              </w:rPr>
            </w:pPr>
          </w:p>
        </w:tc>
        <w:tc>
          <w:tcPr>
            <w:tcW w:w="3320" w:type="dxa"/>
            <w:vAlign w:val="bottom"/>
            <w:tcBorders>
              <w:bottom w:val="single" w:sz="8" w:color="DCE2EF"/>
            </w:tcBorders>
            <w:shd w:val="clear" w:color="auto" w:fill="DCE2EF"/>
          </w:tcPr>
          <w:p>
            <w:pPr>
              <w:spacing w:after="0"/>
              <w:rPr>
                <w:sz w:val="19"/>
                <w:szCs w:val="19"/>
                <w:color w:val="auto"/>
              </w:rPr>
            </w:pPr>
          </w:p>
        </w:tc>
        <w:tc>
          <w:tcPr>
            <w:tcW w:w="300" w:type="dxa"/>
            <w:vAlign w:val="bottom"/>
            <w:tcBorders>
              <w:bottom w:val="single" w:sz="8" w:color="auto"/>
            </w:tcBorders>
            <w:shd w:val="clear" w:color="auto" w:fill="DCE2EF"/>
          </w:tcPr>
          <w:p>
            <w:pPr>
              <w:jc w:val="right"/>
              <w:ind w:right="123"/>
              <w:spacing w:after="0"/>
              <w:rPr>
                <w:sz w:val="20"/>
                <w:szCs w:val="20"/>
                <w:color w:val="auto"/>
              </w:rPr>
            </w:pPr>
            <w:r>
              <w:rPr>
                <w:rFonts w:ascii="Arial" w:cs="Arial" w:eastAsia="Arial" w:hAnsi="Arial"/>
                <w:sz w:val="15"/>
                <w:szCs w:val="15"/>
                <w:color w:val="auto"/>
                <w:w w:val="95"/>
              </w:rPr>
              <w:t>$</w:t>
            </w:r>
          </w:p>
        </w:tc>
        <w:tc>
          <w:tcPr>
            <w:tcW w:w="1080" w:type="dxa"/>
            <w:vAlign w:val="bottom"/>
            <w:tcBorders>
              <w:bottom w:val="single" w:sz="8" w:color="auto"/>
            </w:tcBorders>
            <w:shd w:val="clear" w:color="auto" w:fill="DCE2EF"/>
          </w:tcPr>
          <w:p>
            <w:pPr>
              <w:jc w:val="right"/>
              <w:ind w:right="105"/>
              <w:spacing w:after="0"/>
              <w:rPr>
                <w:sz w:val="20"/>
                <w:szCs w:val="20"/>
                <w:color w:val="auto"/>
              </w:rPr>
            </w:pPr>
            <w:r>
              <w:rPr>
                <w:rFonts w:ascii="Arial" w:cs="Arial" w:eastAsia="Arial" w:hAnsi="Arial"/>
                <w:sz w:val="15"/>
                <w:szCs w:val="15"/>
                <w:color w:val="auto"/>
              </w:rPr>
              <w:t>8,745.9</w:t>
            </w:r>
          </w:p>
        </w:tc>
        <w:tc>
          <w:tcPr>
            <w:tcW w:w="120" w:type="dxa"/>
            <w:vAlign w:val="bottom"/>
            <w:tcBorders>
              <w:bottom w:val="single" w:sz="8" w:color="DCE2EF"/>
            </w:tcBorders>
            <w:shd w:val="clear" w:color="auto" w:fill="DCE2EF"/>
          </w:tcPr>
          <w:p>
            <w:pPr>
              <w:spacing w:after="0"/>
              <w:rPr>
                <w:sz w:val="19"/>
                <w:szCs w:val="19"/>
                <w:color w:val="auto"/>
              </w:rPr>
            </w:pPr>
          </w:p>
        </w:tc>
        <w:tc>
          <w:tcPr>
            <w:tcW w:w="300" w:type="dxa"/>
            <w:vAlign w:val="bottom"/>
            <w:tcBorders>
              <w:bottom w:val="single" w:sz="8" w:color="auto"/>
            </w:tcBorders>
            <w:shd w:val="clear" w:color="auto" w:fill="DCE2EF"/>
          </w:tcPr>
          <w:p>
            <w:pPr>
              <w:jc w:val="right"/>
              <w:ind w:right="123"/>
              <w:spacing w:after="0"/>
              <w:rPr>
                <w:sz w:val="20"/>
                <w:szCs w:val="20"/>
                <w:color w:val="auto"/>
              </w:rPr>
            </w:pPr>
            <w:r>
              <w:rPr>
                <w:rFonts w:ascii="Arial" w:cs="Arial" w:eastAsia="Arial" w:hAnsi="Arial"/>
                <w:sz w:val="15"/>
                <w:szCs w:val="15"/>
                <w:color w:val="auto"/>
                <w:w w:val="95"/>
              </w:rPr>
              <w:t>$</w:t>
            </w:r>
          </w:p>
        </w:tc>
        <w:tc>
          <w:tcPr>
            <w:tcW w:w="1080" w:type="dxa"/>
            <w:vAlign w:val="bottom"/>
            <w:tcBorders>
              <w:bottom w:val="single" w:sz="8" w:color="auto"/>
            </w:tcBorders>
            <w:shd w:val="clear" w:color="auto" w:fill="DCE2EF"/>
          </w:tcPr>
          <w:p>
            <w:pPr>
              <w:jc w:val="right"/>
              <w:ind w:right="105"/>
              <w:spacing w:after="0"/>
              <w:rPr>
                <w:sz w:val="20"/>
                <w:szCs w:val="20"/>
                <w:color w:val="auto"/>
              </w:rPr>
            </w:pPr>
            <w:r>
              <w:rPr>
                <w:rFonts w:ascii="Arial" w:cs="Arial" w:eastAsia="Arial" w:hAnsi="Arial"/>
                <w:sz w:val="15"/>
                <w:szCs w:val="15"/>
                <w:color w:val="auto"/>
              </w:rPr>
              <w:t>8,359.4</w:t>
            </w:r>
          </w:p>
        </w:tc>
        <w:tc>
          <w:tcPr>
            <w:tcW w:w="100" w:type="dxa"/>
            <w:vAlign w:val="bottom"/>
            <w:tcBorders>
              <w:bottom w:val="single" w:sz="8" w:color="DCE2EF"/>
            </w:tcBorders>
            <w:shd w:val="clear" w:color="auto" w:fill="DCE2EF"/>
          </w:tcPr>
          <w:p>
            <w:pPr>
              <w:spacing w:after="0"/>
              <w:rPr>
                <w:sz w:val="19"/>
                <w:szCs w:val="19"/>
                <w:color w:val="auto"/>
              </w:rPr>
            </w:pPr>
          </w:p>
        </w:tc>
        <w:tc>
          <w:tcPr>
            <w:tcW w:w="320" w:type="dxa"/>
            <w:vAlign w:val="bottom"/>
            <w:tcBorders>
              <w:bottom w:val="single" w:sz="8" w:color="auto"/>
            </w:tcBorders>
            <w:shd w:val="clear" w:color="auto" w:fill="DCE2EF"/>
          </w:tcPr>
          <w:p>
            <w:pPr>
              <w:jc w:val="right"/>
              <w:ind w:right="143"/>
              <w:spacing w:after="0"/>
              <w:rPr>
                <w:sz w:val="20"/>
                <w:szCs w:val="20"/>
                <w:color w:val="auto"/>
              </w:rPr>
            </w:pPr>
            <w:r>
              <w:rPr>
                <w:rFonts w:ascii="Arial" w:cs="Arial" w:eastAsia="Arial" w:hAnsi="Arial"/>
                <w:sz w:val="15"/>
                <w:szCs w:val="15"/>
                <w:color w:val="auto"/>
                <w:w w:val="95"/>
              </w:rPr>
              <w:t>$</w:t>
            </w:r>
          </w:p>
        </w:tc>
        <w:tc>
          <w:tcPr>
            <w:tcW w:w="1080" w:type="dxa"/>
            <w:vAlign w:val="bottom"/>
            <w:tcBorders>
              <w:bottom w:val="single" w:sz="8" w:color="auto"/>
            </w:tcBorders>
            <w:shd w:val="clear" w:color="auto" w:fill="DCE2EF"/>
          </w:tcPr>
          <w:p>
            <w:pPr>
              <w:jc w:val="right"/>
              <w:ind w:right="105"/>
              <w:spacing w:after="0"/>
              <w:rPr>
                <w:sz w:val="20"/>
                <w:szCs w:val="20"/>
                <w:color w:val="auto"/>
              </w:rPr>
            </w:pPr>
            <w:r>
              <w:rPr>
                <w:rFonts w:ascii="Arial" w:cs="Arial" w:eastAsia="Arial" w:hAnsi="Arial"/>
                <w:sz w:val="15"/>
                <w:szCs w:val="15"/>
                <w:color w:val="auto"/>
              </w:rPr>
              <w:t>8,096.4</w:t>
            </w:r>
          </w:p>
        </w:tc>
        <w:tc>
          <w:tcPr>
            <w:tcW w:w="80" w:type="dxa"/>
            <w:vAlign w:val="bottom"/>
            <w:tcBorders>
              <w:bottom w:val="single" w:sz="8" w:color="DCE2EF"/>
            </w:tcBorders>
            <w:shd w:val="clear" w:color="auto" w:fill="DCE2EF"/>
          </w:tcPr>
          <w:p>
            <w:pPr>
              <w:spacing w:after="0"/>
              <w:rPr>
                <w:sz w:val="19"/>
                <w:szCs w:val="19"/>
                <w:color w:val="auto"/>
              </w:rPr>
            </w:pPr>
          </w:p>
        </w:tc>
        <w:tc>
          <w:tcPr>
            <w:tcW w:w="360" w:type="dxa"/>
            <w:vAlign w:val="bottom"/>
            <w:tcBorders>
              <w:bottom w:val="single" w:sz="8" w:color="auto"/>
            </w:tcBorders>
            <w:shd w:val="clear" w:color="auto" w:fill="DCE2EF"/>
          </w:tcPr>
          <w:p>
            <w:pPr>
              <w:jc w:val="right"/>
              <w:ind w:right="163"/>
              <w:spacing w:after="0"/>
              <w:rPr>
                <w:sz w:val="20"/>
                <w:szCs w:val="20"/>
                <w:color w:val="auto"/>
              </w:rPr>
            </w:pPr>
            <w:r>
              <w:rPr>
                <w:rFonts w:ascii="Arial" w:cs="Arial" w:eastAsia="Arial" w:hAnsi="Arial"/>
                <w:sz w:val="15"/>
                <w:szCs w:val="15"/>
                <w:color w:val="auto"/>
              </w:rPr>
              <w:t>$</w:t>
            </w:r>
          </w:p>
        </w:tc>
        <w:tc>
          <w:tcPr>
            <w:tcW w:w="92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5"/>
                <w:szCs w:val="15"/>
                <w:color w:val="auto"/>
              </w:rPr>
              <w:t>386.5</w:t>
            </w:r>
          </w:p>
        </w:tc>
        <w:tc>
          <w:tcPr>
            <w:tcW w:w="1380" w:type="dxa"/>
            <w:vAlign w:val="bottom"/>
            <w:tcBorders>
              <w:bottom w:val="single" w:sz="8" w:color="DCE2EF"/>
            </w:tcBorders>
            <w:shd w:val="clear" w:color="auto" w:fill="DCE2EF"/>
          </w:tcPr>
          <w:p>
            <w:pPr>
              <w:jc w:val="center"/>
              <w:ind w:left="43"/>
              <w:spacing w:after="0"/>
              <w:rPr>
                <w:sz w:val="20"/>
                <w:szCs w:val="20"/>
                <w:color w:val="auto"/>
              </w:rPr>
            </w:pPr>
            <w:r>
              <w:rPr>
                <w:rFonts w:ascii="Arial" w:cs="Arial" w:eastAsia="Arial" w:hAnsi="Arial"/>
                <w:sz w:val="15"/>
                <w:szCs w:val="15"/>
                <w:color w:val="auto"/>
                <w:w w:val="99"/>
              </w:rPr>
              <w:t>4.6%</w:t>
            </w:r>
          </w:p>
        </w:tc>
        <w:tc>
          <w:tcPr>
            <w:tcW w:w="0" w:type="dxa"/>
            <w:vAlign w:val="bottom"/>
          </w:tcPr>
          <w:p>
            <w:pPr>
              <w:spacing w:after="0"/>
              <w:rPr>
                <w:sz w:val="1"/>
                <w:szCs w:val="1"/>
                <w:color w:val="auto"/>
              </w:rPr>
            </w:pPr>
          </w:p>
        </w:tc>
      </w:tr>
      <w:tr>
        <w:trPr>
          <w:trHeight w:val="20"/>
        </w:trPr>
        <w:tc>
          <w:tcPr>
            <w:tcW w:w="4120" w:type="dxa"/>
            <w:vAlign w:val="bottom"/>
            <w:tcBorders>
              <w:top w:val="single" w:sz="8" w:color="DCE2EF"/>
              <w:bottom w:val="single" w:sz="8" w:color="DCE2EF"/>
            </w:tcBorders>
            <w:gridSpan w:val="3"/>
            <w:vMerge w:val="restart"/>
          </w:tcPr>
          <w:p>
            <w:pPr>
              <w:ind w:left="20"/>
              <w:spacing w:after="0"/>
              <w:rPr>
                <w:sz w:val="20"/>
                <w:szCs w:val="20"/>
                <w:color w:val="auto"/>
              </w:rPr>
            </w:pPr>
            <w:r>
              <w:rPr>
                <w:rFonts w:ascii="Arial" w:cs="Arial" w:eastAsia="Arial" w:hAnsi="Arial"/>
                <w:sz w:val="15"/>
                <w:szCs w:val="15"/>
                <w:b w:val="1"/>
                <w:bCs w:val="1"/>
                <w:color w:val="auto"/>
              </w:rPr>
              <w:t>Operating profit (loss)</w:t>
            </w:r>
          </w:p>
        </w:tc>
        <w:tc>
          <w:tcPr>
            <w:tcW w:w="300" w:type="dxa"/>
            <w:vAlign w:val="bottom"/>
            <w:tcBorders>
              <w:top w:val="single" w:sz="8" w:color="DCE2EF"/>
              <w:bottom w:val="single" w:sz="8" w:color="auto"/>
            </w:tcBorders>
          </w:tcPr>
          <w:p>
            <w:pPr>
              <w:spacing w:after="0" w:line="20" w:lineRule="exact"/>
              <w:rPr>
                <w:sz w:val="1"/>
                <w:szCs w:val="1"/>
                <w:color w:val="auto"/>
              </w:rPr>
            </w:pPr>
          </w:p>
        </w:tc>
        <w:tc>
          <w:tcPr>
            <w:tcW w:w="1080" w:type="dxa"/>
            <w:vAlign w:val="bottom"/>
            <w:tcBorders>
              <w:top w:val="single" w:sz="8" w:color="DCE2EF"/>
              <w:bottom w:val="single" w:sz="8" w:color="auto"/>
            </w:tcBorders>
          </w:tcPr>
          <w:p>
            <w:pPr>
              <w:spacing w:after="0" w:line="20" w:lineRule="exact"/>
              <w:rPr>
                <w:sz w:val="1"/>
                <w:szCs w:val="1"/>
                <w:color w:val="auto"/>
              </w:rPr>
            </w:pPr>
          </w:p>
        </w:tc>
        <w:tc>
          <w:tcPr>
            <w:tcW w:w="120" w:type="dxa"/>
            <w:vAlign w:val="bottom"/>
            <w:tcBorders>
              <w:top w:val="single" w:sz="8" w:color="DCE2EF"/>
            </w:tcBorders>
          </w:tcPr>
          <w:p>
            <w:pPr>
              <w:spacing w:after="0" w:line="20" w:lineRule="exact"/>
              <w:rPr>
                <w:sz w:val="1"/>
                <w:szCs w:val="1"/>
                <w:color w:val="auto"/>
              </w:rPr>
            </w:pPr>
          </w:p>
        </w:tc>
        <w:tc>
          <w:tcPr>
            <w:tcW w:w="300" w:type="dxa"/>
            <w:vAlign w:val="bottom"/>
            <w:tcBorders>
              <w:top w:val="single" w:sz="8" w:color="DCE2EF"/>
              <w:bottom w:val="single" w:sz="8" w:color="auto"/>
            </w:tcBorders>
          </w:tcPr>
          <w:p>
            <w:pPr>
              <w:spacing w:after="0" w:line="20" w:lineRule="exact"/>
              <w:rPr>
                <w:sz w:val="1"/>
                <w:szCs w:val="1"/>
                <w:color w:val="auto"/>
              </w:rPr>
            </w:pPr>
          </w:p>
        </w:tc>
        <w:tc>
          <w:tcPr>
            <w:tcW w:w="1080" w:type="dxa"/>
            <w:vAlign w:val="bottom"/>
            <w:tcBorders>
              <w:top w:val="single" w:sz="8" w:color="DCE2EF"/>
              <w:bottom w:val="single" w:sz="8" w:color="auto"/>
            </w:tcBorders>
          </w:tcPr>
          <w:p>
            <w:pPr>
              <w:spacing w:after="0" w:line="20" w:lineRule="exact"/>
              <w:rPr>
                <w:sz w:val="1"/>
                <w:szCs w:val="1"/>
                <w:color w:val="auto"/>
              </w:rPr>
            </w:pPr>
          </w:p>
        </w:tc>
        <w:tc>
          <w:tcPr>
            <w:tcW w:w="100" w:type="dxa"/>
            <w:vAlign w:val="bottom"/>
            <w:tcBorders>
              <w:top w:val="single" w:sz="8" w:color="DCE2EF"/>
            </w:tcBorders>
          </w:tcPr>
          <w:p>
            <w:pPr>
              <w:spacing w:after="0" w:line="20" w:lineRule="exact"/>
              <w:rPr>
                <w:sz w:val="1"/>
                <w:szCs w:val="1"/>
                <w:color w:val="auto"/>
              </w:rPr>
            </w:pPr>
          </w:p>
        </w:tc>
        <w:tc>
          <w:tcPr>
            <w:tcW w:w="320" w:type="dxa"/>
            <w:vAlign w:val="bottom"/>
            <w:tcBorders>
              <w:top w:val="single" w:sz="8" w:color="DCE2EF"/>
              <w:bottom w:val="single" w:sz="8" w:color="auto"/>
            </w:tcBorders>
          </w:tcPr>
          <w:p>
            <w:pPr>
              <w:spacing w:after="0" w:line="20" w:lineRule="exact"/>
              <w:rPr>
                <w:sz w:val="1"/>
                <w:szCs w:val="1"/>
                <w:color w:val="auto"/>
              </w:rPr>
            </w:pPr>
          </w:p>
        </w:tc>
        <w:tc>
          <w:tcPr>
            <w:tcW w:w="1080" w:type="dxa"/>
            <w:vAlign w:val="bottom"/>
            <w:tcBorders>
              <w:top w:val="single" w:sz="8" w:color="DCE2EF"/>
              <w:bottom w:val="single" w:sz="8" w:color="auto"/>
            </w:tcBorders>
          </w:tcPr>
          <w:p>
            <w:pPr>
              <w:spacing w:after="0" w:line="20" w:lineRule="exact"/>
              <w:rPr>
                <w:sz w:val="1"/>
                <w:szCs w:val="1"/>
                <w:color w:val="auto"/>
              </w:rPr>
            </w:pPr>
          </w:p>
        </w:tc>
        <w:tc>
          <w:tcPr>
            <w:tcW w:w="80" w:type="dxa"/>
            <w:vAlign w:val="bottom"/>
            <w:tcBorders>
              <w:top w:val="single" w:sz="8" w:color="DCE2EF"/>
            </w:tcBorders>
          </w:tcPr>
          <w:p>
            <w:pPr>
              <w:spacing w:after="0" w:line="20" w:lineRule="exact"/>
              <w:rPr>
                <w:sz w:val="1"/>
                <w:szCs w:val="1"/>
                <w:color w:val="auto"/>
              </w:rPr>
            </w:pPr>
          </w:p>
        </w:tc>
        <w:tc>
          <w:tcPr>
            <w:tcW w:w="360" w:type="dxa"/>
            <w:vAlign w:val="bottom"/>
            <w:tcBorders>
              <w:top w:val="single" w:sz="8" w:color="DCE2EF"/>
              <w:bottom w:val="single" w:sz="8" w:color="auto"/>
            </w:tcBorders>
          </w:tcPr>
          <w:p>
            <w:pPr>
              <w:spacing w:after="0" w:line="20" w:lineRule="exact"/>
              <w:rPr>
                <w:sz w:val="1"/>
                <w:szCs w:val="1"/>
                <w:color w:val="auto"/>
              </w:rPr>
            </w:pPr>
          </w:p>
        </w:tc>
        <w:tc>
          <w:tcPr>
            <w:tcW w:w="920" w:type="dxa"/>
            <w:vAlign w:val="bottom"/>
            <w:tcBorders>
              <w:top w:val="single" w:sz="8" w:color="DCE2EF"/>
              <w:bottom w:val="single" w:sz="8" w:color="auto"/>
            </w:tcBorders>
          </w:tcPr>
          <w:p>
            <w:pPr>
              <w:spacing w:after="0" w:line="20" w:lineRule="exact"/>
              <w:rPr>
                <w:sz w:val="1"/>
                <w:szCs w:val="1"/>
                <w:color w:val="auto"/>
              </w:rPr>
            </w:pPr>
          </w:p>
        </w:tc>
        <w:tc>
          <w:tcPr>
            <w:tcW w:w="1380" w:type="dxa"/>
            <w:vAlign w:val="bottom"/>
            <w:tcBorders>
              <w:top w:val="single" w:sz="8" w:color="DCE2E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4120" w:type="dxa"/>
            <w:vAlign w:val="bottom"/>
            <w:gridSpan w:val="3"/>
            <w:vMerge w:val="continue"/>
          </w:tcPr>
          <w:p>
            <w:pPr>
              <w:spacing w:after="0"/>
              <w:rPr>
                <w:sz w:val="13"/>
                <w:szCs w:val="13"/>
                <w:color w:val="auto"/>
              </w:rPr>
            </w:pPr>
          </w:p>
        </w:tc>
        <w:tc>
          <w:tcPr>
            <w:tcW w:w="3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4120" w:type="dxa"/>
            <w:vAlign w:val="bottom"/>
            <w:gridSpan w:val="3"/>
            <w:shd w:val="clear" w:color="auto" w:fill="DCE2EF"/>
          </w:tcPr>
          <w:p>
            <w:pPr>
              <w:ind w:left="20"/>
              <w:spacing w:after="0"/>
              <w:rPr>
                <w:sz w:val="20"/>
                <w:szCs w:val="20"/>
                <w:color w:val="auto"/>
              </w:rPr>
            </w:pPr>
            <w:r>
              <w:rPr>
                <w:rFonts w:ascii="Arial" w:cs="Arial" w:eastAsia="Arial" w:hAnsi="Arial"/>
                <w:sz w:val="15"/>
                <w:szCs w:val="15"/>
                <w:color w:val="auto"/>
              </w:rPr>
              <w:t>Business &amp; Industry</w:t>
            </w:r>
          </w:p>
        </w:tc>
        <w:tc>
          <w:tcPr>
            <w:tcW w:w="300" w:type="dxa"/>
            <w:vAlign w:val="bottom"/>
            <w:shd w:val="clear" w:color="auto" w:fill="DCE2EF"/>
          </w:tcPr>
          <w:p>
            <w:pPr>
              <w:jc w:val="right"/>
              <w:ind w:right="123"/>
              <w:spacing w:after="0"/>
              <w:rPr>
                <w:sz w:val="20"/>
                <w:szCs w:val="20"/>
                <w:color w:val="auto"/>
              </w:rPr>
            </w:pPr>
            <w:r>
              <w:rPr>
                <w:rFonts w:ascii="Arial" w:cs="Arial" w:eastAsia="Arial" w:hAnsi="Arial"/>
                <w:sz w:val="15"/>
                <w:szCs w:val="15"/>
                <w:color w:val="auto"/>
                <w:w w:val="95"/>
              </w:rPr>
              <w:t>$</w:t>
            </w:r>
          </w:p>
        </w:tc>
        <w:tc>
          <w:tcPr>
            <w:tcW w:w="1080" w:type="dxa"/>
            <w:vAlign w:val="bottom"/>
            <w:shd w:val="clear" w:color="auto" w:fill="DCE2EF"/>
          </w:tcPr>
          <w:p>
            <w:pPr>
              <w:jc w:val="right"/>
              <w:ind w:right="105"/>
              <w:spacing w:after="0"/>
              <w:rPr>
                <w:sz w:val="20"/>
                <w:szCs w:val="20"/>
                <w:color w:val="auto"/>
              </w:rPr>
            </w:pPr>
            <w:r>
              <w:rPr>
                <w:rFonts w:ascii="Arial" w:cs="Arial" w:eastAsia="Arial" w:hAnsi="Arial"/>
                <w:sz w:val="15"/>
                <w:szCs w:val="15"/>
                <w:color w:val="auto"/>
              </w:rPr>
              <w:t>316.9</w:t>
            </w:r>
          </w:p>
        </w:tc>
        <w:tc>
          <w:tcPr>
            <w:tcW w:w="120" w:type="dxa"/>
            <w:vAlign w:val="bottom"/>
            <w:shd w:val="clear" w:color="auto" w:fill="DCE2EF"/>
          </w:tcPr>
          <w:p>
            <w:pPr>
              <w:spacing w:after="0"/>
              <w:rPr>
                <w:sz w:val="17"/>
                <w:szCs w:val="17"/>
                <w:color w:val="auto"/>
              </w:rPr>
            </w:pPr>
          </w:p>
        </w:tc>
        <w:tc>
          <w:tcPr>
            <w:tcW w:w="300" w:type="dxa"/>
            <w:vAlign w:val="bottom"/>
            <w:shd w:val="clear" w:color="auto" w:fill="DCE2EF"/>
          </w:tcPr>
          <w:p>
            <w:pPr>
              <w:jc w:val="right"/>
              <w:ind w:right="123"/>
              <w:spacing w:after="0"/>
              <w:rPr>
                <w:sz w:val="20"/>
                <w:szCs w:val="20"/>
                <w:color w:val="auto"/>
              </w:rPr>
            </w:pPr>
            <w:r>
              <w:rPr>
                <w:rFonts w:ascii="Arial" w:cs="Arial" w:eastAsia="Arial" w:hAnsi="Arial"/>
                <w:sz w:val="15"/>
                <w:szCs w:val="15"/>
                <w:color w:val="auto"/>
                <w:w w:val="95"/>
              </w:rPr>
              <w:t>$</w:t>
            </w:r>
          </w:p>
        </w:tc>
        <w:tc>
          <w:tcPr>
            <w:tcW w:w="1080" w:type="dxa"/>
            <w:vAlign w:val="bottom"/>
            <w:shd w:val="clear" w:color="auto" w:fill="DCE2EF"/>
          </w:tcPr>
          <w:p>
            <w:pPr>
              <w:jc w:val="right"/>
              <w:ind w:right="105"/>
              <w:spacing w:after="0"/>
              <w:rPr>
                <w:sz w:val="20"/>
                <w:szCs w:val="20"/>
                <w:color w:val="auto"/>
              </w:rPr>
            </w:pPr>
            <w:r>
              <w:rPr>
                <w:rFonts w:ascii="Arial" w:cs="Arial" w:eastAsia="Arial" w:hAnsi="Arial"/>
                <w:sz w:val="15"/>
                <w:szCs w:val="15"/>
                <w:color w:val="auto"/>
              </w:rPr>
              <w:t>307.0</w:t>
            </w:r>
          </w:p>
        </w:tc>
        <w:tc>
          <w:tcPr>
            <w:tcW w:w="100" w:type="dxa"/>
            <w:vAlign w:val="bottom"/>
            <w:shd w:val="clear" w:color="auto" w:fill="DCE2EF"/>
          </w:tcPr>
          <w:p>
            <w:pPr>
              <w:spacing w:after="0"/>
              <w:rPr>
                <w:sz w:val="17"/>
                <w:szCs w:val="17"/>
                <w:color w:val="auto"/>
              </w:rPr>
            </w:pPr>
          </w:p>
        </w:tc>
        <w:tc>
          <w:tcPr>
            <w:tcW w:w="320" w:type="dxa"/>
            <w:vAlign w:val="bottom"/>
            <w:shd w:val="clear" w:color="auto" w:fill="DCE2EF"/>
          </w:tcPr>
          <w:p>
            <w:pPr>
              <w:jc w:val="right"/>
              <w:ind w:right="143"/>
              <w:spacing w:after="0"/>
              <w:rPr>
                <w:sz w:val="20"/>
                <w:szCs w:val="20"/>
                <w:color w:val="auto"/>
              </w:rPr>
            </w:pPr>
            <w:r>
              <w:rPr>
                <w:rFonts w:ascii="Arial" w:cs="Arial" w:eastAsia="Arial" w:hAnsi="Arial"/>
                <w:sz w:val="15"/>
                <w:szCs w:val="15"/>
                <w:color w:val="auto"/>
                <w:w w:val="95"/>
              </w:rPr>
              <w:t>$</w:t>
            </w:r>
          </w:p>
        </w:tc>
        <w:tc>
          <w:tcPr>
            <w:tcW w:w="1080" w:type="dxa"/>
            <w:vAlign w:val="bottom"/>
            <w:shd w:val="clear" w:color="auto" w:fill="DCE2EF"/>
          </w:tcPr>
          <w:p>
            <w:pPr>
              <w:jc w:val="right"/>
              <w:ind w:right="105"/>
              <w:spacing w:after="0"/>
              <w:rPr>
                <w:sz w:val="20"/>
                <w:szCs w:val="20"/>
                <w:color w:val="auto"/>
              </w:rPr>
            </w:pPr>
            <w:r>
              <w:rPr>
                <w:rFonts w:ascii="Arial" w:cs="Arial" w:eastAsia="Arial" w:hAnsi="Arial"/>
                <w:sz w:val="15"/>
                <w:szCs w:val="15"/>
                <w:color w:val="auto"/>
              </w:rPr>
              <w:t>315.6</w:t>
            </w:r>
          </w:p>
        </w:tc>
        <w:tc>
          <w:tcPr>
            <w:tcW w:w="80" w:type="dxa"/>
            <w:vAlign w:val="bottom"/>
            <w:shd w:val="clear" w:color="auto" w:fill="DCE2EF"/>
          </w:tcPr>
          <w:p>
            <w:pPr>
              <w:spacing w:after="0"/>
              <w:rPr>
                <w:sz w:val="17"/>
                <w:szCs w:val="17"/>
                <w:color w:val="auto"/>
              </w:rPr>
            </w:pPr>
          </w:p>
        </w:tc>
        <w:tc>
          <w:tcPr>
            <w:tcW w:w="360" w:type="dxa"/>
            <w:vAlign w:val="bottom"/>
            <w:shd w:val="clear" w:color="auto" w:fill="DCE2EF"/>
          </w:tcPr>
          <w:p>
            <w:pPr>
              <w:jc w:val="right"/>
              <w:ind w:right="163"/>
              <w:spacing w:after="0"/>
              <w:rPr>
                <w:sz w:val="20"/>
                <w:szCs w:val="20"/>
                <w:color w:val="auto"/>
              </w:rPr>
            </w:pPr>
            <w:r>
              <w:rPr>
                <w:rFonts w:ascii="Arial" w:cs="Arial" w:eastAsia="Arial" w:hAnsi="Arial"/>
                <w:sz w:val="15"/>
                <w:szCs w:val="15"/>
                <w:color w:val="auto"/>
              </w:rPr>
              <w:t>$</w:t>
            </w:r>
          </w:p>
        </w:tc>
        <w:tc>
          <w:tcPr>
            <w:tcW w:w="920" w:type="dxa"/>
            <w:vAlign w:val="bottom"/>
            <w:shd w:val="clear" w:color="auto" w:fill="DCE2EF"/>
          </w:tcPr>
          <w:p>
            <w:pPr>
              <w:jc w:val="right"/>
              <w:spacing w:after="0"/>
              <w:rPr>
                <w:sz w:val="20"/>
                <w:szCs w:val="20"/>
                <w:color w:val="auto"/>
              </w:rPr>
            </w:pPr>
            <w:r>
              <w:rPr>
                <w:rFonts w:ascii="Arial" w:cs="Arial" w:eastAsia="Arial" w:hAnsi="Arial"/>
                <w:sz w:val="15"/>
                <w:szCs w:val="15"/>
                <w:color w:val="auto"/>
              </w:rPr>
              <w:t>9.9</w:t>
            </w:r>
          </w:p>
        </w:tc>
        <w:tc>
          <w:tcPr>
            <w:tcW w:w="1380" w:type="dxa"/>
            <w:vAlign w:val="bottom"/>
            <w:shd w:val="clear" w:color="auto" w:fill="DCE2EF"/>
          </w:tcPr>
          <w:p>
            <w:pPr>
              <w:jc w:val="center"/>
              <w:ind w:left="43"/>
              <w:spacing w:after="0"/>
              <w:rPr>
                <w:sz w:val="20"/>
                <w:szCs w:val="20"/>
                <w:color w:val="auto"/>
              </w:rPr>
            </w:pPr>
            <w:r>
              <w:rPr>
                <w:rFonts w:ascii="Arial" w:cs="Arial" w:eastAsia="Arial" w:hAnsi="Arial"/>
                <w:sz w:val="15"/>
                <w:szCs w:val="15"/>
                <w:color w:val="auto"/>
                <w:w w:val="99"/>
              </w:rPr>
              <w:t>3.2%</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100" w:type="dxa"/>
            <w:vAlign w:val="bottom"/>
            <w:gridSpan w:val="2"/>
          </w:tcPr>
          <w:p>
            <w:pPr>
              <w:jc w:val="center"/>
              <w:ind w:right="2460"/>
              <w:spacing w:after="0"/>
              <w:rPr>
                <w:sz w:val="20"/>
                <w:szCs w:val="20"/>
                <w:color w:val="auto"/>
              </w:rPr>
            </w:pPr>
            <w:r>
              <w:rPr>
                <w:rFonts w:ascii="Arial" w:cs="Arial" w:eastAsia="Arial" w:hAnsi="Arial"/>
                <w:sz w:val="14"/>
                <w:szCs w:val="14"/>
                <w:i w:val="1"/>
                <w:iCs w:val="1"/>
                <w:color w:val="auto"/>
                <w:w w:val="97"/>
              </w:rPr>
              <w:t>Operating profit margin</w:t>
            </w:r>
          </w:p>
        </w:tc>
        <w:tc>
          <w:tcPr>
            <w:tcW w:w="3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i w:val="1"/>
                <w:iCs w:val="1"/>
                <w:color w:val="auto"/>
              </w:rPr>
              <w:t>7.7%</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i w:val="1"/>
                <w:iCs w:val="1"/>
                <w:color w:val="auto"/>
              </w:rPr>
              <w:t>7.6%</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i w:val="1"/>
                <w:iCs w:val="1"/>
                <w:color w:val="auto"/>
              </w:rPr>
              <w:t>7.7%</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i w:val="1"/>
                <w:iCs w:val="1"/>
                <w:color w:val="auto"/>
              </w:rPr>
              <w:t>12 bps</w:t>
            </w: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120" w:type="dxa"/>
            <w:vAlign w:val="bottom"/>
            <w:gridSpan w:val="3"/>
            <w:shd w:val="clear" w:color="auto" w:fill="DCE2EF"/>
          </w:tcPr>
          <w:p>
            <w:pPr>
              <w:ind w:left="20"/>
              <w:spacing w:after="0"/>
              <w:rPr>
                <w:sz w:val="20"/>
                <w:szCs w:val="20"/>
                <w:color w:val="auto"/>
              </w:rPr>
            </w:pPr>
            <w:r>
              <w:rPr>
                <w:rFonts w:ascii="Arial" w:cs="Arial" w:eastAsia="Arial" w:hAnsi="Arial"/>
                <w:sz w:val="15"/>
                <w:szCs w:val="15"/>
                <w:color w:val="auto"/>
              </w:rPr>
              <w:t>Manufacturing &amp; Distribution</w:t>
            </w:r>
          </w:p>
        </w:tc>
        <w:tc>
          <w:tcPr>
            <w:tcW w:w="300" w:type="dxa"/>
            <w:vAlign w:val="bottom"/>
            <w:shd w:val="clear" w:color="auto" w:fill="DCE2EF"/>
          </w:tcPr>
          <w:p>
            <w:pPr>
              <w:spacing w:after="0"/>
              <w:rPr>
                <w:sz w:val="18"/>
                <w:szCs w:val="18"/>
                <w:color w:val="auto"/>
              </w:rPr>
            </w:pPr>
          </w:p>
        </w:tc>
        <w:tc>
          <w:tcPr>
            <w:tcW w:w="1080" w:type="dxa"/>
            <w:vAlign w:val="bottom"/>
            <w:shd w:val="clear" w:color="auto" w:fill="DCE2EF"/>
          </w:tcPr>
          <w:p>
            <w:pPr>
              <w:jc w:val="right"/>
              <w:ind w:right="105"/>
              <w:spacing w:after="0"/>
              <w:rPr>
                <w:sz w:val="20"/>
                <w:szCs w:val="20"/>
                <w:color w:val="auto"/>
              </w:rPr>
            </w:pPr>
            <w:r>
              <w:rPr>
                <w:rFonts w:ascii="Arial" w:cs="Arial" w:eastAsia="Arial" w:hAnsi="Arial"/>
                <w:sz w:val="15"/>
                <w:szCs w:val="15"/>
                <w:color w:val="auto"/>
              </w:rPr>
              <w:t>151.4</w:t>
            </w:r>
          </w:p>
        </w:tc>
        <w:tc>
          <w:tcPr>
            <w:tcW w:w="120" w:type="dxa"/>
            <w:vAlign w:val="bottom"/>
            <w:shd w:val="clear" w:color="auto" w:fill="DCE2EF"/>
          </w:tcPr>
          <w:p>
            <w:pPr>
              <w:spacing w:after="0"/>
              <w:rPr>
                <w:sz w:val="18"/>
                <w:szCs w:val="18"/>
                <w:color w:val="auto"/>
              </w:rPr>
            </w:pPr>
          </w:p>
        </w:tc>
        <w:tc>
          <w:tcPr>
            <w:tcW w:w="300" w:type="dxa"/>
            <w:vAlign w:val="bottom"/>
            <w:shd w:val="clear" w:color="auto" w:fill="DCE2EF"/>
          </w:tcPr>
          <w:p>
            <w:pPr>
              <w:spacing w:after="0"/>
              <w:rPr>
                <w:sz w:val="18"/>
                <w:szCs w:val="18"/>
                <w:color w:val="auto"/>
              </w:rPr>
            </w:pPr>
          </w:p>
        </w:tc>
        <w:tc>
          <w:tcPr>
            <w:tcW w:w="1080" w:type="dxa"/>
            <w:vAlign w:val="bottom"/>
            <w:shd w:val="clear" w:color="auto" w:fill="DCE2EF"/>
          </w:tcPr>
          <w:p>
            <w:pPr>
              <w:jc w:val="right"/>
              <w:ind w:right="105"/>
              <w:spacing w:after="0"/>
              <w:rPr>
                <w:sz w:val="20"/>
                <w:szCs w:val="20"/>
                <w:color w:val="auto"/>
              </w:rPr>
            </w:pPr>
            <w:r>
              <w:rPr>
                <w:rFonts w:ascii="Arial" w:cs="Arial" w:eastAsia="Arial" w:hAnsi="Arial"/>
                <w:sz w:val="15"/>
                <w:szCs w:val="15"/>
                <w:color w:val="auto"/>
              </w:rPr>
              <w:t>166.3</w:t>
            </w:r>
          </w:p>
        </w:tc>
        <w:tc>
          <w:tcPr>
            <w:tcW w:w="100" w:type="dxa"/>
            <w:vAlign w:val="bottom"/>
            <w:shd w:val="clear" w:color="auto" w:fill="DCE2EF"/>
          </w:tcPr>
          <w:p>
            <w:pPr>
              <w:spacing w:after="0"/>
              <w:rPr>
                <w:sz w:val="18"/>
                <w:szCs w:val="18"/>
                <w:color w:val="auto"/>
              </w:rPr>
            </w:pPr>
          </w:p>
        </w:tc>
        <w:tc>
          <w:tcPr>
            <w:tcW w:w="320" w:type="dxa"/>
            <w:vAlign w:val="bottom"/>
            <w:shd w:val="clear" w:color="auto" w:fill="DCE2EF"/>
          </w:tcPr>
          <w:p>
            <w:pPr>
              <w:spacing w:after="0"/>
              <w:rPr>
                <w:sz w:val="18"/>
                <w:szCs w:val="18"/>
                <w:color w:val="auto"/>
              </w:rPr>
            </w:pPr>
          </w:p>
        </w:tc>
        <w:tc>
          <w:tcPr>
            <w:tcW w:w="1080" w:type="dxa"/>
            <w:vAlign w:val="bottom"/>
            <w:shd w:val="clear" w:color="auto" w:fill="DCE2EF"/>
          </w:tcPr>
          <w:p>
            <w:pPr>
              <w:jc w:val="right"/>
              <w:ind w:right="105"/>
              <w:spacing w:after="0"/>
              <w:rPr>
                <w:sz w:val="20"/>
                <w:szCs w:val="20"/>
                <w:color w:val="auto"/>
              </w:rPr>
            </w:pPr>
            <w:r>
              <w:rPr>
                <w:rFonts w:ascii="Arial" w:cs="Arial" w:eastAsia="Arial" w:hAnsi="Arial"/>
                <w:sz w:val="15"/>
                <w:szCs w:val="15"/>
                <w:color w:val="auto"/>
              </w:rPr>
              <w:t>161.7</w:t>
            </w:r>
          </w:p>
        </w:tc>
        <w:tc>
          <w:tcPr>
            <w:tcW w:w="80" w:type="dxa"/>
            <w:vAlign w:val="bottom"/>
            <w:shd w:val="clear" w:color="auto" w:fill="DCE2EF"/>
          </w:tcPr>
          <w:p>
            <w:pPr>
              <w:spacing w:after="0"/>
              <w:rPr>
                <w:sz w:val="18"/>
                <w:szCs w:val="18"/>
                <w:color w:val="auto"/>
              </w:rPr>
            </w:pPr>
          </w:p>
        </w:tc>
        <w:tc>
          <w:tcPr>
            <w:tcW w:w="360" w:type="dxa"/>
            <w:vAlign w:val="bottom"/>
            <w:shd w:val="clear" w:color="auto" w:fill="DCE2EF"/>
          </w:tcPr>
          <w:p>
            <w:pPr>
              <w:spacing w:after="0"/>
              <w:rPr>
                <w:sz w:val="18"/>
                <w:szCs w:val="18"/>
                <w:color w:val="auto"/>
              </w:rPr>
            </w:pPr>
          </w:p>
        </w:tc>
        <w:tc>
          <w:tcPr>
            <w:tcW w:w="920" w:type="dxa"/>
            <w:vAlign w:val="bottom"/>
            <w:shd w:val="clear" w:color="auto" w:fill="DCE2EF"/>
          </w:tcPr>
          <w:p>
            <w:pPr>
              <w:jc w:val="right"/>
              <w:spacing w:after="0"/>
              <w:rPr>
                <w:sz w:val="20"/>
                <w:szCs w:val="20"/>
                <w:color w:val="auto"/>
              </w:rPr>
            </w:pPr>
            <w:r>
              <w:rPr>
                <w:rFonts w:ascii="Arial" w:cs="Arial" w:eastAsia="Arial" w:hAnsi="Arial"/>
                <w:sz w:val="15"/>
                <w:szCs w:val="15"/>
                <w:color w:val="auto"/>
              </w:rPr>
              <w:t>(14.9)</w:t>
            </w:r>
          </w:p>
        </w:tc>
        <w:tc>
          <w:tcPr>
            <w:tcW w:w="1380" w:type="dxa"/>
            <w:vAlign w:val="bottom"/>
            <w:shd w:val="clear" w:color="auto" w:fill="DCE2EF"/>
          </w:tcPr>
          <w:p>
            <w:pPr>
              <w:jc w:val="center"/>
              <w:ind w:left="43"/>
              <w:spacing w:after="0"/>
              <w:rPr>
                <w:sz w:val="20"/>
                <w:szCs w:val="20"/>
                <w:color w:val="auto"/>
              </w:rPr>
            </w:pPr>
            <w:r>
              <w:rPr>
                <w:rFonts w:ascii="Arial" w:cs="Arial" w:eastAsia="Arial" w:hAnsi="Arial"/>
                <w:sz w:val="15"/>
                <w:szCs w:val="15"/>
                <w:color w:val="auto"/>
              </w:rPr>
              <w:t>(8.9)%</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100" w:type="dxa"/>
            <w:vAlign w:val="bottom"/>
            <w:gridSpan w:val="2"/>
          </w:tcPr>
          <w:p>
            <w:pPr>
              <w:jc w:val="center"/>
              <w:ind w:right="2460"/>
              <w:spacing w:after="0"/>
              <w:rPr>
                <w:sz w:val="20"/>
                <w:szCs w:val="20"/>
                <w:color w:val="auto"/>
              </w:rPr>
            </w:pPr>
            <w:r>
              <w:rPr>
                <w:rFonts w:ascii="Arial" w:cs="Arial" w:eastAsia="Arial" w:hAnsi="Arial"/>
                <w:sz w:val="14"/>
                <w:szCs w:val="14"/>
                <w:i w:val="1"/>
                <w:iCs w:val="1"/>
                <w:color w:val="auto"/>
                <w:w w:val="97"/>
              </w:rPr>
              <w:t>Operating profit margin</w:t>
            </w:r>
          </w:p>
        </w:tc>
        <w:tc>
          <w:tcPr>
            <w:tcW w:w="3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i w:val="1"/>
                <w:iCs w:val="1"/>
                <w:color w:val="auto"/>
              </w:rPr>
              <w:t>9.4%</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i w:val="1"/>
                <w:iCs w:val="1"/>
                <w:color w:val="auto"/>
              </w:rPr>
              <w:t>10.7%</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i w:val="1"/>
                <w:iCs w:val="1"/>
                <w:color w:val="auto"/>
              </w:rPr>
              <w:t>10.6%</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i w:val="1"/>
                <w:iCs w:val="1"/>
                <w:color w:val="auto"/>
              </w:rPr>
              <w:t>(134) bps</w:t>
            </w: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120" w:type="dxa"/>
            <w:vAlign w:val="bottom"/>
            <w:gridSpan w:val="3"/>
            <w:shd w:val="clear" w:color="auto" w:fill="DCE2EF"/>
          </w:tcPr>
          <w:p>
            <w:pPr>
              <w:ind w:left="20"/>
              <w:spacing w:after="0"/>
              <w:rPr>
                <w:sz w:val="20"/>
                <w:szCs w:val="20"/>
                <w:color w:val="auto"/>
              </w:rPr>
            </w:pPr>
            <w:r>
              <w:rPr>
                <w:rFonts w:ascii="Arial" w:cs="Arial" w:eastAsia="Arial" w:hAnsi="Arial"/>
                <w:sz w:val="15"/>
                <w:szCs w:val="15"/>
                <w:color w:val="auto"/>
              </w:rPr>
              <w:t>Aviation</w:t>
            </w:r>
          </w:p>
        </w:tc>
        <w:tc>
          <w:tcPr>
            <w:tcW w:w="300" w:type="dxa"/>
            <w:vAlign w:val="bottom"/>
            <w:shd w:val="clear" w:color="auto" w:fill="DCE2EF"/>
          </w:tcPr>
          <w:p>
            <w:pPr>
              <w:spacing w:after="0"/>
              <w:rPr>
                <w:sz w:val="18"/>
                <w:szCs w:val="18"/>
                <w:color w:val="auto"/>
              </w:rPr>
            </w:pPr>
          </w:p>
        </w:tc>
        <w:tc>
          <w:tcPr>
            <w:tcW w:w="1080" w:type="dxa"/>
            <w:vAlign w:val="bottom"/>
            <w:shd w:val="clear" w:color="auto" w:fill="DCE2EF"/>
          </w:tcPr>
          <w:p>
            <w:pPr>
              <w:jc w:val="right"/>
              <w:ind w:right="105"/>
              <w:spacing w:after="0"/>
              <w:rPr>
                <w:sz w:val="20"/>
                <w:szCs w:val="20"/>
                <w:color w:val="auto"/>
              </w:rPr>
            </w:pPr>
            <w:r>
              <w:rPr>
                <w:rFonts w:ascii="Arial" w:cs="Arial" w:eastAsia="Arial" w:hAnsi="Arial"/>
                <w:sz w:val="15"/>
                <w:szCs w:val="15"/>
                <w:color w:val="auto"/>
              </w:rPr>
              <w:t>65.2</w:t>
            </w:r>
          </w:p>
        </w:tc>
        <w:tc>
          <w:tcPr>
            <w:tcW w:w="120" w:type="dxa"/>
            <w:vAlign w:val="bottom"/>
            <w:shd w:val="clear" w:color="auto" w:fill="DCE2EF"/>
          </w:tcPr>
          <w:p>
            <w:pPr>
              <w:spacing w:after="0"/>
              <w:rPr>
                <w:sz w:val="18"/>
                <w:szCs w:val="18"/>
                <w:color w:val="auto"/>
              </w:rPr>
            </w:pPr>
          </w:p>
        </w:tc>
        <w:tc>
          <w:tcPr>
            <w:tcW w:w="300" w:type="dxa"/>
            <w:vAlign w:val="bottom"/>
            <w:shd w:val="clear" w:color="auto" w:fill="DCE2EF"/>
          </w:tcPr>
          <w:p>
            <w:pPr>
              <w:spacing w:after="0"/>
              <w:rPr>
                <w:sz w:val="18"/>
                <w:szCs w:val="18"/>
                <w:color w:val="auto"/>
              </w:rPr>
            </w:pPr>
          </w:p>
        </w:tc>
        <w:tc>
          <w:tcPr>
            <w:tcW w:w="1080" w:type="dxa"/>
            <w:vAlign w:val="bottom"/>
            <w:shd w:val="clear" w:color="auto" w:fill="DCE2EF"/>
          </w:tcPr>
          <w:p>
            <w:pPr>
              <w:jc w:val="right"/>
              <w:ind w:right="105"/>
              <w:spacing w:after="0"/>
              <w:rPr>
                <w:sz w:val="20"/>
                <w:szCs w:val="20"/>
                <w:color w:val="auto"/>
              </w:rPr>
            </w:pPr>
            <w:r>
              <w:rPr>
                <w:rFonts w:ascii="Arial" w:cs="Arial" w:eastAsia="Arial" w:hAnsi="Arial"/>
                <w:sz w:val="15"/>
                <w:szCs w:val="15"/>
                <w:color w:val="auto"/>
              </w:rPr>
              <w:t>59.1</w:t>
            </w:r>
          </w:p>
        </w:tc>
        <w:tc>
          <w:tcPr>
            <w:tcW w:w="100" w:type="dxa"/>
            <w:vAlign w:val="bottom"/>
            <w:shd w:val="clear" w:color="auto" w:fill="DCE2EF"/>
          </w:tcPr>
          <w:p>
            <w:pPr>
              <w:spacing w:after="0"/>
              <w:rPr>
                <w:sz w:val="18"/>
                <w:szCs w:val="18"/>
                <w:color w:val="auto"/>
              </w:rPr>
            </w:pPr>
          </w:p>
        </w:tc>
        <w:tc>
          <w:tcPr>
            <w:tcW w:w="320" w:type="dxa"/>
            <w:vAlign w:val="bottom"/>
            <w:shd w:val="clear" w:color="auto" w:fill="DCE2EF"/>
          </w:tcPr>
          <w:p>
            <w:pPr>
              <w:spacing w:after="0"/>
              <w:rPr>
                <w:sz w:val="18"/>
                <w:szCs w:val="18"/>
                <w:color w:val="auto"/>
              </w:rPr>
            </w:pPr>
          </w:p>
        </w:tc>
        <w:tc>
          <w:tcPr>
            <w:tcW w:w="1080" w:type="dxa"/>
            <w:vAlign w:val="bottom"/>
            <w:shd w:val="clear" w:color="auto" w:fill="DCE2EF"/>
          </w:tcPr>
          <w:p>
            <w:pPr>
              <w:jc w:val="right"/>
              <w:ind w:right="105"/>
              <w:spacing w:after="0"/>
              <w:rPr>
                <w:sz w:val="20"/>
                <w:szCs w:val="20"/>
                <w:color w:val="auto"/>
              </w:rPr>
            </w:pPr>
            <w:r>
              <w:rPr>
                <w:rFonts w:ascii="Arial" w:cs="Arial" w:eastAsia="Arial" w:hAnsi="Arial"/>
                <w:sz w:val="15"/>
                <w:szCs w:val="15"/>
                <w:color w:val="auto"/>
              </w:rPr>
              <w:t>60.0</w:t>
            </w:r>
          </w:p>
        </w:tc>
        <w:tc>
          <w:tcPr>
            <w:tcW w:w="80" w:type="dxa"/>
            <w:vAlign w:val="bottom"/>
            <w:shd w:val="clear" w:color="auto" w:fill="DCE2EF"/>
          </w:tcPr>
          <w:p>
            <w:pPr>
              <w:spacing w:after="0"/>
              <w:rPr>
                <w:sz w:val="18"/>
                <w:szCs w:val="18"/>
                <w:color w:val="auto"/>
              </w:rPr>
            </w:pPr>
          </w:p>
        </w:tc>
        <w:tc>
          <w:tcPr>
            <w:tcW w:w="360" w:type="dxa"/>
            <w:vAlign w:val="bottom"/>
            <w:shd w:val="clear" w:color="auto" w:fill="DCE2EF"/>
          </w:tcPr>
          <w:p>
            <w:pPr>
              <w:spacing w:after="0"/>
              <w:rPr>
                <w:sz w:val="18"/>
                <w:szCs w:val="18"/>
                <w:color w:val="auto"/>
              </w:rPr>
            </w:pPr>
          </w:p>
        </w:tc>
        <w:tc>
          <w:tcPr>
            <w:tcW w:w="920" w:type="dxa"/>
            <w:vAlign w:val="bottom"/>
            <w:shd w:val="clear" w:color="auto" w:fill="DCE2EF"/>
          </w:tcPr>
          <w:p>
            <w:pPr>
              <w:jc w:val="right"/>
              <w:spacing w:after="0"/>
              <w:rPr>
                <w:sz w:val="20"/>
                <w:szCs w:val="20"/>
                <w:color w:val="auto"/>
              </w:rPr>
            </w:pPr>
            <w:r>
              <w:rPr>
                <w:rFonts w:ascii="Arial" w:cs="Arial" w:eastAsia="Arial" w:hAnsi="Arial"/>
                <w:sz w:val="15"/>
                <w:szCs w:val="15"/>
                <w:color w:val="auto"/>
              </w:rPr>
              <w:t>6.1</w:t>
            </w:r>
          </w:p>
        </w:tc>
        <w:tc>
          <w:tcPr>
            <w:tcW w:w="1380" w:type="dxa"/>
            <w:vAlign w:val="bottom"/>
            <w:shd w:val="clear" w:color="auto" w:fill="DCE2EF"/>
          </w:tcPr>
          <w:p>
            <w:pPr>
              <w:jc w:val="center"/>
              <w:ind w:left="23"/>
              <w:spacing w:after="0"/>
              <w:rPr>
                <w:sz w:val="20"/>
                <w:szCs w:val="20"/>
                <w:color w:val="auto"/>
              </w:rPr>
            </w:pPr>
            <w:r>
              <w:rPr>
                <w:rFonts w:ascii="Arial" w:cs="Arial" w:eastAsia="Arial" w:hAnsi="Arial"/>
                <w:sz w:val="15"/>
                <w:szCs w:val="15"/>
                <w:color w:val="auto"/>
              </w:rPr>
              <w:t>10.3%</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100" w:type="dxa"/>
            <w:vAlign w:val="bottom"/>
            <w:gridSpan w:val="2"/>
          </w:tcPr>
          <w:p>
            <w:pPr>
              <w:jc w:val="center"/>
              <w:ind w:right="2460"/>
              <w:spacing w:after="0"/>
              <w:rPr>
                <w:sz w:val="20"/>
                <w:szCs w:val="20"/>
                <w:color w:val="auto"/>
              </w:rPr>
            </w:pPr>
            <w:r>
              <w:rPr>
                <w:rFonts w:ascii="Arial" w:cs="Arial" w:eastAsia="Arial" w:hAnsi="Arial"/>
                <w:sz w:val="14"/>
                <w:szCs w:val="14"/>
                <w:i w:val="1"/>
                <w:iCs w:val="1"/>
                <w:color w:val="auto"/>
                <w:w w:val="97"/>
              </w:rPr>
              <w:t>Operating profit margin</w:t>
            </w:r>
          </w:p>
        </w:tc>
        <w:tc>
          <w:tcPr>
            <w:tcW w:w="3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i w:val="1"/>
                <w:iCs w:val="1"/>
                <w:color w:val="auto"/>
              </w:rPr>
              <w:t>5.8 %</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i w:val="1"/>
                <w:iCs w:val="1"/>
                <w:color w:val="auto"/>
              </w:rPr>
              <w:t>5.7 %</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i w:val="1"/>
                <w:iCs w:val="1"/>
                <w:color w:val="auto"/>
              </w:rPr>
              <w:t>6.5%</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i w:val="1"/>
                <w:iCs w:val="1"/>
                <w:color w:val="auto"/>
              </w:rPr>
              <w:t>10 bps</w:t>
            </w: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120" w:type="dxa"/>
            <w:vAlign w:val="bottom"/>
            <w:gridSpan w:val="3"/>
            <w:shd w:val="clear" w:color="auto" w:fill="DCE2EF"/>
          </w:tcPr>
          <w:p>
            <w:pPr>
              <w:ind w:left="20"/>
              <w:spacing w:after="0"/>
              <w:rPr>
                <w:sz w:val="20"/>
                <w:szCs w:val="20"/>
                <w:color w:val="auto"/>
              </w:rPr>
            </w:pPr>
            <w:r>
              <w:rPr>
                <w:rFonts w:ascii="Arial" w:cs="Arial" w:eastAsia="Arial" w:hAnsi="Arial"/>
                <w:sz w:val="15"/>
                <w:szCs w:val="15"/>
                <w:color w:val="auto"/>
              </w:rPr>
              <w:t>Education</w:t>
            </w:r>
          </w:p>
        </w:tc>
        <w:tc>
          <w:tcPr>
            <w:tcW w:w="300" w:type="dxa"/>
            <w:vAlign w:val="bottom"/>
            <w:shd w:val="clear" w:color="auto" w:fill="DCE2EF"/>
          </w:tcPr>
          <w:p>
            <w:pPr>
              <w:spacing w:after="0"/>
              <w:rPr>
                <w:sz w:val="18"/>
                <w:szCs w:val="18"/>
                <w:color w:val="auto"/>
              </w:rPr>
            </w:pPr>
          </w:p>
        </w:tc>
        <w:tc>
          <w:tcPr>
            <w:tcW w:w="1080" w:type="dxa"/>
            <w:vAlign w:val="bottom"/>
            <w:shd w:val="clear" w:color="auto" w:fill="DCE2EF"/>
          </w:tcPr>
          <w:p>
            <w:pPr>
              <w:jc w:val="right"/>
              <w:ind w:right="105"/>
              <w:spacing w:after="0"/>
              <w:rPr>
                <w:sz w:val="20"/>
                <w:szCs w:val="20"/>
                <w:color w:val="auto"/>
              </w:rPr>
            </w:pPr>
            <w:r>
              <w:rPr>
                <w:rFonts w:ascii="Arial" w:cs="Arial" w:eastAsia="Arial" w:hAnsi="Arial"/>
                <w:sz w:val="15"/>
                <w:szCs w:val="15"/>
                <w:color w:val="auto"/>
              </w:rPr>
              <w:t>67.7</w:t>
            </w:r>
          </w:p>
        </w:tc>
        <w:tc>
          <w:tcPr>
            <w:tcW w:w="120" w:type="dxa"/>
            <w:vAlign w:val="bottom"/>
            <w:shd w:val="clear" w:color="auto" w:fill="DCE2EF"/>
          </w:tcPr>
          <w:p>
            <w:pPr>
              <w:spacing w:after="0"/>
              <w:rPr>
                <w:sz w:val="18"/>
                <w:szCs w:val="18"/>
                <w:color w:val="auto"/>
              </w:rPr>
            </w:pPr>
          </w:p>
        </w:tc>
        <w:tc>
          <w:tcPr>
            <w:tcW w:w="300" w:type="dxa"/>
            <w:vAlign w:val="bottom"/>
            <w:shd w:val="clear" w:color="auto" w:fill="DCE2EF"/>
          </w:tcPr>
          <w:p>
            <w:pPr>
              <w:spacing w:after="0"/>
              <w:rPr>
                <w:sz w:val="18"/>
                <w:szCs w:val="18"/>
                <w:color w:val="auto"/>
              </w:rPr>
            </w:pPr>
          </w:p>
        </w:tc>
        <w:tc>
          <w:tcPr>
            <w:tcW w:w="1080" w:type="dxa"/>
            <w:vAlign w:val="bottom"/>
            <w:shd w:val="clear" w:color="auto" w:fill="DCE2EF"/>
          </w:tcPr>
          <w:p>
            <w:pPr>
              <w:jc w:val="right"/>
              <w:ind w:right="105"/>
              <w:spacing w:after="0"/>
              <w:rPr>
                <w:sz w:val="20"/>
                <w:szCs w:val="20"/>
                <w:color w:val="auto"/>
              </w:rPr>
            </w:pPr>
            <w:r>
              <w:rPr>
                <w:rFonts w:ascii="Arial" w:cs="Arial" w:eastAsia="Arial" w:hAnsi="Arial"/>
                <w:sz w:val="15"/>
                <w:szCs w:val="15"/>
                <w:color w:val="auto"/>
              </w:rPr>
              <w:t>55.3</w:t>
            </w:r>
          </w:p>
        </w:tc>
        <w:tc>
          <w:tcPr>
            <w:tcW w:w="100" w:type="dxa"/>
            <w:vAlign w:val="bottom"/>
            <w:shd w:val="clear" w:color="auto" w:fill="DCE2EF"/>
          </w:tcPr>
          <w:p>
            <w:pPr>
              <w:spacing w:after="0"/>
              <w:rPr>
                <w:sz w:val="18"/>
                <w:szCs w:val="18"/>
                <w:color w:val="auto"/>
              </w:rPr>
            </w:pPr>
          </w:p>
        </w:tc>
        <w:tc>
          <w:tcPr>
            <w:tcW w:w="320" w:type="dxa"/>
            <w:vAlign w:val="bottom"/>
            <w:shd w:val="clear" w:color="auto" w:fill="DCE2EF"/>
          </w:tcPr>
          <w:p>
            <w:pPr>
              <w:spacing w:after="0"/>
              <w:rPr>
                <w:sz w:val="18"/>
                <w:szCs w:val="18"/>
                <w:color w:val="auto"/>
              </w:rPr>
            </w:pPr>
          </w:p>
        </w:tc>
        <w:tc>
          <w:tcPr>
            <w:tcW w:w="1080" w:type="dxa"/>
            <w:vAlign w:val="bottom"/>
            <w:shd w:val="clear" w:color="auto" w:fill="DCE2EF"/>
          </w:tcPr>
          <w:p>
            <w:pPr>
              <w:jc w:val="right"/>
              <w:ind w:right="105"/>
              <w:spacing w:after="0"/>
              <w:rPr>
                <w:sz w:val="20"/>
                <w:szCs w:val="20"/>
                <w:color w:val="auto"/>
              </w:rPr>
            </w:pPr>
            <w:r>
              <w:rPr>
                <w:rFonts w:ascii="Arial" w:cs="Arial" w:eastAsia="Arial" w:hAnsi="Arial"/>
                <w:sz w:val="15"/>
                <w:szCs w:val="15"/>
                <w:color w:val="auto"/>
              </w:rPr>
              <w:t>49.7</w:t>
            </w:r>
          </w:p>
        </w:tc>
        <w:tc>
          <w:tcPr>
            <w:tcW w:w="80" w:type="dxa"/>
            <w:vAlign w:val="bottom"/>
            <w:shd w:val="clear" w:color="auto" w:fill="DCE2EF"/>
          </w:tcPr>
          <w:p>
            <w:pPr>
              <w:spacing w:after="0"/>
              <w:rPr>
                <w:sz w:val="18"/>
                <w:szCs w:val="18"/>
                <w:color w:val="auto"/>
              </w:rPr>
            </w:pPr>
          </w:p>
        </w:tc>
        <w:tc>
          <w:tcPr>
            <w:tcW w:w="360" w:type="dxa"/>
            <w:vAlign w:val="bottom"/>
            <w:shd w:val="clear" w:color="auto" w:fill="DCE2EF"/>
          </w:tcPr>
          <w:p>
            <w:pPr>
              <w:spacing w:after="0"/>
              <w:rPr>
                <w:sz w:val="18"/>
                <w:szCs w:val="18"/>
                <w:color w:val="auto"/>
              </w:rPr>
            </w:pPr>
          </w:p>
        </w:tc>
        <w:tc>
          <w:tcPr>
            <w:tcW w:w="920" w:type="dxa"/>
            <w:vAlign w:val="bottom"/>
            <w:shd w:val="clear" w:color="auto" w:fill="DCE2EF"/>
          </w:tcPr>
          <w:p>
            <w:pPr>
              <w:jc w:val="right"/>
              <w:spacing w:after="0"/>
              <w:rPr>
                <w:sz w:val="20"/>
                <w:szCs w:val="20"/>
                <w:color w:val="auto"/>
              </w:rPr>
            </w:pPr>
            <w:r>
              <w:rPr>
                <w:rFonts w:ascii="Arial" w:cs="Arial" w:eastAsia="Arial" w:hAnsi="Arial"/>
                <w:sz w:val="15"/>
                <w:szCs w:val="15"/>
                <w:color w:val="auto"/>
              </w:rPr>
              <w:t>12.4</w:t>
            </w:r>
          </w:p>
        </w:tc>
        <w:tc>
          <w:tcPr>
            <w:tcW w:w="1380" w:type="dxa"/>
            <w:vAlign w:val="bottom"/>
            <w:shd w:val="clear" w:color="auto" w:fill="DCE2EF"/>
          </w:tcPr>
          <w:p>
            <w:pPr>
              <w:jc w:val="center"/>
              <w:ind w:left="23"/>
              <w:spacing w:after="0"/>
              <w:rPr>
                <w:sz w:val="20"/>
                <w:szCs w:val="20"/>
                <w:color w:val="auto"/>
              </w:rPr>
            </w:pPr>
            <w:r>
              <w:rPr>
                <w:rFonts w:ascii="Arial" w:cs="Arial" w:eastAsia="Arial" w:hAnsi="Arial"/>
                <w:sz w:val="15"/>
                <w:szCs w:val="15"/>
                <w:color w:val="auto"/>
              </w:rPr>
              <w:t>22.2%</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100" w:type="dxa"/>
            <w:vAlign w:val="bottom"/>
            <w:gridSpan w:val="2"/>
          </w:tcPr>
          <w:p>
            <w:pPr>
              <w:jc w:val="center"/>
              <w:ind w:right="2460"/>
              <w:spacing w:after="0"/>
              <w:rPr>
                <w:sz w:val="20"/>
                <w:szCs w:val="20"/>
                <w:color w:val="auto"/>
              </w:rPr>
            </w:pPr>
            <w:r>
              <w:rPr>
                <w:rFonts w:ascii="Arial" w:cs="Arial" w:eastAsia="Arial" w:hAnsi="Arial"/>
                <w:sz w:val="14"/>
                <w:szCs w:val="14"/>
                <w:i w:val="1"/>
                <w:iCs w:val="1"/>
                <w:color w:val="auto"/>
                <w:w w:val="97"/>
              </w:rPr>
              <w:t>Operating profit margin</w:t>
            </w:r>
          </w:p>
        </w:tc>
        <w:tc>
          <w:tcPr>
            <w:tcW w:w="3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i w:val="1"/>
                <w:iCs w:val="1"/>
                <w:color w:val="auto"/>
              </w:rPr>
              <w:t>7.3 %</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i w:val="1"/>
                <w:iCs w:val="1"/>
                <w:color w:val="auto"/>
              </w:rPr>
              <w:t>6.1 %</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i w:val="1"/>
                <w:iCs w:val="1"/>
                <w:color w:val="auto"/>
              </w:rPr>
              <w:t>5.6%</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i w:val="1"/>
                <w:iCs w:val="1"/>
                <w:color w:val="auto"/>
              </w:rPr>
              <w:t>122 bps</w:t>
            </w: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120" w:type="dxa"/>
            <w:vAlign w:val="bottom"/>
            <w:gridSpan w:val="3"/>
            <w:shd w:val="clear" w:color="auto" w:fill="DCE2EF"/>
          </w:tcPr>
          <w:p>
            <w:pPr>
              <w:ind w:left="20"/>
              <w:spacing w:after="0"/>
              <w:rPr>
                <w:sz w:val="20"/>
                <w:szCs w:val="20"/>
                <w:color w:val="auto"/>
              </w:rPr>
            </w:pPr>
            <w:r>
              <w:rPr>
                <w:rFonts w:ascii="Arial" w:cs="Arial" w:eastAsia="Arial" w:hAnsi="Arial"/>
                <w:sz w:val="15"/>
                <w:szCs w:val="15"/>
                <w:color w:val="auto"/>
              </w:rPr>
              <w:t>Technical Solutions</w:t>
            </w:r>
          </w:p>
        </w:tc>
        <w:tc>
          <w:tcPr>
            <w:tcW w:w="300" w:type="dxa"/>
            <w:vAlign w:val="bottom"/>
            <w:shd w:val="clear" w:color="auto" w:fill="DCE2EF"/>
          </w:tcPr>
          <w:p>
            <w:pPr>
              <w:spacing w:after="0"/>
              <w:rPr>
                <w:sz w:val="18"/>
                <w:szCs w:val="18"/>
                <w:color w:val="auto"/>
              </w:rPr>
            </w:pPr>
          </w:p>
        </w:tc>
        <w:tc>
          <w:tcPr>
            <w:tcW w:w="1080" w:type="dxa"/>
            <w:vAlign w:val="bottom"/>
            <w:shd w:val="clear" w:color="auto" w:fill="DCE2EF"/>
          </w:tcPr>
          <w:p>
            <w:pPr>
              <w:jc w:val="right"/>
              <w:ind w:right="105"/>
              <w:spacing w:after="0"/>
              <w:rPr>
                <w:sz w:val="20"/>
                <w:szCs w:val="20"/>
                <w:color w:val="auto"/>
              </w:rPr>
            </w:pPr>
            <w:r>
              <w:rPr>
                <w:rFonts w:ascii="Arial" w:cs="Arial" w:eastAsia="Arial" w:hAnsi="Arial"/>
                <w:sz w:val="15"/>
                <w:szCs w:val="15"/>
                <w:color w:val="auto"/>
              </w:rPr>
              <w:t>86.5</w:t>
            </w:r>
          </w:p>
        </w:tc>
        <w:tc>
          <w:tcPr>
            <w:tcW w:w="120" w:type="dxa"/>
            <w:vAlign w:val="bottom"/>
            <w:shd w:val="clear" w:color="auto" w:fill="DCE2EF"/>
          </w:tcPr>
          <w:p>
            <w:pPr>
              <w:spacing w:after="0"/>
              <w:rPr>
                <w:sz w:val="18"/>
                <w:szCs w:val="18"/>
                <w:color w:val="auto"/>
              </w:rPr>
            </w:pPr>
          </w:p>
        </w:tc>
        <w:tc>
          <w:tcPr>
            <w:tcW w:w="300" w:type="dxa"/>
            <w:vAlign w:val="bottom"/>
            <w:shd w:val="clear" w:color="auto" w:fill="DCE2EF"/>
          </w:tcPr>
          <w:p>
            <w:pPr>
              <w:spacing w:after="0"/>
              <w:rPr>
                <w:sz w:val="18"/>
                <w:szCs w:val="18"/>
                <w:color w:val="auto"/>
              </w:rPr>
            </w:pPr>
          </w:p>
        </w:tc>
        <w:tc>
          <w:tcPr>
            <w:tcW w:w="1080" w:type="dxa"/>
            <w:vAlign w:val="bottom"/>
            <w:shd w:val="clear" w:color="auto" w:fill="DCE2EF"/>
          </w:tcPr>
          <w:p>
            <w:pPr>
              <w:jc w:val="right"/>
              <w:ind w:right="105"/>
              <w:spacing w:after="0"/>
              <w:rPr>
                <w:sz w:val="20"/>
                <w:szCs w:val="20"/>
                <w:color w:val="auto"/>
              </w:rPr>
            </w:pPr>
            <w:r>
              <w:rPr>
                <w:rFonts w:ascii="Arial" w:cs="Arial" w:eastAsia="Arial" w:hAnsi="Arial"/>
                <w:sz w:val="15"/>
                <w:szCs w:val="15"/>
                <w:color w:val="auto"/>
              </w:rPr>
              <w:t>69.4</w:t>
            </w:r>
          </w:p>
        </w:tc>
        <w:tc>
          <w:tcPr>
            <w:tcW w:w="100" w:type="dxa"/>
            <w:vAlign w:val="bottom"/>
            <w:shd w:val="clear" w:color="auto" w:fill="DCE2EF"/>
          </w:tcPr>
          <w:p>
            <w:pPr>
              <w:spacing w:after="0"/>
              <w:rPr>
                <w:sz w:val="18"/>
                <w:szCs w:val="18"/>
                <w:color w:val="auto"/>
              </w:rPr>
            </w:pPr>
          </w:p>
        </w:tc>
        <w:tc>
          <w:tcPr>
            <w:tcW w:w="320" w:type="dxa"/>
            <w:vAlign w:val="bottom"/>
            <w:shd w:val="clear" w:color="auto" w:fill="DCE2EF"/>
          </w:tcPr>
          <w:p>
            <w:pPr>
              <w:spacing w:after="0"/>
              <w:rPr>
                <w:sz w:val="18"/>
                <w:szCs w:val="18"/>
                <w:color w:val="auto"/>
              </w:rPr>
            </w:pPr>
          </w:p>
        </w:tc>
        <w:tc>
          <w:tcPr>
            <w:tcW w:w="1080" w:type="dxa"/>
            <w:vAlign w:val="bottom"/>
            <w:shd w:val="clear" w:color="auto" w:fill="DCE2EF"/>
          </w:tcPr>
          <w:p>
            <w:pPr>
              <w:jc w:val="right"/>
              <w:ind w:right="105"/>
              <w:spacing w:after="0"/>
              <w:rPr>
                <w:sz w:val="20"/>
                <w:szCs w:val="20"/>
                <w:color w:val="auto"/>
              </w:rPr>
            </w:pPr>
            <w:r>
              <w:rPr>
                <w:rFonts w:ascii="Arial" w:cs="Arial" w:eastAsia="Arial" w:hAnsi="Arial"/>
                <w:sz w:val="15"/>
                <w:szCs w:val="15"/>
                <w:color w:val="auto"/>
              </w:rPr>
              <w:t>53.2</w:t>
            </w:r>
          </w:p>
        </w:tc>
        <w:tc>
          <w:tcPr>
            <w:tcW w:w="80" w:type="dxa"/>
            <w:vAlign w:val="bottom"/>
            <w:shd w:val="clear" w:color="auto" w:fill="DCE2EF"/>
          </w:tcPr>
          <w:p>
            <w:pPr>
              <w:spacing w:after="0"/>
              <w:rPr>
                <w:sz w:val="18"/>
                <w:szCs w:val="18"/>
                <w:color w:val="auto"/>
              </w:rPr>
            </w:pPr>
          </w:p>
        </w:tc>
        <w:tc>
          <w:tcPr>
            <w:tcW w:w="360" w:type="dxa"/>
            <w:vAlign w:val="bottom"/>
            <w:shd w:val="clear" w:color="auto" w:fill="DCE2EF"/>
          </w:tcPr>
          <w:p>
            <w:pPr>
              <w:spacing w:after="0"/>
              <w:rPr>
                <w:sz w:val="18"/>
                <w:szCs w:val="18"/>
                <w:color w:val="auto"/>
              </w:rPr>
            </w:pPr>
          </w:p>
        </w:tc>
        <w:tc>
          <w:tcPr>
            <w:tcW w:w="920" w:type="dxa"/>
            <w:vAlign w:val="bottom"/>
            <w:shd w:val="clear" w:color="auto" w:fill="DCE2EF"/>
          </w:tcPr>
          <w:p>
            <w:pPr>
              <w:jc w:val="right"/>
              <w:spacing w:after="0"/>
              <w:rPr>
                <w:sz w:val="20"/>
                <w:szCs w:val="20"/>
                <w:color w:val="auto"/>
              </w:rPr>
            </w:pPr>
            <w:r>
              <w:rPr>
                <w:rFonts w:ascii="Arial" w:cs="Arial" w:eastAsia="Arial" w:hAnsi="Arial"/>
                <w:sz w:val="15"/>
                <w:szCs w:val="15"/>
                <w:color w:val="auto"/>
              </w:rPr>
              <w:t>17.1</w:t>
            </w:r>
          </w:p>
        </w:tc>
        <w:tc>
          <w:tcPr>
            <w:tcW w:w="1380" w:type="dxa"/>
            <w:vAlign w:val="bottom"/>
            <w:shd w:val="clear" w:color="auto" w:fill="DCE2EF"/>
          </w:tcPr>
          <w:p>
            <w:pPr>
              <w:jc w:val="center"/>
              <w:ind w:left="23"/>
              <w:spacing w:after="0"/>
              <w:rPr>
                <w:sz w:val="20"/>
                <w:szCs w:val="20"/>
                <w:color w:val="auto"/>
              </w:rPr>
            </w:pPr>
            <w:r>
              <w:rPr>
                <w:rFonts w:ascii="Arial" w:cs="Arial" w:eastAsia="Arial" w:hAnsi="Arial"/>
                <w:sz w:val="15"/>
                <w:szCs w:val="15"/>
                <w:color w:val="auto"/>
              </w:rPr>
              <w:t>24.6%</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100" w:type="dxa"/>
            <w:vAlign w:val="bottom"/>
            <w:gridSpan w:val="2"/>
          </w:tcPr>
          <w:p>
            <w:pPr>
              <w:jc w:val="center"/>
              <w:ind w:right="2460"/>
              <w:spacing w:after="0"/>
              <w:rPr>
                <w:sz w:val="20"/>
                <w:szCs w:val="20"/>
                <w:color w:val="auto"/>
              </w:rPr>
            </w:pPr>
            <w:r>
              <w:rPr>
                <w:rFonts w:ascii="Arial" w:cs="Arial" w:eastAsia="Arial" w:hAnsi="Arial"/>
                <w:sz w:val="14"/>
                <w:szCs w:val="14"/>
                <w:i w:val="1"/>
                <w:iCs w:val="1"/>
                <w:color w:val="auto"/>
                <w:w w:val="97"/>
              </w:rPr>
              <w:t>Operating profit margin</w:t>
            </w:r>
          </w:p>
        </w:tc>
        <w:tc>
          <w:tcPr>
            <w:tcW w:w="3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i w:val="1"/>
                <w:iCs w:val="1"/>
                <w:color w:val="auto"/>
              </w:rPr>
              <w:t>9.0%</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i w:val="1"/>
                <w:iCs w:val="1"/>
                <w:color w:val="auto"/>
              </w:rPr>
              <w:t>8.6%</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i w:val="1"/>
                <w:iCs w:val="1"/>
                <w:color w:val="auto"/>
              </w:rPr>
              <w:t>7.9%</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i w:val="1"/>
                <w:iCs w:val="1"/>
                <w:color w:val="auto"/>
              </w:rPr>
              <w:t>42 bps</w:t>
            </w: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120" w:type="dxa"/>
            <w:vAlign w:val="bottom"/>
            <w:gridSpan w:val="3"/>
            <w:shd w:val="clear" w:color="auto" w:fill="DCE2EF"/>
          </w:tcPr>
          <w:p>
            <w:pPr>
              <w:ind w:left="20"/>
              <w:spacing w:after="0"/>
              <w:rPr>
                <w:sz w:val="20"/>
                <w:szCs w:val="20"/>
                <w:color w:val="auto"/>
              </w:rPr>
            </w:pPr>
            <w:r>
              <w:rPr>
                <w:rFonts w:ascii="Arial" w:cs="Arial" w:eastAsia="Arial" w:hAnsi="Arial"/>
                <w:sz w:val="15"/>
                <w:szCs w:val="15"/>
                <w:color w:val="auto"/>
              </w:rPr>
              <w:t>Corporate</w:t>
            </w:r>
          </w:p>
        </w:tc>
        <w:tc>
          <w:tcPr>
            <w:tcW w:w="300" w:type="dxa"/>
            <w:vAlign w:val="bottom"/>
            <w:shd w:val="clear" w:color="auto" w:fill="DCE2EF"/>
          </w:tcPr>
          <w:p>
            <w:pPr>
              <w:spacing w:after="0"/>
              <w:rPr>
                <w:sz w:val="18"/>
                <w:szCs w:val="18"/>
                <w:color w:val="auto"/>
              </w:rPr>
            </w:pPr>
          </w:p>
        </w:tc>
        <w:tc>
          <w:tcPr>
            <w:tcW w:w="1080" w:type="dxa"/>
            <w:vAlign w:val="bottom"/>
            <w:shd w:val="clear" w:color="auto" w:fill="DCE2EF"/>
          </w:tcPr>
          <w:p>
            <w:pPr>
              <w:jc w:val="right"/>
              <w:ind w:right="65"/>
              <w:spacing w:after="0"/>
              <w:rPr>
                <w:sz w:val="20"/>
                <w:szCs w:val="20"/>
                <w:color w:val="auto"/>
              </w:rPr>
            </w:pPr>
            <w:r>
              <w:rPr>
                <w:rFonts w:ascii="Arial" w:cs="Arial" w:eastAsia="Arial" w:hAnsi="Arial"/>
                <w:sz w:val="15"/>
                <w:szCs w:val="15"/>
                <w:color w:val="auto"/>
              </w:rPr>
              <w:t>(370.5)</w:t>
            </w:r>
          </w:p>
        </w:tc>
        <w:tc>
          <w:tcPr>
            <w:tcW w:w="120" w:type="dxa"/>
            <w:vAlign w:val="bottom"/>
            <w:shd w:val="clear" w:color="auto" w:fill="DCE2EF"/>
          </w:tcPr>
          <w:p>
            <w:pPr>
              <w:spacing w:after="0"/>
              <w:rPr>
                <w:sz w:val="18"/>
                <w:szCs w:val="18"/>
                <w:color w:val="auto"/>
              </w:rPr>
            </w:pPr>
          </w:p>
        </w:tc>
        <w:tc>
          <w:tcPr>
            <w:tcW w:w="300" w:type="dxa"/>
            <w:vAlign w:val="bottom"/>
            <w:shd w:val="clear" w:color="auto" w:fill="DCE2EF"/>
          </w:tcPr>
          <w:p>
            <w:pPr>
              <w:spacing w:after="0"/>
              <w:rPr>
                <w:sz w:val="18"/>
                <w:szCs w:val="18"/>
                <w:color w:val="auto"/>
              </w:rPr>
            </w:pPr>
          </w:p>
        </w:tc>
        <w:tc>
          <w:tcPr>
            <w:tcW w:w="1080" w:type="dxa"/>
            <w:vAlign w:val="bottom"/>
            <w:shd w:val="clear" w:color="auto" w:fill="DCE2EF"/>
          </w:tcPr>
          <w:p>
            <w:pPr>
              <w:jc w:val="right"/>
              <w:ind w:right="65"/>
              <w:spacing w:after="0"/>
              <w:rPr>
                <w:sz w:val="20"/>
                <w:szCs w:val="20"/>
                <w:color w:val="auto"/>
              </w:rPr>
            </w:pPr>
            <w:r>
              <w:rPr>
                <w:rFonts w:ascii="Arial" w:cs="Arial" w:eastAsia="Arial" w:hAnsi="Arial"/>
                <w:sz w:val="15"/>
                <w:szCs w:val="15"/>
                <w:color w:val="auto"/>
              </w:rPr>
              <w:t>(433.1)</w:t>
            </w:r>
          </w:p>
        </w:tc>
        <w:tc>
          <w:tcPr>
            <w:tcW w:w="100" w:type="dxa"/>
            <w:vAlign w:val="bottom"/>
            <w:shd w:val="clear" w:color="auto" w:fill="DCE2EF"/>
          </w:tcPr>
          <w:p>
            <w:pPr>
              <w:spacing w:after="0"/>
              <w:rPr>
                <w:sz w:val="18"/>
                <w:szCs w:val="18"/>
                <w:color w:val="auto"/>
              </w:rPr>
            </w:pPr>
          </w:p>
        </w:tc>
        <w:tc>
          <w:tcPr>
            <w:tcW w:w="320" w:type="dxa"/>
            <w:vAlign w:val="bottom"/>
            <w:shd w:val="clear" w:color="auto" w:fill="DCE2EF"/>
          </w:tcPr>
          <w:p>
            <w:pPr>
              <w:spacing w:after="0"/>
              <w:rPr>
                <w:sz w:val="18"/>
                <w:szCs w:val="18"/>
                <w:color w:val="auto"/>
              </w:rPr>
            </w:pPr>
          </w:p>
        </w:tc>
        <w:tc>
          <w:tcPr>
            <w:tcW w:w="1080" w:type="dxa"/>
            <w:vAlign w:val="bottom"/>
            <w:shd w:val="clear" w:color="auto" w:fill="DCE2EF"/>
          </w:tcPr>
          <w:p>
            <w:pPr>
              <w:jc w:val="right"/>
              <w:ind w:right="65"/>
              <w:spacing w:after="0"/>
              <w:rPr>
                <w:sz w:val="20"/>
                <w:szCs w:val="20"/>
                <w:color w:val="auto"/>
              </w:rPr>
            </w:pPr>
            <w:r>
              <w:rPr>
                <w:rFonts w:ascii="Arial" w:cs="Arial" w:eastAsia="Arial" w:hAnsi="Arial"/>
                <w:sz w:val="15"/>
                <w:szCs w:val="15"/>
                <w:color w:val="auto"/>
              </w:rPr>
              <w:t>(226.6)</w:t>
            </w:r>
          </w:p>
        </w:tc>
        <w:tc>
          <w:tcPr>
            <w:tcW w:w="80" w:type="dxa"/>
            <w:vAlign w:val="bottom"/>
            <w:shd w:val="clear" w:color="auto" w:fill="DCE2EF"/>
          </w:tcPr>
          <w:p>
            <w:pPr>
              <w:spacing w:after="0"/>
              <w:rPr>
                <w:sz w:val="18"/>
                <w:szCs w:val="18"/>
                <w:color w:val="auto"/>
              </w:rPr>
            </w:pPr>
          </w:p>
        </w:tc>
        <w:tc>
          <w:tcPr>
            <w:tcW w:w="360" w:type="dxa"/>
            <w:vAlign w:val="bottom"/>
            <w:shd w:val="clear" w:color="auto" w:fill="DCE2EF"/>
          </w:tcPr>
          <w:p>
            <w:pPr>
              <w:spacing w:after="0"/>
              <w:rPr>
                <w:sz w:val="18"/>
                <w:szCs w:val="18"/>
                <w:color w:val="auto"/>
              </w:rPr>
            </w:pPr>
          </w:p>
        </w:tc>
        <w:tc>
          <w:tcPr>
            <w:tcW w:w="920" w:type="dxa"/>
            <w:vAlign w:val="bottom"/>
            <w:shd w:val="clear" w:color="auto" w:fill="DCE2EF"/>
          </w:tcPr>
          <w:p>
            <w:pPr>
              <w:jc w:val="right"/>
              <w:spacing w:after="0"/>
              <w:rPr>
                <w:sz w:val="20"/>
                <w:szCs w:val="20"/>
                <w:color w:val="auto"/>
              </w:rPr>
            </w:pPr>
            <w:r>
              <w:rPr>
                <w:rFonts w:ascii="Arial" w:cs="Arial" w:eastAsia="Arial" w:hAnsi="Arial"/>
                <w:sz w:val="15"/>
                <w:szCs w:val="15"/>
                <w:color w:val="auto"/>
              </w:rPr>
              <w:t>(62.6)</w:t>
            </w:r>
          </w:p>
        </w:tc>
        <w:tc>
          <w:tcPr>
            <w:tcW w:w="1380" w:type="dxa"/>
            <w:vAlign w:val="bottom"/>
            <w:shd w:val="clear" w:color="auto" w:fill="DCE2EF"/>
          </w:tcPr>
          <w:p>
            <w:pPr>
              <w:jc w:val="center"/>
              <w:ind w:left="23"/>
              <w:spacing w:after="0"/>
              <w:rPr>
                <w:sz w:val="20"/>
                <w:szCs w:val="20"/>
                <w:color w:val="auto"/>
              </w:rPr>
            </w:pPr>
            <w:r>
              <w:rPr>
                <w:rFonts w:ascii="Arial" w:cs="Arial" w:eastAsia="Arial" w:hAnsi="Arial"/>
                <w:sz w:val="15"/>
                <w:szCs w:val="15"/>
                <w:color w:val="auto"/>
              </w:rPr>
              <w:t>14.5%</w:t>
            </w:r>
          </w:p>
        </w:tc>
        <w:tc>
          <w:tcPr>
            <w:tcW w:w="0" w:type="dxa"/>
            <w:vAlign w:val="bottom"/>
          </w:tcPr>
          <w:p>
            <w:pPr>
              <w:spacing w:after="0"/>
              <w:rPr>
                <w:sz w:val="1"/>
                <w:szCs w:val="1"/>
                <w:color w:val="auto"/>
              </w:rPr>
            </w:pPr>
          </w:p>
        </w:tc>
      </w:tr>
      <w:tr>
        <w:trPr>
          <w:trHeight w:val="155"/>
        </w:trPr>
        <w:tc>
          <w:tcPr>
            <w:tcW w:w="4120" w:type="dxa"/>
            <w:vAlign w:val="bottom"/>
            <w:gridSpan w:val="3"/>
          </w:tcPr>
          <w:p>
            <w:pPr>
              <w:ind w:left="20"/>
              <w:spacing w:after="0" w:line="156" w:lineRule="exact"/>
              <w:rPr>
                <w:sz w:val="20"/>
                <w:szCs w:val="20"/>
                <w:color w:val="auto"/>
              </w:rPr>
            </w:pPr>
            <w:r>
              <w:rPr>
                <w:rFonts w:ascii="Arial" w:cs="Arial" w:eastAsia="Arial" w:hAnsi="Arial"/>
                <w:sz w:val="15"/>
                <w:szCs w:val="15"/>
                <w:color w:val="auto"/>
              </w:rPr>
              <w:t>Adjustment for income from unconsolidated</w:t>
            </w:r>
          </w:p>
        </w:tc>
        <w:tc>
          <w:tcPr>
            <w:tcW w:w="300" w:type="dxa"/>
            <w:vAlign w:val="bottom"/>
          </w:tcPr>
          <w:p>
            <w:pPr>
              <w:spacing w:after="0"/>
              <w:rPr>
                <w:sz w:val="13"/>
                <w:szCs w:val="13"/>
                <w:color w:val="auto"/>
              </w:rPr>
            </w:pPr>
          </w:p>
        </w:tc>
        <w:tc>
          <w:tcPr>
            <w:tcW w:w="1080" w:type="dxa"/>
            <w:vAlign w:val="bottom"/>
            <w:vMerge w:val="restart"/>
          </w:tcPr>
          <w:p>
            <w:pPr>
              <w:jc w:val="right"/>
              <w:ind w:right="65"/>
              <w:spacing w:after="0"/>
              <w:rPr>
                <w:sz w:val="20"/>
                <w:szCs w:val="20"/>
                <w:color w:val="auto"/>
              </w:rPr>
            </w:pPr>
            <w:r>
              <w:rPr>
                <w:rFonts w:ascii="Arial" w:cs="Arial" w:eastAsia="Arial" w:hAnsi="Arial"/>
                <w:sz w:val="15"/>
                <w:szCs w:val="15"/>
                <w:color w:val="auto"/>
              </w:rPr>
              <w:t>(4.6)</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80" w:type="dxa"/>
            <w:vAlign w:val="bottom"/>
            <w:vMerge w:val="restart"/>
          </w:tcPr>
          <w:p>
            <w:pPr>
              <w:jc w:val="right"/>
              <w:ind w:right="65"/>
              <w:spacing w:after="0"/>
              <w:rPr>
                <w:sz w:val="20"/>
                <w:szCs w:val="20"/>
                <w:color w:val="auto"/>
              </w:rPr>
            </w:pPr>
            <w:r>
              <w:rPr>
                <w:rFonts w:ascii="Arial" w:cs="Arial" w:eastAsia="Arial" w:hAnsi="Arial"/>
                <w:sz w:val="15"/>
                <w:szCs w:val="15"/>
                <w:color w:val="auto"/>
              </w:rPr>
              <w:t>(6.5)</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vMerge w:val="restart"/>
          </w:tcPr>
          <w:p>
            <w:pPr>
              <w:jc w:val="right"/>
              <w:ind w:right="65"/>
              <w:spacing w:after="0"/>
              <w:rPr>
                <w:sz w:val="20"/>
                <w:szCs w:val="20"/>
                <w:color w:val="auto"/>
              </w:rPr>
            </w:pPr>
            <w:r>
              <w:rPr>
                <w:rFonts w:ascii="Arial" w:cs="Arial" w:eastAsia="Arial" w:hAnsi="Arial"/>
                <w:sz w:val="15"/>
                <w:szCs w:val="15"/>
                <w:color w:val="auto"/>
              </w:rPr>
              <w:t>(3.9)</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5"/>
                <w:szCs w:val="15"/>
                <w:color w:val="auto"/>
              </w:rPr>
              <w:t>1.9</w:t>
            </w:r>
          </w:p>
        </w:tc>
        <w:tc>
          <w:tcPr>
            <w:tcW w:w="1380" w:type="dxa"/>
            <w:vAlign w:val="bottom"/>
            <w:vMerge w:val="restart"/>
          </w:tcPr>
          <w:p>
            <w:pPr>
              <w:jc w:val="center"/>
              <w:ind w:left="23"/>
              <w:spacing w:after="0"/>
              <w:rPr>
                <w:sz w:val="20"/>
                <w:szCs w:val="20"/>
                <w:color w:val="auto"/>
              </w:rPr>
            </w:pPr>
            <w:r>
              <w:rPr>
                <w:rFonts w:ascii="Arial" w:cs="Arial" w:eastAsia="Arial" w:hAnsi="Arial"/>
                <w:sz w:val="15"/>
                <w:szCs w:val="15"/>
                <w:color w:val="auto"/>
              </w:rPr>
              <w:t>29.3%</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100" w:type="dxa"/>
            <w:vAlign w:val="bottom"/>
            <w:gridSpan w:val="2"/>
          </w:tcPr>
          <w:p>
            <w:pPr>
              <w:ind w:left="160"/>
              <w:spacing w:after="0"/>
              <w:rPr>
                <w:sz w:val="20"/>
                <w:szCs w:val="20"/>
                <w:color w:val="auto"/>
              </w:rPr>
            </w:pPr>
            <w:r>
              <w:rPr>
                <w:rFonts w:ascii="Arial" w:cs="Arial" w:eastAsia="Arial" w:hAnsi="Arial"/>
                <w:sz w:val="15"/>
                <w:szCs w:val="15"/>
                <w:color w:val="auto"/>
              </w:rPr>
              <w:t>affiliates, included in Aviation and Technical Solutions</w:t>
            </w:r>
          </w:p>
        </w:tc>
        <w:tc>
          <w:tcPr>
            <w:tcW w:w="30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13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20" w:type="dxa"/>
            <w:vAlign w:val="bottom"/>
            <w:shd w:val="clear" w:color="auto" w:fill="DCE2EF"/>
          </w:tcPr>
          <w:p>
            <w:pPr>
              <w:spacing w:after="0"/>
              <w:rPr>
                <w:sz w:val="13"/>
                <w:szCs w:val="13"/>
                <w:color w:val="auto"/>
              </w:rPr>
            </w:pPr>
          </w:p>
        </w:tc>
        <w:tc>
          <w:tcPr>
            <w:tcW w:w="4100" w:type="dxa"/>
            <w:vAlign w:val="bottom"/>
            <w:gridSpan w:val="2"/>
            <w:shd w:val="clear" w:color="auto" w:fill="DCE2EF"/>
          </w:tcPr>
          <w:p>
            <w:pPr>
              <w:ind w:left="60"/>
              <w:spacing w:after="0" w:line="156" w:lineRule="exact"/>
              <w:rPr>
                <w:sz w:val="20"/>
                <w:szCs w:val="20"/>
                <w:color w:val="auto"/>
              </w:rPr>
            </w:pPr>
            <w:r>
              <w:rPr>
                <w:rFonts w:ascii="Arial" w:cs="Arial" w:eastAsia="Arial" w:hAnsi="Arial"/>
                <w:sz w:val="15"/>
                <w:szCs w:val="15"/>
                <w:color w:val="auto"/>
              </w:rPr>
              <w:t>Adjustment for tax deductions for energy</w:t>
            </w:r>
          </w:p>
        </w:tc>
        <w:tc>
          <w:tcPr>
            <w:tcW w:w="300" w:type="dxa"/>
            <w:vAlign w:val="bottom"/>
            <w:shd w:val="clear" w:color="auto" w:fill="DCE2EF"/>
          </w:tcPr>
          <w:p>
            <w:pPr>
              <w:spacing w:after="0"/>
              <w:rPr>
                <w:sz w:val="13"/>
                <w:szCs w:val="13"/>
                <w:color w:val="auto"/>
              </w:rPr>
            </w:pPr>
          </w:p>
        </w:tc>
        <w:tc>
          <w:tcPr>
            <w:tcW w:w="1080" w:type="dxa"/>
            <w:vAlign w:val="bottom"/>
            <w:shd w:val="clear" w:color="auto" w:fill="DCE2EF"/>
          </w:tcPr>
          <w:p>
            <w:pPr>
              <w:spacing w:after="0"/>
              <w:rPr>
                <w:sz w:val="13"/>
                <w:szCs w:val="13"/>
                <w:color w:val="auto"/>
              </w:rPr>
            </w:pPr>
          </w:p>
        </w:tc>
        <w:tc>
          <w:tcPr>
            <w:tcW w:w="120" w:type="dxa"/>
            <w:vAlign w:val="bottom"/>
            <w:shd w:val="clear" w:color="auto" w:fill="DCE2EF"/>
          </w:tcPr>
          <w:p>
            <w:pPr>
              <w:spacing w:after="0"/>
              <w:rPr>
                <w:sz w:val="13"/>
                <w:szCs w:val="13"/>
                <w:color w:val="auto"/>
              </w:rPr>
            </w:pPr>
          </w:p>
        </w:tc>
        <w:tc>
          <w:tcPr>
            <w:tcW w:w="300" w:type="dxa"/>
            <w:vAlign w:val="bottom"/>
            <w:shd w:val="clear" w:color="auto" w:fill="DCE2EF"/>
          </w:tcPr>
          <w:p>
            <w:pPr>
              <w:spacing w:after="0"/>
              <w:rPr>
                <w:sz w:val="13"/>
                <w:szCs w:val="13"/>
                <w:color w:val="auto"/>
              </w:rPr>
            </w:pPr>
          </w:p>
        </w:tc>
        <w:tc>
          <w:tcPr>
            <w:tcW w:w="1080" w:type="dxa"/>
            <w:vAlign w:val="bottom"/>
            <w:shd w:val="clear" w:color="auto" w:fill="DCE2EF"/>
          </w:tcPr>
          <w:p>
            <w:pPr>
              <w:spacing w:after="0"/>
              <w:rPr>
                <w:sz w:val="13"/>
                <w:szCs w:val="13"/>
                <w:color w:val="auto"/>
              </w:rPr>
            </w:pPr>
          </w:p>
        </w:tc>
        <w:tc>
          <w:tcPr>
            <w:tcW w:w="100" w:type="dxa"/>
            <w:vAlign w:val="bottom"/>
            <w:shd w:val="clear" w:color="auto" w:fill="DCE2EF"/>
          </w:tcPr>
          <w:p>
            <w:pPr>
              <w:spacing w:after="0"/>
              <w:rPr>
                <w:sz w:val="13"/>
                <w:szCs w:val="13"/>
                <w:color w:val="auto"/>
              </w:rPr>
            </w:pPr>
          </w:p>
        </w:tc>
        <w:tc>
          <w:tcPr>
            <w:tcW w:w="320" w:type="dxa"/>
            <w:vAlign w:val="bottom"/>
            <w:shd w:val="clear" w:color="auto" w:fill="DCE2EF"/>
          </w:tcPr>
          <w:p>
            <w:pPr>
              <w:spacing w:after="0"/>
              <w:rPr>
                <w:sz w:val="13"/>
                <w:szCs w:val="13"/>
                <w:color w:val="auto"/>
              </w:rPr>
            </w:pPr>
          </w:p>
        </w:tc>
        <w:tc>
          <w:tcPr>
            <w:tcW w:w="1080" w:type="dxa"/>
            <w:vAlign w:val="bottom"/>
            <w:shd w:val="clear" w:color="auto" w:fill="DCE2EF"/>
          </w:tcPr>
          <w:p>
            <w:pPr>
              <w:spacing w:after="0"/>
              <w:rPr>
                <w:sz w:val="13"/>
                <w:szCs w:val="13"/>
                <w:color w:val="auto"/>
              </w:rPr>
            </w:pPr>
          </w:p>
        </w:tc>
        <w:tc>
          <w:tcPr>
            <w:tcW w:w="80" w:type="dxa"/>
            <w:vAlign w:val="bottom"/>
            <w:shd w:val="clear" w:color="auto" w:fill="DCE2EF"/>
          </w:tcPr>
          <w:p>
            <w:pPr>
              <w:spacing w:after="0"/>
              <w:rPr>
                <w:sz w:val="13"/>
                <w:szCs w:val="13"/>
                <w:color w:val="auto"/>
              </w:rPr>
            </w:pPr>
          </w:p>
        </w:tc>
        <w:tc>
          <w:tcPr>
            <w:tcW w:w="360" w:type="dxa"/>
            <w:vAlign w:val="bottom"/>
            <w:shd w:val="clear" w:color="auto" w:fill="DCE2EF"/>
          </w:tcPr>
          <w:p>
            <w:pPr>
              <w:spacing w:after="0"/>
              <w:rPr>
                <w:sz w:val="13"/>
                <w:szCs w:val="13"/>
                <w:color w:val="auto"/>
              </w:rPr>
            </w:pPr>
          </w:p>
        </w:tc>
        <w:tc>
          <w:tcPr>
            <w:tcW w:w="920" w:type="dxa"/>
            <w:vAlign w:val="bottom"/>
            <w:shd w:val="clear" w:color="auto" w:fill="DCE2EF"/>
          </w:tcPr>
          <w:p>
            <w:pPr>
              <w:spacing w:after="0"/>
              <w:rPr>
                <w:sz w:val="13"/>
                <w:szCs w:val="13"/>
                <w:color w:val="auto"/>
              </w:rPr>
            </w:pPr>
          </w:p>
        </w:tc>
        <w:tc>
          <w:tcPr>
            <w:tcW w:w="1380" w:type="dxa"/>
            <w:vAlign w:val="bottom"/>
            <w:shd w:val="clear" w:color="auto" w:fill="DCE2E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shd w:val="clear" w:color="auto" w:fill="DCE2EF"/>
          </w:tcPr>
          <w:p>
            <w:pPr>
              <w:spacing w:after="0"/>
              <w:rPr>
                <w:sz w:val="13"/>
                <w:szCs w:val="13"/>
                <w:color w:val="auto"/>
              </w:rPr>
            </w:pPr>
          </w:p>
        </w:tc>
        <w:tc>
          <w:tcPr>
            <w:tcW w:w="4100" w:type="dxa"/>
            <w:vAlign w:val="bottom"/>
            <w:gridSpan w:val="2"/>
            <w:shd w:val="clear" w:color="auto" w:fill="DCE2EF"/>
          </w:tcPr>
          <w:p>
            <w:pPr>
              <w:ind w:left="180"/>
              <w:spacing w:after="0" w:line="155" w:lineRule="exact"/>
              <w:rPr>
                <w:sz w:val="20"/>
                <w:szCs w:val="20"/>
                <w:color w:val="auto"/>
              </w:rPr>
            </w:pPr>
            <w:r>
              <w:rPr>
                <w:rFonts w:ascii="Arial" w:cs="Arial" w:eastAsia="Arial" w:hAnsi="Arial"/>
                <w:sz w:val="15"/>
                <w:szCs w:val="15"/>
                <w:color w:val="auto"/>
              </w:rPr>
              <w:t>efficient government buildings, included in</w:t>
            </w:r>
          </w:p>
        </w:tc>
        <w:tc>
          <w:tcPr>
            <w:tcW w:w="300" w:type="dxa"/>
            <w:vAlign w:val="bottom"/>
            <w:shd w:val="clear" w:color="auto" w:fill="DCE2EF"/>
          </w:tcPr>
          <w:p>
            <w:pPr>
              <w:spacing w:after="0"/>
              <w:rPr>
                <w:sz w:val="13"/>
                <w:szCs w:val="13"/>
                <w:color w:val="auto"/>
              </w:rPr>
            </w:pPr>
          </w:p>
        </w:tc>
        <w:tc>
          <w:tcPr>
            <w:tcW w:w="1080" w:type="dxa"/>
            <w:vAlign w:val="bottom"/>
            <w:vMerge w:val="restart"/>
            <w:shd w:val="clear" w:color="auto" w:fill="DCE2EF"/>
          </w:tcPr>
          <w:p>
            <w:pPr>
              <w:jc w:val="right"/>
              <w:ind w:right="65"/>
              <w:spacing w:after="0"/>
              <w:rPr>
                <w:sz w:val="20"/>
                <w:szCs w:val="20"/>
                <w:color w:val="auto"/>
              </w:rPr>
            </w:pPr>
            <w:r>
              <w:rPr>
                <w:rFonts w:ascii="Arial" w:cs="Arial" w:eastAsia="Arial" w:hAnsi="Arial"/>
                <w:sz w:val="15"/>
                <w:szCs w:val="15"/>
                <w:color w:val="auto"/>
              </w:rPr>
              <w:t>(0.8)</w:t>
            </w:r>
          </w:p>
        </w:tc>
        <w:tc>
          <w:tcPr>
            <w:tcW w:w="120" w:type="dxa"/>
            <w:vAlign w:val="bottom"/>
            <w:shd w:val="clear" w:color="auto" w:fill="DCE2EF"/>
          </w:tcPr>
          <w:p>
            <w:pPr>
              <w:spacing w:after="0"/>
              <w:rPr>
                <w:sz w:val="13"/>
                <w:szCs w:val="13"/>
                <w:color w:val="auto"/>
              </w:rPr>
            </w:pPr>
          </w:p>
        </w:tc>
        <w:tc>
          <w:tcPr>
            <w:tcW w:w="300" w:type="dxa"/>
            <w:vAlign w:val="bottom"/>
            <w:shd w:val="clear" w:color="auto" w:fill="DCE2EF"/>
          </w:tcPr>
          <w:p>
            <w:pPr>
              <w:spacing w:after="0"/>
              <w:rPr>
                <w:sz w:val="13"/>
                <w:szCs w:val="13"/>
                <w:color w:val="auto"/>
              </w:rPr>
            </w:pPr>
          </w:p>
        </w:tc>
        <w:tc>
          <w:tcPr>
            <w:tcW w:w="1080" w:type="dxa"/>
            <w:vAlign w:val="bottom"/>
            <w:vMerge w:val="restart"/>
            <w:shd w:val="clear" w:color="auto" w:fill="DCE2EF"/>
          </w:tcPr>
          <w:p>
            <w:pPr>
              <w:jc w:val="right"/>
              <w:ind w:right="65"/>
              <w:spacing w:after="0"/>
              <w:rPr>
                <w:sz w:val="20"/>
                <w:szCs w:val="20"/>
                <w:color w:val="auto"/>
              </w:rPr>
            </w:pPr>
            <w:r>
              <w:rPr>
                <w:rFonts w:ascii="Arial" w:cs="Arial" w:eastAsia="Arial" w:hAnsi="Arial"/>
                <w:sz w:val="15"/>
                <w:szCs w:val="15"/>
                <w:color w:val="auto"/>
              </w:rPr>
              <w:t>(5.5)</w:t>
            </w:r>
          </w:p>
        </w:tc>
        <w:tc>
          <w:tcPr>
            <w:tcW w:w="100" w:type="dxa"/>
            <w:vAlign w:val="bottom"/>
            <w:shd w:val="clear" w:color="auto" w:fill="DCE2EF"/>
          </w:tcPr>
          <w:p>
            <w:pPr>
              <w:spacing w:after="0"/>
              <w:rPr>
                <w:sz w:val="13"/>
                <w:szCs w:val="13"/>
                <w:color w:val="auto"/>
              </w:rPr>
            </w:pPr>
          </w:p>
        </w:tc>
        <w:tc>
          <w:tcPr>
            <w:tcW w:w="320" w:type="dxa"/>
            <w:vAlign w:val="bottom"/>
            <w:shd w:val="clear" w:color="auto" w:fill="DCE2EF"/>
          </w:tcPr>
          <w:p>
            <w:pPr>
              <w:spacing w:after="0"/>
              <w:rPr>
                <w:sz w:val="13"/>
                <w:szCs w:val="13"/>
                <w:color w:val="auto"/>
              </w:rPr>
            </w:pPr>
          </w:p>
        </w:tc>
        <w:tc>
          <w:tcPr>
            <w:tcW w:w="1080" w:type="dxa"/>
            <w:vAlign w:val="bottom"/>
            <w:vMerge w:val="restart"/>
            <w:shd w:val="clear" w:color="auto" w:fill="DCE2EF"/>
          </w:tcPr>
          <w:p>
            <w:pPr>
              <w:jc w:val="right"/>
              <w:ind w:right="65"/>
              <w:spacing w:after="0"/>
              <w:rPr>
                <w:sz w:val="20"/>
                <w:szCs w:val="20"/>
                <w:color w:val="auto"/>
              </w:rPr>
            </w:pPr>
            <w:r>
              <w:rPr>
                <w:rFonts w:ascii="Arial" w:cs="Arial" w:eastAsia="Arial" w:hAnsi="Arial"/>
                <w:sz w:val="15"/>
                <w:szCs w:val="15"/>
                <w:color w:val="auto"/>
              </w:rPr>
              <w:t>(0.3)</w:t>
            </w:r>
          </w:p>
        </w:tc>
        <w:tc>
          <w:tcPr>
            <w:tcW w:w="80" w:type="dxa"/>
            <w:vAlign w:val="bottom"/>
            <w:shd w:val="clear" w:color="auto" w:fill="DCE2EF"/>
          </w:tcPr>
          <w:p>
            <w:pPr>
              <w:spacing w:after="0"/>
              <w:rPr>
                <w:sz w:val="13"/>
                <w:szCs w:val="13"/>
                <w:color w:val="auto"/>
              </w:rPr>
            </w:pPr>
          </w:p>
        </w:tc>
        <w:tc>
          <w:tcPr>
            <w:tcW w:w="360" w:type="dxa"/>
            <w:vAlign w:val="bottom"/>
            <w:shd w:val="clear" w:color="auto" w:fill="DCE2EF"/>
          </w:tcPr>
          <w:p>
            <w:pPr>
              <w:spacing w:after="0"/>
              <w:rPr>
                <w:sz w:val="13"/>
                <w:szCs w:val="13"/>
                <w:color w:val="auto"/>
              </w:rPr>
            </w:pPr>
          </w:p>
        </w:tc>
        <w:tc>
          <w:tcPr>
            <w:tcW w:w="920" w:type="dxa"/>
            <w:vAlign w:val="bottom"/>
            <w:vMerge w:val="restart"/>
            <w:shd w:val="clear" w:color="auto" w:fill="DCE2EF"/>
          </w:tcPr>
          <w:p>
            <w:pPr>
              <w:jc w:val="right"/>
              <w:spacing w:after="0"/>
              <w:rPr>
                <w:sz w:val="20"/>
                <w:szCs w:val="20"/>
                <w:color w:val="auto"/>
              </w:rPr>
            </w:pPr>
            <w:r>
              <w:rPr>
                <w:rFonts w:ascii="Arial" w:cs="Arial" w:eastAsia="Arial" w:hAnsi="Arial"/>
                <w:sz w:val="15"/>
                <w:szCs w:val="15"/>
                <w:color w:val="auto"/>
              </w:rPr>
              <w:t>4.7</w:t>
            </w:r>
          </w:p>
        </w:tc>
        <w:tc>
          <w:tcPr>
            <w:tcW w:w="1380" w:type="dxa"/>
            <w:vAlign w:val="bottom"/>
            <w:vMerge w:val="restart"/>
            <w:shd w:val="clear" w:color="auto" w:fill="DCE2EF"/>
          </w:tcPr>
          <w:p>
            <w:pPr>
              <w:jc w:val="center"/>
              <w:ind w:left="23"/>
              <w:spacing w:after="0"/>
              <w:rPr>
                <w:sz w:val="20"/>
                <w:szCs w:val="20"/>
                <w:color w:val="auto"/>
              </w:rPr>
            </w:pPr>
            <w:r>
              <w:rPr>
                <w:rFonts w:ascii="Arial" w:cs="Arial" w:eastAsia="Arial" w:hAnsi="Arial"/>
                <w:sz w:val="15"/>
                <w:szCs w:val="15"/>
                <w:color w:val="auto"/>
              </w:rPr>
              <w:t>84.9%</w:t>
            </w:r>
          </w:p>
        </w:tc>
        <w:tc>
          <w:tcPr>
            <w:tcW w:w="0" w:type="dxa"/>
            <w:vAlign w:val="bottom"/>
          </w:tcPr>
          <w:p>
            <w:pPr>
              <w:spacing w:after="0"/>
              <w:rPr>
                <w:sz w:val="1"/>
                <w:szCs w:val="1"/>
                <w:color w:val="auto"/>
              </w:rPr>
            </w:pPr>
          </w:p>
        </w:tc>
      </w:tr>
      <w:tr>
        <w:trPr>
          <w:trHeight w:val="205"/>
        </w:trPr>
        <w:tc>
          <w:tcPr>
            <w:tcW w:w="20" w:type="dxa"/>
            <w:vAlign w:val="bottom"/>
            <w:shd w:val="clear" w:color="auto" w:fill="DCE2EF"/>
          </w:tcPr>
          <w:p>
            <w:pPr>
              <w:spacing w:after="0"/>
              <w:rPr>
                <w:sz w:val="17"/>
                <w:szCs w:val="17"/>
                <w:color w:val="auto"/>
              </w:rPr>
            </w:pPr>
          </w:p>
        </w:tc>
        <w:tc>
          <w:tcPr>
            <w:tcW w:w="4100" w:type="dxa"/>
            <w:vAlign w:val="bottom"/>
            <w:gridSpan w:val="2"/>
            <w:shd w:val="clear" w:color="auto" w:fill="DCE2EF"/>
          </w:tcPr>
          <w:p>
            <w:pPr>
              <w:jc w:val="center"/>
              <w:ind w:right="2420"/>
              <w:spacing w:after="0"/>
              <w:rPr>
                <w:sz w:val="20"/>
                <w:szCs w:val="20"/>
                <w:color w:val="auto"/>
              </w:rPr>
            </w:pPr>
            <w:r>
              <w:rPr>
                <w:rFonts w:ascii="Arial" w:cs="Arial" w:eastAsia="Arial" w:hAnsi="Arial"/>
                <w:sz w:val="15"/>
                <w:szCs w:val="15"/>
                <w:color w:val="auto"/>
              </w:rPr>
              <w:t>Technical Solutions</w:t>
            </w:r>
          </w:p>
        </w:tc>
        <w:tc>
          <w:tcPr>
            <w:tcW w:w="300" w:type="dxa"/>
            <w:vAlign w:val="bottom"/>
            <w:tcBorders>
              <w:bottom w:val="single" w:sz="8" w:color="auto"/>
            </w:tcBorders>
            <w:shd w:val="clear" w:color="auto" w:fill="DCE2EF"/>
          </w:tcPr>
          <w:p>
            <w:pPr>
              <w:spacing w:after="0"/>
              <w:rPr>
                <w:sz w:val="17"/>
                <w:szCs w:val="17"/>
                <w:color w:val="auto"/>
              </w:rPr>
            </w:pPr>
          </w:p>
        </w:tc>
        <w:tc>
          <w:tcPr>
            <w:tcW w:w="1080" w:type="dxa"/>
            <w:vAlign w:val="bottom"/>
            <w:tcBorders>
              <w:bottom w:val="single" w:sz="8" w:color="auto"/>
            </w:tcBorders>
            <w:vMerge w:val="continue"/>
            <w:shd w:val="clear" w:color="auto" w:fill="DCE2EF"/>
          </w:tcPr>
          <w:p>
            <w:pPr>
              <w:spacing w:after="0"/>
              <w:rPr>
                <w:sz w:val="17"/>
                <w:szCs w:val="17"/>
                <w:color w:val="auto"/>
              </w:rPr>
            </w:pPr>
          </w:p>
        </w:tc>
        <w:tc>
          <w:tcPr>
            <w:tcW w:w="120" w:type="dxa"/>
            <w:vAlign w:val="bottom"/>
            <w:shd w:val="clear" w:color="auto" w:fill="DCE2EF"/>
          </w:tcPr>
          <w:p>
            <w:pPr>
              <w:spacing w:after="0"/>
              <w:rPr>
                <w:sz w:val="17"/>
                <w:szCs w:val="17"/>
                <w:color w:val="auto"/>
              </w:rPr>
            </w:pPr>
          </w:p>
        </w:tc>
        <w:tc>
          <w:tcPr>
            <w:tcW w:w="300" w:type="dxa"/>
            <w:vAlign w:val="bottom"/>
            <w:tcBorders>
              <w:bottom w:val="single" w:sz="8" w:color="auto"/>
            </w:tcBorders>
            <w:shd w:val="clear" w:color="auto" w:fill="DCE2EF"/>
          </w:tcPr>
          <w:p>
            <w:pPr>
              <w:spacing w:after="0"/>
              <w:rPr>
                <w:sz w:val="17"/>
                <w:szCs w:val="17"/>
                <w:color w:val="auto"/>
              </w:rPr>
            </w:pPr>
          </w:p>
        </w:tc>
        <w:tc>
          <w:tcPr>
            <w:tcW w:w="1080" w:type="dxa"/>
            <w:vAlign w:val="bottom"/>
            <w:tcBorders>
              <w:bottom w:val="single" w:sz="8" w:color="auto"/>
            </w:tcBorders>
            <w:vMerge w:val="continue"/>
            <w:shd w:val="clear" w:color="auto" w:fill="DCE2EF"/>
          </w:tcPr>
          <w:p>
            <w:pPr>
              <w:spacing w:after="0"/>
              <w:rPr>
                <w:sz w:val="17"/>
                <w:szCs w:val="17"/>
                <w:color w:val="auto"/>
              </w:rPr>
            </w:pPr>
          </w:p>
        </w:tc>
        <w:tc>
          <w:tcPr>
            <w:tcW w:w="100" w:type="dxa"/>
            <w:vAlign w:val="bottom"/>
            <w:shd w:val="clear" w:color="auto" w:fill="DCE2EF"/>
          </w:tcPr>
          <w:p>
            <w:pPr>
              <w:spacing w:after="0"/>
              <w:rPr>
                <w:sz w:val="17"/>
                <w:szCs w:val="17"/>
                <w:color w:val="auto"/>
              </w:rPr>
            </w:pPr>
          </w:p>
        </w:tc>
        <w:tc>
          <w:tcPr>
            <w:tcW w:w="320" w:type="dxa"/>
            <w:vAlign w:val="bottom"/>
            <w:tcBorders>
              <w:bottom w:val="single" w:sz="8" w:color="auto"/>
            </w:tcBorders>
            <w:shd w:val="clear" w:color="auto" w:fill="DCE2EF"/>
          </w:tcPr>
          <w:p>
            <w:pPr>
              <w:spacing w:after="0"/>
              <w:rPr>
                <w:sz w:val="17"/>
                <w:szCs w:val="17"/>
                <w:color w:val="auto"/>
              </w:rPr>
            </w:pPr>
          </w:p>
        </w:tc>
        <w:tc>
          <w:tcPr>
            <w:tcW w:w="1080" w:type="dxa"/>
            <w:vAlign w:val="bottom"/>
            <w:tcBorders>
              <w:bottom w:val="single" w:sz="8" w:color="auto"/>
            </w:tcBorders>
            <w:vMerge w:val="continue"/>
            <w:shd w:val="clear" w:color="auto" w:fill="DCE2EF"/>
          </w:tcPr>
          <w:p>
            <w:pPr>
              <w:spacing w:after="0"/>
              <w:rPr>
                <w:sz w:val="17"/>
                <w:szCs w:val="17"/>
                <w:color w:val="auto"/>
              </w:rPr>
            </w:pPr>
          </w:p>
        </w:tc>
        <w:tc>
          <w:tcPr>
            <w:tcW w:w="80" w:type="dxa"/>
            <w:vAlign w:val="bottom"/>
            <w:shd w:val="clear" w:color="auto" w:fill="DCE2EF"/>
          </w:tcPr>
          <w:p>
            <w:pPr>
              <w:spacing w:after="0"/>
              <w:rPr>
                <w:sz w:val="17"/>
                <w:szCs w:val="17"/>
                <w:color w:val="auto"/>
              </w:rPr>
            </w:pPr>
          </w:p>
        </w:tc>
        <w:tc>
          <w:tcPr>
            <w:tcW w:w="360" w:type="dxa"/>
            <w:vAlign w:val="bottom"/>
            <w:tcBorders>
              <w:bottom w:val="single" w:sz="8" w:color="auto"/>
            </w:tcBorders>
            <w:shd w:val="clear" w:color="auto" w:fill="DCE2EF"/>
          </w:tcPr>
          <w:p>
            <w:pPr>
              <w:spacing w:after="0"/>
              <w:rPr>
                <w:sz w:val="17"/>
                <w:szCs w:val="17"/>
                <w:color w:val="auto"/>
              </w:rPr>
            </w:pPr>
          </w:p>
        </w:tc>
        <w:tc>
          <w:tcPr>
            <w:tcW w:w="920" w:type="dxa"/>
            <w:vAlign w:val="bottom"/>
            <w:tcBorders>
              <w:bottom w:val="single" w:sz="8" w:color="auto"/>
            </w:tcBorders>
            <w:vMerge w:val="continue"/>
            <w:shd w:val="clear" w:color="auto" w:fill="DCE2EF"/>
          </w:tcPr>
          <w:p>
            <w:pPr>
              <w:spacing w:after="0"/>
              <w:rPr>
                <w:sz w:val="17"/>
                <w:szCs w:val="17"/>
                <w:color w:val="auto"/>
              </w:rPr>
            </w:pPr>
          </w:p>
        </w:tc>
        <w:tc>
          <w:tcPr>
            <w:tcW w:w="1380" w:type="dxa"/>
            <w:vAlign w:val="bottom"/>
            <w:vMerge w:val="continue"/>
            <w:shd w:val="clear" w:color="auto" w:fill="DCE2E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30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w w:val="95"/>
              </w:rPr>
              <w:t>$</w:t>
            </w:r>
          </w:p>
        </w:tc>
        <w:tc>
          <w:tcPr>
            <w:tcW w:w="108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rPr>
              <w:t>311.7</w:t>
            </w: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w w:val="95"/>
              </w:rPr>
              <w:t>$</w:t>
            </w:r>
          </w:p>
        </w:tc>
        <w:tc>
          <w:tcPr>
            <w:tcW w:w="108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rPr>
              <w:t>212.0</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color w:val="auto"/>
                <w:w w:val="95"/>
              </w:rPr>
              <w:t>$</w:t>
            </w:r>
          </w:p>
        </w:tc>
        <w:tc>
          <w:tcPr>
            <w:tcW w:w="108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rPr>
              <w:t>409.5</w:t>
            </w:r>
          </w:p>
        </w:tc>
        <w:tc>
          <w:tcPr>
            <w:tcW w:w="80" w:type="dxa"/>
            <w:vAlign w:val="bottom"/>
          </w:tcPr>
          <w:p>
            <w:pPr>
              <w:spacing w:after="0"/>
              <w:rPr>
                <w:sz w:val="17"/>
                <w:szCs w:val="17"/>
                <w:color w:val="auto"/>
              </w:rPr>
            </w:pPr>
          </w:p>
        </w:tc>
        <w:tc>
          <w:tcPr>
            <w:tcW w:w="360" w:type="dxa"/>
            <w:vAlign w:val="bottom"/>
            <w:tcBorders>
              <w:bottom w:val="single" w:sz="8" w:color="auto"/>
            </w:tcBorders>
          </w:tcPr>
          <w:p>
            <w:pPr>
              <w:jc w:val="right"/>
              <w:ind w:right="163"/>
              <w:spacing w:after="0"/>
              <w:rPr>
                <w:sz w:val="20"/>
                <w:szCs w:val="20"/>
                <w:color w:val="auto"/>
              </w:rPr>
            </w:pPr>
            <w:r>
              <w:rPr>
                <w:rFonts w:ascii="Arial" w:cs="Arial" w:eastAsia="Arial" w:hAnsi="Arial"/>
                <w:sz w:val="15"/>
                <w:szCs w:val="15"/>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99.7</w:t>
            </w:r>
          </w:p>
        </w:tc>
        <w:tc>
          <w:tcPr>
            <w:tcW w:w="1380" w:type="dxa"/>
            <w:vAlign w:val="bottom"/>
          </w:tcPr>
          <w:p>
            <w:pPr>
              <w:jc w:val="center"/>
              <w:ind w:left="23"/>
              <w:spacing w:after="0"/>
              <w:rPr>
                <w:sz w:val="20"/>
                <w:szCs w:val="20"/>
                <w:color w:val="auto"/>
              </w:rPr>
            </w:pPr>
            <w:r>
              <w:rPr>
                <w:rFonts w:ascii="Arial" w:cs="Arial" w:eastAsia="Arial" w:hAnsi="Arial"/>
                <w:sz w:val="15"/>
                <w:szCs w:val="15"/>
                <w:color w:val="auto"/>
              </w:rPr>
              <w:t>47.0%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5"/>
          <w:szCs w:val="15"/>
          <w:color w:val="auto"/>
        </w:rPr>
        <w:t>*Not meaningful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36"/>
        </w:trPr>
        <w:tc>
          <w:tcPr>
            <w:tcW w:w="7800" w:type="dxa"/>
            <w:vAlign w:val="bottom"/>
            <w:gridSpan w:val="9"/>
          </w:tcPr>
          <w:p>
            <w:pPr>
              <w:spacing w:after="0"/>
              <w:rPr>
                <w:sz w:val="20"/>
                <w:szCs w:val="20"/>
                <w:color w:val="auto"/>
              </w:rPr>
            </w:pPr>
            <w:r>
              <w:rPr>
                <w:rFonts w:ascii="Arial" w:cs="Arial" w:eastAsia="Arial" w:hAnsi="Arial"/>
                <w:sz w:val="17"/>
                <w:szCs w:val="17"/>
                <w:b w:val="1"/>
                <w:bCs w:val="1"/>
                <w:i w:val="1"/>
                <w:iCs w:val="1"/>
                <w:color w:val="0046AD"/>
              </w:rPr>
              <w:t>The Year Ended October 31, 2025, Compared with the Year Ended October 31, 2024</w:t>
            </w:r>
          </w:p>
        </w:tc>
        <w:tc>
          <w:tcPr>
            <w:tcW w:w="6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0"/>
        </w:trPr>
        <w:tc>
          <w:tcPr>
            <w:tcW w:w="4040" w:type="dxa"/>
            <w:vAlign w:val="bottom"/>
            <w:gridSpan w:val="3"/>
          </w:tcPr>
          <w:p>
            <w:pPr>
              <w:ind w:left="20"/>
              <w:spacing w:after="0"/>
              <w:rPr>
                <w:sz w:val="20"/>
                <w:szCs w:val="20"/>
                <w:color w:val="auto"/>
              </w:rPr>
            </w:pPr>
            <w:r>
              <w:rPr>
                <w:rFonts w:ascii="Arial" w:cs="Arial" w:eastAsia="Arial" w:hAnsi="Arial"/>
                <w:sz w:val="17"/>
                <w:szCs w:val="17"/>
                <w:b w:val="1"/>
                <w:bCs w:val="1"/>
                <w:i w:val="1"/>
                <w:iCs w:val="1"/>
                <w:color w:val="0046AD"/>
              </w:rPr>
              <w:t>Business &amp; Industry</w:t>
            </w:r>
          </w:p>
        </w:tc>
        <w:tc>
          <w:tcPr>
            <w:tcW w:w="400" w:type="dxa"/>
            <w:vAlign w:val="bottom"/>
          </w:tcPr>
          <w:p>
            <w:pPr>
              <w:spacing w:after="0"/>
              <w:rPr>
                <w:sz w:val="24"/>
                <w:szCs w:val="24"/>
                <w:color w:val="auto"/>
              </w:rPr>
            </w:pPr>
          </w:p>
        </w:tc>
        <w:tc>
          <w:tcPr>
            <w:tcW w:w="3360" w:type="dxa"/>
            <w:vAlign w:val="bottom"/>
            <w:gridSpan w:val="5"/>
            <w:vMerge w:val="restart"/>
          </w:tcPr>
          <w:p>
            <w:pPr>
              <w:ind w:left="460"/>
              <w:spacing w:after="0"/>
              <w:rPr>
                <w:sz w:val="20"/>
                <w:szCs w:val="20"/>
                <w:color w:val="auto"/>
              </w:rPr>
            </w:pPr>
            <w:r>
              <w:rPr>
                <w:rFonts w:ascii="Arial" w:cs="Arial" w:eastAsia="Arial" w:hAnsi="Arial"/>
                <w:sz w:val="17"/>
                <w:szCs w:val="17"/>
                <w:b w:val="1"/>
                <w:bCs w:val="1"/>
                <w:color w:val="auto"/>
              </w:rPr>
              <w:t>Year Ended October 31,</w:t>
            </w:r>
          </w:p>
        </w:tc>
        <w:tc>
          <w:tcPr>
            <w:tcW w:w="6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360" w:type="dxa"/>
            <w:vAlign w:val="bottom"/>
            <w:gridSpan w:val="5"/>
            <w:vMerge w:val="continue"/>
          </w:tcPr>
          <w:p>
            <w:pPr>
              <w:spacing w:after="0"/>
              <w:rPr>
                <w:sz w:val="17"/>
                <w:szCs w:val="17"/>
                <w:color w:val="auto"/>
              </w:rPr>
            </w:pPr>
          </w:p>
        </w:tc>
        <w:tc>
          <w:tcPr>
            <w:tcW w:w="680" w:type="dxa"/>
            <w:vAlign w:val="bottom"/>
          </w:tcPr>
          <w:p>
            <w:pPr>
              <w:spacing w:after="0"/>
              <w:rPr>
                <w:sz w:val="17"/>
                <w:szCs w:val="17"/>
                <w:color w:val="auto"/>
              </w:rPr>
            </w:pPr>
          </w:p>
        </w:tc>
        <w:tc>
          <w:tcPr>
            <w:tcW w:w="1540" w:type="dxa"/>
            <w:vAlign w:val="bottom"/>
            <w:vMerge w:val="restart"/>
          </w:tcPr>
          <w:p>
            <w:pPr>
              <w:jc w:val="right"/>
              <w:ind w:right="78"/>
              <w:spacing w:after="0"/>
              <w:rPr>
                <w:sz w:val="20"/>
                <w:szCs w:val="20"/>
                <w:color w:val="auto"/>
              </w:rPr>
            </w:pPr>
            <w:r>
              <w:rPr>
                <w:rFonts w:ascii="Arial" w:cs="Arial" w:eastAsia="Arial" w:hAnsi="Arial"/>
                <w:sz w:val="17"/>
                <w:szCs w:val="17"/>
                <w:b w:val="1"/>
                <w:bCs w:val="1"/>
                <w:color w:val="auto"/>
              </w:rPr>
              <w:t>Increase</w:t>
            </w: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4040" w:type="dxa"/>
            <w:vAlign w:val="bottom"/>
            <w:gridSpan w:val="3"/>
          </w:tcPr>
          <w:p>
            <w:pPr>
              <w:ind w:left="20"/>
              <w:spacing w:after="0" w:line="148" w:lineRule="exact"/>
              <w:rPr>
                <w:sz w:val="20"/>
                <w:szCs w:val="20"/>
                <w:color w:val="auto"/>
              </w:rPr>
            </w:pPr>
            <w:r>
              <w:rPr>
                <w:rFonts w:ascii="Times New Roman" w:cs="Times New Roman" w:eastAsia="Times New Roman" w:hAnsi="Times New Roman"/>
                <w:sz w:val="14"/>
                <w:szCs w:val="14"/>
                <w:i w:val="1"/>
                <w:iCs w:val="1"/>
                <w:u w:val="single" w:color="auto"/>
                <w:color w:val="auto"/>
              </w:rPr>
              <w:t>(</w:t>
            </w:r>
            <w:r>
              <w:rPr>
                <w:rFonts w:ascii="Times New Roman" w:cs="Times New Roman" w:eastAsia="Times New Roman" w:hAnsi="Times New Roman"/>
                <w:sz w:val="14"/>
                <w:szCs w:val="14"/>
                <w:i w:val="1"/>
                <w:iCs w:val="1"/>
                <w:color w:val="auto"/>
              </w:rPr>
              <w:t>$ in millions)</w:t>
            </w:r>
          </w:p>
        </w:tc>
        <w:tc>
          <w:tcPr>
            <w:tcW w:w="40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tcPr>
          <w:p>
            <w:pPr>
              <w:jc w:val="right"/>
              <w:ind w:right="618"/>
              <w:spacing w:after="0" w:line="148" w:lineRule="exact"/>
              <w:rPr>
                <w:sz w:val="20"/>
                <w:szCs w:val="20"/>
                <w:color w:val="auto"/>
              </w:rPr>
            </w:pPr>
            <w:r>
              <w:rPr>
                <w:rFonts w:ascii="Arial" w:cs="Arial" w:eastAsia="Arial" w:hAnsi="Arial"/>
                <w:sz w:val="17"/>
                <w:szCs w:val="17"/>
                <w:b w:val="1"/>
                <w:bCs w:val="1"/>
                <w:color w:val="auto"/>
              </w:rPr>
              <w:t>2025</w:t>
            </w:r>
          </w:p>
        </w:tc>
        <w:tc>
          <w:tcPr>
            <w:tcW w:w="10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tcPr>
          <w:p>
            <w:pPr>
              <w:jc w:val="right"/>
              <w:ind w:right="618"/>
              <w:spacing w:after="0" w:line="148" w:lineRule="exact"/>
              <w:rPr>
                <w:sz w:val="20"/>
                <w:szCs w:val="20"/>
                <w:color w:val="auto"/>
              </w:rPr>
            </w:pPr>
            <w:r>
              <w:rPr>
                <w:rFonts w:ascii="Arial" w:cs="Arial" w:eastAsia="Arial" w:hAnsi="Arial"/>
                <w:sz w:val="17"/>
                <w:szCs w:val="17"/>
                <w:b w:val="1"/>
                <w:bCs w:val="1"/>
                <w:color w:val="auto"/>
              </w:rPr>
              <w:t>2024</w:t>
            </w: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540" w:type="dxa"/>
            <w:vAlign w:val="bottom"/>
            <w:vMerge w:val="continue"/>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2"/>
        </w:trPr>
        <w:tc>
          <w:tcPr>
            <w:tcW w:w="20" w:type="dxa"/>
            <w:vAlign w:val="bottom"/>
            <w:tcBorders>
              <w:bottom w:val="single" w:sz="8" w:color="DCE2EF"/>
            </w:tcBorders>
          </w:tcPr>
          <w:p>
            <w:pPr>
              <w:spacing w:after="0"/>
              <w:rPr>
                <w:sz w:val="2"/>
                <w:szCs w:val="2"/>
                <w:color w:val="auto"/>
              </w:rPr>
            </w:pPr>
          </w:p>
        </w:tc>
        <w:tc>
          <w:tcPr>
            <w:tcW w:w="780" w:type="dxa"/>
            <w:vAlign w:val="bottom"/>
            <w:tcBorders>
              <w:top w:val="single" w:sz="8" w:color="auto"/>
              <w:bottom w:val="single" w:sz="8" w:color="DCE2EF"/>
            </w:tcBorders>
          </w:tcPr>
          <w:p>
            <w:pPr>
              <w:spacing w:after="0"/>
              <w:rPr>
                <w:sz w:val="2"/>
                <w:szCs w:val="2"/>
                <w:color w:val="auto"/>
              </w:rPr>
            </w:pPr>
          </w:p>
        </w:tc>
        <w:tc>
          <w:tcPr>
            <w:tcW w:w="3240" w:type="dxa"/>
            <w:vAlign w:val="bottom"/>
            <w:tcBorders>
              <w:bottom w:val="single" w:sz="8" w:color="DCE2E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4040" w:type="dxa"/>
            <w:vAlign w:val="bottom"/>
            <w:gridSpan w:val="3"/>
            <w:shd w:val="clear" w:color="auto" w:fill="DCE2EF"/>
          </w:tcPr>
          <w:p>
            <w:pPr>
              <w:ind w:left="20"/>
              <w:spacing w:after="0"/>
              <w:rPr>
                <w:sz w:val="20"/>
                <w:szCs w:val="20"/>
                <w:color w:val="auto"/>
              </w:rPr>
            </w:pPr>
            <w:r>
              <w:rPr>
                <w:rFonts w:ascii="Arial" w:cs="Arial" w:eastAsia="Arial" w:hAnsi="Arial"/>
                <w:sz w:val="17"/>
                <w:szCs w:val="17"/>
                <w:color w:val="auto"/>
              </w:rPr>
              <w:t>Revenues</w:t>
            </w:r>
          </w:p>
        </w:tc>
        <w:tc>
          <w:tcPr>
            <w:tcW w:w="400" w:type="dxa"/>
            <w:vAlign w:val="bottom"/>
            <w:shd w:val="clear" w:color="auto" w:fill="DCE2EF"/>
          </w:tcPr>
          <w:p>
            <w:pPr>
              <w:jc w:val="right"/>
              <w:ind w:right="194"/>
              <w:spacing w:after="0"/>
              <w:rPr>
                <w:sz w:val="20"/>
                <w:szCs w:val="20"/>
                <w:color w:val="auto"/>
              </w:rPr>
            </w:pPr>
            <w:r>
              <w:rPr>
                <w:rFonts w:ascii="Arial" w:cs="Arial" w:eastAsia="Arial" w:hAnsi="Arial"/>
                <w:sz w:val="17"/>
                <w:szCs w:val="17"/>
                <w:color w:val="auto"/>
              </w:rPr>
              <w:t>$</w:t>
            </w:r>
          </w:p>
        </w:tc>
        <w:tc>
          <w:tcPr>
            <w:tcW w:w="1380" w:type="dxa"/>
            <w:vAlign w:val="bottom"/>
            <w:shd w:val="clear" w:color="auto" w:fill="DCE2EF"/>
          </w:tcPr>
          <w:p>
            <w:pPr>
              <w:jc w:val="right"/>
              <w:ind w:right="118"/>
              <w:spacing w:after="0"/>
              <w:rPr>
                <w:sz w:val="20"/>
                <w:szCs w:val="20"/>
                <w:color w:val="auto"/>
              </w:rPr>
            </w:pPr>
            <w:r>
              <w:rPr>
                <w:rFonts w:ascii="Arial" w:cs="Arial" w:eastAsia="Arial" w:hAnsi="Arial"/>
                <w:sz w:val="17"/>
                <w:szCs w:val="17"/>
                <w:color w:val="auto"/>
              </w:rPr>
              <w:t>4,126.0</w:t>
            </w:r>
          </w:p>
        </w:tc>
        <w:tc>
          <w:tcPr>
            <w:tcW w:w="100" w:type="dxa"/>
            <w:vAlign w:val="bottom"/>
            <w:shd w:val="clear" w:color="auto" w:fill="DCE2EF"/>
          </w:tcPr>
          <w:p>
            <w:pPr>
              <w:spacing w:after="0"/>
              <w:rPr>
                <w:sz w:val="18"/>
                <w:szCs w:val="18"/>
                <w:color w:val="auto"/>
              </w:rPr>
            </w:pPr>
          </w:p>
        </w:tc>
        <w:tc>
          <w:tcPr>
            <w:tcW w:w="400" w:type="dxa"/>
            <w:vAlign w:val="bottom"/>
            <w:shd w:val="clear" w:color="auto" w:fill="DCE2EF"/>
          </w:tcPr>
          <w:p>
            <w:pPr>
              <w:jc w:val="right"/>
              <w:ind w:right="194"/>
              <w:spacing w:after="0"/>
              <w:rPr>
                <w:sz w:val="20"/>
                <w:szCs w:val="20"/>
                <w:color w:val="auto"/>
              </w:rPr>
            </w:pPr>
            <w:r>
              <w:rPr>
                <w:rFonts w:ascii="Arial" w:cs="Arial" w:eastAsia="Arial" w:hAnsi="Arial"/>
                <w:sz w:val="17"/>
                <w:szCs w:val="17"/>
                <w:color w:val="auto"/>
              </w:rPr>
              <w:t>$</w:t>
            </w:r>
          </w:p>
        </w:tc>
        <w:tc>
          <w:tcPr>
            <w:tcW w:w="1380" w:type="dxa"/>
            <w:vAlign w:val="bottom"/>
            <w:shd w:val="clear" w:color="auto" w:fill="DCE2EF"/>
          </w:tcPr>
          <w:p>
            <w:pPr>
              <w:jc w:val="right"/>
              <w:ind w:right="98"/>
              <w:spacing w:after="0"/>
              <w:rPr>
                <w:sz w:val="20"/>
                <w:szCs w:val="20"/>
                <w:color w:val="auto"/>
              </w:rPr>
            </w:pPr>
            <w:r>
              <w:rPr>
                <w:rFonts w:ascii="Arial" w:cs="Arial" w:eastAsia="Arial" w:hAnsi="Arial"/>
                <w:sz w:val="17"/>
                <w:szCs w:val="17"/>
                <w:color w:val="auto"/>
              </w:rPr>
              <w:t>4,059.1</w:t>
            </w:r>
          </w:p>
        </w:tc>
        <w:tc>
          <w:tcPr>
            <w:tcW w:w="100" w:type="dxa"/>
            <w:vAlign w:val="bottom"/>
            <w:shd w:val="clear" w:color="auto" w:fill="DCE2EF"/>
          </w:tcPr>
          <w:p>
            <w:pPr>
              <w:spacing w:after="0"/>
              <w:rPr>
                <w:sz w:val="18"/>
                <w:szCs w:val="18"/>
                <w:color w:val="auto"/>
              </w:rPr>
            </w:pPr>
          </w:p>
        </w:tc>
        <w:tc>
          <w:tcPr>
            <w:tcW w:w="680" w:type="dxa"/>
            <w:vAlign w:val="bottom"/>
            <w:shd w:val="clear" w:color="auto" w:fill="DCE2EF"/>
          </w:tcPr>
          <w:p>
            <w:pPr>
              <w:jc w:val="right"/>
              <w:ind w:right="474"/>
              <w:spacing w:after="0"/>
              <w:rPr>
                <w:sz w:val="20"/>
                <w:szCs w:val="20"/>
                <w:color w:val="auto"/>
              </w:rPr>
            </w:pPr>
            <w:r>
              <w:rPr>
                <w:rFonts w:ascii="Arial" w:cs="Arial" w:eastAsia="Arial" w:hAnsi="Arial"/>
                <w:sz w:val="17"/>
                <w:szCs w:val="17"/>
                <w:color w:val="auto"/>
              </w:rPr>
              <w:t>$</w:t>
            </w:r>
          </w:p>
        </w:tc>
        <w:tc>
          <w:tcPr>
            <w:tcW w:w="1540" w:type="dxa"/>
            <w:vAlign w:val="bottom"/>
            <w:shd w:val="clear" w:color="auto" w:fill="DCE2EF"/>
          </w:tcPr>
          <w:p>
            <w:pPr>
              <w:jc w:val="right"/>
              <w:ind w:right="538"/>
              <w:spacing w:after="0"/>
              <w:rPr>
                <w:sz w:val="20"/>
                <w:szCs w:val="20"/>
                <w:color w:val="auto"/>
              </w:rPr>
            </w:pPr>
            <w:r>
              <w:rPr>
                <w:rFonts w:ascii="Arial" w:cs="Arial" w:eastAsia="Arial" w:hAnsi="Arial"/>
                <w:sz w:val="17"/>
                <w:szCs w:val="17"/>
                <w:color w:val="auto"/>
              </w:rPr>
              <w:t>66.9</w:t>
            </w:r>
          </w:p>
        </w:tc>
        <w:tc>
          <w:tcPr>
            <w:tcW w:w="1200" w:type="dxa"/>
            <w:vAlign w:val="bottom"/>
            <w:shd w:val="clear" w:color="auto" w:fill="DCE2EF"/>
          </w:tcPr>
          <w:p>
            <w:pPr>
              <w:jc w:val="right"/>
              <w:ind w:right="554"/>
              <w:spacing w:after="0"/>
              <w:rPr>
                <w:sz w:val="20"/>
                <w:szCs w:val="20"/>
                <w:color w:val="auto"/>
              </w:rPr>
            </w:pPr>
            <w:r>
              <w:rPr>
                <w:rFonts w:ascii="Arial" w:cs="Arial" w:eastAsia="Arial" w:hAnsi="Arial"/>
                <w:sz w:val="17"/>
                <w:szCs w:val="17"/>
                <w:color w:val="auto"/>
              </w:rPr>
              <w:t>1.6%</w:t>
            </w:r>
          </w:p>
        </w:tc>
        <w:tc>
          <w:tcPr>
            <w:tcW w:w="0" w:type="dxa"/>
            <w:vAlign w:val="bottom"/>
          </w:tcPr>
          <w:p>
            <w:pPr>
              <w:spacing w:after="0"/>
              <w:rPr>
                <w:sz w:val="1"/>
                <w:szCs w:val="1"/>
                <w:color w:val="auto"/>
              </w:rPr>
            </w:pPr>
          </w:p>
        </w:tc>
      </w:tr>
      <w:tr>
        <w:trPr>
          <w:trHeight w:val="219"/>
        </w:trPr>
        <w:tc>
          <w:tcPr>
            <w:tcW w:w="4040" w:type="dxa"/>
            <w:vAlign w:val="bottom"/>
            <w:gridSpan w:val="3"/>
          </w:tcPr>
          <w:p>
            <w:pPr>
              <w:ind w:left="20"/>
              <w:spacing w:after="0"/>
              <w:rPr>
                <w:sz w:val="20"/>
                <w:szCs w:val="20"/>
                <w:color w:val="auto"/>
              </w:rPr>
            </w:pPr>
            <w:r>
              <w:rPr>
                <w:rFonts w:ascii="Arial" w:cs="Arial" w:eastAsia="Arial" w:hAnsi="Arial"/>
                <w:sz w:val="17"/>
                <w:szCs w:val="17"/>
                <w:color w:val="auto"/>
              </w:rPr>
              <w:t>Operating profit</w:t>
            </w:r>
          </w:p>
        </w:tc>
        <w:tc>
          <w:tcPr>
            <w:tcW w:w="400" w:type="dxa"/>
            <w:vAlign w:val="bottom"/>
          </w:tcPr>
          <w:p>
            <w:pPr>
              <w:spacing w:after="0"/>
              <w:rPr>
                <w:sz w:val="19"/>
                <w:szCs w:val="19"/>
                <w:color w:val="auto"/>
              </w:rPr>
            </w:pPr>
          </w:p>
        </w:tc>
        <w:tc>
          <w:tcPr>
            <w:tcW w:w="1380" w:type="dxa"/>
            <w:vAlign w:val="bottom"/>
          </w:tcPr>
          <w:p>
            <w:pPr>
              <w:jc w:val="right"/>
              <w:ind w:right="118"/>
              <w:spacing w:after="0"/>
              <w:rPr>
                <w:sz w:val="20"/>
                <w:szCs w:val="20"/>
                <w:color w:val="auto"/>
              </w:rPr>
            </w:pPr>
            <w:r>
              <w:rPr>
                <w:rFonts w:ascii="Arial" w:cs="Arial" w:eastAsia="Arial" w:hAnsi="Arial"/>
                <w:sz w:val="17"/>
                <w:szCs w:val="17"/>
                <w:color w:val="auto"/>
              </w:rPr>
              <w:t>316.9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jc w:val="right"/>
              <w:ind w:right="98"/>
              <w:spacing w:after="0"/>
              <w:rPr>
                <w:sz w:val="20"/>
                <w:szCs w:val="20"/>
                <w:color w:val="auto"/>
              </w:rPr>
            </w:pPr>
            <w:r>
              <w:rPr>
                <w:rFonts w:ascii="Arial" w:cs="Arial" w:eastAsia="Arial" w:hAnsi="Arial"/>
                <w:sz w:val="17"/>
                <w:szCs w:val="17"/>
                <w:color w:val="auto"/>
              </w:rPr>
              <w:t>307.0</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540" w:type="dxa"/>
            <w:vAlign w:val="bottom"/>
          </w:tcPr>
          <w:p>
            <w:pPr>
              <w:jc w:val="right"/>
              <w:ind w:right="538"/>
              <w:spacing w:after="0"/>
              <w:rPr>
                <w:sz w:val="20"/>
                <w:szCs w:val="20"/>
                <w:color w:val="auto"/>
              </w:rPr>
            </w:pPr>
            <w:r>
              <w:rPr>
                <w:rFonts w:ascii="Arial" w:cs="Arial" w:eastAsia="Arial" w:hAnsi="Arial"/>
                <w:sz w:val="17"/>
                <w:szCs w:val="17"/>
                <w:color w:val="auto"/>
              </w:rPr>
              <w:t>9.9</w:t>
            </w:r>
          </w:p>
        </w:tc>
        <w:tc>
          <w:tcPr>
            <w:tcW w:w="1200" w:type="dxa"/>
            <w:vAlign w:val="bottom"/>
          </w:tcPr>
          <w:p>
            <w:pPr>
              <w:jc w:val="right"/>
              <w:ind w:right="554"/>
              <w:spacing w:after="0"/>
              <w:rPr>
                <w:sz w:val="20"/>
                <w:szCs w:val="20"/>
                <w:color w:val="auto"/>
              </w:rPr>
            </w:pPr>
            <w:r>
              <w:rPr>
                <w:rFonts w:ascii="Arial" w:cs="Arial" w:eastAsia="Arial" w:hAnsi="Arial"/>
                <w:sz w:val="17"/>
                <w:szCs w:val="17"/>
                <w:color w:val="auto"/>
              </w:rPr>
              <w:t>3.2%</w:t>
            </w:r>
          </w:p>
        </w:tc>
        <w:tc>
          <w:tcPr>
            <w:tcW w:w="0" w:type="dxa"/>
            <w:vAlign w:val="bottom"/>
          </w:tcPr>
          <w:p>
            <w:pPr>
              <w:spacing w:after="0"/>
              <w:rPr>
                <w:sz w:val="1"/>
                <w:szCs w:val="1"/>
                <w:color w:val="auto"/>
              </w:rPr>
            </w:pPr>
          </w:p>
        </w:tc>
      </w:tr>
      <w:tr>
        <w:trPr>
          <w:trHeight w:val="193"/>
        </w:trPr>
        <w:tc>
          <w:tcPr>
            <w:tcW w:w="20" w:type="dxa"/>
            <w:vAlign w:val="bottom"/>
            <w:shd w:val="clear" w:color="auto" w:fill="DCE2EF"/>
          </w:tcPr>
          <w:p>
            <w:pPr>
              <w:spacing w:after="0"/>
              <w:rPr>
                <w:sz w:val="16"/>
                <w:szCs w:val="16"/>
                <w:color w:val="auto"/>
              </w:rPr>
            </w:pPr>
          </w:p>
        </w:tc>
        <w:tc>
          <w:tcPr>
            <w:tcW w:w="4020" w:type="dxa"/>
            <w:vAlign w:val="bottom"/>
            <w:gridSpan w:val="2"/>
            <w:shd w:val="clear" w:color="auto" w:fill="DCE2EF"/>
          </w:tcPr>
          <w:p>
            <w:pPr>
              <w:ind w:left="120"/>
              <w:spacing w:after="0"/>
              <w:rPr>
                <w:sz w:val="20"/>
                <w:szCs w:val="20"/>
                <w:color w:val="auto"/>
              </w:rPr>
            </w:pPr>
            <w:r>
              <w:rPr>
                <w:rFonts w:ascii="Arial" w:cs="Arial" w:eastAsia="Arial" w:hAnsi="Arial"/>
                <w:sz w:val="14"/>
                <w:szCs w:val="14"/>
                <w:i w:val="1"/>
                <w:iCs w:val="1"/>
                <w:color w:val="auto"/>
              </w:rPr>
              <w:t>Operating profit margin</w:t>
            </w:r>
          </w:p>
        </w:tc>
        <w:tc>
          <w:tcPr>
            <w:tcW w:w="400" w:type="dxa"/>
            <w:vAlign w:val="bottom"/>
            <w:shd w:val="clear" w:color="auto" w:fill="DCE2EF"/>
          </w:tcPr>
          <w:p>
            <w:pPr>
              <w:spacing w:after="0"/>
              <w:rPr>
                <w:sz w:val="16"/>
                <w:szCs w:val="16"/>
                <w:color w:val="auto"/>
              </w:rPr>
            </w:pPr>
          </w:p>
        </w:tc>
        <w:tc>
          <w:tcPr>
            <w:tcW w:w="138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7.7%</w:t>
            </w:r>
          </w:p>
        </w:tc>
        <w:tc>
          <w:tcPr>
            <w:tcW w:w="100" w:type="dxa"/>
            <w:vAlign w:val="bottom"/>
            <w:shd w:val="clear" w:color="auto" w:fill="DCE2EF"/>
          </w:tcPr>
          <w:p>
            <w:pPr>
              <w:spacing w:after="0"/>
              <w:rPr>
                <w:sz w:val="16"/>
                <w:szCs w:val="16"/>
                <w:color w:val="auto"/>
              </w:rPr>
            </w:pPr>
          </w:p>
        </w:tc>
        <w:tc>
          <w:tcPr>
            <w:tcW w:w="400" w:type="dxa"/>
            <w:vAlign w:val="bottom"/>
            <w:shd w:val="clear" w:color="auto" w:fill="DCE2EF"/>
          </w:tcPr>
          <w:p>
            <w:pPr>
              <w:spacing w:after="0"/>
              <w:rPr>
                <w:sz w:val="16"/>
                <w:szCs w:val="16"/>
                <w:color w:val="auto"/>
              </w:rPr>
            </w:pPr>
          </w:p>
        </w:tc>
        <w:tc>
          <w:tcPr>
            <w:tcW w:w="138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7.6%</w:t>
            </w:r>
          </w:p>
        </w:tc>
        <w:tc>
          <w:tcPr>
            <w:tcW w:w="100" w:type="dxa"/>
            <w:vAlign w:val="bottom"/>
            <w:shd w:val="clear" w:color="auto" w:fill="DCE2EF"/>
          </w:tcPr>
          <w:p>
            <w:pPr>
              <w:spacing w:after="0"/>
              <w:rPr>
                <w:sz w:val="16"/>
                <w:szCs w:val="16"/>
                <w:color w:val="auto"/>
              </w:rPr>
            </w:pPr>
          </w:p>
        </w:tc>
        <w:tc>
          <w:tcPr>
            <w:tcW w:w="680" w:type="dxa"/>
            <w:vAlign w:val="bottom"/>
            <w:shd w:val="clear" w:color="auto" w:fill="DCE2EF"/>
          </w:tcPr>
          <w:p>
            <w:pPr>
              <w:spacing w:after="0"/>
              <w:rPr>
                <w:sz w:val="16"/>
                <w:szCs w:val="16"/>
                <w:color w:val="auto"/>
              </w:rPr>
            </w:pPr>
          </w:p>
        </w:tc>
        <w:tc>
          <w:tcPr>
            <w:tcW w:w="1540" w:type="dxa"/>
            <w:vAlign w:val="bottom"/>
            <w:shd w:val="clear" w:color="auto" w:fill="DCE2EF"/>
          </w:tcPr>
          <w:p>
            <w:pPr>
              <w:jc w:val="right"/>
              <w:ind w:right="498"/>
              <w:spacing w:after="0"/>
              <w:rPr>
                <w:sz w:val="20"/>
                <w:szCs w:val="20"/>
                <w:color w:val="auto"/>
              </w:rPr>
            </w:pPr>
            <w:r>
              <w:rPr>
                <w:rFonts w:ascii="Arial" w:cs="Arial" w:eastAsia="Arial" w:hAnsi="Arial"/>
                <w:sz w:val="14"/>
                <w:szCs w:val="14"/>
                <w:i w:val="1"/>
                <w:iCs w:val="1"/>
                <w:color w:val="auto"/>
              </w:rPr>
              <w:t>12 bps</w:t>
            </w:r>
          </w:p>
        </w:tc>
        <w:tc>
          <w:tcPr>
            <w:tcW w:w="1200" w:type="dxa"/>
            <w:vAlign w:val="bottom"/>
            <w:shd w:val="clear" w:color="auto" w:fill="DCE2EF"/>
          </w:tcPr>
          <w:p>
            <w:pPr>
              <w:spacing w:after="0"/>
              <w:rPr>
                <w:sz w:val="16"/>
                <w:szCs w:val="16"/>
                <w:color w:val="auto"/>
              </w:rPr>
            </w:pPr>
          </w:p>
        </w:tc>
        <w:tc>
          <w:tcPr>
            <w:tcW w:w="0" w:type="dxa"/>
            <w:vAlign w:val="bottom"/>
          </w:tcPr>
          <w:p>
            <w:pPr>
              <w:spacing w:after="0"/>
              <w:rPr>
                <w:sz w:val="1"/>
                <w:szCs w:val="1"/>
                <w:color w:val="auto"/>
              </w:rPr>
            </w:pPr>
          </w:p>
        </w:tc>
      </w:tr>
    </w:tbl>
    <w:p>
      <w:pPr>
        <w:spacing w:after="0" w:line="280"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B&amp;I revenues increased by $66.9 million, or 1.6%, to $4,126.0 million during 2025, as compared to 2024. The revenue increase was primarily driven by client expansions both domestic and international, partially offset by strategic pricing decisions on contract rebids and attrition of certain engineering clients. Management reimbursement revenues for this segment totaled $291.4 million and $281.4 million during 2025 and 2024, respectively.</w:t>
      </w:r>
    </w:p>
    <w:p>
      <w:pPr>
        <w:spacing w:after="0" w:line="116"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Operating profit increased by $ 9.9 million, or 3.2%, to $316.9 million during 2025, as compared to 2024. Operating profit margin increased by 12 bps to 7.7% in 2025 from 7.6% in 2024. The increase in operating profit margin was primarily driven by geographic mix and operational efficiencies achieved through our Restructuring Program. The increase was partially offset by strategic pricing decisions on contract rebids and proactive extensions, combined with managing contract escalation timing to maintain and expand certain customer accounts.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4040" w:type="dxa"/>
            <w:vAlign w:val="bottom"/>
            <w:gridSpan w:val="3"/>
          </w:tcPr>
          <w:p>
            <w:pPr>
              <w:ind w:left="20"/>
              <w:spacing w:after="0"/>
              <w:rPr>
                <w:sz w:val="20"/>
                <w:szCs w:val="20"/>
                <w:color w:val="auto"/>
              </w:rPr>
            </w:pPr>
            <w:r>
              <w:rPr>
                <w:rFonts w:ascii="Arial" w:cs="Arial" w:eastAsia="Arial" w:hAnsi="Arial"/>
                <w:sz w:val="17"/>
                <w:szCs w:val="17"/>
                <w:b w:val="1"/>
                <w:bCs w:val="1"/>
                <w:i w:val="1"/>
                <w:iCs w:val="1"/>
                <w:color w:val="0046AD"/>
              </w:rPr>
              <w:t>Manufacturing &amp; Distribution</w:t>
            </w:r>
          </w:p>
        </w:tc>
        <w:tc>
          <w:tcPr>
            <w:tcW w:w="400" w:type="dxa"/>
            <w:vAlign w:val="bottom"/>
          </w:tcPr>
          <w:p>
            <w:pPr>
              <w:spacing w:after="0"/>
              <w:rPr>
                <w:sz w:val="20"/>
                <w:szCs w:val="20"/>
                <w:color w:val="auto"/>
              </w:rPr>
            </w:pPr>
          </w:p>
        </w:tc>
        <w:tc>
          <w:tcPr>
            <w:tcW w:w="3360" w:type="dxa"/>
            <w:vAlign w:val="bottom"/>
            <w:gridSpan w:val="5"/>
            <w:vMerge w:val="restart"/>
          </w:tcPr>
          <w:p>
            <w:pPr>
              <w:ind w:left="460"/>
              <w:spacing w:after="0"/>
              <w:rPr>
                <w:sz w:val="20"/>
                <w:szCs w:val="20"/>
                <w:color w:val="auto"/>
              </w:rPr>
            </w:pPr>
            <w:r>
              <w:rPr>
                <w:rFonts w:ascii="Arial" w:cs="Arial" w:eastAsia="Arial" w:hAnsi="Arial"/>
                <w:sz w:val="17"/>
                <w:szCs w:val="17"/>
                <w:b w:val="1"/>
                <w:bCs w:val="1"/>
                <w:color w:val="auto"/>
              </w:rPr>
              <w:t>Year Ended October 31,</w:t>
            </w:r>
          </w:p>
        </w:tc>
        <w:tc>
          <w:tcPr>
            <w:tcW w:w="5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360" w:type="dxa"/>
            <w:vAlign w:val="bottom"/>
            <w:gridSpan w:val="5"/>
            <w:vMerge w:val="continue"/>
          </w:tcPr>
          <w:p>
            <w:pPr>
              <w:spacing w:after="0"/>
              <w:rPr>
                <w:sz w:val="17"/>
                <w:szCs w:val="17"/>
                <w:color w:val="auto"/>
              </w:rPr>
            </w:pPr>
          </w:p>
        </w:tc>
        <w:tc>
          <w:tcPr>
            <w:tcW w:w="500" w:type="dxa"/>
            <w:vAlign w:val="bottom"/>
          </w:tcPr>
          <w:p>
            <w:pPr>
              <w:spacing w:after="0"/>
              <w:rPr>
                <w:sz w:val="17"/>
                <w:szCs w:val="17"/>
                <w:color w:val="auto"/>
              </w:rPr>
            </w:pPr>
          </w:p>
        </w:tc>
        <w:tc>
          <w:tcPr>
            <w:tcW w:w="2920" w:type="dxa"/>
            <w:vAlign w:val="bottom"/>
            <w:gridSpan w:val="2"/>
            <w:vMerge w:val="restart"/>
          </w:tcPr>
          <w:p>
            <w:pPr>
              <w:jc w:val="right"/>
              <w:ind w:right="814"/>
              <w:spacing w:after="0"/>
              <w:rPr>
                <w:sz w:val="20"/>
                <w:szCs w:val="20"/>
                <w:color w:val="auto"/>
              </w:rPr>
            </w:pPr>
            <w:r>
              <w:rPr>
                <w:rFonts w:ascii="Arial" w:cs="Arial" w:eastAsia="Arial" w:hAnsi="Arial"/>
                <w:sz w:val="17"/>
                <w:szCs w:val="17"/>
                <w:b w:val="1"/>
                <w:bCs w:val="1"/>
                <w:color w:val="auto"/>
              </w:rPr>
              <w:t>Increase/(Decrease)</w:t>
            </w:r>
          </w:p>
        </w:tc>
        <w:tc>
          <w:tcPr>
            <w:tcW w:w="0" w:type="dxa"/>
            <w:vAlign w:val="bottom"/>
          </w:tcPr>
          <w:p>
            <w:pPr>
              <w:spacing w:after="0"/>
              <w:rPr>
                <w:sz w:val="1"/>
                <w:szCs w:val="1"/>
                <w:color w:val="auto"/>
              </w:rPr>
            </w:pPr>
          </w:p>
        </w:tc>
      </w:tr>
      <w:tr>
        <w:trPr>
          <w:trHeight w:val="160"/>
        </w:trPr>
        <w:tc>
          <w:tcPr>
            <w:tcW w:w="4040" w:type="dxa"/>
            <w:vAlign w:val="bottom"/>
            <w:gridSpan w:val="3"/>
          </w:tcPr>
          <w:p>
            <w:pPr>
              <w:ind w:left="20"/>
              <w:spacing w:after="0" w:line="148" w:lineRule="exact"/>
              <w:rPr>
                <w:sz w:val="20"/>
                <w:szCs w:val="20"/>
                <w:color w:val="auto"/>
              </w:rPr>
            </w:pPr>
            <w:r>
              <w:rPr>
                <w:rFonts w:ascii="Times New Roman" w:cs="Times New Roman" w:eastAsia="Times New Roman" w:hAnsi="Times New Roman"/>
                <w:sz w:val="14"/>
                <w:szCs w:val="14"/>
                <w:i w:val="1"/>
                <w:iCs w:val="1"/>
                <w:u w:val="single" w:color="auto"/>
                <w:color w:val="auto"/>
              </w:rPr>
              <w:t>(</w:t>
            </w:r>
            <w:r>
              <w:rPr>
                <w:rFonts w:ascii="Times New Roman" w:cs="Times New Roman" w:eastAsia="Times New Roman" w:hAnsi="Times New Roman"/>
                <w:sz w:val="14"/>
                <w:szCs w:val="14"/>
                <w:i w:val="1"/>
                <w:iCs w:val="1"/>
                <w:color w:val="auto"/>
              </w:rPr>
              <w:t>$ in millions)</w:t>
            </w:r>
          </w:p>
        </w:tc>
        <w:tc>
          <w:tcPr>
            <w:tcW w:w="40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tcPr>
          <w:p>
            <w:pPr>
              <w:jc w:val="right"/>
              <w:ind w:right="618"/>
              <w:spacing w:after="0" w:line="148" w:lineRule="exact"/>
              <w:rPr>
                <w:sz w:val="20"/>
                <w:szCs w:val="20"/>
                <w:color w:val="auto"/>
              </w:rPr>
            </w:pPr>
            <w:r>
              <w:rPr>
                <w:rFonts w:ascii="Arial" w:cs="Arial" w:eastAsia="Arial" w:hAnsi="Arial"/>
                <w:sz w:val="17"/>
                <w:szCs w:val="17"/>
                <w:b w:val="1"/>
                <w:bCs w:val="1"/>
                <w:color w:val="auto"/>
              </w:rPr>
              <w:t>2025</w:t>
            </w:r>
          </w:p>
        </w:tc>
        <w:tc>
          <w:tcPr>
            <w:tcW w:w="10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tcPr>
          <w:p>
            <w:pPr>
              <w:jc w:val="right"/>
              <w:ind w:right="618"/>
              <w:spacing w:after="0" w:line="148" w:lineRule="exact"/>
              <w:rPr>
                <w:sz w:val="20"/>
                <w:szCs w:val="20"/>
                <w:color w:val="auto"/>
              </w:rPr>
            </w:pPr>
            <w:r>
              <w:rPr>
                <w:rFonts w:ascii="Arial" w:cs="Arial" w:eastAsia="Arial" w:hAnsi="Arial"/>
                <w:sz w:val="17"/>
                <w:szCs w:val="17"/>
                <w:b w:val="1"/>
                <w:bCs w:val="1"/>
                <w:color w:val="auto"/>
              </w:rPr>
              <w:t>2024</w:t>
            </w: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9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2"/>
        </w:trPr>
        <w:tc>
          <w:tcPr>
            <w:tcW w:w="20" w:type="dxa"/>
            <w:vAlign w:val="bottom"/>
            <w:tcBorders>
              <w:bottom w:val="single" w:sz="8" w:color="DCE2EF"/>
            </w:tcBorders>
          </w:tcPr>
          <w:p>
            <w:pPr>
              <w:spacing w:after="0"/>
              <w:rPr>
                <w:sz w:val="2"/>
                <w:szCs w:val="2"/>
                <w:color w:val="auto"/>
              </w:rPr>
            </w:pPr>
          </w:p>
        </w:tc>
        <w:tc>
          <w:tcPr>
            <w:tcW w:w="780" w:type="dxa"/>
            <w:vAlign w:val="bottom"/>
            <w:tcBorders>
              <w:top w:val="single" w:sz="8" w:color="auto"/>
              <w:bottom w:val="single" w:sz="8" w:color="DCE2EF"/>
            </w:tcBorders>
          </w:tcPr>
          <w:p>
            <w:pPr>
              <w:spacing w:after="0"/>
              <w:rPr>
                <w:sz w:val="2"/>
                <w:szCs w:val="2"/>
                <w:color w:val="auto"/>
              </w:rPr>
            </w:pPr>
          </w:p>
        </w:tc>
        <w:tc>
          <w:tcPr>
            <w:tcW w:w="3240" w:type="dxa"/>
            <w:vAlign w:val="bottom"/>
            <w:tcBorders>
              <w:bottom w:val="single" w:sz="8" w:color="DCE2E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4040" w:type="dxa"/>
            <w:vAlign w:val="bottom"/>
            <w:gridSpan w:val="3"/>
            <w:shd w:val="clear" w:color="auto" w:fill="DCE2EF"/>
          </w:tcPr>
          <w:p>
            <w:pPr>
              <w:ind w:left="20"/>
              <w:spacing w:after="0"/>
              <w:rPr>
                <w:sz w:val="20"/>
                <w:szCs w:val="20"/>
                <w:color w:val="auto"/>
              </w:rPr>
            </w:pPr>
            <w:r>
              <w:rPr>
                <w:rFonts w:ascii="Arial" w:cs="Arial" w:eastAsia="Arial" w:hAnsi="Arial"/>
                <w:sz w:val="17"/>
                <w:szCs w:val="17"/>
                <w:color w:val="auto"/>
              </w:rPr>
              <w:t>Revenues</w:t>
            </w:r>
          </w:p>
        </w:tc>
        <w:tc>
          <w:tcPr>
            <w:tcW w:w="400" w:type="dxa"/>
            <w:vAlign w:val="bottom"/>
            <w:shd w:val="clear" w:color="auto" w:fill="DCE2EF"/>
          </w:tcPr>
          <w:p>
            <w:pPr>
              <w:jc w:val="right"/>
              <w:ind w:right="194"/>
              <w:spacing w:after="0"/>
              <w:rPr>
                <w:sz w:val="20"/>
                <w:szCs w:val="20"/>
                <w:color w:val="auto"/>
              </w:rPr>
            </w:pPr>
            <w:r>
              <w:rPr>
                <w:rFonts w:ascii="Arial" w:cs="Arial" w:eastAsia="Arial" w:hAnsi="Arial"/>
                <w:sz w:val="17"/>
                <w:szCs w:val="17"/>
                <w:color w:val="auto"/>
              </w:rPr>
              <w:t>$</w:t>
            </w:r>
          </w:p>
        </w:tc>
        <w:tc>
          <w:tcPr>
            <w:tcW w:w="1380" w:type="dxa"/>
            <w:vAlign w:val="bottom"/>
            <w:shd w:val="clear" w:color="auto" w:fill="DCE2EF"/>
          </w:tcPr>
          <w:p>
            <w:pPr>
              <w:jc w:val="right"/>
              <w:ind w:right="118"/>
              <w:spacing w:after="0"/>
              <w:rPr>
                <w:sz w:val="20"/>
                <w:szCs w:val="20"/>
                <w:color w:val="auto"/>
              </w:rPr>
            </w:pPr>
            <w:r>
              <w:rPr>
                <w:rFonts w:ascii="Arial" w:cs="Arial" w:eastAsia="Arial" w:hAnsi="Arial"/>
                <w:sz w:val="17"/>
                <w:szCs w:val="17"/>
                <w:color w:val="auto"/>
              </w:rPr>
              <w:t>1,618.6</w:t>
            </w:r>
          </w:p>
        </w:tc>
        <w:tc>
          <w:tcPr>
            <w:tcW w:w="100" w:type="dxa"/>
            <w:vAlign w:val="bottom"/>
            <w:shd w:val="clear" w:color="auto" w:fill="DCE2EF"/>
          </w:tcPr>
          <w:p>
            <w:pPr>
              <w:spacing w:after="0"/>
              <w:rPr>
                <w:sz w:val="18"/>
                <w:szCs w:val="18"/>
                <w:color w:val="auto"/>
              </w:rPr>
            </w:pPr>
          </w:p>
        </w:tc>
        <w:tc>
          <w:tcPr>
            <w:tcW w:w="400" w:type="dxa"/>
            <w:vAlign w:val="bottom"/>
            <w:shd w:val="clear" w:color="auto" w:fill="DCE2EF"/>
          </w:tcPr>
          <w:p>
            <w:pPr>
              <w:jc w:val="right"/>
              <w:ind w:right="194"/>
              <w:spacing w:after="0"/>
              <w:rPr>
                <w:sz w:val="20"/>
                <w:szCs w:val="20"/>
                <w:color w:val="auto"/>
              </w:rPr>
            </w:pPr>
            <w:r>
              <w:rPr>
                <w:rFonts w:ascii="Arial" w:cs="Arial" w:eastAsia="Arial" w:hAnsi="Arial"/>
                <w:sz w:val="17"/>
                <w:szCs w:val="17"/>
                <w:color w:val="auto"/>
              </w:rPr>
              <w:t>$</w:t>
            </w:r>
          </w:p>
        </w:tc>
        <w:tc>
          <w:tcPr>
            <w:tcW w:w="1380" w:type="dxa"/>
            <w:vAlign w:val="bottom"/>
            <w:shd w:val="clear" w:color="auto" w:fill="DCE2EF"/>
          </w:tcPr>
          <w:p>
            <w:pPr>
              <w:jc w:val="right"/>
              <w:ind w:right="98"/>
              <w:spacing w:after="0"/>
              <w:rPr>
                <w:sz w:val="20"/>
                <w:szCs w:val="20"/>
                <w:color w:val="auto"/>
              </w:rPr>
            </w:pPr>
            <w:r>
              <w:rPr>
                <w:rFonts w:ascii="Arial" w:cs="Arial" w:eastAsia="Arial" w:hAnsi="Arial"/>
                <w:sz w:val="17"/>
                <w:szCs w:val="17"/>
                <w:color w:val="auto"/>
              </w:rPr>
              <w:t>1,554.3</w:t>
            </w:r>
          </w:p>
        </w:tc>
        <w:tc>
          <w:tcPr>
            <w:tcW w:w="100" w:type="dxa"/>
            <w:vAlign w:val="bottom"/>
            <w:shd w:val="clear" w:color="auto" w:fill="DCE2EF"/>
          </w:tcPr>
          <w:p>
            <w:pPr>
              <w:spacing w:after="0"/>
              <w:rPr>
                <w:sz w:val="18"/>
                <w:szCs w:val="18"/>
                <w:color w:val="auto"/>
              </w:rPr>
            </w:pPr>
          </w:p>
        </w:tc>
        <w:tc>
          <w:tcPr>
            <w:tcW w:w="500" w:type="dxa"/>
            <w:vAlign w:val="bottom"/>
            <w:shd w:val="clear" w:color="auto" w:fill="DCE2EF"/>
          </w:tcPr>
          <w:p>
            <w:pPr>
              <w:jc w:val="right"/>
              <w:ind w:right="294"/>
              <w:spacing w:after="0"/>
              <w:rPr>
                <w:sz w:val="20"/>
                <w:szCs w:val="20"/>
                <w:color w:val="auto"/>
              </w:rPr>
            </w:pPr>
            <w:r>
              <w:rPr>
                <w:rFonts w:ascii="Arial" w:cs="Arial" w:eastAsia="Arial" w:hAnsi="Arial"/>
                <w:sz w:val="17"/>
                <w:szCs w:val="17"/>
                <w:color w:val="auto"/>
              </w:rPr>
              <w:t>$</w:t>
            </w:r>
          </w:p>
        </w:tc>
        <w:tc>
          <w:tcPr>
            <w:tcW w:w="1500" w:type="dxa"/>
            <w:vAlign w:val="bottom"/>
            <w:shd w:val="clear" w:color="auto" w:fill="DCE2EF"/>
          </w:tcPr>
          <w:p>
            <w:pPr>
              <w:jc w:val="right"/>
              <w:ind w:right="318"/>
              <w:spacing w:after="0"/>
              <w:rPr>
                <w:sz w:val="20"/>
                <w:szCs w:val="20"/>
                <w:color w:val="auto"/>
              </w:rPr>
            </w:pPr>
            <w:r>
              <w:rPr>
                <w:rFonts w:ascii="Arial" w:cs="Arial" w:eastAsia="Arial" w:hAnsi="Arial"/>
                <w:sz w:val="17"/>
                <w:szCs w:val="17"/>
                <w:color w:val="auto"/>
              </w:rPr>
              <w:t>64.3</w:t>
            </w:r>
          </w:p>
        </w:tc>
        <w:tc>
          <w:tcPr>
            <w:tcW w:w="1420" w:type="dxa"/>
            <w:vAlign w:val="bottom"/>
            <w:shd w:val="clear" w:color="auto" w:fill="DCE2EF"/>
          </w:tcPr>
          <w:p>
            <w:pPr>
              <w:jc w:val="right"/>
              <w:ind w:right="554"/>
              <w:spacing w:after="0"/>
              <w:rPr>
                <w:sz w:val="20"/>
                <w:szCs w:val="20"/>
                <w:color w:val="auto"/>
              </w:rPr>
            </w:pPr>
            <w:r>
              <w:rPr>
                <w:rFonts w:ascii="Arial" w:cs="Arial" w:eastAsia="Arial" w:hAnsi="Arial"/>
                <w:sz w:val="17"/>
                <w:szCs w:val="17"/>
                <w:color w:val="auto"/>
              </w:rPr>
              <w:t>4.1%</w:t>
            </w:r>
          </w:p>
        </w:tc>
        <w:tc>
          <w:tcPr>
            <w:tcW w:w="0" w:type="dxa"/>
            <w:vAlign w:val="bottom"/>
          </w:tcPr>
          <w:p>
            <w:pPr>
              <w:spacing w:after="0"/>
              <w:rPr>
                <w:sz w:val="1"/>
                <w:szCs w:val="1"/>
                <w:color w:val="auto"/>
              </w:rPr>
            </w:pPr>
          </w:p>
        </w:tc>
      </w:tr>
      <w:tr>
        <w:trPr>
          <w:trHeight w:val="219"/>
        </w:trPr>
        <w:tc>
          <w:tcPr>
            <w:tcW w:w="4040" w:type="dxa"/>
            <w:vAlign w:val="bottom"/>
            <w:gridSpan w:val="3"/>
          </w:tcPr>
          <w:p>
            <w:pPr>
              <w:ind w:left="20"/>
              <w:spacing w:after="0"/>
              <w:rPr>
                <w:sz w:val="20"/>
                <w:szCs w:val="20"/>
                <w:color w:val="auto"/>
              </w:rPr>
            </w:pPr>
            <w:r>
              <w:rPr>
                <w:rFonts w:ascii="Arial" w:cs="Arial" w:eastAsia="Arial" w:hAnsi="Arial"/>
                <w:sz w:val="17"/>
                <w:szCs w:val="17"/>
                <w:color w:val="auto"/>
              </w:rPr>
              <w:t>Operating profit</w:t>
            </w:r>
          </w:p>
        </w:tc>
        <w:tc>
          <w:tcPr>
            <w:tcW w:w="400" w:type="dxa"/>
            <w:vAlign w:val="bottom"/>
          </w:tcPr>
          <w:p>
            <w:pPr>
              <w:spacing w:after="0"/>
              <w:rPr>
                <w:sz w:val="19"/>
                <w:szCs w:val="19"/>
                <w:color w:val="auto"/>
              </w:rPr>
            </w:pPr>
          </w:p>
        </w:tc>
        <w:tc>
          <w:tcPr>
            <w:tcW w:w="1380" w:type="dxa"/>
            <w:vAlign w:val="bottom"/>
          </w:tcPr>
          <w:p>
            <w:pPr>
              <w:jc w:val="right"/>
              <w:ind w:right="118"/>
              <w:spacing w:after="0"/>
              <w:rPr>
                <w:sz w:val="20"/>
                <w:szCs w:val="20"/>
                <w:color w:val="auto"/>
              </w:rPr>
            </w:pPr>
            <w:r>
              <w:rPr>
                <w:rFonts w:ascii="Arial" w:cs="Arial" w:eastAsia="Arial" w:hAnsi="Arial"/>
                <w:sz w:val="17"/>
                <w:szCs w:val="17"/>
                <w:color w:val="auto"/>
              </w:rPr>
              <w:t>151.4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jc w:val="right"/>
              <w:ind w:right="98"/>
              <w:spacing w:after="0"/>
              <w:rPr>
                <w:sz w:val="20"/>
                <w:szCs w:val="20"/>
                <w:color w:val="auto"/>
              </w:rPr>
            </w:pPr>
            <w:r>
              <w:rPr>
                <w:rFonts w:ascii="Arial" w:cs="Arial" w:eastAsia="Arial" w:hAnsi="Arial"/>
                <w:sz w:val="17"/>
                <w:szCs w:val="17"/>
                <w:color w:val="auto"/>
              </w:rPr>
              <w:t>166.3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500" w:type="dxa"/>
            <w:vAlign w:val="bottom"/>
          </w:tcPr>
          <w:p>
            <w:pPr>
              <w:jc w:val="right"/>
              <w:ind w:right="278"/>
              <w:spacing w:after="0"/>
              <w:rPr>
                <w:sz w:val="20"/>
                <w:szCs w:val="20"/>
                <w:color w:val="auto"/>
              </w:rPr>
            </w:pPr>
            <w:r>
              <w:rPr>
                <w:rFonts w:ascii="Arial" w:cs="Arial" w:eastAsia="Arial" w:hAnsi="Arial"/>
                <w:sz w:val="17"/>
                <w:szCs w:val="17"/>
                <w:color w:val="auto"/>
              </w:rPr>
              <w:t>(14.9)</w:t>
            </w:r>
          </w:p>
        </w:tc>
        <w:tc>
          <w:tcPr>
            <w:tcW w:w="1420" w:type="dxa"/>
            <w:vAlign w:val="bottom"/>
          </w:tcPr>
          <w:p>
            <w:pPr>
              <w:jc w:val="right"/>
              <w:ind w:right="494"/>
              <w:spacing w:after="0"/>
              <w:rPr>
                <w:sz w:val="20"/>
                <w:szCs w:val="20"/>
                <w:color w:val="auto"/>
              </w:rPr>
            </w:pPr>
            <w:r>
              <w:rPr>
                <w:rFonts w:ascii="Arial" w:cs="Arial" w:eastAsia="Arial" w:hAnsi="Arial"/>
                <w:sz w:val="17"/>
                <w:szCs w:val="17"/>
                <w:color w:val="auto"/>
              </w:rPr>
              <w:t>(8.9)%</w:t>
            </w:r>
          </w:p>
        </w:tc>
        <w:tc>
          <w:tcPr>
            <w:tcW w:w="0" w:type="dxa"/>
            <w:vAlign w:val="bottom"/>
          </w:tcPr>
          <w:p>
            <w:pPr>
              <w:spacing w:after="0"/>
              <w:rPr>
                <w:sz w:val="1"/>
                <w:szCs w:val="1"/>
                <w:color w:val="auto"/>
              </w:rPr>
            </w:pPr>
          </w:p>
        </w:tc>
      </w:tr>
      <w:tr>
        <w:trPr>
          <w:trHeight w:val="193"/>
        </w:trPr>
        <w:tc>
          <w:tcPr>
            <w:tcW w:w="20" w:type="dxa"/>
            <w:vAlign w:val="bottom"/>
            <w:shd w:val="clear" w:color="auto" w:fill="DCE2EF"/>
          </w:tcPr>
          <w:p>
            <w:pPr>
              <w:spacing w:after="0"/>
              <w:rPr>
                <w:sz w:val="16"/>
                <w:szCs w:val="16"/>
                <w:color w:val="auto"/>
              </w:rPr>
            </w:pPr>
          </w:p>
        </w:tc>
        <w:tc>
          <w:tcPr>
            <w:tcW w:w="4020" w:type="dxa"/>
            <w:vAlign w:val="bottom"/>
            <w:gridSpan w:val="2"/>
            <w:shd w:val="clear" w:color="auto" w:fill="DCE2EF"/>
          </w:tcPr>
          <w:p>
            <w:pPr>
              <w:ind w:left="120"/>
              <w:spacing w:after="0"/>
              <w:rPr>
                <w:sz w:val="20"/>
                <w:szCs w:val="20"/>
                <w:color w:val="auto"/>
              </w:rPr>
            </w:pPr>
            <w:r>
              <w:rPr>
                <w:rFonts w:ascii="Arial" w:cs="Arial" w:eastAsia="Arial" w:hAnsi="Arial"/>
                <w:sz w:val="14"/>
                <w:szCs w:val="14"/>
                <w:i w:val="1"/>
                <w:iCs w:val="1"/>
                <w:color w:val="auto"/>
              </w:rPr>
              <w:t>Operating profit margin</w:t>
            </w:r>
          </w:p>
        </w:tc>
        <w:tc>
          <w:tcPr>
            <w:tcW w:w="400" w:type="dxa"/>
            <w:vAlign w:val="bottom"/>
            <w:shd w:val="clear" w:color="auto" w:fill="DCE2EF"/>
          </w:tcPr>
          <w:p>
            <w:pPr>
              <w:spacing w:after="0"/>
              <w:rPr>
                <w:sz w:val="16"/>
                <w:szCs w:val="16"/>
                <w:color w:val="auto"/>
              </w:rPr>
            </w:pPr>
          </w:p>
        </w:tc>
        <w:tc>
          <w:tcPr>
            <w:tcW w:w="138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9.4 %</w:t>
            </w:r>
          </w:p>
        </w:tc>
        <w:tc>
          <w:tcPr>
            <w:tcW w:w="100" w:type="dxa"/>
            <w:vAlign w:val="bottom"/>
            <w:shd w:val="clear" w:color="auto" w:fill="DCE2EF"/>
          </w:tcPr>
          <w:p>
            <w:pPr>
              <w:spacing w:after="0"/>
              <w:rPr>
                <w:sz w:val="16"/>
                <w:szCs w:val="16"/>
                <w:color w:val="auto"/>
              </w:rPr>
            </w:pPr>
          </w:p>
        </w:tc>
        <w:tc>
          <w:tcPr>
            <w:tcW w:w="400" w:type="dxa"/>
            <w:vAlign w:val="bottom"/>
            <w:shd w:val="clear" w:color="auto" w:fill="DCE2EF"/>
          </w:tcPr>
          <w:p>
            <w:pPr>
              <w:spacing w:after="0"/>
              <w:rPr>
                <w:sz w:val="16"/>
                <w:szCs w:val="16"/>
                <w:color w:val="auto"/>
              </w:rPr>
            </w:pPr>
          </w:p>
        </w:tc>
        <w:tc>
          <w:tcPr>
            <w:tcW w:w="138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10.7%</w:t>
            </w:r>
          </w:p>
        </w:tc>
        <w:tc>
          <w:tcPr>
            <w:tcW w:w="100" w:type="dxa"/>
            <w:vAlign w:val="bottom"/>
            <w:shd w:val="clear" w:color="auto" w:fill="DCE2EF"/>
          </w:tcPr>
          <w:p>
            <w:pPr>
              <w:spacing w:after="0"/>
              <w:rPr>
                <w:sz w:val="16"/>
                <w:szCs w:val="16"/>
                <w:color w:val="auto"/>
              </w:rPr>
            </w:pPr>
          </w:p>
        </w:tc>
        <w:tc>
          <w:tcPr>
            <w:tcW w:w="500" w:type="dxa"/>
            <w:vAlign w:val="bottom"/>
            <w:shd w:val="clear" w:color="auto" w:fill="DCE2EF"/>
          </w:tcPr>
          <w:p>
            <w:pPr>
              <w:spacing w:after="0"/>
              <w:rPr>
                <w:sz w:val="16"/>
                <w:szCs w:val="16"/>
                <w:color w:val="auto"/>
              </w:rPr>
            </w:pPr>
          </w:p>
        </w:tc>
        <w:tc>
          <w:tcPr>
            <w:tcW w:w="1500" w:type="dxa"/>
            <w:vAlign w:val="bottom"/>
            <w:shd w:val="clear" w:color="auto" w:fill="DCE2EF"/>
          </w:tcPr>
          <w:p>
            <w:pPr>
              <w:ind w:left="560"/>
              <w:spacing w:after="0"/>
              <w:rPr>
                <w:sz w:val="20"/>
                <w:szCs w:val="20"/>
                <w:color w:val="auto"/>
              </w:rPr>
            </w:pPr>
            <w:r>
              <w:rPr>
                <w:rFonts w:ascii="Arial" w:cs="Arial" w:eastAsia="Arial" w:hAnsi="Arial"/>
                <w:sz w:val="14"/>
                <w:szCs w:val="14"/>
                <w:i w:val="1"/>
                <w:iCs w:val="1"/>
                <w:color w:val="auto"/>
              </w:rPr>
              <w:t>(134) bps</w:t>
            </w:r>
          </w:p>
        </w:tc>
        <w:tc>
          <w:tcPr>
            <w:tcW w:w="1420" w:type="dxa"/>
            <w:vAlign w:val="bottom"/>
            <w:shd w:val="clear" w:color="auto" w:fill="DCE2EF"/>
          </w:tcPr>
          <w:p>
            <w:pPr>
              <w:spacing w:after="0"/>
              <w:rPr>
                <w:sz w:val="16"/>
                <w:szCs w:val="16"/>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7"/>
          <w:szCs w:val="17"/>
          <w:color w:val="auto"/>
        </w:rPr>
        <w:t>M&amp;D revenues increased by $64.3 million, or 4.1%, to $1,618.6 million during 2025, as compared to 2024. The increase was primarily attributable to the expansion of business with existing clients and new business wins, including strategic pricing decisions for select new wins. This was partially offset by the loss of a certain customer in the first quarter of 2025.</w:t>
      </w:r>
    </w:p>
    <w:p>
      <w:pPr>
        <w:spacing w:after="0" w:line="111"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7"/>
          <w:szCs w:val="17"/>
          <w:color w:val="auto"/>
        </w:rPr>
        <w:t>Operating profit decreased by $14.9 million, or 8.9%, to $151.4 million during 2025, as compared to 2024. Operating profit margin decreased by 134 bps to 9.4% in 2025 from 10.7% in 2024. The decrease in operating profit margin was primarily attributable to strategic pricing for select new wins and additional investments made in the second half of 2025 to hire certain technical expertise to support future growth.</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4040" w:type="dxa"/>
            <w:vAlign w:val="bottom"/>
            <w:gridSpan w:val="3"/>
          </w:tcPr>
          <w:p>
            <w:pPr>
              <w:ind w:left="20"/>
              <w:spacing w:after="0"/>
              <w:rPr>
                <w:sz w:val="20"/>
                <w:szCs w:val="20"/>
                <w:color w:val="auto"/>
              </w:rPr>
            </w:pPr>
            <w:r>
              <w:rPr>
                <w:rFonts w:ascii="Arial" w:cs="Arial" w:eastAsia="Arial" w:hAnsi="Arial"/>
                <w:sz w:val="17"/>
                <w:szCs w:val="17"/>
                <w:b w:val="1"/>
                <w:bCs w:val="1"/>
                <w:i w:val="1"/>
                <w:iCs w:val="1"/>
                <w:color w:val="0046AD"/>
              </w:rPr>
              <w:t>Aviation</w:t>
            </w:r>
          </w:p>
        </w:tc>
        <w:tc>
          <w:tcPr>
            <w:tcW w:w="400" w:type="dxa"/>
            <w:vAlign w:val="bottom"/>
          </w:tcPr>
          <w:p>
            <w:pPr>
              <w:spacing w:after="0"/>
              <w:rPr>
                <w:sz w:val="20"/>
                <w:szCs w:val="20"/>
                <w:color w:val="auto"/>
              </w:rPr>
            </w:pPr>
          </w:p>
        </w:tc>
        <w:tc>
          <w:tcPr>
            <w:tcW w:w="3360" w:type="dxa"/>
            <w:vAlign w:val="bottom"/>
            <w:gridSpan w:val="5"/>
            <w:vMerge w:val="restart"/>
          </w:tcPr>
          <w:p>
            <w:pPr>
              <w:ind w:left="460"/>
              <w:spacing w:after="0"/>
              <w:rPr>
                <w:sz w:val="20"/>
                <w:szCs w:val="20"/>
                <w:color w:val="auto"/>
              </w:rPr>
            </w:pPr>
            <w:r>
              <w:rPr>
                <w:rFonts w:ascii="Arial" w:cs="Arial" w:eastAsia="Arial" w:hAnsi="Arial"/>
                <w:sz w:val="17"/>
                <w:szCs w:val="17"/>
                <w:b w:val="1"/>
                <w:bCs w:val="1"/>
                <w:color w:val="auto"/>
              </w:rPr>
              <w:t>Year Ended October 31,</w:t>
            </w:r>
          </w:p>
        </w:tc>
        <w:tc>
          <w:tcPr>
            <w:tcW w:w="6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360" w:type="dxa"/>
            <w:vAlign w:val="bottom"/>
            <w:gridSpan w:val="5"/>
            <w:vMerge w:val="continue"/>
          </w:tcPr>
          <w:p>
            <w:pPr>
              <w:spacing w:after="0"/>
              <w:rPr>
                <w:sz w:val="17"/>
                <w:szCs w:val="17"/>
                <w:color w:val="auto"/>
              </w:rPr>
            </w:pPr>
          </w:p>
        </w:tc>
        <w:tc>
          <w:tcPr>
            <w:tcW w:w="680" w:type="dxa"/>
            <w:vAlign w:val="bottom"/>
          </w:tcPr>
          <w:p>
            <w:pPr>
              <w:spacing w:after="0"/>
              <w:rPr>
                <w:sz w:val="17"/>
                <w:szCs w:val="17"/>
                <w:color w:val="auto"/>
              </w:rPr>
            </w:pPr>
          </w:p>
        </w:tc>
        <w:tc>
          <w:tcPr>
            <w:tcW w:w="1520" w:type="dxa"/>
            <w:vAlign w:val="bottom"/>
            <w:vMerge w:val="restart"/>
          </w:tcPr>
          <w:p>
            <w:pPr>
              <w:jc w:val="right"/>
              <w:ind w:right="58"/>
              <w:spacing w:after="0"/>
              <w:rPr>
                <w:sz w:val="20"/>
                <w:szCs w:val="20"/>
                <w:color w:val="auto"/>
              </w:rPr>
            </w:pPr>
            <w:r>
              <w:rPr>
                <w:rFonts w:ascii="Arial" w:cs="Arial" w:eastAsia="Arial" w:hAnsi="Arial"/>
                <w:sz w:val="17"/>
                <w:szCs w:val="17"/>
                <w:b w:val="1"/>
                <w:bCs w:val="1"/>
                <w:color w:val="auto"/>
              </w:rPr>
              <w:t>Increase</w:t>
            </w: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4040" w:type="dxa"/>
            <w:vAlign w:val="bottom"/>
            <w:gridSpan w:val="3"/>
          </w:tcPr>
          <w:p>
            <w:pPr>
              <w:ind w:left="20"/>
              <w:spacing w:after="0" w:line="148" w:lineRule="exact"/>
              <w:rPr>
                <w:sz w:val="20"/>
                <w:szCs w:val="20"/>
                <w:color w:val="auto"/>
              </w:rPr>
            </w:pPr>
            <w:r>
              <w:rPr>
                <w:rFonts w:ascii="Times New Roman" w:cs="Times New Roman" w:eastAsia="Times New Roman" w:hAnsi="Times New Roman"/>
                <w:sz w:val="14"/>
                <w:szCs w:val="14"/>
                <w:i w:val="1"/>
                <w:iCs w:val="1"/>
                <w:u w:val="single" w:color="auto"/>
                <w:color w:val="auto"/>
              </w:rPr>
              <w:t>(</w:t>
            </w:r>
            <w:r>
              <w:rPr>
                <w:rFonts w:ascii="Times New Roman" w:cs="Times New Roman" w:eastAsia="Times New Roman" w:hAnsi="Times New Roman"/>
                <w:sz w:val="14"/>
                <w:szCs w:val="14"/>
                <w:i w:val="1"/>
                <w:iCs w:val="1"/>
                <w:color w:val="auto"/>
              </w:rPr>
              <w:t>$ in millions)</w:t>
            </w:r>
          </w:p>
        </w:tc>
        <w:tc>
          <w:tcPr>
            <w:tcW w:w="40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tcPr>
          <w:p>
            <w:pPr>
              <w:jc w:val="right"/>
              <w:ind w:right="618"/>
              <w:spacing w:after="0" w:line="148" w:lineRule="exact"/>
              <w:rPr>
                <w:sz w:val="20"/>
                <w:szCs w:val="20"/>
                <w:color w:val="auto"/>
              </w:rPr>
            </w:pPr>
            <w:r>
              <w:rPr>
                <w:rFonts w:ascii="Arial" w:cs="Arial" w:eastAsia="Arial" w:hAnsi="Arial"/>
                <w:sz w:val="17"/>
                <w:szCs w:val="17"/>
                <w:b w:val="1"/>
                <w:bCs w:val="1"/>
                <w:color w:val="auto"/>
              </w:rPr>
              <w:t>2025</w:t>
            </w:r>
          </w:p>
        </w:tc>
        <w:tc>
          <w:tcPr>
            <w:tcW w:w="10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tcPr>
          <w:p>
            <w:pPr>
              <w:jc w:val="right"/>
              <w:ind w:right="618"/>
              <w:spacing w:after="0" w:line="148" w:lineRule="exact"/>
              <w:rPr>
                <w:sz w:val="20"/>
                <w:szCs w:val="20"/>
                <w:color w:val="auto"/>
              </w:rPr>
            </w:pPr>
            <w:r>
              <w:rPr>
                <w:rFonts w:ascii="Arial" w:cs="Arial" w:eastAsia="Arial" w:hAnsi="Arial"/>
                <w:sz w:val="17"/>
                <w:szCs w:val="17"/>
                <w:b w:val="1"/>
                <w:bCs w:val="1"/>
                <w:color w:val="auto"/>
              </w:rPr>
              <w:t>2024</w:t>
            </w: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520" w:type="dxa"/>
            <w:vAlign w:val="bottom"/>
            <w:vMerge w:val="continue"/>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2"/>
        </w:trPr>
        <w:tc>
          <w:tcPr>
            <w:tcW w:w="20" w:type="dxa"/>
            <w:vAlign w:val="bottom"/>
            <w:tcBorders>
              <w:bottom w:val="single" w:sz="8" w:color="DCE2EF"/>
            </w:tcBorders>
          </w:tcPr>
          <w:p>
            <w:pPr>
              <w:spacing w:after="0"/>
              <w:rPr>
                <w:sz w:val="2"/>
                <w:szCs w:val="2"/>
                <w:color w:val="auto"/>
              </w:rPr>
            </w:pPr>
          </w:p>
        </w:tc>
        <w:tc>
          <w:tcPr>
            <w:tcW w:w="780" w:type="dxa"/>
            <w:vAlign w:val="bottom"/>
            <w:tcBorders>
              <w:top w:val="single" w:sz="8" w:color="auto"/>
              <w:bottom w:val="single" w:sz="8" w:color="DCE2EF"/>
            </w:tcBorders>
          </w:tcPr>
          <w:p>
            <w:pPr>
              <w:spacing w:after="0"/>
              <w:rPr>
                <w:sz w:val="2"/>
                <w:szCs w:val="2"/>
                <w:color w:val="auto"/>
              </w:rPr>
            </w:pPr>
          </w:p>
        </w:tc>
        <w:tc>
          <w:tcPr>
            <w:tcW w:w="3240" w:type="dxa"/>
            <w:vAlign w:val="bottom"/>
            <w:tcBorders>
              <w:bottom w:val="single" w:sz="8" w:color="DCE2E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4040" w:type="dxa"/>
            <w:vAlign w:val="bottom"/>
            <w:gridSpan w:val="3"/>
            <w:shd w:val="clear" w:color="auto" w:fill="DCE2EF"/>
          </w:tcPr>
          <w:p>
            <w:pPr>
              <w:ind w:left="20"/>
              <w:spacing w:after="0"/>
              <w:rPr>
                <w:sz w:val="20"/>
                <w:szCs w:val="20"/>
                <w:color w:val="auto"/>
              </w:rPr>
            </w:pPr>
            <w:r>
              <w:rPr>
                <w:rFonts w:ascii="Arial" w:cs="Arial" w:eastAsia="Arial" w:hAnsi="Arial"/>
                <w:sz w:val="17"/>
                <w:szCs w:val="17"/>
                <w:color w:val="auto"/>
              </w:rPr>
              <w:t>Revenues</w:t>
            </w:r>
          </w:p>
        </w:tc>
        <w:tc>
          <w:tcPr>
            <w:tcW w:w="400" w:type="dxa"/>
            <w:vAlign w:val="bottom"/>
            <w:shd w:val="clear" w:color="auto" w:fill="DCE2EF"/>
          </w:tcPr>
          <w:p>
            <w:pPr>
              <w:jc w:val="right"/>
              <w:ind w:right="194"/>
              <w:spacing w:after="0"/>
              <w:rPr>
                <w:sz w:val="20"/>
                <w:szCs w:val="20"/>
                <w:color w:val="auto"/>
              </w:rPr>
            </w:pPr>
            <w:r>
              <w:rPr>
                <w:rFonts w:ascii="Arial" w:cs="Arial" w:eastAsia="Arial" w:hAnsi="Arial"/>
                <w:sz w:val="17"/>
                <w:szCs w:val="17"/>
                <w:color w:val="auto"/>
              </w:rPr>
              <w:t>$</w:t>
            </w:r>
          </w:p>
        </w:tc>
        <w:tc>
          <w:tcPr>
            <w:tcW w:w="1380" w:type="dxa"/>
            <w:vAlign w:val="bottom"/>
            <w:shd w:val="clear" w:color="auto" w:fill="DCE2EF"/>
          </w:tcPr>
          <w:p>
            <w:pPr>
              <w:jc w:val="right"/>
              <w:ind w:right="118"/>
              <w:spacing w:after="0"/>
              <w:rPr>
                <w:sz w:val="20"/>
                <w:szCs w:val="20"/>
                <w:color w:val="auto"/>
              </w:rPr>
            </w:pPr>
            <w:r>
              <w:rPr>
                <w:rFonts w:ascii="Arial" w:cs="Arial" w:eastAsia="Arial" w:hAnsi="Arial"/>
                <w:sz w:val="17"/>
                <w:szCs w:val="17"/>
                <w:color w:val="auto"/>
              </w:rPr>
              <w:t>1,118.7</w:t>
            </w:r>
          </w:p>
        </w:tc>
        <w:tc>
          <w:tcPr>
            <w:tcW w:w="100" w:type="dxa"/>
            <w:vAlign w:val="bottom"/>
            <w:shd w:val="clear" w:color="auto" w:fill="DCE2EF"/>
          </w:tcPr>
          <w:p>
            <w:pPr>
              <w:spacing w:after="0"/>
              <w:rPr>
                <w:sz w:val="18"/>
                <w:szCs w:val="18"/>
                <w:color w:val="auto"/>
              </w:rPr>
            </w:pPr>
          </w:p>
        </w:tc>
        <w:tc>
          <w:tcPr>
            <w:tcW w:w="400" w:type="dxa"/>
            <w:vAlign w:val="bottom"/>
            <w:shd w:val="clear" w:color="auto" w:fill="DCE2EF"/>
          </w:tcPr>
          <w:p>
            <w:pPr>
              <w:jc w:val="right"/>
              <w:ind w:right="194"/>
              <w:spacing w:after="0"/>
              <w:rPr>
                <w:sz w:val="20"/>
                <w:szCs w:val="20"/>
                <w:color w:val="auto"/>
              </w:rPr>
            </w:pPr>
            <w:r>
              <w:rPr>
                <w:rFonts w:ascii="Arial" w:cs="Arial" w:eastAsia="Arial" w:hAnsi="Arial"/>
                <w:sz w:val="17"/>
                <w:szCs w:val="17"/>
                <w:color w:val="auto"/>
              </w:rPr>
              <w:t>$</w:t>
            </w:r>
          </w:p>
        </w:tc>
        <w:tc>
          <w:tcPr>
            <w:tcW w:w="1380" w:type="dxa"/>
            <w:vAlign w:val="bottom"/>
            <w:shd w:val="clear" w:color="auto" w:fill="DCE2EF"/>
          </w:tcPr>
          <w:p>
            <w:pPr>
              <w:jc w:val="right"/>
              <w:ind w:right="98"/>
              <w:spacing w:after="0"/>
              <w:rPr>
                <w:sz w:val="20"/>
                <w:szCs w:val="20"/>
                <w:color w:val="auto"/>
              </w:rPr>
            </w:pPr>
            <w:r>
              <w:rPr>
                <w:rFonts w:ascii="Arial" w:cs="Arial" w:eastAsia="Arial" w:hAnsi="Arial"/>
                <w:sz w:val="17"/>
                <w:szCs w:val="17"/>
                <w:color w:val="auto"/>
              </w:rPr>
              <w:t>1,032.6</w:t>
            </w:r>
          </w:p>
        </w:tc>
        <w:tc>
          <w:tcPr>
            <w:tcW w:w="100" w:type="dxa"/>
            <w:vAlign w:val="bottom"/>
            <w:shd w:val="clear" w:color="auto" w:fill="DCE2EF"/>
          </w:tcPr>
          <w:p>
            <w:pPr>
              <w:spacing w:after="0"/>
              <w:rPr>
                <w:sz w:val="18"/>
                <w:szCs w:val="18"/>
                <w:color w:val="auto"/>
              </w:rPr>
            </w:pPr>
          </w:p>
        </w:tc>
        <w:tc>
          <w:tcPr>
            <w:tcW w:w="680" w:type="dxa"/>
            <w:vAlign w:val="bottom"/>
            <w:shd w:val="clear" w:color="auto" w:fill="DCE2EF"/>
          </w:tcPr>
          <w:p>
            <w:pPr>
              <w:jc w:val="right"/>
              <w:ind w:right="474"/>
              <w:spacing w:after="0"/>
              <w:rPr>
                <w:sz w:val="20"/>
                <w:szCs w:val="20"/>
                <w:color w:val="auto"/>
              </w:rPr>
            </w:pPr>
            <w:r>
              <w:rPr>
                <w:rFonts w:ascii="Arial" w:cs="Arial" w:eastAsia="Arial" w:hAnsi="Arial"/>
                <w:sz w:val="17"/>
                <w:szCs w:val="17"/>
                <w:color w:val="auto"/>
              </w:rPr>
              <w:t>$</w:t>
            </w:r>
          </w:p>
        </w:tc>
        <w:tc>
          <w:tcPr>
            <w:tcW w:w="1520" w:type="dxa"/>
            <w:vAlign w:val="bottom"/>
            <w:shd w:val="clear" w:color="auto" w:fill="DCE2EF"/>
          </w:tcPr>
          <w:p>
            <w:pPr>
              <w:jc w:val="right"/>
              <w:ind w:right="518"/>
              <w:spacing w:after="0"/>
              <w:rPr>
                <w:sz w:val="20"/>
                <w:szCs w:val="20"/>
                <w:color w:val="auto"/>
              </w:rPr>
            </w:pPr>
            <w:r>
              <w:rPr>
                <w:rFonts w:ascii="Arial" w:cs="Arial" w:eastAsia="Arial" w:hAnsi="Arial"/>
                <w:sz w:val="17"/>
                <w:szCs w:val="17"/>
                <w:color w:val="auto"/>
              </w:rPr>
              <w:t>86.1</w:t>
            </w:r>
          </w:p>
        </w:tc>
        <w:tc>
          <w:tcPr>
            <w:tcW w:w="1220" w:type="dxa"/>
            <w:vAlign w:val="bottom"/>
            <w:shd w:val="clear" w:color="auto" w:fill="DCE2EF"/>
          </w:tcPr>
          <w:p>
            <w:pPr>
              <w:jc w:val="right"/>
              <w:ind w:right="554"/>
              <w:spacing w:after="0"/>
              <w:rPr>
                <w:sz w:val="20"/>
                <w:szCs w:val="20"/>
                <w:color w:val="auto"/>
              </w:rPr>
            </w:pPr>
            <w:r>
              <w:rPr>
                <w:rFonts w:ascii="Arial" w:cs="Arial" w:eastAsia="Arial" w:hAnsi="Arial"/>
                <w:sz w:val="17"/>
                <w:szCs w:val="17"/>
                <w:color w:val="auto"/>
              </w:rPr>
              <w:t>8.3%</w:t>
            </w:r>
          </w:p>
        </w:tc>
        <w:tc>
          <w:tcPr>
            <w:tcW w:w="0" w:type="dxa"/>
            <w:vAlign w:val="bottom"/>
          </w:tcPr>
          <w:p>
            <w:pPr>
              <w:spacing w:after="0"/>
              <w:rPr>
                <w:sz w:val="1"/>
                <w:szCs w:val="1"/>
                <w:color w:val="auto"/>
              </w:rPr>
            </w:pPr>
          </w:p>
        </w:tc>
      </w:tr>
      <w:tr>
        <w:trPr>
          <w:trHeight w:val="219"/>
        </w:trPr>
        <w:tc>
          <w:tcPr>
            <w:tcW w:w="4040" w:type="dxa"/>
            <w:vAlign w:val="bottom"/>
            <w:gridSpan w:val="3"/>
          </w:tcPr>
          <w:p>
            <w:pPr>
              <w:ind w:left="20"/>
              <w:spacing w:after="0"/>
              <w:rPr>
                <w:sz w:val="20"/>
                <w:szCs w:val="20"/>
                <w:color w:val="auto"/>
              </w:rPr>
            </w:pPr>
            <w:r>
              <w:rPr>
                <w:rFonts w:ascii="Arial" w:cs="Arial" w:eastAsia="Arial" w:hAnsi="Arial"/>
                <w:sz w:val="17"/>
                <w:szCs w:val="17"/>
                <w:color w:val="auto"/>
              </w:rPr>
              <w:t>Operating profit</w:t>
            </w:r>
          </w:p>
        </w:tc>
        <w:tc>
          <w:tcPr>
            <w:tcW w:w="400" w:type="dxa"/>
            <w:vAlign w:val="bottom"/>
          </w:tcPr>
          <w:p>
            <w:pPr>
              <w:spacing w:after="0"/>
              <w:rPr>
                <w:sz w:val="19"/>
                <w:szCs w:val="19"/>
                <w:color w:val="auto"/>
              </w:rPr>
            </w:pPr>
          </w:p>
        </w:tc>
        <w:tc>
          <w:tcPr>
            <w:tcW w:w="1380" w:type="dxa"/>
            <w:vAlign w:val="bottom"/>
          </w:tcPr>
          <w:p>
            <w:pPr>
              <w:jc w:val="right"/>
              <w:ind w:right="118"/>
              <w:spacing w:after="0"/>
              <w:rPr>
                <w:sz w:val="20"/>
                <w:szCs w:val="20"/>
                <w:color w:val="auto"/>
              </w:rPr>
            </w:pPr>
            <w:r>
              <w:rPr>
                <w:rFonts w:ascii="Arial" w:cs="Arial" w:eastAsia="Arial" w:hAnsi="Arial"/>
                <w:sz w:val="17"/>
                <w:szCs w:val="17"/>
                <w:color w:val="auto"/>
              </w:rPr>
              <w:t>65.2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jc w:val="right"/>
              <w:ind w:right="98"/>
              <w:spacing w:after="0"/>
              <w:rPr>
                <w:sz w:val="20"/>
                <w:szCs w:val="20"/>
                <w:color w:val="auto"/>
              </w:rPr>
            </w:pPr>
            <w:r>
              <w:rPr>
                <w:rFonts w:ascii="Arial" w:cs="Arial" w:eastAsia="Arial" w:hAnsi="Arial"/>
                <w:sz w:val="17"/>
                <w:szCs w:val="17"/>
                <w:color w:val="auto"/>
              </w:rPr>
              <w:t>59.1</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520" w:type="dxa"/>
            <w:vAlign w:val="bottom"/>
          </w:tcPr>
          <w:p>
            <w:pPr>
              <w:jc w:val="right"/>
              <w:ind w:right="518"/>
              <w:spacing w:after="0"/>
              <w:rPr>
                <w:sz w:val="20"/>
                <w:szCs w:val="20"/>
                <w:color w:val="auto"/>
              </w:rPr>
            </w:pPr>
            <w:r>
              <w:rPr>
                <w:rFonts w:ascii="Arial" w:cs="Arial" w:eastAsia="Arial" w:hAnsi="Arial"/>
                <w:sz w:val="17"/>
                <w:szCs w:val="17"/>
                <w:color w:val="auto"/>
              </w:rPr>
              <w:t>6.1</w:t>
            </w:r>
          </w:p>
        </w:tc>
        <w:tc>
          <w:tcPr>
            <w:tcW w:w="1220" w:type="dxa"/>
            <w:vAlign w:val="bottom"/>
          </w:tcPr>
          <w:p>
            <w:pPr>
              <w:jc w:val="right"/>
              <w:ind w:right="494"/>
              <w:spacing w:after="0"/>
              <w:rPr>
                <w:sz w:val="20"/>
                <w:szCs w:val="20"/>
                <w:color w:val="auto"/>
              </w:rPr>
            </w:pPr>
            <w:r>
              <w:rPr>
                <w:rFonts w:ascii="Arial" w:cs="Arial" w:eastAsia="Arial" w:hAnsi="Arial"/>
                <w:sz w:val="17"/>
                <w:szCs w:val="17"/>
                <w:color w:val="auto"/>
              </w:rPr>
              <w:t>10.3%</w:t>
            </w:r>
          </w:p>
        </w:tc>
        <w:tc>
          <w:tcPr>
            <w:tcW w:w="0" w:type="dxa"/>
            <w:vAlign w:val="bottom"/>
          </w:tcPr>
          <w:p>
            <w:pPr>
              <w:spacing w:after="0"/>
              <w:rPr>
                <w:sz w:val="1"/>
                <w:szCs w:val="1"/>
                <w:color w:val="auto"/>
              </w:rPr>
            </w:pPr>
          </w:p>
        </w:tc>
      </w:tr>
      <w:tr>
        <w:trPr>
          <w:trHeight w:val="193"/>
        </w:trPr>
        <w:tc>
          <w:tcPr>
            <w:tcW w:w="20" w:type="dxa"/>
            <w:vAlign w:val="bottom"/>
            <w:shd w:val="clear" w:color="auto" w:fill="DCE2EF"/>
          </w:tcPr>
          <w:p>
            <w:pPr>
              <w:spacing w:after="0"/>
              <w:rPr>
                <w:sz w:val="16"/>
                <w:szCs w:val="16"/>
                <w:color w:val="auto"/>
              </w:rPr>
            </w:pPr>
          </w:p>
        </w:tc>
        <w:tc>
          <w:tcPr>
            <w:tcW w:w="4020" w:type="dxa"/>
            <w:vAlign w:val="bottom"/>
            <w:gridSpan w:val="2"/>
            <w:shd w:val="clear" w:color="auto" w:fill="DCE2EF"/>
          </w:tcPr>
          <w:p>
            <w:pPr>
              <w:ind w:left="120"/>
              <w:spacing w:after="0"/>
              <w:rPr>
                <w:sz w:val="20"/>
                <w:szCs w:val="20"/>
                <w:color w:val="auto"/>
              </w:rPr>
            </w:pPr>
            <w:r>
              <w:rPr>
                <w:rFonts w:ascii="Arial" w:cs="Arial" w:eastAsia="Arial" w:hAnsi="Arial"/>
                <w:sz w:val="14"/>
                <w:szCs w:val="14"/>
                <w:i w:val="1"/>
                <w:iCs w:val="1"/>
                <w:color w:val="auto"/>
              </w:rPr>
              <w:t>Operating profit margin</w:t>
            </w:r>
          </w:p>
        </w:tc>
        <w:tc>
          <w:tcPr>
            <w:tcW w:w="400" w:type="dxa"/>
            <w:vAlign w:val="bottom"/>
            <w:shd w:val="clear" w:color="auto" w:fill="DCE2EF"/>
          </w:tcPr>
          <w:p>
            <w:pPr>
              <w:spacing w:after="0"/>
              <w:rPr>
                <w:sz w:val="16"/>
                <w:szCs w:val="16"/>
                <w:color w:val="auto"/>
              </w:rPr>
            </w:pPr>
          </w:p>
        </w:tc>
        <w:tc>
          <w:tcPr>
            <w:tcW w:w="138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5.8%</w:t>
            </w:r>
          </w:p>
        </w:tc>
        <w:tc>
          <w:tcPr>
            <w:tcW w:w="100" w:type="dxa"/>
            <w:vAlign w:val="bottom"/>
            <w:shd w:val="clear" w:color="auto" w:fill="DCE2EF"/>
          </w:tcPr>
          <w:p>
            <w:pPr>
              <w:spacing w:after="0"/>
              <w:rPr>
                <w:sz w:val="16"/>
                <w:szCs w:val="16"/>
                <w:color w:val="auto"/>
              </w:rPr>
            </w:pPr>
          </w:p>
        </w:tc>
        <w:tc>
          <w:tcPr>
            <w:tcW w:w="400" w:type="dxa"/>
            <w:vAlign w:val="bottom"/>
            <w:shd w:val="clear" w:color="auto" w:fill="DCE2EF"/>
          </w:tcPr>
          <w:p>
            <w:pPr>
              <w:spacing w:after="0"/>
              <w:rPr>
                <w:sz w:val="16"/>
                <w:szCs w:val="16"/>
                <w:color w:val="auto"/>
              </w:rPr>
            </w:pPr>
          </w:p>
        </w:tc>
        <w:tc>
          <w:tcPr>
            <w:tcW w:w="138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5.7 %</w:t>
            </w:r>
          </w:p>
        </w:tc>
        <w:tc>
          <w:tcPr>
            <w:tcW w:w="100" w:type="dxa"/>
            <w:vAlign w:val="bottom"/>
            <w:shd w:val="clear" w:color="auto" w:fill="DCE2EF"/>
          </w:tcPr>
          <w:p>
            <w:pPr>
              <w:spacing w:after="0"/>
              <w:rPr>
                <w:sz w:val="16"/>
                <w:szCs w:val="16"/>
                <w:color w:val="auto"/>
              </w:rPr>
            </w:pPr>
          </w:p>
        </w:tc>
        <w:tc>
          <w:tcPr>
            <w:tcW w:w="680" w:type="dxa"/>
            <w:vAlign w:val="bottom"/>
            <w:shd w:val="clear" w:color="auto" w:fill="DCE2EF"/>
          </w:tcPr>
          <w:p>
            <w:pPr>
              <w:spacing w:after="0"/>
              <w:rPr>
                <w:sz w:val="16"/>
                <w:szCs w:val="16"/>
                <w:color w:val="auto"/>
              </w:rPr>
            </w:pPr>
          </w:p>
        </w:tc>
        <w:tc>
          <w:tcPr>
            <w:tcW w:w="1520" w:type="dxa"/>
            <w:vAlign w:val="bottom"/>
            <w:shd w:val="clear" w:color="auto" w:fill="DCE2EF"/>
          </w:tcPr>
          <w:p>
            <w:pPr>
              <w:jc w:val="right"/>
              <w:ind w:right="478"/>
              <w:spacing w:after="0"/>
              <w:rPr>
                <w:sz w:val="20"/>
                <w:szCs w:val="20"/>
                <w:color w:val="auto"/>
              </w:rPr>
            </w:pPr>
            <w:r>
              <w:rPr>
                <w:rFonts w:ascii="Arial" w:cs="Arial" w:eastAsia="Arial" w:hAnsi="Arial"/>
                <w:sz w:val="14"/>
                <w:szCs w:val="14"/>
                <w:i w:val="1"/>
                <w:iCs w:val="1"/>
                <w:color w:val="auto"/>
              </w:rPr>
              <w:t>10 bps</w:t>
            </w:r>
          </w:p>
        </w:tc>
        <w:tc>
          <w:tcPr>
            <w:tcW w:w="1220" w:type="dxa"/>
            <w:vAlign w:val="bottom"/>
            <w:shd w:val="clear" w:color="auto" w:fill="DCE2EF"/>
          </w:tcPr>
          <w:p>
            <w:pPr>
              <w:spacing w:after="0"/>
              <w:rPr>
                <w:sz w:val="16"/>
                <w:szCs w:val="16"/>
                <w:color w:val="auto"/>
              </w:rPr>
            </w:pPr>
          </w:p>
        </w:tc>
        <w:tc>
          <w:tcPr>
            <w:tcW w:w="0" w:type="dxa"/>
            <w:vAlign w:val="bottom"/>
          </w:tcPr>
          <w:p>
            <w:pPr>
              <w:spacing w:after="0"/>
              <w:rPr>
                <w:sz w:val="1"/>
                <w:szCs w:val="1"/>
                <w:color w:val="auto"/>
              </w:rPr>
            </w:pPr>
          </w:p>
        </w:tc>
      </w:tr>
    </w:tbl>
    <w:p>
      <w:pPr>
        <w:spacing w:after="0" w:line="280"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7"/>
          <w:szCs w:val="17"/>
          <w:color w:val="auto"/>
        </w:rPr>
        <w:t>Aviation revenues increased by $86.1 million, or 8.3% to $1,118.7 million, during 2025, as compared to 2024. The increase was primarily attributable to new business and scope expansions with the existing clients as well as an increase in travel volume. Management reimbursement revenues for this segment totaled $50.2 million and $36.3 million during 2025 and 2024, respectively.</w:t>
      </w:r>
    </w:p>
    <w:p>
      <w:pPr>
        <w:spacing w:after="0" w:line="163"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7"/>
          <w:szCs w:val="17"/>
          <w:color w:val="auto"/>
        </w:rPr>
        <w:t>Operating profit increased by $6.1 million, or 10.3%, to $ 65.2 million during 2025, as compared to 2024. Operating profit margin increased by 10 bps to 5.8% in 2025, from 5.7% in 2024. The increase in operating profit margin was primarily attributable to operational efficiencies, particularly in managing overhead costs.</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36"/>
        </w:trPr>
        <w:tc>
          <w:tcPr>
            <w:tcW w:w="4020" w:type="dxa"/>
            <w:vAlign w:val="bottom"/>
            <w:gridSpan w:val="3"/>
          </w:tcPr>
          <w:p>
            <w:pPr>
              <w:ind w:left="20"/>
              <w:spacing w:after="0"/>
              <w:rPr>
                <w:sz w:val="20"/>
                <w:szCs w:val="20"/>
                <w:color w:val="auto"/>
              </w:rPr>
            </w:pPr>
            <w:r>
              <w:rPr>
                <w:rFonts w:ascii="Arial" w:cs="Arial" w:eastAsia="Arial" w:hAnsi="Arial"/>
                <w:sz w:val="17"/>
                <w:szCs w:val="17"/>
                <w:b w:val="1"/>
                <w:bCs w:val="1"/>
                <w:i w:val="1"/>
                <w:iCs w:val="1"/>
                <w:color w:val="0046AD"/>
              </w:rPr>
              <w:t>Education</w:t>
            </w:r>
          </w:p>
        </w:tc>
        <w:tc>
          <w:tcPr>
            <w:tcW w:w="400" w:type="dxa"/>
            <w:vAlign w:val="bottom"/>
          </w:tcPr>
          <w:p>
            <w:pPr>
              <w:spacing w:after="0"/>
              <w:rPr>
                <w:sz w:val="20"/>
                <w:szCs w:val="20"/>
                <w:color w:val="auto"/>
              </w:rPr>
            </w:pPr>
          </w:p>
        </w:tc>
        <w:tc>
          <w:tcPr>
            <w:tcW w:w="3340" w:type="dxa"/>
            <w:vAlign w:val="bottom"/>
            <w:gridSpan w:val="5"/>
            <w:vMerge w:val="restart"/>
          </w:tcPr>
          <w:p>
            <w:pPr>
              <w:ind w:left="460"/>
              <w:spacing w:after="0"/>
              <w:rPr>
                <w:sz w:val="20"/>
                <w:szCs w:val="20"/>
                <w:color w:val="auto"/>
              </w:rPr>
            </w:pPr>
            <w:r>
              <w:rPr>
                <w:rFonts w:ascii="Arial" w:cs="Arial" w:eastAsia="Arial" w:hAnsi="Arial"/>
                <w:sz w:val="17"/>
                <w:szCs w:val="17"/>
                <w:b w:val="1"/>
                <w:bCs w:val="1"/>
                <w:color w:val="auto"/>
              </w:rPr>
              <w:t>Year Ended October 31,</w:t>
            </w:r>
          </w:p>
        </w:tc>
        <w:tc>
          <w:tcPr>
            <w:tcW w:w="6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340" w:type="dxa"/>
            <w:vAlign w:val="bottom"/>
            <w:gridSpan w:val="5"/>
            <w:vMerge w:val="continue"/>
          </w:tcPr>
          <w:p>
            <w:pPr>
              <w:spacing w:after="0"/>
              <w:rPr>
                <w:sz w:val="17"/>
                <w:szCs w:val="17"/>
                <w:color w:val="auto"/>
              </w:rPr>
            </w:pPr>
          </w:p>
        </w:tc>
        <w:tc>
          <w:tcPr>
            <w:tcW w:w="640" w:type="dxa"/>
            <w:vAlign w:val="bottom"/>
          </w:tcPr>
          <w:p>
            <w:pPr>
              <w:spacing w:after="0"/>
              <w:rPr>
                <w:sz w:val="17"/>
                <w:szCs w:val="17"/>
                <w:color w:val="auto"/>
              </w:rPr>
            </w:pPr>
          </w:p>
        </w:tc>
        <w:tc>
          <w:tcPr>
            <w:tcW w:w="1560" w:type="dxa"/>
            <w:vAlign w:val="bottom"/>
            <w:vMerge w:val="restart"/>
          </w:tcPr>
          <w:p>
            <w:pPr>
              <w:ind w:left="720"/>
              <w:spacing w:after="0"/>
              <w:rPr>
                <w:sz w:val="20"/>
                <w:szCs w:val="20"/>
                <w:color w:val="auto"/>
              </w:rPr>
            </w:pPr>
            <w:r>
              <w:rPr>
                <w:rFonts w:ascii="Arial" w:cs="Arial" w:eastAsia="Arial" w:hAnsi="Arial"/>
                <w:sz w:val="17"/>
                <w:szCs w:val="17"/>
                <w:b w:val="1"/>
                <w:bCs w:val="1"/>
                <w:color w:val="auto"/>
              </w:rPr>
              <w:t>Increase</w:t>
            </w: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4020" w:type="dxa"/>
            <w:vAlign w:val="bottom"/>
            <w:gridSpan w:val="3"/>
          </w:tcPr>
          <w:p>
            <w:pPr>
              <w:ind w:left="20"/>
              <w:spacing w:after="0" w:line="148" w:lineRule="exact"/>
              <w:rPr>
                <w:sz w:val="20"/>
                <w:szCs w:val="20"/>
                <w:color w:val="auto"/>
              </w:rPr>
            </w:pPr>
            <w:r>
              <w:rPr>
                <w:rFonts w:ascii="Times New Roman" w:cs="Times New Roman" w:eastAsia="Times New Roman" w:hAnsi="Times New Roman"/>
                <w:sz w:val="14"/>
                <w:szCs w:val="14"/>
                <w:i w:val="1"/>
                <w:iCs w:val="1"/>
                <w:u w:val="single" w:color="auto"/>
                <w:color w:val="auto"/>
              </w:rPr>
              <w:t>(</w:t>
            </w:r>
            <w:r>
              <w:rPr>
                <w:rFonts w:ascii="Times New Roman" w:cs="Times New Roman" w:eastAsia="Times New Roman" w:hAnsi="Times New Roman"/>
                <w:sz w:val="14"/>
                <w:szCs w:val="14"/>
                <w:i w:val="1"/>
                <w:iCs w:val="1"/>
                <w:color w:val="auto"/>
              </w:rPr>
              <w:t>$ in millions)</w:t>
            </w:r>
          </w:p>
        </w:tc>
        <w:tc>
          <w:tcPr>
            <w:tcW w:w="40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tcPr>
          <w:p>
            <w:pPr>
              <w:jc w:val="right"/>
              <w:ind w:right="598"/>
              <w:spacing w:after="0" w:line="148" w:lineRule="exact"/>
              <w:rPr>
                <w:sz w:val="20"/>
                <w:szCs w:val="20"/>
                <w:color w:val="auto"/>
              </w:rPr>
            </w:pPr>
            <w:r>
              <w:rPr>
                <w:rFonts w:ascii="Arial" w:cs="Arial" w:eastAsia="Arial" w:hAnsi="Arial"/>
                <w:sz w:val="17"/>
                <w:szCs w:val="17"/>
                <w:b w:val="1"/>
                <w:bCs w:val="1"/>
                <w:color w:val="auto"/>
              </w:rPr>
              <w:t>2025</w:t>
            </w:r>
          </w:p>
        </w:tc>
        <w:tc>
          <w:tcPr>
            <w:tcW w:w="10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tcPr>
          <w:p>
            <w:pPr>
              <w:jc w:val="right"/>
              <w:ind w:right="618"/>
              <w:spacing w:after="0" w:line="148" w:lineRule="exact"/>
              <w:rPr>
                <w:sz w:val="20"/>
                <w:szCs w:val="20"/>
                <w:color w:val="auto"/>
              </w:rPr>
            </w:pPr>
            <w:r>
              <w:rPr>
                <w:rFonts w:ascii="Arial" w:cs="Arial" w:eastAsia="Arial" w:hAnsi="Arial"/>
                <w:sz w:val="17"/>
                <w:szCs w:val="17"/>
                <w:b w:val="1"/>
                <w:bCs w:val="1"/>
                <w:color w:val="auto"/>
              </w:rPr>
              <w:t>2024</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560" w:type="dxa"/>
            <w:vAlign w:val="bottom"/>
            <w:vMerge w:val="continue"/>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2"/>
        </w:trPr>
        <w:tc>
          <w:tcPr>
            <w:tcW w:w="20" w:type="dxa"/>
            <w:vAlign w:val="bottom"/>
            <w:tcBorders>
              <w:bottom w:val="single" w:sz="8" w:color="DCE2EF"/>
            </w:tcBorders>
          </w:tcPr>
          <w:p>
            <w:pPr>
              <w:spacing w:after="0"/>
              <w:rPr>
                <w:sz w:val="2"/>
                <w:szCs w:val="2"/>
                <w:color w:val="auto"/>
              </w:rPr>
            </w:pPr>
          </w:p>
        </w:tc>
        <w:tc>
          <w:tcPr>
            <w:tcW w:w="780" w:type="dxa"/>
            <w:vAlign w:val="bottom"/>
            <w:tcBorders>
              <w:top w:val="single" w:sz="8" w:color="auto"/>
              <w:bottom w:val="single" w:sz="8" w:color="DCE2EF"/>
            </w:tcBorders>
          </w:tcPr>
          <w:p>
            <w:pPr>
              <w:spacing w:after="0"/>
              <w:rPr>
                <w:sz w:val="2"/>
                <w:szCs w:val="2"/>
                <w:color w:val="auto"/>
              </w:rPr>
            </w:pPr>
          </w:p>
        </w:tc>
        <w:tc>
          <w:tcPr>
            <w:tcW w:w="3220" w:type="dxa"/>
            <w:vAlign w:val="bottom"/>
            <w:tcBorders>
              <w:bottom w:val="single" w:sz="8" w:color="DCE2E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4020" w:type="dxa"/>
            <w:vAlign w:val="bottom"/>
            <w:gridSpan w:val="3"/>
            <w:shd w:val="clear" w:color="auto" w:fill="DCE2EF"/>
          </w:tcPr>
          <w:p>
            <w:pPr>
              <w:ind w:left="20"/>
              <w:spacing w:after="0"/>
              <w:rPr>
                <w:sz w:val="20"/>
                <w:szCs w:val="20"/>
                <w:color w:val="auto"/>
              </w:rPr>
            </w:pPr>
            <w:r>
              <w:rPr>
                <w:rFonts w:ascii="Arial" w:cs="Arial" w:eastAsia="Arial" w:hAnsi="Arial"/>
                <w:sz w:val="17"/>
                <w:szCs w:val="17"/>
                <w:color w:val="auto"/>
              </w:rPr>
              <w:t>Revenues</w:t>
            </w:r>
          </w:p>
        </w:tc>
        <w:tc>
          <w:tcPr>
            <w:tcW w:w="400" w:type="dxa"/>
            <w:vAlign w:val="bottom"/>
            <w:shd w:val="clear" w:color="auto" w:fill="DCE2EF"/>
          </w:tcPr>
          <w:p>
            <w:pPr>
              <w:jc w:val="right"/>
              <w:ind w:right="194"/>
              <w:spacing w:after="0"/>
              <w:rPr>
                <w:sz w:val="20"/>
                <w:szCs w:val="20"/>
                <w:color w:val="auto"/>
              </w:rPr>
            </w:pPr>
            <w:r>
              <w:rPr>
                <w:rFonts w:ascii="Arial" w:cs="Arial" w:eastAsia="Arial" w:hAnsi="Arial"/>
                <w:sz w:val="17"/>
                <w:szCs w:val="17"/>
                <w:color w:val="auto"/>
              </w:rPr>
              <w:t>$</w:t>
            </w:r>
          </w:p>
        </w:tc>
        <w:tc>
          <w:tcPr>
            <w:tcW w:w="1360" w:type="dxa"/>
            <w:vAlign w:val="bottom"/>
            <w:shd w:val="clear" w:color="auto" w:fill="DCE2EF"/>
          </w:tcPr>
          <w:p>
            <w:pPr>
              <w:jc w:val="right"/>
              <w:ind w:right="118"/>
              <w:spacing w:after="0"/>
              <w:rPr>
                <w:sz w:val="20"/>
                <w:szCs w:val="20"/>
                <w:color w:val="auto"/>
              </w:rPr>
            </w:pPr>
            <w:r>
              <w:rPr>
                <w:rFonts w:ascii="Arial" w:cs="Arial" w:eastAsia="Arial" w:hAnsi="Arial"/>
                <w:sz w:val="17"/>
                <w:szCs w:val="17"/>
                <w:color w:val="auto"/>
              </w:rPr>
              <w:t>922.0</w:t>
            </w:r>
          </w:p>
        </w:tc>
        <w:tc>
          <w:tcPr>
            <w:tcW w:w="100" w:type="dxa"/>
            <w:vAlign w:val="bottom"/>
            <w:shd w:val="clear" w:color="auto" w:fill="DCE2EF"/>
          </w:tcPr>
          <w:p>
            <w:pPr>
              <w:spacing w:after="0"/>
              <w:rPr>
                <w:sz w:val="18"/>
                <w:szCs w:val="18"/>
                <w:color w:val="auto"/>
              </w:rPr>
            </w:pPr>
          </w:p>
        </w:tc>
        <w:tc>
          <w:tcPr>
            <w:tcW w:w="400" w:type="dxa"/>
            <w:vAlign w:val="bottom"/>
            <w:shd w:val="clear" w:color="auto" w:fill="DCE2EF"/>
          </w:tcPr>
          <w:p>
            <w:pPr>
              <w:jc w:val="right"/>
              <w:ind w:right="194"/>
              <w:spacing w:after="0"/>
              <w:rPr>
                <w:sz w:val="20"/>
                <w:szCs w:val="20"/>
                <w:color w:val="auto"/>
              </w:rPr>
            </w:pPr>
            <w:r>
              <w:rPr>
                <w:rFonts w:ascii="Arial" w:cs="Arial" w:eastAsia="Arial" w:hAnsi="Arial"/>
                <w:sz w:val="17"/>
                <w:szCs w:val="17"/>
                <w:color w:val="auto"/>
              </w:rPr>
              <w:t>$</w:t>
            </w:r>
          </w:p>
        </w:tc>
        <w:tc>
          <w:tcPr>
            <w:tcW w:w="1380" w:type="dxa"/>
            <w:vAlign w:val="bottom"/>
            <w:shd w:val="clear" w:color="auto" w:fill="DCE2EF"/>
          </w:tcPr>
          <w:p>
            <w:pPr>
              <w:jc w:val="right"/>
              <w:ind w:right="98"/>
              <w:spacing w:after="0"/>
              <w:rPr>
                <w:sz w:val="20"/>
                <w:szCs w:val="20"/>
                <w:color w:val="auto"/>
              </w:rPr>
            </w:pPr>
            <w:r>
              <w:rPr>
                <w:rFonts w:ascii="Arial" w:cs="Arial" w:eastAsia="Arial" w:hAnsi="Arial"/>
                <w:sz w:val="17"/>
                <w:szCs w:val="17"/>
                <w:color w:val="auto"/>
              </w:rPr>
              <w:t>904.0</w:t>
            </w:r>
          </w:p>
        </w:tc>
        <w:tc>
          <w:tcPr>
            <w:tcW w:w="100" w:type="dxa"/>
            <w:vAlign w:val="bottom"/>
            <w:shd w:val="clear" w:color="auto" w:fill="DCE2EF"/>
          </w:tcPr>
          <w:p>
            <w:pPr>
              <w:spacing w:after="0"/>
              <w:rPr>
                <w:sz w:val="18"/>
                <w:szCs w:val="18"/>
                <w:color w:val="auto"/>
              </w:rPr>
            </w:pPr>
          </w:p>
        </w:tc>
        <w:tc>
          <w:tcPr>
            <w:tcW w:w="640" w:type="dxa"/>
            <w:vAlign w:val="bottom"/>
            <w:shd w:val="clear" w:color="auto" w:fill="DCE2EF"/>
          </w:tcPr>
          <w:p>
            <w:pPr>
              <w:jc w:val="right"/>
              <w:ind w:right="434"/>
              <w:spacing w:after="0"/>
              <w:rPr>
                <w:sz w:val="20"/>
                <w:szCs w:val="20"/>
                <w:color w:val="auto"/>
              </w:rPr>
            </w:pPr>
            <w:r>
              <w:rPr>
                <w:rFonts w:ascii="Arial" w:cs="Arial" w:eastAsia="Arial" w:hAnsi="Arial"/>
                <w:sz w:val="17"/>
                <w:szCs w:val="17"/>
                <w:color w:val="auto"/>
              </w:rPr>
              <w:t>$</w:t>
            </w:r>
          </w:p>
        </w:tc>
        <w:tc>
          <w:tcPr>
            <w:tcW w:w="1560" w:type="dxa"/>
            <w:vAlign w:val="bottom"/>
            <w:shd w:val="clear" w:color="auto" w:fill="DCE2EF"/>
          </w:tcPr>
          <w:p>
            <w:pPr>
              <w:jc w:val="center"/>
              <w:spacing w:after="0"/>
              <w:rPr>
                <w:sz w:val="20"/>
                <w:szCs w:val="20"/>
                <w:color w:val="auto"/>
              </w:rPr>
            </w:pPr>
            <w:r>
              <w:rPr>
                <w:rFonts w:ascii="Arial" w:cs="Arial" w:eastAsia="Arial" w:hAnsi="Arial"/>
                <w:sz w:val="17"/>
                <w:szCs w:val="17"/>
                <w:color w:val="auto"/>
              </w:rPr>
              <w:t>18.0</w:t>
            </w:r>
          </w:p>
        </w:tc>
        <w:tc>
          <w:tcPr>
            <w:tcW w:w="1200" w:type="dxa"/>
            <w:vAlign w:val="bottom"/>
            <w:shd w:val="clear" w:color="auto" w:fill="DCE2EF"/>
          </w:tcPr>
          <w:p>
            <w:pPr>
              <w:jc w:val="right"/>
              <w:ind w:right="534"/>
              <w:spacing w:after="0"/>
              <w:rPr>
                <w:sz w:val="20"/>
                <w:szCs w:val="20"/>
                <w:color w:val="auto"/>
              </w:rPr>
            </w:pPr>
            <w:r>
              <w:rPr>
                <w:rFonts w:ascii="Arial" w:cs="Arial" w:eastAsia="Arial" w:hAnsi="Arial"/>
                <w:sz w:val="17"/>
                <w:szCs w:val="17"/>
                <w:color w:val="auto"/>
              </w:rPr>
              <w:t>2.0%</w:t>
            </w:r>
          </w:p>
        </w:tc>
        <w:tc>
          <w:tcPr>
            <w:tcW w:w="0" w:type="dxa"/>
            <w:vAlign w:val="bottom"/>
          </w:tcPr>
          <w:p>
            <w:pPr>
              <w:spacing w:after="0"/>
              <w:rPr>
                <w:sz w:val="1"/>
                <w:szCs w:val="1"/>
                <w:color w:val="auto"/>
              </w:rPr>
            </w:pPr>
          </w:p>
        </w:tc>
      </w:tr>
      <w:tr>
        <w:trPr>
          <w:trHeight w:val="219"/>
        </w:trPr>
        <w:tc>
          <w:tcPr>
            <w:tcW w:w="4020" w:type="dxa"/>
            <w:vAlign w:val="bottom"/>
            <w:gridSpan w:val="3"/>
          </w:tcPr>
          <w:p>
            <w:pPr>
              <w:ind w:left="20"/>
              <w:spacing w:after="0"/>
              <w:rPr>
                <w:sz w:val="20"/>
                <w:szCs w:val="20"/>
                <w:color w:val="auto"/>
              </w:rPr>
            </w:pPr>
            <w:r>
              <w:rPr>
                <w:rFonts w:ascii="Arial" w:cs="Arial" w:eastAsia="Arial" w:hAnsi="Arial"/>
                <w:sz w:val="17"/>
                <w:szCs w:val="17"/>
                <w:color w:val="auto"/>
              </w:rPr>
              <w:t>Operating profit</w:t>
            </w:r>
          </w:p>
        </w:tc>
        <w:tc>
          <w:tcPr>
            <w:tcW w:w="400" w:type="dxa"/>
            <w:vAlign w:val="bottom"/>
          </w:tcPr>
          <w:p>
            <w:pPr>
              <w:spacing w:after="0"/>
              <w:rPr>
                <w:sz w:val="19"/>
                <w:szCs w:val="19"/>
                <w:color w:val="auto"/>
              </w:rPr>
            </w:pPr>
          </w:p>
        </w:tc>
        <w:tc>
          <w:tcPr>
            <w:tcW w:w="1360" w:type="dxa"/>
            <w:vAlign w:val="bottom"/>
          </w:tcPr>
          <w:p>
            <w:pPr>
              <w:jc w:val="right"/>
              <w:ind w:right="118"/>
              <w:spacing w:after="0"/>
              <w:rPr>
                <w:sz w:val="20"/>
                <w:szCs w:val="20"/>
                <w:color w:val="auto"/>
              </w:rPr>
            </w:pPr>
            <w:r>
              <w:rPr>
                <w:rFonts w:ascii="Arial" w:cs="Arial" w:eastAsia="Arial" w:hAnsi="Arial"/>
                <w:sz w:val="17"/>
                <w:szCs w:val="17"/>
                <w:color w:val="auto"/>
              </w:rPr>
              <w:t>67.7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jc w:val="right"/>
              <w:ind w:right="98"/>
              <w:spacing w:after="0"/>
              <w:rPr>
                <w:sz w:val="20"/>
                <w:szCs w:val="20"/>
                <w:color w:val="auto"/>
              </w:rPr>
            </w:pPr>
            <w:r>
              <w:rPr>
                <w:rFonts w:ascii="Arial" w:cs="Arial" w:eastAsia="Arial" w:hAnsi="Arial"/>
                <w:sz w:val="17"/>
                <w:szCs w:val="17"/>
                <w:color w:val="auto"/>
              </w:rPr>
              <w:t>55.3</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Arial" w:cs="Arial" w:eastAsia="Arial" w:hAnsi="Arial"/>
                <w:sz w:val="17"/>
                <w:szCs w:val="17"/>
                <w:color w:val="auto"/>
              </w:rPr>
              <w:t>12.4</w:t>
            </w:r>
          </w:p>
        </w:tc>
        <w:tc>
          <w:tcPr>
            <w:tcW w:w="1200" w:type="dxa"/>
            <w:vAlign w:val="bottom"/>
          </w:tcPr>
          <w:p>
            <w:pPr>
              <w:jc w:val="right"/>
              <w:ind w:right="494"/>
              <w:spacing w:after="0"/>
              <w:rPr>
                <w:sz w:val="20"/>
                <w:szCs w:val="20"/>
                <w:color w:val="auto"/>
              </w:rPr>
            </w:pPr>
            <w:r>
              <w:rPr>
                <w:rFonts w:ascii="Arial" w:cs="Arial" w:eastAsia="Arial" w:hAnsi="Arial"/>
                <w:sz w:val="17"/>
                <w:szCs w:val="17"/>
                <w:color w:val="auto"/>
              </w:rPr>
              <w:t>22.2%</w:t>
            </w:r>
          </w:p>
        </w:tc>
        <w:tc>
          <w:tcPr>
            <w:tcW w:w="0" w:type="dxa"/>
            <w:vAlign w:val="bottom"/>
          </w:tcPr>
          <w:p>
            <w:pPr>
              <w:spacing w:after="0"/>
              <w:rPr>
                <w:sz w:val="1"/>
                <w:szCs w:val="1"/>
                <w:color w:val="auto"/>
              </w:rPr>
            </w:pPr>
          </w:p>
        </w:tc>
      </w:tr>
      <w:tr>
        <w:trPr>
          <w:trHeight w:val="193"/>
        </w:trPr>
        <w:tc>
          <w:tcPr>
            <w:tcW w:w="20" w:type="dxa"/>
            <w:vAlign w:val="bottom"/>
            <w:shd w:val="clear" w:color="auto" w:fill="DCE2EF"/>
          </w:tcPr>
          <w:p>
            <w:pPr>
              <w:spacing w:after="0"/>
              <w:rPr>
                <w:sz w:val="16"/>
                <w:szCs w:val="16"/>
                <w:color w:val="auto"/>
              </w:rPr>
            </w:pPr>
          </w:p>
        </w:tc>
        <w:tc>
          <w:tcPr>
            <w:tcW w:w="4000" w:type="dxa"/>
            <w:vAlign w:val="bottom"/>
            <w:gridSpan w:val="2"/>
            <w:shd w:val="clear" w:color="auto" w:fill="DCE2EF"/>
          </w:tcPr>
          <w:p>
            <w:pPr>
              <w:ind w:left="120"/>
              <w:spacing w:after="0"/>
              <w:rPr>
                <w:sz w:val="20"/>
                <w:szCs w:val="20"/>
                <w:color w:val="auto"/>
              </w:rPr>
            </w:pPr>
            <w:r>
              <w:rPr>
                <w:rFonts w:ascii="Arial" w:cs="Arial" w:eastAsia="Arial" w:hAnsi="Arial"/>
                <w:sz w:val="14"/>
                <w:szCs w:val="14"/>
                <w:i w:val="1"/>
                <w:iCs w:val="1"/>
                <w:color w:val="auto"/>
              </w:rPr>
              <w:t>Operating profit margin</w:t>
            </w:r>
          </w:p>
        </w:tc>
        <w:tc>
          <w:tcPr>
            <w:tcW w:w="400" w:type="dxa"/>
            <w:vAlign w:val="bottom"/>
            <w:shd w:val="clear" w:color="auto" w:fill="DCE2EF"/>
          </w:tcPr>
          <w:p>
            <w:pPr>
              <w:spacing w:after="0"/>
              <w:rPr>
                <w:sz w:val="16"/>
                <w:szCs w:val="16"/>
                <w:color w:val="auto"/>
              </w:rPr>
            </w:pPr>
          </w:p>
        </w:tc>
        <w:tc>
          <w:tcPr>
            <w:tcW w:w="136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7.3%</w:t>
            </w:r>
          </w:p>
        </w:tc>
        <w:tc>
          <w:tcPr>
            <w:tcW w:w="100" w:type="dxa"/>
            <w:vAlign w:val="bottom"/>
            <w:shd w:val="clear" w:color="auto" w:fill="DCE2EF"/>
          </w:tcPr>
          <w:p>
            <w:pPr>
              <w:spacing w:after="0"/>
              <w:rPr>
                <w:sz w:val="16"/>
                <w:szCs w:val="16"/>
                <w:color w:val="auto"/>
              </w:rPr>
            </w:pPr>
          </w:p>
        </w:tc>
        <w:tc>
          <w:tcPr>
            <w:tcW w:w="400" w:type="dxa"/>
            <w:vAlign w:val="bottom"/>
            <w:shd w:val="clear" w:color="auto" w:fill="DCE2EF"/>
          </w:tcPr>
          <w:p>
            <w:pPr>
              <w:spacing w:after="0"/>
              <w:rPr>
                <w:sz w:val="16"/>
                <w:szCs w:val="16"/>
                <w:color w:val="auto"/>
              </w:rPr>
            </w:pPr>
          </w:p>
        </w:tc>
        <w:tc>
          <w:tcPr>
            <w:tcW w:w="138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6.1 %</w:t>
            </w:r>
          </w:p>
        </w:tc>
        <w:tc>
          <w:tcPr>
            <w:tcW w:w="100" w:type="dxa"/>
            <w:vAlign w:val="bottom"/>
            <w:shd w:val="clear" w:color="auto" w:fill="DCE2EF"/>
          </w:tcPr>
          <w:p>
            <w:pPr>
              <w:spacing w:after="0"/>
              <w:rPr>
                <w:sz w:val="16"/>
                <w:szCs w:val="16"/>
                <w:color w:val="auto"/>
              </w:rPr>
            </w:pPr>
          </w:p>
        </w:tc>
        <w:tc>
          <w:tcPr>
            <w:tcW w:w="640" w:type="dxa"/>
            <w:vAlign w:val="bottom"/>
            <w:shd w:val="clear" w:color="auto" w:fill="DCE2EF"/>
          </w:tcPr>
          <w:p>
            <w:pPr>
              <w:spacing w:after="0"/>
              <w:rPr>
                <w:sz w:val="16"/>
                <w:szCs w:val="16"/>
                <w:color w:val="auto"/>
              </w:rPr>
            </w:pPr>
          </w:p>
        </w:tc>
        <w:tc>
          <w:tcPr>
            <w:tcW w:w="1560" w:type="dxa"/>
            <w:vAlign w:val="bottom"/>
            <w:shd w:val="clear" w:color="auto" w:fill="DCE2EF"/>
          </w:tcPr>
          <w:p>
            <w:pPr>
              <w:jc w:val="center"/>
              <w:spacing w:after="0"/>
              <w:rPr>
                <w:sz w:val="20"/>
                <w:szCs w:val="20"/>
                <w:color w:val="auto"/>
              </w:rPr>
            </w:pPr>
            <w:r>
              <w:rPr>
                <w:rFonts w:ascii="Arial" w:cs="Arial" w:eastAsia="Arial" w:hAnsi="Arial"/>
                <w:sz w:val="14"/>
                <w:szCs w:val="14"/>
                <w:i w:val="1"/>
                <w:iCs w:val="1"/>
                <w:color w:val="auto"/>
              </w:rPr>
              <w:t>122 bps</w:t>
            </w:r>
          </w:p>
        </w:tc>
        <w:tc>
          <w:tcPr>
            <w:tcW w:w="1200" w:type="dxa"/>
            <w:vAlign w:val="bottom"/>
            <w:shd w:val="clear" w:color="auto" w:fill="DCE2EF"/>
          </w:tcPr>
          <w:p>
            <w:pPr>
              <w:spacing w:after="0"/>
              <w:rPr>
                <w:sz w:val="16"/>
                <w:szCs w:val="16"/>
                <w:color w:val="auto"/>
              </w:rPr>
            </w:pPr>
          </w:p>
        </w:tc>
        <w:tc>
          <w:tcPr>
            <w:tcW w:w="0" w:type="dxa"/>
            <w:vAlign w:val="bottom"/>
          </w:tcPr>
          <w:p>
            <w:pPr>
              <w:spacing w:after="0"/>
              <w:rPr>
                <w:sz w:val="1"/>
                <w:szCs w:val="1"/>
                <w:color w:val="auto"/>
              </w:rPr>
            </w:pPr>
          </w:p>
        </w:tc>
      </w:tr>
    </w:tbl>
    <w:p>
      <w:pPr>
        <w:spacing w:after="0" w:line="280"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17"/>
          <w:szCs w:val="17"/>
          <w:color w:val="auto"/>
        </w:rPr>
        <w:t>Education revenues increased by $18.0 million, or 2.0%, to $922.0 million during 2025, as compared to 2024. The increase was primarily attributable to net new business wins.</w:t>
      </w:r>
    </w:p>
    <w:p>
      <w:pPr>
        <w:spacing w:after="0" w:line="95"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7"/>
          <w:szCs w:val="17"/>
          <w:color w:val="auto"/>
        </w:rPr>
        <w:t>Operating profit increased by $12.4 million, or 22.2% to $ 67.7 million during 2025, as compared to 2024. Operating profit margin increased by 122 bps to 7.3% in 2025 from 6.1% in 2024. The operating profit margin was primarily attributable to operational efficiencies, particularly in managing overtime, materials and supplies, and general and administrative headcount.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4040" w:type="dxa"/>
            <w:vAlign w:val="bottom"/>
            <w:gridSpan w:val="3"/>
          </w:tcPr>
          <w:p>
            <w:pPr>
              <w:ind w:left="20"/>
              <w:spacing w:after="0"/>
              <w:rPr>
                <w:sz w:val="20"/>
                <w:szCs w:val="20"/>
                <w:color w:val="auto"/>
              </w:rPr>
            </w:pPr>
            <w:r>
              <w:rPr>
                <w:rFonts w:ascii="Arial" w:cs="Arial" w:eastAsia="Arial" w:hAnsi="Arial"/>
                <w:sz w:val="17"/>
                <w:szCs w:val="17"/>
                <w:b w:val="1"/>
                <w:bCs w:val="1"/>
                <w:i w:val="1"/>
                <w:iCs w:val="1"/>
                <w:color w:val="0046AD"/>
              </w:rPr>
              <w:t>Technical Solutions</w:t>
            </w:r>
          </w:p>
        </w:tc>
        <w:tc>
          <w:tcPr>
            <w:tcW w:w="400" w:type="dxa"/>
            <w:vAlign w:val="bottom"/>
          </w:tcPr>
          <w:p>
            <w:pPr>
              <w:spacing w:after="0"/>
              <w:rPr>
                <w:sz w:val="20"/>
                <w:szCs w:val="20"/>
                <w:color w:val="auto"/>
              </w:rPr>
            </w:pPr>
          </w:p>
        </w:tc>
        <w:tc>
          <w:tcPr>
            <w:tcW w:w="3360" w:type="dxa"/>
            <w:vAlign w:val="bottom"/>
            <w:gridSpan w:val="5"/>
            <w:vMerge w:val="restart"/>
          </w:tcPr>
          <w:p>
            <w:pPr>
              <w:ind w:left="460"/>
              <w:spacing w:after="0"/>
              <w:rPr>
                <w:sz w:val="20"/>
                <w:szCs w:val="20"/>
                <w:color w:val="auto"/>
              </w:rPr>
            </w:pPr>
            <w:r>
              <w:rPr>
                <w:rFonts w:ascii="Arial" w:cs="Arial" w:eastAsia="Arial" w:hAnsi="Arial"/>
                <w:sz w:val="17"/>
                <w:szCs w:val="17"/>
                <w:b w:val="1"/>
                <w:bCs w:val="1"/>
                <w:color w:val="auto"/>
              </w:rPr>
              <w:t>Year Ended October 31,</w:t>
            </w:r>
          </w:p>
        </w:tc>
        <w:tc>
          <w:tcPr>
            <w:tcW w:w="6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360" w:type="dxa"/>
            <w:vAlign w:val="bottom"/>
            <w:gridSpan w:val="5"/>
            <w:vMerge w:val="continue"/>
          </w:tcPr>
          <w:p>
            <w:pPr>
              <w:spacing w:after="0"/>
              <w:rPr>
                <w:sz w:val="17"/>
                <w:szCs w:val="17"/>
                <w:color w:val="auto"/>
              </w:rPr>
            </w:pPr>
          </w:p>
        </w:tc>
        <w:tc>
          <w:tcPr>
            <w:tcW w:w="640" w:type="dxa"/>
            <w:vAlign w:val="bottom"/>
          </w:tcPr>
          <w:p>
            <w:pPr>
              <w:spacing w:after="0"/>
              <w:rPr>
                <w:sz w:val="17"/>
                <w:szCs w:val="17"/>
                <w:color w:val="auto"/>
              </w:rPr>
            </w:pPr>
          </w:p>
        </w:tc>
        <w:tc>
          <w:tcPr>
            <w:tcW w:w="1560" w:type="dxa"/>
            <w:vAlign w:val="bottom"/>
            <w:vMerge w:val="restart"/>
          </w:tcPr>
          <w:p>
            <w:pPr>
              <w:jc w:val="right"/>
              <w:ind w:right="58"/>
              <w:spacing w:after="0"/>
              <w:rPr>
                <w:sz w:val="20"/>
                <w:szCs w:val="20"/>
                <w:color w:val="auto"/>
              </w:rPr>
            </w:pPr>
            <w:r>
              <w:rPr>
                <w:rFonts w:ascii="Arial" w:cs="Arial" w:eastAsia="Arial" w:hAnsi="Arial"/>
                <w:sz w:val="17"/>
                <w:szCs w:val="17"/>
                <w:b w:val="1"/>
                <w:bCs w:val="1"/>
                <w:color w:val="auto"/>
              </w:rPr>
              <w:t>Increase</w:t>
            </w: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4040" w:type="dxa"/>
            <w:vAlign w:val="bottom"/>
            <w:gridSpan w:val="3"/>
          </w:tcPr>
          <w:p>
            <w:pPr>
              <w:ind w:left="20"/>
              <w:spacing w:after="0" w:line="148" w:lineRule="exact"/>
              <w:rPr>
                <w:sz w:val="20"/>
                <w:szCs w:val="20"/>
                <w:color w:val="auto"/>
              </w:rPr>
            </w:pPr>
            <w:r>
              <w:rPr>
                <w:rFonts w:ascii="Times New Roman" w:cs="Times New Roman" w:eastAsia="Times New Roman" w:hAnsi="Times New Roman"/>
                <w:sz w:val="14"/>
                <w:szCs w:val="14"/>
                <w:i w:val="1"/>
                <w:iCs w:val="1"/>
                <w:u w:val="single" w:color="auto"/>
                <w:color w:val="auto"/>
              </w:rPr>
              <w:t>(</w:t>
            </w:r>
            <w:r>
              <w:rPr>
                <w:rFonts w:ascii="Times New Roman" w:cs="Times New Roman" w:eastAsia="Times New Roman" w:hAnsi="Times New Roman"/>
                <w:sz w:val="14"/>
                <w:szCs w:val="14"/>
                <w:i w:val="1"/>
                <w:iCs w:val="1"/>
                <w:color w:val="auto"/>
              </w:rPr>
              <w:t>$ in millions)</w:t>
            </w:r>
          </w:p>
        </w:tc>
        <w:tc>
          <w:tcPr>
            <w:tcW w:w="40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tcPr>
          <w:p>
            <w:pPr>
              <w:jc w:val="right"/>
              <w:ind w:right="618"/>
              <w:spacing w:after="0" w:line="148" w:lineRule="exact"/>
              <w:rPr>
                <w:sz w:val="20"/>
                <w:szCs w:val="20"/>
                <w:color w:val="auto"/>
              </w:rPr>
            </w:pPr>
            <w:r>
              <w:rPr>
                <w:rFonts w:ascii="Arial" w:cs="Arial" w:eastAsia="Arial" w:hAnsi="Arial"/>
                <w:sz w:val="17"/>
                <w:szCs w:val="17"/>
                <w:b w:val="1"/>
                <w:bCs w:val="1"/>
                <w:color w:val="auto"/>
              </w:rPr>
              <w:t>2025</w:t>
            </w:r>
          </w:p>
        </w:tc>
        <w:tc>
          <w:tcPr>
            <w:tcW w:w="10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tcPr>
          <w:p>
            <w:pPr>
              <w:jc w:val="right"/>
              <w:ind w:right="618"/>
              <w:spacing w:after="0" w:line="148" w:lineRule="exact"/>
              <w:rPr>
                <w:sz w:val="20"/>
                <w:szCs w:val="20"/>
                <w:color w:val="auto"/>
              </w:rPr>
            </w:pPr>
            <w:r>
              <w:rPr>
                <w:rFonts w:ascii="Arial" w:cs="Arial" w:eastAsia="Arial" w:hAnsi="Arial"/>
                <w:sz w:val="17"/>
                <w:szCs w:val="17"/>
                <w:b w:val="1"/>
                <w:bCs w:val="1"/>
                <w:color w:val="auto"/>
              </w:rPr>
              <w:t>2024</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560" w:type="dxa"/>
            <w:vAlign w:val="bottom"/>
            <w:vMerge w:val="continue"/>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2"/>
        </w:trPr>
        <w:tc>
          <w:tcPr>
            <w:tcW w:w="20" w:type="dxa"/>
            <w:vAlign w:val="bottom"/>
            <w:tcBorders>
              <w:bottom w:val="single" w:sz="8" w:color="DCE2EF"/>
            </w:tcBorders>
          </w:tcPr>
          <w:p>
            <w:pPr>
              <w:spacing w:after="0"/>
              <w:rPr>
                <w:sz w:val="2"/>
                <w:szCs w:val="2"/>
                <w:color w:val="auto"/>
              </w:rPr>
            </w:pPr>
          </w:p>
        </w:tc>
        <w:tc>
          <w:tcPr>
            <w:tcW w:w="780" w:type="dxa"/>
            <w:vAlign w:val="bottom"/>
            <w:tcBorders>
              <w:top w:val="single" w:sz="8" w:color="auto"/>
              <w:bottom w:val="single" w:sz="8" w:color="DCE2EF"/>
            </w:tcBorders>
          </w:tcPr>
          <w:p>
            <w:pPr>
              <w:spacing w:after="0"/>
              <w:rPr>
                <w:sz w:val="2"/>
                <w:szCs w:val="2"/>
                <w:color w:val="auto"/>
              </w:rPr>
            </w:pPr>
          </w:p>
        </w:tc>
        <w:tc>
          <w:tcPr>
            <w:tcW w:w="3240" w:type="dxa"/>
            <w:vAlign w:val="bottom"/>
            <w:tcBorders>
              <w:bottom w:val="single" w:sz="8" w:color="DCE2E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4040" w:type="dxa"/>
            <w:vAlign w:val="bottom"/>
            <w:gridSpan w:val="3"/>
            <w:shd w:val="clear" w:color="auto" w:fill="DCE2EF"/>
          </w:tcPr>
          <w:p>
            <w:pPr>
              <w:ind w:left="20"/>
              <w:spacing w:after="0"/>
              <w:rPr>
                <w:sz w:val="20"/>
                <w:szCs w:val="20"/>
                <w:color w:val="auto"/>
              </w:rPr>
            </w:pPr>
            <w:r>
              <w:rPr>
                <w:rFonts w:ascii="Arial" w:cs="Arial" w:eastAsia="Arial" w:hAnsi="Arial"/>
                <w:sz w:val="17"/>
                <w:szCs w:val="17"/>
                <w:color w:val="auto"/>
              </w:rPr>
              <w:t>Revenues</w:t>
            </w:r>
          </w:p>
        </w:tc>
        <w:tc>
          <w:tcPr>
            <w:tcW w:w="400" w:type="dxa"/>
            <w:vAlign w:val="bottom"/>
            <w:shd w:val="clear" w:color="auto" w:fill="DCE2EF"/>
          </w:tcPr>
          <w:p>
            <w:pPr>
              <w:jc w:val="right"/>
              <w:ind w:right="194"/>
              <w:spacing w:after="0"/>
              <w:rPr>
                <w:sz w:val="20"/>
                <w:szCs w:val="20"/>
                <w:color w:val="auto"/>
              </w:rPr>
            </w:pPr>
            <w:r>
              <w:rPr>
                <w:rFonts w:ascii="Arial" w:cs="Arial" w:eastAsia="Arial" w:hAnsi="Arial"/>
                <w:sz w:val="17"/>
                <w:szCs w:val="17"/>
                <w:color w:val="auto"/>
              </w:rPr>
              <w:t>$</w:t>
            </w:r>
          </w:p>
        </w:tc>
        <w:tc>
          <w:tcPr>
            <w:tcW w:w="1380" w:type="dxa"/>
            <w:vAlign w:val="bottom"/>
            <w:shd w:val="clear" w:color="auto" w:fill="DCE2EF"/>
          </w:tcPr>
          <w:p>
            <w:pPr>
              <w:jc w:val="right"/>
              <w:ind w:right="118"/>
              <w:spacing w:after="0"/>
              <w:rPr>
                <w:sz w:val="20"/>
                <w:szCs w:val="20"/>
                <w:color w:val="auto"/>
              </w:rPr>
            </w:pPr>
            <w:r>
              <w:rPr>
                <w:rFonts w:ascii="Arial" w:cs="Arial" w:eastAsia="Arial" w:hAnsi="Arial"/>
                <w:sz w:val="17"/>
                <w:szCs w:val="17"/>
                <w:color w:val="auto"/>
              </w:rPr>
              <w:t>960.6</w:t>
            </w:r>
          </w:p>
        </w:tc>
        <w:tc>
          <w:tcPr>
            <w:tcW w:w="100" w:type="dxa"/>
            <w:vAlign w:val="bottom"/>
            <w:shd w:val="clear" w:color="auto" w:fill="DCE2EF"/>
          </w:tcPr>
          <w:p>
            <w:pPr>
              <w:spacing w:after="0"/>
              <w:rPr>
                <w:sz w:val="18"/>
                <w:szCs w:val="18"/>
                <w:color w:val="auto"/>
              </w:rPr>
            </w:pPr>
          </w:p>
        </w:tc>
        <w:tc>
          <w:tcPr>
            <w:tcW w:w="400" w:type="dxa"/>
            <w:vAlign w:val="bottom"/>
            <w:shd w:val="clear" w:color="auto" w:fill="DCE2EF"/>
          </w:tcPr>
          <w:p>
            <w:pPr>
              <w:jc w:val="right"/>
              <w:ind w:right="194"/>
              <w:spacing w:after="0"/>
              <w:rPr>
                <w:sz w:val="20"/>
                <w:szCs w:val="20"/>
                <w:color w:val="auto"/>
              </w:rPr>
            </w:pPr>
            <w:r>
              <w:rPr>
                <w:rFonts w:ascii="Arial" w:cs="Arial" w:eastAsia="Arial" w:hAnsi="Arial"/>
                <w:sz w:val="17"/>
                <w:szCs w:val="17"/>
                <w:color w:val="auto"/>
              </w:rPr>
              <w:t>$</w:t>
            </w:r>
          </w:p>
        </w:tc>
        <w:tc>
          <w:tcPr>
            <w:tcW w:w="1380" w:type="dxa"/>
            <w:vAlign w:val="bottom"/>
            <w:shd w:val="clear" w:color="auto" w:fill="DCE2EF"/>
          </w:tcPr>
          <w:p>
            <w:pPr>
              <w:jc w:val="right"/>
              <w:ind w:right="98"/>
              <w:spacing w:after="0"/>
              <w:rPr>
                <w:sz w:val="20"/>
                <w:szCs w:val="20"/>
                <w:color w:val="auto"/>
              </w:rPr>
            </w:pPr>
            <w:r>
              <w:rPr>
                <w:rFonts w:ascii="Arial" w:cs="Arial" w:eastAsia="Arial" w:hAnsi="Arial"/>
                <w:sz w:val="17"/>
                <w:szCs w:val="17"/>
                <w:color w:val="auto"/>
              </w:rPr>
              <w:t>809.3</w:t>
            </w:r>
          </w:p>
        </w:tc>
        <w:tc>
          <w:tcPr>
            <w:tcW w:w="100" w:type="dxa"/>
            <w:vAlign w:val="bottom"/>
            <w:shd w:val="clear" w:color="auto" w:fill="DCE2EF"/>
          </w:tcPr>
          <w:p>
            <w:pPr>
              <w:spacing w:after="0"/>
              <w:rPr>
                <w:sz w:val="18"/>
                <w:szCs w:val="18"/>
                <w:color w:val="auto"/>
              </w:rPr>
            </w:pPr>
          </w:p>
        </w:tc>
        <w:tc>
          <w:tcPr>
            <w:tcW w:w="640" w:type="dxa"/>
            <w:vAlign w:val="bottom"/>
            <w:shd w:val="clear" w:color="auto" w:fill="DCE2EF"/>
          </w:tcPr>
          <w:p>
            <w:pPr>
              <w:jc w:val="right"/>
              <w:ind w:right="434"/>
              <w:spacing w:after="0"/>
              <w:rPr>
                <w:sz w:val="20"/>
                <w:szCs w:val="20"/>
                <w:color w:val="auto"/>
              </w:rPr>
            </w:pPr>
            <w:r>
              <w:rPr>
                <w:rFonts w:ascii="Arial" w:cs="Arial" w:eastAsia="Arial" w:hAnsi="Arial"/>
                <w:sz w:val="17"/>
                <w:szCs w:val="17"/>
                <w:color w:val="auto"/>
              </w:rPr>
              <w:t>$</w:t>
            </w:r>
          </w:p>
        </w:tc>
        <w:tc>
          <w:tcPr>
            <w:tcW w:w="1560" w:type="dxa"/>
            <w:vAlign w:val="bottom"/>
            <w:shd w:val="clear" w:color="auto" w:fill="DCE2EF"/>
          </w:tcPr>
          <w:p>
            <w:pPr>
              <w:jc w:val="right"/>
              <w:ind w:right="518"/>
              <w:spacing w:after="0"/>
              <w:rPr>
                <w:sz w:val="20"/>
                <w:szCs w:val="20"/>
                <w:color w:val="auto"/>
              </w:rPr>
            </w:pPr>
            <w:r>
              <w:rPr>
                <w:rFonts w:ascii="Arial" w:cs="Arial" w:eastAsia="Arial" w:hAnsi="Arial"/>
                <w:sz w:val="17"/>
                <w:szCs w:val="17"/>
                <w:color w:val="auto"/>
              </w:rPr>
              <w:t>151.3</w:t>
            </w:r>
          </w:p>
        </w:tc>
        <w:tc>
          <w:tcPr>
            <w:tcW w:w="1220" w:type="dxa"/>
            <w:vAlign w:val="bottom"/>
            <w:shd w:val="clear" w:color="auto" w:fill="DCE2EF"/>
          </w:tcPr>
          <w:p>
            <w:pPr>
              <w:jc w:val="right"/>
              <w:ind w:right="494"/>
              <w:spacing w:after="0"/>
              <w:rPr>
                <w:sz w:val="20"/>
                <w:szCs w:val="20"/>
                <w:color w:val="auto"/>
              </w:rPr>
            </w:pPr>
            <w:r>
              <w:rPr>
                <w:rFonts w:ascii="Arial" w:cs="Arial" w:eastAsia="Arial" w:hAnsi="Arial"/>
                <w:sz w:val="17"/>
                <w:szCs w:val="17"/>
                <w:color w:val="auto"/>
              </w:rPr>
              <w:t>18.7%</w:t>
            </w:r>
          </w:p>
        </w:tc>
        <w:tc>
          <w:tcPr>
            <w:tcW w:w="0" w:type="dxa"/>
            <w:vAlign w:val="bottom"/>
          </w:tcPr>
          <w:p>
            <w:pPr>
              <w:spacing w:after="0"/>
              <w:rPr>
                <w:sz w:val="1"/>
                <w:szCs w:val="1"/>
                <w:color w:val="auto"/>
              </w:rPr>
            </w:pPr>
          </w:p>
        </w:tc>
      </w:tr>
      <w:tr>
        <w:trPr>
          <w:trHeight w:val="219"/>
        </w:trPr>
        <w:tc>
          <w:tcPr>
            <w:tcW w:w="4040" w:type="dxa"/>
            <w:vAlign w:val="bottom"/>
            <w:gridSpan w:val="3"/>
          </w:tcPr>
          <w:p>
            <w:pPr>
              <w:ind w:left="20"/>
              <w:spacing w:after="0"/>
              <w:rPr>
                <w:sz w:val="20"/>
                <w:szCs w:val="20"/>
                <w:color w:val="auto"/>
              </w:rPr>
            </w:pPr>
            <w:r>
              <w:rPr>
                <w:rFonts w:ascii="Arial" w:cs="Arial" w:eastAsia="Arial" w:hAnsi="Arial"/>
                <w:sz w:val="17"/>
                <w:szCs w:val="17"/>
                <w:color w:val="auto"/>
              </w:rPr>
              <w:t>Operating profit</w:t>
            </w:r>
          </w:p>
        </w:tc>
        <w:tc>
          <w:tcPr>
            <w:tcW w:w="400" w:type="dxa"/>
            <w:vAlign w:val="bottom"/>
          </w:tcPr>
          <w:p>
            <w:pPr>
              <w:spacing w:after="0"/>
              <w:rPr>
                <w:sz w:val="19"/>
                <w:szCs w:val="19"/>
                <w:color w:val="auto"/>
              </w:rPr>
            </w:pPr>
          </w:p>
        </w:tc>
        <w:tc>
          <w:tcPr>
            <w:tcW w:w="1380" w:type="dxa"/>
            <w:vAlign w:val="bottom"/>
          </w:tcPr>
          <w:p>
            <w:pPr>
              <w:jc w:val="right"/>
              <w:ind w:right="118"/>
              <w:spacing w:after="0"/>
              <w:rPr>
                <w:sz w:val="20"/>
                <w:szCs w:val="20"/>
                <w:color w:val="auto"/>
              </w:rPr>
            </w:pPr>
            <w:r>
              <w:rPr>
                <w:rFonts w:ascii="Arial" w:cs="Arial" w:eastAsia="Arial" w:hAnsi="Arial"/>
                <w:sz w:val="17"/>
                <w:szCs w:val="17"/>
                <w:color w:val="auto"/>
              </w:rPr>
              <w:t>86.5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jc w:val="right"/>
              <w:ind w:right="98"/>
              <w:spacing w:after="0"/>
              <w:rPr>
                <w:sz w:val="20"/>
                <w:szCs w:val="20"/>
                <w:color w:val="auto"/>
              </w:rPr>
            </w:pPr>
            <w:r>
              <w:rPr>
                <w:rFonts w:ascii="Arial" w:cs="Arial" w:eastAsia="Arial" w:hAnsi="Arial"/>
                <w:sz w:val="17"/>
                <w:szCs w:val="17"/>
                <w:color w:val="auto"/>
              </w:rPr>
              <w:t>69.4</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560" w:type="dxa"/>
            <w:vAlign w:val="bottom"/>
          </w:tcPr>
          <w:p>
            <w:pPr>
              <w:jc w:val="right"/>
              <w:ind w:right="518"/>
              <w:spacing w:after="0"/>
              <w:rPr>
                <w:sz w:val="20"/>
                <w:szCs w:val="20"/>
                <w:color w:val="auto"/>
              </w:rPr>
            </w:pPr>
            <w:r>
              <w:rPr>
                <w:rFonts w:ascii="Arial" w:cs="Arial" w:eastAsia="Arial" w:hAnsi="Arial"/>
                <w:sz w:val="17"/>
                <w:szCs w:val="17"/>
                <w:color w:val="auto"/>
              </w:rPr>
              <w:t>17.1</w:t>
            </w:r>
          </w:p>
        </w:tc>
        <w:tc>
          <w:tcPr>
            <w:tcW w:w="1220" w:type="dxa"/>
            <w:vAlign w:val="bottom"/>
          </w:tcPr>
          <w:p>
            <w:pPr>
              <w:jc w:val="right"/>
              <w:ind w:right="494"/>
              <w:spacing w:after="0"/>
              <w:rPr>
                <w:sz w:val="20"/>
                <w:szCs w:val="20"/>
                <w:color w:val="auto"/>
              </w:rPr>
            </w:pPr>
            <w:r>
              <w:rPr>
                <w:rFonts w:ascii="Arial" w:cs="Arial" w:eastAsia="Arial" w:hAnsi="Arial"/>
                <w:sz w:val="17"/>
                <w:szCs w:val="17"/>
                <w:color w:val="auto"/>
              </w:rPr>
              <w:t>24.6%</w:t>
            </w:r>
          </w:p>
        </w:tc>
        <w:tc>
          <w:tcPr>
            <w:tcW w:w="0" w:type="dxa"/>
            <w:vAlign w:val="bottom"/>
          </w:tcPr>
          <w:p>
            <w:pPr>
              <w:spacing w:after="0"/>
              <w:rPr>
                <w:sz w:val="1"/>
                <w:szCs w:val="1"/>
                <w:color w:val="auto"/>
              </w:rPr>
            </w:pPr>
          </w:p>
        </w:tc>
      </w:tr>
      <w:tr>
        <w:trPr>
          <w:trHeight w:val="193"/>
        </w:trPr>
        <w:tc>
          <w:tcPr>
            <w:tcW w:w="20" w:type="dxa"/>
            <w:vAlign w:val="bottom"/>
            <w:shd w:val="clear" w:color="auto" w:fill="DCE2EF"/>
          </w:tcPr>
          <w:p>
            <w:pPr>
              <w:spacing w:after="0"/>
              <w:rPr>
                <w:sz w:val="16"/>
                <w:szCs w:val="16"/>
                <w:color w:val="auto"/>
              </w:rPr>
            </w:pPr>
          </w:p>
        </w:tc>
        <w:tc>
          <w:tcPr>
            <w:tcW w:w="4020" w:type="dxa"/>
            <w:vAlign w:val="bottom"/>
            <w:gridSpan w:val="2"/>
            <w:shd w:val="clear" w:color="auto" w:fill="DCE2EF"/>
          </w:tcPr>
          <w:p>
            <w:pPr>
              <w:ind w:left="120"/>
              <w:spacing w:after="0"/>
              <w:rPr>
                <w:sz w:val="20"/>
                <w:szCs w:val="20"/>
                <w:color w:val="auto"/>
              </w:rPr>
            </w:pPr>
            <w:r>
              <w:rPr>
                <w:rFonts w:ascii="Arial" w:cs="Arial" w:eastAsia="Arial" w:hAnsi="Arial"/>
                <w:sz w:val="14"/>
                <w:szCs w:val="14"/>
                <w:i w:val="1"/>
                <w:iCs w:val="1"/>
                <w:color w:val="auto"/>
              </w:rPr>
              <w:t>Operating profit margin</w:t>
            </w:r>
          </w:p>
        </w:tc>
        <w:tc>
          <w:tcPr>
            <w:tcW w:w="400" w:type="dxa"/>
            <w:vAlign w:val="bottom"/>
            <w:shd w:val="clear" w:color="auto" w:fill="DCE2EF"/>
          </w:tcPr>
          <w:p>
            <w:pPr>
              <w:spacing w:after="0"/>
              <w:rPr>
                <w:sz w:val="16"/>
                <w:szCs w:val="16"/>
                <w:color w:val="auto"/>
              </w:rPr>
            </w:pPr>
          </w:p>
        </w:tc>
        <w:tc>
          <w:tcPr>
            <w:tcW w:w="138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9.0%</w:t>
            </w:r>
          </w:p>
        </w:tc>
        <w:tc>
          <w:tcPr>
            <w:tcW w:w="100" w:type="dxa"/>
            <w:vAlign w:val="bottom"/>
            <w:shd w:val="clear" w:color="auto" w:fill="DCE2EF"/>
          </w:tcPr>
          <w:p>
            <w:pPr>
              <w:spacing w:after="0"/>
              <w:rPr>
                <w:sz w:val="16"/>
                <w:szCs w:val="16"/>
                <w:color w:val="auto"/>
              </w:rPr>
            </w:pPr>
          </w:p>
        </w:tc>
        <w:tc>
          <w:tcPr>
            <w:tcW w:w="400" w:type="dxa"/>
            <w:vAlign w:val="bottom"/>
            <w:shd w:val="clear" w:color="auto" w:fill="DCE2EF"/>
          </w:tcPr>
          <w:p>
            <w:pPr>
              <w:spacing w:after="0"/>
              <w:rPr>
                <w:sz w:val="16"/>
                <w:szCs w:val="16"/>
                <w:color w:val="auto"/>
              </w:rPr>
            </w:pPr>
          </w:p>
        </w:tc>
        <w:tc>
          <w:tcPr>
            <w:tcW w:w="138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8.6%</w:t>
            </w:r>
          </w:p>
        </w:tc>
        <w:tc>
          <w:tcPr>
            <w:tcW w:w="100" w:type="dxa"/>
            <w:vAlign w:val="bottom"/>
            <w:shd w:val="clear" w:color="auto" w:fill="DCE2EF"/>
          </w:tcPr>
          <w:p>
            <w:pPr>
              <w:spacing w:after="0"/>
              <w:rPr>
                <w:sz w:val="16"/>
                <w:szCs w:val="16"/>
                <w:color w:val="auto"/>
              </w:rPr>
            </w:pPr>
          </w:p>
        </w:tc>
        <w:tc>
          <w:tcPr>
            <w:tcW w:w="640" w:type="dxa"/>
            <w:vAlign w:val="bottom"/>
            <w:shd w:val="clear" w:color="auto" w:fill="DCE2EF"/>
          </w:tcPr>
          <w:p>
            <w:pPr>
              <w:spacing w:after="0"/>
              <w:rPr>
                <w:sz w:val="16"/>
                <w:szCs w:val="16"/>
                <w:color w:val="auto"/>
              </w:rPr>
            </w:pPr>
          </w:p>
        </w:tc>
        <w:tc>
          <w:tcPr>
            <w:tcW w:w="1560" w:type="dxa"/>
            <w:vAlign w:val="bottom"/>
            <w:shd w:val="clear" w:color="auto" w:fill="DCE2EF"/>
          </w:tcPr>
          <w:p>
            <w:pPr>
              <w:jc w:val="right"/>
              <w:ind w:right="478"/>
              <w:spacing w:after="0"/>
              <w:rPr>
                <w:sz w:val="20"/>
                <w:szCs w:val="20"/>
                <w:color w:val="auto"/>
              </w:rPr>
            </w:pPr>
            <w:r>
              <w:rPr>
                <w:rFonts w:ascii="Arial" w:cs="Arial" w:eastAsia="Arial" w:hAnsi="Arial"/>
                <w:sz w:val="14"/>
                <w:szCs w:val="14"/>
                <w:i w:val="1"/>
                <w:iCs w:val="1"/>
                <w:color w:val="auto"/>
              </w:rPr>
              <w:t>42 bps</w:t>
            </w:r>
          </w:p>
        </w:tc>
        <w:tc>
          <w:tcPr>
            <w:tcW w:w="1220" w:type="dxa"/>
            <w:vAlign w:val="bottom"/>
            <w:shd w:val="clear" w:color="auto" w:fill="DCE2EF"/>
          </w:tcPr>
          <w:p>
            <w:pPr>
              <w:spacing w:after="0"/>
              <w:rPr>
                <w:sz w:val="16"/>
                <w:szCs w:val="16"/>
                <w:color w:val="auto"/>
              </w:rPr>
            </w:pPr>
          </w:p>
        </w:tc>
        <w:tc>
          <w:tcPr>
            <w:tcW w:w="0" w:type="dxa"/>
            <w:vAlign w:val="bottom"/>
          </w:tcPr>
          <w:p>
            <w:pPr>
              <w:spacing w:after="0"/>
              <w:rPr>
                <w:sz w:val="1"/>
                <w:szCs w:val="1"/>
                <w:color w:val="auto"/>
              </w:rPr>
            </w:pPr>
          </w:p>
        </w:tc>
      </w:tr>
    </w:tbl>
    <w:p>
      <w:pPr>
        <w:spacing w:after="0" w:line="267"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Technical Solutions revenues increased by $151.3 million, or 18.7%, to $960.6 million during 2025, as compared to 2024. Revenue growth was comprised of organic growth of 10.2% and acquisition growth of 8.5%. The organic revenue increase was primarily driven by higher project revenues due to higher microgrid systems projects, partially offset by a decrease in electric vehicle charging station revenues. Acquisition growth was driven by $68.4 million of revenue from the Quality Uptime and LMC acquisitions.</w:t>
      </w:r>
    </w:p>
    <w:p>
      <w:pPr>
        <w:spacing w:after="0" w:line="116"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7"/>
          <w:szCs w:val="17"/>
          <w:color w:val="auto"/>
        </w:rPr>
        <w:t>Operating profit increased by $17.1 million, or 24.6%, to $86.5 million during 2025, as compared to 2024. Operating profit margin increased by 42 bps to 9.0% in 2025 from 8.6% in 2024. The increase in operating profit margin was primarily attributable to the service mix, partially offset by higher amortization of intangible assets from recent acquisitions.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4280" w:type="dxa"/>
            <w:vAlign w:val="bottom"/>
            <w:gridSpan w:val="3"/>
          </w:tcPr>
          <w:p>
            <w:pPr>
              <w:ind w:left="20"/>
              <w:spacing w:after="0"/>
              <w:rPr>
                <w:sz w:val="20"/>
                <w:szCs w:val="20"/>
                <w:color w:val="auto"/>
              </w:rPr>
            </w:pPr>
            <w:r>
              <w:rPr>
                <w:rFonts w:ascii="Arial" w:cs="Arial" w:eastAsia="Arial" w:hAnsi="Arial"/>
                <w:sz w:val="17"/>
                <w:szCs w:val="17"/>
                <w:b w:val="1"/>
                <w:bCs w:val="1"/>
                <w:i w:val="1"/>
                <w:iCs w:val="1"/>
                <w:color w:val="0046AD"/>
              </w:rPr>
              <w:t>Corporate</w:t>
            </w:r>
          </w:p>
        </w:tc>
        <w:tc>
          <w:tcPr>
            <w:tcW w:w="380" w:type="dxa"/>
            <w:vAlign w:val="bottom"/>
          </w:tcPr>
          <w:p>
            <w:pPr>
              <w:spacing w:after="0"/>
              <w:rPr>
                <w:sz w:val="20"/>
                <w:szCs w:val="20"/>
                <w:color w:val="auto"/>
              </w:rPr>
            </w:pPr>
          </w:p>
        </w:tc>
        <w:tc>
          <w:tcPr>
            <w:tcW w:w="3200" w:type="dxa"/>
            <w:vAlign w:val="bottom"/>
            <w:gridSpan w:val="5"/>
            <w:vMerge w:val="restart"/>
          </w:tcPr>
          <w:p>
            <w:pPr>
              <w:ind w:left="400"/>
              <w:spacing w:after="0"/>
              <w:rPr>
                <w:sz w:val="20"/>
                <w:szCs w:val="20"/>
                <w:color w:val="auto"/>
              </w:rPr>
            </w:pPr>
            <w:r>
              <w:rPr>
                <w:rFonts w:ascii="Arial" w:cs="Arial" w:eastAsia="Arial" w:hAnsi="Arial"/>
                <w:sz w:val="17"/>
                <w:szCs w:val="17"/>
                <w:b w:val="1"/>
                <w:bCs w:val="1"/>
                <w:color w:val="auto"/>
              </w:rPr>
              <w:t>Year Ended October 31,</w:t>
            </w:r>
          </w:p>
        </w:tc>
        <w:tc>
          <w:tcPr>
            <w:tcW w:w="6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0" w:type="dxa"/>
            <w:vAlign w:val="bottom"/>
            <w:gridSpan w:val="5"/>
            <w:vMerge w:val="continue"/>
          </w:tcPr>
          <w:p>
            <w:pPr>
              <w:spacing w:after="0"/>
              <w:rPr>
                <w:sz w:val="17"/>
                <w:szCs w:val="17"/>
                <w:color w:val="auto"/>
              </w:rPr>
            </w:pPr>
          </w:p>
        </w:tc>
        <w:tc>
          <w:tcPr>
            <w:tcW w:w="680" w:type="dxa"/>
            <w:vAlign w:val="bottom"/>
          </w:tcPr>
          <w:p>
            <w:pPr>
              <w:spacing w:after="0"/>
              <w:rPr>
                <w:sz w:val="17"/>
                <w:szCs w:val="17"/>
                <w:color w:val="auto"/>
              </w:rPr>
            </w:pPr>
          </w:p>
        </w:tc>
        <w:tc>
          <w:tcPr>
            <w:tcW w:w="1520" w:type="dxa"/>
            <w:vAlign w:val="bottom"/>
            <w:vMerge w:val="restart"/>
          </w:tcPr>
          <w:p>
            <w:pPr>
              <w:jc w:val="right"/>
              <w:ind w:right="54"/>
              <w:spacing w:after="0"/>
              <w:rPr>
                <w:sz w:val="20"/>
                <w:szCs w:val="20"/>
                <w:color w:val="auto"/>
              </w:rPr>
            </w:pPr>
            <w:r>
              <w:rPr>
                <w:rFonts w:ascii="Arial" w:cs="Arial" w:eastAsia="Arial" w:hAnsi="Arial"/>
                <w:sz w:val="17"/>
                <w:szCs w:val="17"/>
                <w:b w:val="1"/>
                <w:bCs w:val="1"/>
                <w:color w:val="auto"/>
              </w:rPr>
              <w:t>Decrease</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4280" w:type="dxa"/>
            <w:vAlign w:val="bottom"/>
            <w:gridSpan w:val="3"/>
          </w:tcPr>
          <w:p>
            <w:pPr>
              <w:ind w:left="20"/>
              <w:spacing w:after="0" w:line="148" w:lineRule="exact"/>
              <w:rPr>
                <w:sz w:val="20"/>
                <w:szCs w:val="20"/>
                <w:color w:val="auto"/>
              </w:rPr>
            </w:pPr>
            <w:r>
              <w:rPr>
                <w:rFonts w:ascii="Times New Roman" w:cs="Times New Roman" w:eastAsia="Times New Roman" w:hAnsi="Times New Roman"/>
                <w:sz w:val="14"/>
                <w:szCs w:val="14"/>
                <w:i w:val="1"/>
                <w:iCs w:val="1"/>
                <w:u w:val="single" w:color="auto"/>
                <w:color w:val="auto"/>
              </w:rPr>
              <w:t>(</w:t>
            </w:r>
            <w:r>
              <w:rPr>
                <w:rFonts w:ascii="Times New Roman" w:cs="Times New Roman" w:eastAsia="Times New Roman" w:hAnsi="Times New Roman"/>
                <w:sz w:val="14"/>
                <w:szCs w:val="14"/>
                <w:i w:val="1"/>
                <w:iCs w:val="1"/>
                <w:color w:val="auto"/>
              </w:rPr>
              <w:t>$ in millions)</w:t>
            </w:r>
          </w:p>
        </w:tc>
        <w:tc>
          <w:tcPr>
            <w:tcW w:w="38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tcPr>
          <w:p>
            <w:pPr>
              <w:jc w:val="right"/>
              <w:ind w:right="574"/>
              <w:spacing w:after="0" w:line="148" w:lineRule="exact"/>
              <w:rPr>
                <w:sz w:val="20"/>
                <w:szCs w:val="20"/>
                <w:color w:val="auto"/>
              </w:rPr>
            </w:pPr>
            <w:r>
              <w:rPr>
                <w:rFonts w:ascii="Arial" w:cs="Arial" w:eastAsia="Arial" w:hAnsi="Arial"/>
                <w:sz w:val="17"/>
                <w:szCs w:val="17"/>
                <w:b w:val="1"/>
                <w:bCs w:val="1"/>
                <w:color w:val="auto"/>
              </w:rPr>
              <w:t>2025</w:t>
            </w:r>
          </w:p>
        </w:tc>
        <w:tc>
          <w:tcPr>
            <w:tcW w:w="10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jc w:val="right"/>
              <w:ind w:right="554"/>
              <w:spacing w:after="0" w:line="148" w:lineRule="exact"/>
              <w:rPr>
                <w:sz w:val="20"/>
                <w:szCs w:val="20"/>
                <w:color w:val="auto"/>
              </w:rPr>
            </w:pPr>
            <w:r>
              <w:rPr>
                <w:rFonts w:ascii="Arial" w:cs="Arial" w:eastAsia="Arial" w:hAnsi="Arial"/>
                <w:sz w:val="17"/>
                <w:szCs w:val="17"/>
                <w:b w:val="1"/>
                <w:bCs w:val="1"/>
                <w:color w:val="auto"/>
              </w:rPr>
              <w:t>2024</w:t>
            </w: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520" w:type="dxa"/>
            <w:vAlign w:val="bottom"/>
            <w:vMerge w:val="continue"/>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2"/>
        </w:trPr>
        <w:tc>
          <w:tcPr>
            <w:tcW w:w="20" w:type="dxa"/>
            <w:vAlign w:val="bottom"/>
            <w:tcBorders>
              <w:bottom w:val="single" w:sz="8" w:color="DCE2EF"/>
            </w:tcBorders>
          </w:tcPr>
          <w:p>
            <w:pPr>
              <w:spacing w:after="0"/>
              <w:rPr>
                <w:sz w:val="2"/>
                <w:szCs w:val="2"/>
                <w:color w:val="auto"/>
              </w:rPr>
            </w:pPr>
          </w:p>
        </w:tc>
        <w:tc>
          <w:tcPr>
            <w:tcW w:w="780" w:type="dxa"/>
            <w:vAlign w:val="bottom"/>
            <w:tcBorders>
              <w:top w:val="single" w:sz="8" w:color="auto"/>
              <w:bottom w:val="single" w:sz="8" w:color="DCE2EF"/>
            </w:tcBorders>
          </w:tcPr>
          <w:p>
            <w:pPr>
              <w:spacing w:after="0"/>
              <w:rPr>
                <w:sz w:val="2"/>
                <w:szCs w:val="2"/>
                <w:color w:val="auto"/>
              </w:rPr>
            </w:pPr>
          </w:p>
        </w:tc>
        <w:tc>
          <w:tcPr>
            <w:tcW w:w="3480" w:type="dxa"/>
            <w:vAlign w:val="bottom"/>
            <w:tcBorders>
              <w:bottom w:val="single" w:sz="8" w:color="DCE2E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4280" w:type="dxa"/>
            <w:vAlign w:val="bottom"/>
            <w:gridSpan w:val="3"/>
            <w:shd w:val="clear" w:color="auto" w:fill="DCE2EF"/>
          </w:tcPr>
          <w:p>
            <w:pPr>
              <w:ind w:left="20"/>
              <w:spacing w:after="0"/>
              <w:rPr>
                <w:sz w:val="20"/>
                <w:szCs w:val="20"/>
                <w:color w:val="auto"/>
              </w:rPr>
            </w:pPr>
            <w:r>
              <w:rPr>
                <w:rFonts w:ascii="Arial" w:cs="Arial" w:eastAsia="Arial" w:hAnsi="Arial"/>
                <w:sz w:val="17"/>
                <w:szCs w:val="17"/>
                <w:color w:val="auto"/>
              </w:rPr>
              <w:t>Corporate expenses</w:t>
            </w:r>
          </w:p>
        </w:tc>
        <w:tc>
          <w:tcPr>
            <w:tcW w:w="380" w:type="dxa"/>
            <w:vAlign w:val="bottom"/>
            <w:shd w:val="clear" w:color="auto" w:fill="DCE2EF"/>
          </w:tcPr>
          <w:p>
            <w:pPr>
              <w:jc w:val="right"/>
              <w:ind w:right="174"/>
              <w:spacing w:after="0"/>
              <w:rPr>
                <w:sz w:val="20"/>
                <w:szCs w:val="20"/>
                <w:color w:val="auto"/>
              </w:rPr>
            </w:pPr>
            <w:r>
              <w:rPr>
                <w:rFonts w:ascii="Arial" w:cs="Arial" w:eastAsia="Arial" w:hAnsi="Arial"/>
                <w:sz w:val="17"/>
                <w:szCs w:val="17"/>
                <w:color w:val="auto"/>
              </w:rPr>
              <w:t>$</w:t>
            </w:r>
          </w:p>
        </w:tc>
        <w:tc>
          <w:tcPr>
            <w:tcW w:w="1320" w:type="dxa"/>
            <w:vAlign w:val="bottom"/>
            <w:shd w:val="clear" w:color="auto" w:fill="DCE2EF"/>
          </w:tcPr>
          <w:p>
            <w:pPr>
              <w:jc w:val="right"/>
              <w:spacing w:after="0"/>
              <w:rPr>
                <w:sz w:val="20"/>
                <w:szCs w:val="20"/>
                <w:color w:val="auto"/>
              </w:rPr>
            </w:pPr>
            <w:r>
              <w:rPr>
                <w:rFonts w:ascii="Arial" w:cs="Arial" w:eastAsia="Arial" w:hAnsi="Arial"/>
                <w:sz w:val="17"/>
                <w:szCs w:val="17"/>
                <w:color w:val="auto"/>
              </w:rPr>
              <w:t>(370.5)</w:t>
            </w:r>
          </w:p>
        </w:tc>
        <w:tc>
          <w:tcPr>
            <w:tcW w:w="100" w:type="dxa"/>
            <w:vAlign w:val="bottom"/>
            <w:shd w:val="clear" w:color="auto" w:fill="DCE2EF"/>
          </w:tcPr>
          <w:p>
            <w:pPr>
              <w:spacing w:after="0"/>
              <w:rPr>
                <w:sz w:val="18"/>
                <w:szCs w:val="18"/>
                <w:color w:val="auto"/>
              </w:rPr>
            </w:pPr>
          </w:p>
        </w:tc>
        <w:tc>
          <w:tcPr>
            <w:tcW w:w="380" w:type="dxa"/>
            <w:vAlign w:val="bottom"/>
            <w:shd w:val="clear" w:color="auto" w:fill="DCE2EF"/>
          </w:tcPr>
          <w:p>
            <w:pPr>
              <w:jc w:val="right"/>
              <w:ind w:right="194"/>
              <w:spacing w:after="0"/>
              <w:rPr>
                <w:sz w:val="20"/>
                <w:szCs w:val="20"/>
                <w:color w:val="auto"/>
              </w:rPr>
            </w:pPr>
            <w:r>
              <w:rPr>
                <w:rFonts w:ascii="Arial" w:cs="Arial" w:eastAsia="Arial" w:hAnsi="Arial"/>
                <w:sz w:val="17"/>
                <w:szCs w:val="17"/>
                <w:color w:val="auto"/>
                <w:w w:val="84"/>
              </w:rPr>
              <w:t>$</w:t>
            </w:r>
          </w:p>
        </w:tc>
        <w:tc>
          <w:tcPr>
            <w:tcW w:w="1300" w:type="dxa"/>
            <w:vAlign w:val="bottom"/>
            <w:shd w:val="clear" w:color="auto" w:fill="DCE2EF"/>
          </w:tcPr>
          <w:p>
            <w:pPr>
              <w:jc w:val="right"/>
              <w:spacing w:after="0"/>
              <w:rPr>
                <w:sz w:val="20"/>
                <w:szCs w:val="20"/>
                <w:color w:val="auto"/>
              </w:rPr>
            </w:pPr>
            <w:r>
              <w:rPr>
                <w:rFonts w:ascii="Arial" w:cs="Arial" w:eastAsia="Arial" w:hAnsi="Arial"/>
                <w:sz w:val="17"/>
                <w:szCs w:val="17"/>
                <w:color w:val="auto"/>
              </w:rPr>
              <w:t>(433.1)</w:t>
            </w:r>
          </w:p>
        </w:tc>
        <w:tc>
          <w:tcPr>
            <w:tcW w:w="100" w:type="dxa"/>
            <w:vAlign w:val="bottom"/>
            <w:shd w:val="clear" w:color="auto" w:fill="DCE2EF"/>
          </w:tcPr>
          <w:p>
            <w:pPr>
              <w:spacing w:after="0"/>
              <w:rPr>
                <w:sz w:val="18"/>
                <w:szCs w:val="18"/>
                <w:color w:val="auto"/>
              </w:rPr>
            </w:pPr>
          </w:p>
        </w:tc>
        <w:tc>
          <w:tcPr>
            <w:tcW w:w="680" w:type="dxa"/>
            <w:vAlign w:val="bottom"/>
            <w:shd w:val="clear" w:color="auto" w:fill="DCE2EF"/>
          </w:tcPr>
          <w:p>
            <w:pPr>
              <w:jc w:val="right"/>
              <w:ind w:right="474"/>
              <w:spacing w:after="0"/>
              <w:rPr>
                <w:sz w:val="20"/>
                <w:szCs w:val="20"/>
                <w:color w:val="auto"/>
              </w:rPr>
            </w:pPr>
            <w:r>
              <w:rPr>
                <w:rFonts w:ascii="Arial" w:cs="Arial" w:eastAsia="Arial" w:hAnsi="Arial"/>
                <w:sz w:val="17"/>
                <w:szCs w:val="17"/>
                <w:color w:val="auto"/>
              </w:rPr>
              <w:t>$</w:t>
            </w:r>
          </w:p>
        </w:tc>
        <w:tc>
          <w:tcPr>
            <w:tcW w:w="1520" w:type="dxa"/>
            <w:vAlign w:val="bottom"/>
            <w:shd w:val="clear" w:color="auto" w:fill="DCE2EF"/>
          </w:tcPr>
          <w:p>
            <w:pPr>
              <w:jc w:val="right"/>
              <w:ind w:right="434"/>
              <w:spacing w:after="0"/>
              <w:rPr>
                <w:sz w:val="20"/>
                <w:szCs w:val="20"/>
                <w:color w:val="auto"/>
              </w:rPr>
            </w:pPr>
            <w:r>
              <w:rPr>
                <w:rFonts w:ascii="Arial" w:cs="Arial" w:eastAsia="Arial" w:hAnsi="Arial"/>
                <w:sz w:val="17"/>
                <w:szCs w:val="17"/>
                <w:color w:val="auto"/>
              </w:rPr>
              <w:t>(62.6)</w:t>
            </w:r>
          </w:p>
        </w:tc>
        <w:tc>
          <w:tcPr>
            <w:tcW w:w="1160" w:type="dxa"/>
            <w:vAlign w:val="bottom"/>
            <w:shd w:val="clear" w:color="auto" w:fill="DCE2EF"/>
          </w:tcPr>
          <w:p>
            <w:pPr>
              <w:jc w:val="right"/>
              <w:ind w:right="454"/>
              <w:spacing w:after="0"/>
              <w:rPr>
                <w:sz w:val="20"/>
                <w:szCs w:val="20"/>
                <w:color w:val="auto"/>
              </w:rPr>
            </w:pPr>
            <w:r>
              <w:rPr>
                <w:rFonts w:ascii="Arial" w:cs="Arial" w:eastAsia="Arial" w:hAnsi="Arial"/>
                <w:sz w:val="17"/>
                <w:szCs w:val="17"/>
                <w:color w:val="auto"/>
              </w:rPr>
              <w:t>14.5%</w:t>
            </w:r>
          </w:p>
        </w:tc>
        <w:tc>
          <w:tcPr>
            <w:tcW w:w="0" w:type="dxa"/>
            <w:vAlign w:val="bottom"/>
          </w:tcPr>
          <w:p>
            <w:pPr>
              <w:spacing w:after="0"/>
              <w:rPr>
                <w:sz w:val="1"/>
                <w:szCs w:val="1"/>
                <w:color w:val="auto"/>
              </w:rPr>
            </w:pPr>
          </w:p>
        </w:tc>
      </w:tr>
    </w:tbl>
    <w:p>
      <w:pPr>
        <w:spacing w:after="0" w:line="280" w:lineRule="exact"/>
        <w:rPr>
          <w:sz w:val="20"/>
          <w:szCs w:val="20"/>
          <w:color w:val="auto"/>
        </w:rPr>
      </w:pPr>
    </w:p>
    <w:p>
      <w:pPr>
        <w:ind w:right="80" w:firstLine="619"/>
        <w:spacing w:after="0" w:line="290" w:lineRule="auto"/>
        <w:rPr>
          <w:sz w:val="20"/>
          <w:szCs w:val="20"/>
          <w:color w:val="auto"/>
        </w:rPr>
      </w:pPr>
      <w:r>
        <w:rPr>
          <w:rFonts w:ascii="Arial" w:cs="Arial" w:eastAsia="Arial" w:hAnsi="Arial"/>
          <w:sz w:val="17"/>
          <w:szCs w:val="17"/>
          <w:color w:val="auto"/>
        </w:rPr>
        <w:t>Corporate expenses decreased by $62.6 million, or 14.5%, to $370.5 million during 2025, as compared to 2024. The decrease in corporate expenses was primarily related to:</w:t>
      </w:r>
    </w:p>
    <w:p>
      <w:pPr>
        <w:spacing w:after="0" w:line="95" w:lineRule="exact"/>
        <w:rPr>
          <w:sz w:val="20"/>
          <w:szCs w:val="20"/>
          <w:color w:val="auto"/>
        </w:rPr>
      </w:pPr>
    </w:p>
    <w:p>
      <w:pPr>
        <w:ind w:left="620" w:hanging="307"/>
        <w:spacing w:after="0" w:line="290" w:lineRule="auto"/>
        <w:tabs>
          <w:tab w:leader="none" w:pos="616" w:val="left"/>
        </w:tabs>
        <w:numPr>
          <w:ilvl w:val="0"/>
          <w:numId w:val="14"/>
        </w:numPr>
        <w:rPr>
          <w:rFonts w:ascii="Arial" w:cs="Arial" w:eastAsia="Arial" w:hAnsi="Arial"/>
          <w:sz w:val="17"/>
          <w:szCs w:val="17"/>
          <w:color w:val="auto"/>
        </w:rPr>
      </w:pPr>
      <w:r>
        <w:rPr>
          <w:rFonts w:ascii="Arial" w:cs="Arial" w:eastAsia="Arial" w:hAnsi="Arial"/>
          <w:sz w:val="17"/>
          <w:szCs w:val="17"/>
          <w:color w:val="auto"/>
        </w:rPr>
        <w:t>an absence of a $95.7 million adjustment to increase fair value of the contingent consideration related to the RavenVolt Acquisition in 2024, compared to a $1.6 million adjustment to decrease the fair value in 2025.</w:t>
      </w:r>
    </w:p>
    <w:p>
      <w:pPr>
        <w:spacing w:after="0" w:line="95" w:lineRule="exact"/>
        <w:rPr>
          <w:sz w:val="20"/>
          <w:szCs w:val="20"/>
          <w:color w:val="auto"/>
        </w:rPr>
      </w:pPr>
    </w:p>
    <w:p>
      <w:pPr>
        <w:spacing w:after="0"/>
        <w:rPr>
          <w:sz w:val="20"/>
          <w:szCs w:val="20"/>
          <w:color w:val="auto"/>
        </w:rPr>
      </w:pPr>
      <w:r>
        <w:rPr>
          <w:rFonts w:ascii="Arial" w:cs="Arial" w:eastAsia="Arial" w:hAnsi="Arial"/>
          <w:sz w:val="17"/>
          <w:szCs w:val="17"/>
          <w:color w:val="auto"/>
        </w:rPr>
        <w:t>This decrease was partially offset by:</w:t>
      </w:r>
    </w:p>
    <w:p>
      <w:pPr>
        <w:spacing w:after="0" w:line="165" w:lineRule="exact"/>
        <w:rPr>
          <w:sz w:val="20"/>
          <w:szCs w:val="20"/>
          <w:color w:val="auto"/>
        </w:rPr>
      </w:pPr>
    </w:p>
    <w:p>
      <w:pPr>
        <w:ind w:left="620" w:hanging="307"/>
        <w:spacing w:after="0"/>
        <w:tabs>
          <w:tab w:leader="none" w:pos="6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a $7.5 million increase in compensation and related expenses primarily due to higher salaries and certain incentive plans;</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a $6.3 million increase in acquisition and integration costs; and</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a $5.2 million increase in costs associated with systems’ go-live.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51" w:right="339" w:bottom="1440" w:gutter="0" w:footer="0" w:header="0"/>
        </w:sectPr>
      </w:pPr>
    </w:p>
    <w:bookmarkStart w:id="33" w:name="page34"/>
    <w:bookmarkEnd w:id="33"/>
    <w:p>
      <w:pPr>
        <w:spacing w:after="0"/>
        <w:rPr>
          <w:sz w:val="20"/>
          <w:szCs w:val="20"/>
          <w:color w:val="auto"/>
        </w:rPr>
      </w:pPr>
      <w:r>
        <w:rPr>
          <w:rFonts w:ascii="Arial" w:cs="Arial" w:eastAsia="Arial" w:hAnsi="Arial"/>
          <w:sz w:val="17"/>
          <w:szCs w:val="17"/>
          <w:b w:val="1"/>
          <w:bCs w:val="1"/>
          <w:i w:val="1"/>
          <w:iCs w:val="1"/>
          <w:color w:val="0046AD"/>
        </w:rPr>
        <w:t>The Year Ended October 31, 2024, Compared with the Year Ended October 31, 2023</w:t>
      </w:r>
    </w:p>
    <w:p>
      <w:pPr>
        <w:spacing w:after="0" w:line="16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For a comparison of our Segment Information for the year ended October 31, 2024, to the year ended October 31, 2023, see “Part II, Item</w:t>
      </w:r>
    </w:p>
    <w:p>
      <w:pPr>
        <w:spacing w:after="0" w:line="27" w:lineRule="exact"/>
        <w:rPr>
          <w:sz w:val="20"/>
          <w:szCs w:val="20"/>
          <w:color w:val="auto"/>
        </w:rPr>
      </w:pPr>
    </w:p>
    <w:p>
      <w:pPr>
        <w:ind w:firstLine="3"/>
        <w:spacing w:after="0" w:line="270" w:lineRule="auto"/>
        <w:tabs>
          <w:tab w:leader="none" w:pos="193" w:val="left"/>
        </w:tabs>
        <w:numPr>
          <w:ilvl w:val="0"/>
          <w:numId w:val="16"/>
        </w:numPr>
        <w:rPr>
          <w:rFonts w:ascii="Arial" w:cs="Arial" w:eastAsia="Arial" w:hAnsi="Arial"/>
          <w:sz w:val="17"/>
          <w:szCs w:val="17"/>
          <w:color w:val="auto"/>
        </w:rPr>
      </w:pPr>
      <w:r>
        <w:rPr>
          <w:rFonts w:ascii="Arial" w:cs="Arial" w:eastAsia="Arial" w:hAnsi="Arial"/>
          <w:sz w:val="17"/>
          <w:szCs w:val="17"/>
          <w:color w:val="auto"/>
        </w:rPr>
        <w:t>Management’s Discussion and Analysis of Financial Condition and Results of Operations” of our Form 10-K for the fiscal year ended October 31, 2024, filed with the SEC on December 19, 2024.</w:t>
      </w: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34" w:name="page35"/>
    <w:bookmarkEnd w:id="34"/>
    <w:p>
      <w:pPr>
        <w:spacing w:after="0"/>
        <w:rPr>
          <w:sz w:val="20"/>
          <w:szCs w:val="20"/>
          <w:color w:val="auto"/>
        </w:rPr>
      </w:pPr>
      <w:r>
        <w:rPr>
          <w:rFonts w:ascii="Arial" w:cs="Arial" w:eastAsia="Arial" w:hAnsi="Arial"/>
          <w:sz w:val="17"/>
          <w:szCs w:val="17"/>
          <w:b w:val="1"/>
          <w:bCs w:val="1"/>
          <w:color w:val="0046AD"/>
        </w:rPr>
        <w:t>Liquidity and Capital 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wp:posOffset>
            </wp:positionV>
            <wp:extent cx="713867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40"/>
          </w:cols>
          <w:pgMar w:left="320" w:top="907" w:right="339" w:bottom="1440" w:gutter="0" w:footer="0" w:header="0"/>
        </w:sectPr>
      </w:pPr>
    </w:p>
    <w:p>
      <w:pPr>
        <w:spacing w:after="0" w:line="232"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7"/>
          <w:szCs w:val="17"/>
          <w:color w:val="auto"/>
        </w:rPr>
        <w:t>Our primary sources of liquidity are operating cash flows and borrowing capacity under our credit facility. We assess our liquidity in terms of our ability to generate cash to fund our short- and long-term cash requirements. As such, we project our anticipated cash requirements as well as cash flows generated from operating activities to meet those needs.</w:t>
      </w:r>
    </w:p>
    <w:p>
      <w:pPr>
        <w:spacing w:after="0" w:line="163" w:lineRule="exact"/>
        <w:rPr>
          <w:sz w:val="20"/>
          <w:szCs w:val="20"/>
          <w:color w:val="auto"/>
        </w:rPr>
      </w:pPr>
    </w:p>
    <w:p>
      <w:pPr>
        <w:jc w:val="both"/>
        <w:ind w:firstLine="619"/>
        <w:spacing w:after="0" w:line="250" w:lineRule="auto"/>
        <w:rPr>
          <w:sz w:val="20"/>
          <w:szCs w:val="20"/>
          <w:color w:val="auto"/>
        </w:rPr>
      </w:pPr>
      <w:r>
        <w:rPr>
          <w:rFonts w:ascii="Arial" w:cs="Arial" w:eastAsia="Arial" w:hAnsi="Arial"/>
          <w:sz w:val="17"/>
          <w:szCs w:val="17"/>
          <w:color w:val="auto"/>
        </w:rPr>
        <w:t xml:space="preserve">In addition to normal working capital requirements, we anticipate that our short- and long-term cash requirements will include funding insurance claims, dividend payments, capital expenditures, share repurchases, mandatory loan repayments, contingent consideration payments from acquisitions, and systems and technology transformation initiatives under our </w:t>
      </w:r>
      <w:r>
        <w:rPr>
          <w:rFonts w:ascii="Arial" w:cs="Arial" w:eastAsia="Arial" w:hAnsi="Arial"/>
          <w:sz w:val="17"/>
          <w:szCs w:val="17"/>
          <w:b w:val="1"/>
          <w:bCs w:val="1"/>
          <w:color w:val="E98300"/>
        </w:rPr>
        <w:t>ELEVATE</w:t>
      </w:r>
      <w:r>
        <w:rPr>
          <w:rFonts w:ascii="Arial" w:cs="Arial" w:eastAsia="Arial" w:hAnsi="Arial"/>
          <w:sz w:val="17"/>
          <w:szCs w:val="17"/>
          <w:color w:val="auto"/>
        </w:rPr>
        <w:t xml:space="preserve"> strategy. We anticipate long-term cash uses may also include strategic acquisitions. On a long-term basis, we will continue to rely on our credit facility for any long-term funding not provided by operating cash flows.</w:t>
      </w:r>
    </w:p>
    <w:p>
      <w:pPr>
        <w:spacing w:after="0" w:line="116"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We believe that our operating cash flows and borrowing capacity under our credit facility are sufficient to fund our cash requirements for at least a 12-month period from the issuance of these financial statements. In the event that our plans change or our cash requirements are greater than we anticipate, we may need to access the capital markets to finance future cash requirements. However, there can be no assurance that such financing will be available to us should we need it or, if available, that the terms will be satisfactory to us and not dilutive to existing shareholders.</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46AD"/>
        </w:rPr>
        <w:t>Credit Facility</w:t>
      </w:r>
    </w:p>
    <w:p>
      <w:pPr>
        <w:spacing w:after="0" w:line="165"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7"/>
          <w:szCs w:val="17"/>
          <w:color w:val="auto"/>
        </w:rPr>
        <w:t>On September 1, 2017, we refinanced and replaced our then-existing $800.0 million credit facility with a new senior, secured five-year syndicated credit facility (the “Credit Facility”), consisting of a $900.0 million revolving line of credit and an $800.0 million amortizing term loan. In accordance with the terms of the Credit Facility, the revolving line of credit was reduced to $800.0 million on September 1, 2018.</w:t>
      </w:r>
    </w:p>
    <w:p>
      <w:pPr>
        <w:spacing w:after="0" w:line="111" w:lineRule="exact"/>
        <w:rPr>
          <w:sz w:val="20"/>
          <w:szCs w:val="20"/>
          <w:color w:val="auto"/>
        </w:rPr>
      </w:pPr>
    </w:p>
    <w:p>
      <w:pPr>
        <w:jc w:val="both"/>
        <w:ind w:firstLine="619"/>
        <w:spacing w:after="0" w:line="258" w:lineRule="auto"/>
        <w:rPr>
          <w:sz w:val="20"/>
          <w:szCs w:val="20"/>
          <w:color w:val="auto"/>
        </w:rPr>
      </w:pPr>
      <w:r>
        <w:rPr>
          <w:rFonts w:ascii="Arial" w:cs="Arial" w:eastAsia="Arial" w:hAnsi="Arial"/>
          <w:sz w:val="17"/>
          <w:szCs w:val="17"/>
          <w:color w:val="auto"/>
        </w:rPr>
        <w:t>On February 26, 2025, we amended and restated the Credit Facility (the “Amended Credit Facility”), extending the maturity date to February 26, 2030, and increasing the capacity of the revolving credit facility from $ 1.3 billion to $1.6 billion and the then-remaining term loan outstanding from $528.1 million to $600.0 million. The Amended Credit Facility provides for the issuance of up to $250.0 million for standby letters of credit and the issuance of up to $100.0 million in swingline advances. The obligations under the Amended Credit Facility are guaranteed by the material, domestic wholly owned subsidiaries of ABM and are secured by a pledge of substantially all of the existing and future property and assets of ABM and the guarantors, including a pledge of the capital stock of the wholly owned domestic subsidiaries held by ABM and the guarantors and 65% of the capital stock of the first-tier foreign subsidiaries held by ABM and the guarantors, in each case subject to exceptions. Additionally, we may repay amounts borrowed under the Amended Credit Facility at any time without penalty.</w:t>
      </w:r>
    </w:p>
    <w:p>
      <w:pPr>
        <w:spacing w:after="0" w:line="124" w:lineRule="exact"/>
        <w:rPr>
          <w:sz w:val="20"/>
          <w:szCs w:val="20"/>
          <w:color w:val="auto"/>
        </w:rPr>
      </w:pPr>
    </w:p>
    <w:p>
      <w:pPr>
        <w:jc w:val="both"/>
        <w:ind w:firstLine="619"/>
        <w:spacing w:after="0" w:line="260" w:lineRule="auto"/>
        <w:rPr>
          <w:sz w:val="20"/>
          <w:szCs w:val="20"/>
          <w:color w:val="auto"/>
        </w:rPr>
      </w:pPr>
      <w:r>
        <w:rPr>
          <w:rFonts w:ascii="Arial" w:cs="Arial" w:eastAsia="Arial" w:hAnsi="Arial"/>
          <w:sz w:val="17"/>
          <w:szCs w:val="17"/>
          <w:color w:val="auto"/>
        </w:rPr>
        <w:t>The Amended Credit Facility contains certain covenants, including a maximum total net leverage ratio of 5.00 to 1.00, a maximum secured net leverage ratio of 4.00 to 1.00, and a minimum interest coverage ratio of 1.50 to 1.00, as well as other financial and non-financial covenants. In the event of a material acquisition, as defined in the Amended Credit Facility, we may elect to increase the maximum total net leverage ratio to 5.50 to 1.00 for a total of four fiscal quarters and increase the maximum secured net leverage ratio to 4.50 to 1.00 for a total of four fiscal quarters. Our borrowing capacity is subject to, and limited by, compliance with the covenants described above. At October 31, 2025, we were in compliance with these covenants and expect to be in compliance in the foreseeable future.</w:t>
      </w:r>
    </w:p>
    <w:p>
      <w:pPr>
        <w:spacing w:after="0" w:line="122"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7"/>
          <w:szCs w:val="17"/>
          <w:color w:val="auto"/>
        </w:rPr>
        <w:t>During 2025, we made $23.1 million of principal payments under the term loan. At October 31, 2025, the total outstanding borrowings and standby letters of credit were $1,569.0 million and $23.5 million, respectively. At October 31, 2025, we had up to $577.5 million of borrowing capacity.</w:t>
      </w:r>
    </w:p>
    <w:p>
      <w:pPr>
        <w:spacing w:after="0" w:line="31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46AD"/>
        </w:rPr>
        <w:t>Reinvestment of Foreign Earnings</w:t>
      </w:r>
    </w:p>
    <w:p>
      <w:pPr>
        <w:spacing w:after="0" w:line="165"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We plan to reinvest our foreign earnings to fund future non-U.S. growth and expansion, and we do not anticipate remitting such earnings to the United States. While U.S. federal tax expense had been recognized as a result of the Tax Cuts and Jobs Act of 2017, no deferred tax liabilities with respect to federal and state income taxes or foreign withholding taxes have been recognized. We believe that our cash on hand in the United States, along</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07" w:right="339" w:bottom="1440" w:gutter="0" w:footer="0" w:header="0"/>
          <w:type w:val="continuous"/>
        </w:sectPr>
      </w:pPr>
    </w:p>
    <w:bookmarkStart w:id="35" w:name="page36"/>
    <w:bookmarkEnd w:id="35"/>
    <w:p>
      <w:pPr>
        <w:spacing w:after="0"/>
        <w:rPr>
          <w:sz w:val="20"/>
          <w:szCs w:val="20"/>
          <w:color w:val="auto"/>
        </w:rPr>
      </w:pPr>
      <w:r>
        <w:rPr>
          <w:rFonts w:ascii="Arial" w:cs="Arial" w:eastAsia="Arial" w:hAnsi="Arial"/>
          <w:sz w:val="17"/>
          <w:szCs w:val="17"/>
          <w:color w:val="auto"/>
        </w:rPr>
        <w:t>with our Amended Credit Facility and future domestic cash flows, are sufficient to satisfy our domestic liquidity requirements.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46AD"/>
        </w:rPr>
        <w:t>Share Repurchases</w:t>
      </w:r>
    </w:p>
    <w:p>
      <w:pPr>
        <w:spacing w:after="0" w:line="165" w:lineRule="exact"/>
        <w:rPr>
          <w:sz w:val="20"/>
          <w:szCs w:val="20"/>
          <w:color w:val="auto"/>
        </w:rPr>
      </w:pPr>
    </w:p>
    <w:p>
      <w:pPr>
        <w:jc w:val="both"/>
        <w:ind w:right="100" w:firstLine="619"/>
        <w:spacing w:after="0" w:line="271" w:lineRule="auto"/>
        <w:rPr>
          <w:sz w:val="20"/>
          <w:szCs w:val="20"/>
          <w:color w:val="auto"/>
        </w:rPr>
      </w:pPr>
      <w:r>
        <w:rPr>
          <w:rFonts w:ascii="Arial" w:cs="Arial" w:eastAsia="Arial" w:hAnsi="Arial"/>
          <w:sz w:val="17"/>
          <w:szCs w:val="17"/>
          <w:color w:val="auto"/>
        </w:rPr>
        <w:t>Effective September 3, 2025, our Board of Directors expanded our existing share repurchase program by an additional $150.0 million of our common stock. We repurchased shares under the share repurchase program during the year ended October 31, 2025, as summarized below. At October 31, 2025, authorization for $183.1 million of repurchases remained under the Share Repurchase Program.</w:t>
      </w:r>
    </w:p>
    <w:p>
      <w:pPr>
        <w:spacing w:after="0" w:line="200" w:lineRule="exact"/>
        <w:rPr>
          <w:sz w:val="20"/>
          <w:szCs w:val="20"/>
          <w:color w:val="auto"/>
        </w:rPr>
      </w:pPr>
    </w:p>
    <w:p>
      <w:pPr>
        <w:ind w:left="8760"/>
        <w:spacing w:after="0"/>
        <w:rPr>
          <w:sz w:val="20"/>
          <w:szCs w:val="20"/>
          <w:color w:val="auto"/>
        </w:rPr>
      </w:pPr>
      <w:r>
        <w:rPr>
          <w:rFonts w:ascii="Arial" w:cs="Arial" w:eastAsia="Arial" w:hAnsi="Arial"/>
          <w:sz w:val="17"/>
          <w:szCs w:val="17"/>
          <w:b w:val="1"/>
          <w:bCs w:val="1"/>
          <w:color w:val="auto"/>
        </w:rPr>
        <w:t>Years Ended October 31,</w:t>
      </w:r>
    </w:p>
    <w:p>
      <w:pPr>
        <w:spacing w:after="0" w:line="30" w:lineRule="exact"/>
        <w:rPr>
          <w:sz w:val="20"/>
          <w:szCs w:val="20"/>
          <w:color w:val="auto"/>
        </w:rPr>
      </w:pPr>
    </w:p>
    <w:tbl>
      <w:tblPr>
        <w:tblLayout w:type="fixed"/>
        <w:tblInd w:w="620" w:type="dxa"/>
        <w:tblCellMar>
          <w:top w:w="0" w:type="dxa"/>
          <w:left w:w="0" w:type="dxa"/>
          <w:bottom w:w="0" w:type="dxa"/>
          <w:right w:w="0" w:type="dxa"/>
        </w:tblCellMar>
      </w:tblPr>
      <w:tr>
        <w:trPr>
          <w:trHeight w:val="160"/>
        </w:trPr>
        <w:tc>
          <w:tcPr>
            <w:tcW w:w="7060" w:type="dxa"/>
            <w:vAlign w:val="bottom"/>
            <w:gridSpan w:val="3"/>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 except per share amounts)</w:t>
            </w:r>
          </w:p>
        </w:tc>
        <w:tc>
          <w:tcPr>
            <w:tcW w:w="1380" w:type="dxa"/>
            <w:vAlign w:val="bottom"/>
            <w:tcBorders>
              <w:top w:val="single" w:sz="8" w:color="auto"/>
            </w:tcBorders>
          </w:tcPr>
          <w:p>
            <w:pPr>
              <w:jc w:val="right"/>
              <w:ind w:right="74"/>
              <w:spacing w:after="0" w:line="161" w:lineRule="exact"/>
              <w:rPr>
                <w:sz w:val="20"/>
                <w:szCs w:val="20"/>
                <w:color w:val="auto"/>
              </w:rPr>
            </w:pPr>
            <w:r>
              <w:rPr>
                <w:rFonts w:ascii="Arial" w:cs="Arial" w:eastAsia="Arial" w:hAnsi="Arial"/>
                <w:sz w:val="17"/>
                <w:szCs w:val="17"/>
                <w:b w:val="1"/>
                <w:bCs w:val="1"/>
                <w:color w:val="auto"/>
              </w:rPr>
              <w:t>2025</w:t>
            </w:r>
          </w:p>
        </w:tc>
        <w:tc>
          <w:tcPr>
            <w:tcW w:w="6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520" w:type="dxa"/>
            <w:vAlign w:val="bottom"/>
            <w:tcBorders>
              <w:top w:val="single" w:sz="8" w:color="auto"/>
            </w:tcBorders>
          </w:tcPr>
          <w:p>
            <w:pPr>
              <w:jc w:val="right"/>
              <w:ind w:right="214"/>
              <w:spacing w:after="0" w:line="161" w:lineRule="exact"/>
              <w:rPr>
                <w:sz w:val="20"/>
                <w:szCs w:val="20"/>
                <w:color w:val="auto"/>
              </w:rPr>
            </w:pPr>
            <w:r>
              <w:rPr>
                <w:rFonts w:ascii="Arial" w:cs="Arial" w:eastAsia="Arial" w:hAnsi="Arial"/>
                <w:sz w:val="17"/>
                <w:szCs w:val="17"/>
                <w:b w:val="1"/>
                <w:bCs w:val="1"/>
                <w:color w:val="auto"/>
              </w:rPr>
              <w:t>2024</w:t>
            </w:r>
          </w:p>
        </w:tc>
      </w:tr>
      <w:tr>
        <w:trPr>
          <w:trHeight w:val="32"/>
        </w:trPr>
        <w:tc>
          <w:tcPr>
            <w:tcW w:w="20" w:type="dxa"/>
            <w:vAlign w:val="bottom"/>
            <w:tcBorders>
              <w:bottom w:val="single" w:sz="8" w:color="DCE2EF"/>
            </w:tcBorders>
          </w:tcPr>
          <w:p>
            <w:pPr>
              <w:spacing w:after="0"/>
              <w:rPr>
                <w:sz w:val="2"/>
                <w:szCs w:val="2"/>
                <w:color w:val="auto"/>
              </w:rPr>
            </w:pPr>
          </w:p>
        </w:tc>
        <w:tc>
          <w:tcPr>
            <w:tcW w:w="2140" w:type="dxa"/>
            <w:vAlign w:val="bottom"/>
            <w:tcBorders>
              <w:top w:val="single" w:sz="8" w:color="auto"/>
              <w:bottom w:val="single" w:sz="8" w:color="DCE2EF"/>
            </w:tcBorders>
          </w:tcPr>
          <w:p>
            <w:pPr>
              <w:spacing w:after="0"/>
              <w:rPr>
                <w:sz w:val="2"/>
                <w:szCs w:val="2"/>
                <w:color w:val="auto"/>
              </w:rPr>
            </w:pPr>
          </w:p>
        </w:tc>
        <w:tc>
          <w:tcPr>
            <w:tcW w:w="4900" w:type="dxa"/>
            <w:vAlign w:val="bottom"/>
            <w:tcBorders>
              <w:bottom w:val="single" w:sz="8" w:color="DCE2E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12"/>
        </w:trPr>
        <w:tc>
          <w:tcPr>
            <w:tcW w:w="7060" w:type="dxa"/>
            <w:vAlign w:val="bottom"/>
            <w:gridSpan w:val="3"/>
            <w:shd w:val="clear" w:color="auto" w:fill="DCE2EF"/>
          </w:tcPr>
          <w:p>
            <w:pPr>
              <w:ind w:left="20"/>
              <w:spacing w:after="0"/>
              <w:rPr>
                <w:sz w:val="20"/>
                <w:szCs w:val="20"/>
                <w:color w:val="auto"/>
              </w:rPr>
            </w:pPr>
            <w:r>
              <w:rPr>
                <w:rFonts w:ascii="Arial" w:cs="Arial" w:eastAsia="Arial" w:hAnsi="Arial"/>
                <w:sz w:val="17"/>
                <w:szCs w:val="17"/>
                <w:color w:val="auto"/>
              </w:rPr>
              <w:t>Total number of shares purchased</w:t>
            </w:r>
          </w:p>
        </w:tc>
        <w:tc>
          <w:tcPr>
            <w:tcW w:w="1380" w:type="dxa"/>
            <w:vAlign w:val="bottom"/>
            <w:shd w:val="clear" w:color="auto" w:fill="DCE2EF"/>
          </w:tcPr>
          <w:p>
            <w:pPr>
              <w:spacing w:after="0"/>
              <w:rPr>
                <w:sz w:val="18"/>
                <w:szCs w:val="18"/>
                <w:color w:val="auto"/>
              </w:rPr>
            </w:pPr>
          </w:p>
        </w:tc>
        <w:tc>
          <w:tcPr>
            <w:tcW w:w="660" w:type="dxa"/>
            <w:vAlign w:val="bottom"/>
            <w:shd w:val="clear" w:color="auto" w:fill="DCE2EF"/>
          </w:tcPr>
          <w:p>
            <w:pPr>
              <w:jc w:val="right"/>
              <w:spacing w:after="0"/>
              <w:rPr>
                <w:sz w:val="20"/>
                <w:szCs w:val="20"/>
                <w:color w:val="auto"/>
              </w:rPr>
            </w:pPr>
            <w:r>
              <w:rPr>
                <w:rFonts w:ascii="Arial" w:cs="Arial" w:eastAsia="Arial" w:hAnsi="Arial"/>
                <w:sz w:val="17"/>
                <w:szCs w:val="17"/>
                <w:color w:val="auto"/>
              </w:rPr>
              <w:t>2.56</w:t>
            </w:r>
          </w:p>
        </w:tc>
        <w:tc>
          <w:tcPr>
            <w:tcW w:w="100" w:type="dxa"/>
            <w:vAlign w:val="bottom"/>
            <w:shd w:val="clear" w:color="auto" w:fill="DCE2EF"/>
          </w:tcPr>
          <w:p>
            <w:pPr>
              <w:spacing w:after="0"/>
              <w:rPr>
                <w:sz w:val="18"/>
                <w:szCs w:val="18"/>
                <w:color w:val="auto"/>
              </w:rPr>
            </w:pPr>
          </w:p>
        </w:tc>
        <w:tc>
          <w:tcPr>
            <w:tcW w:w="1520" w:type="dxa"/>
            <w:vAlign w:val="bottom"/>
            <w:shd w:val="clear" w:color="auto" w:fill="DCE2EF"/>
          </w:tcPr>
          <w:p>
            <w:pPr>
              <w:spacing w:after="0"/>
              <w:rPr>
                <w:sz w:val="18"/>
                <w:szCs w:val="18"/>
                <w:color w:val="auto"/>
              </w:rPr>
            </w:pPr>
          </w:p>
        </w:tc>
      </w:tr>
      <w:tr>
        <w:trPr>
          <w:trHeight w:val="219"/>
        </w:trPr>
        <w:tc>
          <w:tcPr>
            <w:tcW w:w="7060" w:type="dxa"/>
            <w:vAlign w:val="bottom"/>
            <w:gridSpan w:val="3"/>
          </w:tcPr>
          <w:p>
            <w:pPr>
              <w:ind w:left="20"/>
              <w:spacing w:after="0" w:line="219" w:lineRule="exact"/>
              <w:rPr>
                <w:sz w:val="20"/>
                <w:szCs w:val="20"/>
                <w:color w:val="auto"/>
              </w:rPr>
            </w:pPr>
            <w:r>
              <w:rPr>
                <w:rFonts w:ascii="Arial" w:cs="Arial" w:eastAsia="Arial" w:hAnsi="Arial"/>
                <w:sz w:val="17"/>
                <w:szCs w:val="17"/>
                <w:color w:val="auto"/>
              </w:rPr>
              <w:t>Average price paid per share</w:t>
            </w:r>
            <w:r>
              <w:rPr>
                <w:rFonts w:ascii="Arial" w:cs="Arial" w:eastAsia="Arial" w:hAnsi="Arial"/>
                <w:sz w:val="22"/>
                <w:szCs w:val="22"/>
                <w:color w:val="auto"/>
                <w:vertAlign w:val="superscript"/>
              </w:rPr>
              <w:t>(1)</w:t>
            </w:r>
          </w:p>
        </w:tc>
        <w:tc>
          <w:tcPr>
            <w:tcW w:w="1380" w:type="dxa"/>
            <w:vAlign w:val="bottom"/>
          </w:tcPr>
          <w:p>
            <w:pPr>
              <w:jc w:val="right"/>
              <w:ind w:right="1174"/>
              <w:spacing w:after="0"/>
              <w:rPr>
                <w:sz w:val="20"/>
                <w:szCs w:val="20"/>
                <w:color w:val="auto"/>
              </w:rPr>
            </w:pPr>
            <w:r>
              <w:rPr>
                <w:rFonts w:ascii="Arial" w:cs="Arial" w:eastAsia="Arial" w:hAnsi="Arial"/>
                <w:sz w:val="17"/>
                <w:szCs w:val="17"/>
                <w:color w:val="auto"/>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47.35</w:t>
            </w:r>
          </w:p>
        </w:tc>
        <w:tc>
          <w:tcPr>
            <w:tcW w:w="100" w:type="dxa"/>
            <w:vAlign w:val="bottom"/>
          </w:tcPr>
          <w:p>
            <w:pPr>
              <w:spacing w:after="0"/>
              <w:rPr>
                <w:sz w:val="19"/>
                <w:szCs w:val="19"/>
                <w:color w:val="auto"/>
              </w:rPr>
            </w:pPr>
          </w:p>
        </w:tc>
        <w:tc>
          <w:tcPr>
            <w:tcW w:w="1520" w:type="dxa"/>
            <w:vAlign w:val="bottom"/>
          </w:tcPr>
          <w:p>
            <w:pPr>
              <w:jc w:val="right"/>
              <w:ind w:right="1314"/>
              <w:spacing w:after="0"/>
              <w:rPr>
                <w:sz w:val="20"/>
                <w:szCs w:val="20"/>
                <w:color w:val="auto"/>
              </w:rPr>
            </w:pPr>
            <w:r>
              <w:rPr>
                <w:rFonts w:ascii="Arial" w:cs="Arial" w:eastAsia="Arial" w:hAnsi="Arial"/>
                <w:sz w:val="17"/>
                <w:szCs w:val="17"/>
                <w:color w:val="auto"/>
              </w:rPr>
              <w:t>$</w:t>
            </w:r>
          </w:p>
        </w:tc>
      </w:tr>
      <w:tr>
        <w:trPr>
          <w:trHeight w:val="219"/>
        </w:trPr>
        <w:tc>
          <w:tcPr>
            <w:tcW w:w="7060" w:type="dxa"/>
            <w:vAlign w:val="bottom"/>
            <w:gridSpan w:val="3"/>
            <w:shd w:val="clear" w:color="auto" w:fill="DCE2EF"/>
          </w:tcPr>
          <w:p>
            <w:pPr>
              <w:ind w:left="20"/>
              <w:spacing w:after="0" w:line="219" w:lineRule="exact"/>
              <w:rPr>
                <w:sz w:val="20"/>
                <w:szCs w:val="20"/>
                <w:color w:val="auto"/>
              </w:rPr>
            </w:pPr>
            <w:r>
              <w:rPr>
                <w:rFonts w:ascii="Arial" w:cs="Arial" w:eastAsia="Arial" w:hAnsi="Arial"/>
                <w:sz w:val="17"/>
                <w:szCs w:val="17"/>
                <w:color w:val="auto"/>
              </w:rPr>
              <w:t>Total cash paid for share repurchases</w:t>
            </w:r>
            <w:r>
              <w:rPr>
                <w:rFonts w:ascii="Arial" w:cs="Arial" w:eastAsia="Arial" w:hAnsi="Arial"/>
                <w:sz w:val="22"/>
                <w:szCs w:val="22"/>
                <w:color w:val="auto"/>
                <w:vertAlign w:val="superscript"/>
              </w:rPr>
              <w:t>(1)</w:t>
            </w:r>
          </w:p>
        </w:tc>
        <w:tc>
          <w:tcPr>
            <w:tcW w:w="1380" w:type="dxa"/>
            <w:vAlign w:val="bottom"/>
            <w:shd w:val="clear" w:color="auto" w:fill="DCE2EF"/>
          </w:tcPr>
          <w:p>
            <w:pPr>
              <w:jc w:val="right"/>
              <w:ind w:right="1174"/>
              <w:spacing w:after="0"/>
              <w:rPr>
                <w:sz w:val="20"/>
                <w:szCs w:val="20"/>
                <w:color w:val="auto"/>
              </w:rPr>
            </w:pPr>
            <w:r>
              <w:rPr>
                <w:rFonts w:ascii="Arial" w:cs="Arial" w:eastAsia="Arial" w:hAnsi="Arial"/>
                <w:sz w:val="17"/>
                <w:szCs w:val="17"/>
                <w:color w:val="auto"/>
              </w:rPr>
              <w:t>$</w:t>
            </w:r>
          </w:p>
        </w:tc>
        <w:tc>
          <w:tcPr>
            <w:tcW w:w="660" w:type="dxa"/>
            <w:vAlign w:val="bottom"/>
            <w:shd w:val="clear" w:color="auto" w:fill="DCE2EF"/>
          </w:tcPr>
          <w:p>
            <w:pPr>
              <w:jc w:val="right"/>
              <w:spacing w:after="0"/>
              <w:rPr>
                <w:sz w:val="20"/>
                <w:szCs w:val="20"/>
                <w:color w:val="auto"/>
              </w:rPr>
            </w:pPr>
            <w:r>
              <w:rPr>
                <w:rFonts w:ascii="Arial" w:cs="Arial" w:eastAsia="Arial" w:hAnsi="Arial"/>
                <w:sz w:val="17"/>
                <w:szCs w:val="17"/>
                <w:color w:val="auto"/>
              </w:rPr>
              <w:t>121.3</w:t>
            </w:r>
          </w:p>
        </w:tc>
        <w:tc>
          <w:tcPr>
            <w:tcW w:w="100" w:type="dxa"/>
            <w:vAlign w:val="bottom"/>
            <w:shd w:val="clear" w:color="auto" w:fill="DCE2EF"/>
          </w:tcPr>
          <w:p>
            <w:pPr>
              <w:spacing w:after="0"/>
              <w:rPr>
                <w:sz w:val="19"/>
                <w:szCs w:val="19"/>
                <w:color w:val="auto"/>
              </w:rPr>
            </w:pPr>
          </w:p>
        </w:tc>
        <w:tc>
          <w:tcPr>
            <w:tcW w:w="1520" w:type="dxa"/>
            <w:vAlign w:val="bottom"/>
            <w:shd w:val="clear" w:color="auto" w:fill="DCE2EF"/>
          </w:tcPr>
          <w:p>
            <w:pPr>
              <w:jc w:val="right"/>
              <w:ind w:right="1314"/>
              <w:spacing w:after="0"/>
              <w:rPr>
                <w:sz w:val="20"/>
                <w:szCs w:val="20"/>
                <w:color w:val="auto"/>
              </w:rPr>
            </w:pPr>
            <w:r>
              <w:rPr>
                <w:rFonts w:ascii="Arial" w:cs="Arial" w:eastAsia="Arial" w:hAnsi="Arial"/>
                <w:sz w:val="17"/>
                <w:szCs w:val="17"/>
                <w:color w:val="auto"/>
              </w:rPr>
              <w:t>$</w:t>
            </w:r>
          </w:p>
        </w:tc>
      </w:tr>
    </w:tbl>
    <w:p>
      <w:pPr>
        <w:spacing w:after="0" w:line="246" w:lineRule="exact"/>
        <w:rPr>
          <w:sz w:val="20"/>
          <w:szCs w:val="20"/>
          <w:color w:val="auto"/>
        </w:rPr>
      </w:pPr>
    </w:p>
    <w:p>
      <w:pPr>
        <w:ind w:right="100" w:firstLine="3"/>
        <w:spacing w:after="0" w:line="224" w:lineRule="auto"/>
        <w:tabs>
          <w:tab w:leader="none" w:pos="184" w:val="left"/>
        </w:tabs>
        <w:numPr>
          <w:ilvl w:val="0"/>
          <w:numId w:val="17"/>
        </w:numPr>
        <w:rPr>
          <w:rFonts w:ascii="Arial" w:cs="Arial" w:eastAsia="Arial" w:hAnsi="Arial"/>
          <w:sz w:val="22"/>
          <w:szCs w:val="22"/>
          <w:color w:val="auto"/>
          <w:vertAlign w:val="superscript"/>
        </w:rPr>
      </w:pPr>
      <w:r>
        <w:rPr>
          <w:rFonts w:ascii="Arial" w:cs="Arial" w:eastAsia="Arial" w:hAnsi="Arial"/>
          <w:sz w:val="15"/>
          <w:szCs w:val="15"/>
          <w:color w:val="auto"/>
        </w:rPr>
        <w:t>Average price paid per share and total cash paid for share repurchases do not include any excise tax for share repurchases as part of the Inflation Reduction Act of 2022.</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46AD"/>
        </w:rPr>
        <w:t>Effect of Inflation</w:t>
      </w:r>
    </w:p>
    <w:p>
      <w:pPr>
        <w:spacing w:after="0" w:line="165" w:lineRule="exact"/>
        <w:rPr>
          <w:sz w:val="20"/>
          <w:szCs w:val="20"/>
          <w:color w:val="auto"/>
        </w:rPr>
      </w:pPr>
    </w:p>
    <w:p>
      <w:pPr>
        <w:jc w:val="both"/>
        <w:ind w:right="100" w:firstLine="619"/>
        <w:spacing w:after="0" w:line="290" w:lineRule="auto"/>
        <w:rPr>
          <w:sz w:val="20"/>
          <w:szCs w:val="20"/>
          <w:color w:val="auto"/>
        </w:rPr>
      </w:pPr>
      <w:r>
        <w:rPr>
          <w:rFonts w:ascii="Arial" w:cs="Arial" w:eastAsia="Arial" w:hAnsi="Arial"/>
          <w:sz w:val="17"/>
          <w:szCs w:val="17"/>
          <w:color w:val="auto"/>
        </w:rPr>
        <w:t>The rates of inflation experienced in recent years have not had a material impact on our Financial Statements. We attempt to recover increased costs by increasing prices for our services to the extent permitted by contracts and competition.</w:t>
      </w:r>
    </w:p>
    <w:p>
      <w:pPr>
        <w:spacing w:after="0" w:line="9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46AD"/>
        </w:rPr>
        <w:t>Regulatory Environment</w:t>
      </w:r>
    </w:p>
    <w:p>
      <w:pPr>
        <w:spacing w:after="0" w:line="165" w:lineRule="exact"/>
        <w:rPr>
          <w:sz w:val="20"/>
          <w:szCs w:val="20"/>
          <w:color w:val="auto"/>
        </w:rPr>
      </w:pPr>
    </w:p>
    <w:p>
      <w:pPr>
        <w:jc w:val="both"/>
        <w:ind w:right="100" w:firstLine="619"/>
        <w:spacing w:after="0" w:line="265" w:lineRule="auto"/>
        <w:rPr>
          <w:sz w:val="20"/>
          <w:szCs w:val="20"/>
          <w:color w:val="auto"/>
        </w:rPr>
      </w:pPr>
      <w:r>
        <w:rPr>
          <w:rFonts w:ascii="Arial" w:cs="Arial" w:eastAsia="Arial" w:hAnsi="Arial"/>
          <w:sz w:val="17"/>
          <w:szCs w:val="17"/>
          <w:color w:val="auto"/>
        </w:rPr>
        <w:t>Our operations are subject to various federal, state, and/or local laws, rules, and regulations regulating among other things, labor, wages, and health and safety matters, as well as laws and regulations relating to the discharge of materials into the environment or otherwise relating to the protection of the environment. Historically, the cost of complying with these laws, rules, and regulations has not had a material adverse effect on our financial position, results of operations, or cash flows.</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46AD"/>
        </w:rPr>
        <w:t>Cash Flows</w:t>
      </w:r>
    </w:p>
    <w:p>
      <w:pPr>
        <w:spacing w:after="0" w:line="165" w:lineRule="exact"/>
        <w:rPr>
          <w:sz w:val="20"/>
          <w:szCs w:val="20"/>
          <w:color w:val="auto"/>
        </w:rPr>
      </w:pPr>
    </w:p>
    <w:p>
      <w:pPr>
        <w:jc w:val="both"/>
        <w:ind w:right="100" w:firstLine="219"/>
        <w:spacing w:after="0" w:line="258" w:lineRule="auto"/>
        <w:rPr>
          <w:sz w:val="20"/>
          <w:szCs w:val="20"/>
          <w:color w:val="auto"/>
        </w:rPr>
      </w:pPr>
      <w:r>
        <w:rPr>
          <w:rFonts w:ascii="Arial" w:cs="Arial" w:eastAsia="Arial" w:hAnsi="Arial"/>
          <w:sz w:val="17"/>
          <w:szCs w:val="17"/>
          <w:color w:val="auto"/>
        </w:rPr>
        <w:t>In addition to revenues and operating profit, our management views operating cash flows as a good indicator of financial performance, because strong operating cash flows provide opportunities for growth both organically and through acquisitions. Operating cash flows primarily depend on: revenue levels; profitability levels of our jobs; the quality and timing of collections of accounts receivable; the timing of payments to suppliers and other vendors; the timing and amount of income tax payments; the actual payments of contingent consideration made in excess of the acquisition-</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620" w:type="dxa"/>
            <w:vAlign w:val="bottom"/>
            <w:gridSpan w:val="2"/>
          </w:tcPr>
          <w:p>
            <w:pPr>
              <w:spacing w:after="0"/>
              <w:rPr>
                <w:sz w:val="20"/>
                <w:szCs w:val="20"/>
                <w:color w:val="auto"/>
              </w:rPr>
            </w:pPr>
            <w:r>
              <w:rPr>
                <w:rFonts w:ascii="Arial" w:cs="Arial" w:eastAsia="Arial" w:hAnsi="Arial"/>
                <w:sz w:val="17"/>
                <w:szCs w:val="17"/>
                <w:color w:val="auto"/>
              </w:rPr>
              <w:t>date</w:t>
            </w:r>
          </w:p>
        </w:tc>
        <w:tc>
          <w:tcPr>
            <w:tcW w:w="400" w:type="dxa"/>
            <w:vAlign w:val="bottom"/>
          </w:tcPr>
          <w:p>
            <w:pPr>
              <w:ind w:left="20"/>
              <w:spacing w:after="0"/>
              <w:rPr>
                <w:sz w:val="20"/>
                <w:szCs w:val="20"/>
                <w:color w:val="auto"/>
              </w:rPr>
            </w:pPr>
            <w:r>
              <w:rPr>
                <w:rFonts w:ascii="Arial" w:cs="Arial" w:eastAsia="Arial" w:hAnsi="Arial"/>
                <w:sz w:val="17"/>
                <w:szCs w:val="17"/>
                <w:color w:val="auto"/>
              </w:rPr>
              <w:t>fair</w:t>
            </w:r>
          </w:p>
        </w:tc>
        <w:tc>
          <w:tcPr>
            <w:tcW w:w="760" w:type="dxa"/>
            <w:vAlign w:val="bottom"/>
          </w:tcPr>
          <w:p>
            <w:pPr>
              <w:ind w:left="160"/>
              <w:spacing w:after="0"/>
              <w:rPr>
                <w:sz w:val="20"/>
                <w:szCs w:val="20"/>
                <w:color w:val="auto"/>
              </w:rPr>
            </w:pPr>
            <w:r>
              <w:rPr>
                <w:rFonts w:ascii="Arial" w:cs="Arial" w:eastAsia="Arial" w:hAnsi="Arial"/>
                <w:sz w:val="17"/>
                <w:szCs w:val="17"/>
                <w:color w:val="auto"/>
              </w:rPr>
              <w:t>value;</w:t>
            </w:r>
          </w:p>
        </w:tc>
        <w:tc>
          <w:tcPr>
            <w:tcW w:w="580" w:type="dxa"/>
            <w:vAlign w:val="bottom"/>
          </w:tcPr>
          <w:p>
            <w:pPr>
              <w:ind w:left="140"/>
              <w:spacing w:after="0"/>
              <w:rPr>
                <w:sz w:val="20"/>
                <w:szCs w:val="20"/>
                <w:color w:val="auto"/>
              </w:rPr>
            </w:pPr>
            <w:r>
              <w:rPr>
                <w:rFonts w:ascii="Arial" w:cs="Arial" w:eastAsia="Arial" w:hAnsi="Arial"/>
                <w:sz w:val="17"/>
                <w:szCs w:val="17"/>
                <w:color w:val="auto"/>
              </w:rPr>
              <w:t>and</w:t>
            </w:r>
          </w:p>
        </w:tc>
        <w:tc>
          <w:tcPr>
            <w:tcW w:w="540" w:type="dxa"/>
            <w:vAlign w:val="bottom"/>
          </w:tcPr>
          <w:p>
            <w:pPr>
              <w:ind w:left="160"/>
              <w:spacing w:after="0"/>
              <w:rPr>
                <w:sz w:val="20"/>
                <w:szCs w:val="20"/>
                <w:color w:val="auto"/>
              </w:rPr>
            </w:pPr>
            <w:r>
              <w:rPr>
                <w:rFonts w:ascii="Arial" w:cs="Arial" w:eastAsia="Arial" w:hAnsi="Arial"/>
                <w:sz w:val="17"/>
                <w:szCs w:val="17"/>
                <w:color w:val="auto"/>
              </w:rPr>
              <w:t>the</w:t>
            </w:r>
          </w:p>
        </w:tc>
        <w:tc>
          <w:tcPr>
            <w:tcW w:w="760" w:type="dxa"/>
            <w:vAlign w:val="bottom"/>
          </w:tcPr>
          <w:p>
            <w:pPr>
              <w:ind w:left="140"/>
              <w:spacing w:after="0"/>
              <w:rPr>
                <w:sz w:val="20"/>
                <w:szCs w:val="20"/>
                <w:color w:val="auto"/>
              </w:rPr>
            </w:pPr>
            <w:r>
              <w:rPr>
                <w:rFonts w:ascii="Arial" w:cs="Arial" w:eastAsia="Arial" w:hAnsi="Arial"/>
                <w:sz w:val="17"/>
                <w:szCs w:val="17"/>
                <w:color w:val="auto"/>
              </w:rPr>
              <w:t>timing</w:t>
            </w:r>
          </w:p>
        </w:tc>
        <w:tc>
          <w:tcPr>
            <w:tcW w:w="580" w:type="dxa"/>
            <w:vAlign w:val="bottom"/>
          </w:tcPr>
          <w:p>
            <w:pPr>
              <w:ind w:left="140"/>
              <w:spacing w:after="0"/>
              <w:rPr>
                <w:sz w:val="20"/>
                <w:szCs w:val="20"/>
                <w:color w:val="auto"/>
              </w:rPr>
            </w:pPr>
            <w:r>
              <w:rPr>
                <w:rFonts w:ascii="Arial" w:cs="Arial" w:eastAsia="Arial" w:hAnsi="Arial"/>
                <w:sz w:val="17"/>
                <w:szCs w:val="17"/>
                <w:color w:val="auto"/>
              </w:rPr>
              <w:t>and</w:t>
            </w:r>
          </w:p>
        </w:tc>
        <w:tc>
          <w:tcPr>
            <w:tcW w:w="880" w:type="dxa"/>
            <w:vAlign w:val="bottom"/>
          </w:tcPr>
          <w:p>
            <w:pPr>
              <w:ind w:left="160"/>
              <w:spacing w:after="0"/>
              <w:rPr>
                <w:sz w:val="20"/>
                <w:szCs w:val="20"/>
                <w:color w:val="auto"/>
              </w:rPr>
            </w:pPr>
            <w:r>
              <w:rPr>
                <w:rFonts w:ascii="Arial" w:cs="Arial" w:eastAsia="Arial" w:hAnsi="Arial"/>
                <w:sz w:val="17"/>
                <w:szCs w:val="17"/>
                <w:color w:val="auto"/>
              </w:rPr>
              <w:t>amount</w:t>
            </w:r>
          </w:p>
        </w:tc>
        <w:tc>
          <w:tcPr>
            <w:tcW w:w="440" w:type="dxa"/>
            <w:vAlign w:val="bottom"/>
          </w:tcPr>
          <w:p>
            <w:pPr>
              <w:ind w:left="140"/>
              <w:spacing w:after="0"/>
              <w:rPr>
                <w:sz w:val="20"/>
                <w:szCs w:val="20"/>
                <w:color w:val="auto"/>
              </w:rPr>
            </w:pPr>
            <w:r>
              <w:rPr>
                <w:rFonts w:ascii="Arial" w:cs="Arial" w:eastAsia="Arial" w:hAnsi="Arial"/>
                <w:sz w:val="17"/>
                <w:szCs w:val="17"/>
                <w:color w:val="auto"/>
              </w:rPr>
              <w:t>of</w:t>
            </w:r>
          </w:p>
        </w:tc>
        <w:tc>
          <w:tcPr>
            <w:tcW w:w="1040" w:type="dxa"/>
            <w:vAlign w:val="bottom"/>
          </w:tcPr>
          <w:p>
            <w:pPr>
              <w:ind w:left="140"/>
              <w:spacing w:after="0"/>
              <w:rPr>
                <w:sz w:val="20"/>
                <w:szCs w:val="20"/>
                <w:color w:val="auto"/>
              </w:rPr>
            </w:pPr>
            <w:r>
              <w:rPr>
                <w:rFonts w:ascii="Arial" w:cs="Arial" w:eastAsia="Arial" w:hAnsi="Arial"/>
                <w:sz w:val="17"/>
                <w:szCs w:val="17"/>
                <w:color w:val="auto"/>
              </w:rPr>
              <w:t>payments</w:t>
            </w:r>
          </w:p>
        </w:tc>
        <w:tc>
          <w:tcPr>
            <w:tcW w:w="480" w:type="dxa"/>
            <w:vAlign w:val="bottom"/>
          </w:tcPr>
          <w:p>
            <w:pPr>
              <w:ind w:left="140"/>
              <w:spacing w:after="0"/>
              <w:rPr>
                <w:sz w:val="20"/>
                <w:szCs w:val="20"/>
                <w:color w:val="auto"/>
              </w:rPr>
            </w:pPr>
            <w:r>
              <w:rPr>
                <w:rFonts w:ascii="Arial" w:cs="Arial" w:eastAsia="Arial" w:hAnsi="Arial"/>
                <w:sz w:val="17"/>
                <w:szCs w:val="17"/>
                <w:color w:val="auto"/>
              </w:rPr>
              <w:t>on</w:t>
            </w:r>
          </w:p>
        </w:tc>
        <w:tc>
          <w:tcPr>
            <w:tcW w:w="920" w:type="dxa"/>
            <w:vAlign w:val="bottom"/>
            <w:gridSpan w:val="2"/>
          </w:tcPr>
          <w:p>
            <w:pPr>
              <w:ind w:left="160"/>
              <w:spacing w:after="0"/>
              <w:rPr>
                <w:sz w:val="20"/>
                <w:szCs w:val="20"/>
                <w:color w:val="auto"/>
              </w:rPr>
            </w:pPr>
            <w:r>
              <w:rPr>
                <w:rFonts w:ascii="Arial" w:cs="Arial" w:eastAsia="Arial" w:hAnsi="Arial"/>
                <w:sz w:val="17"/>
                <w:szCs w:val="17"/>
                <w:color w:val="auto"/>
              </w:rPr>
              <w:t>insurance</w:t>
            </w:r>
          </w:p>
        </w:tc>
        <w:tc>
          <w:tcPr>
            <w:tcW w:w="880" w:type="dxa"/>
            <w:vAlign w:val="bottom"/>
            <w:gridSpan w:val="2"/>
          </w:tcPr>
          <w:p>
            <w:pPr>
              <w:ind w:left="280"/>
              <w:spacing w:after="0"/>
              <w:rPr>
                <w:sz w:val="20"/>
                <w:szCs w:val="20"/>
                <w:color w:val="auto"/>
              </w:rPr>
            </w:pPr>
            <w:r>
              <w:rPr>
                <w:rFonts w:ascii="Arial" w:cs="Arial" w:eastAsia="Arial" w:hAnsi="Arial"/>
                <w:sz w:val="17"/>
                <w:szCs w:val="17"/>
                <w:color w:val="auto"/>
              </w:rPr>
              <w:t>claims</w:t>
            </w:r>
          </w:p>
        </w:tc>
        <w:tc>
          <w:tcPr>
            <w:tcW w:w="520" w:type="dxa"/>
            <w:vAlign w:val="bottom"/>
          </w:tcPr>
          <w:p>
            <w:pPr>
              <w:ind w:left="180"/>
              <w:spacing w:after="0"/>
              <w:rPr>
                <w:sz w:val="20"/>
                <w:szCs w:val="20"/>
                <w:color w:val="auto"/>
              </w:rPr>
            </w:pPr>
            <w:r>
              <w:rPr>
                <w:rFonts w:ascii="Arial" w:cs="Arial" w:eastAsia="Arial" w:hAnsi="Arial"/>
                <w:sz w:val="17"/>
                <w:szCs w:val="17"/>
                <w:color w:val="auto"/>
              </w:rPr>
              <w:t>and</w:t>
            </w:r>
          </w:p>
        </w:tc>
        <w:tc>
          <w:tcPr>
            <w:tcW w:w="720" w:type="dxa"/>
            <w:vAlign w:val="bottom"/>
            <w:gridSpan w:val="2"/>
          </w:tcPr>
          <w:p>
            <w:pPr>
              <w:ind w:left="240"/>
              <w:spacing w:after="0"/>
              <w:rPr>
                <w:sz w:val="20"/>
                <w:szCs w:val="20"/>
                <w:color w:val="auto"/>
              </w:rPr>
            </w:pPr>
            <w:r>
              <w:rPr>
                <w:rFonts w:ascii="Arial" w:cs="Arial" w:eastAsia="Arial" w:hAnsi="Arial"/>
                <w:sz w:val="17"/>
                <w:szCs w:val="17"/>
                <w:color w:val="auto"/>
              </w:rPr>
              <w:t>legal</w:t>
            </w:r>
          </w:p>
        </w:tc>
        <w:tc>
          <w:tcPr>
            <w:tcW w:w="1120" w:type="dxa"/>
            <w:vAlign w:val="bottom"/>
          </w:tcPr>
          <w:p>
            <w:pPr>
              <w:jc w:val="right"/>
              <w:spacing w:after="0"/>
              <w:rPr>
                <w:sz w:val="20"/>
                <w:szCs w:val="20"/>
                <w:color w:val="auto"/>
              </w:rPr>
            </w:pPr>
            <w:r>
              <w:rPr>
                <w:rFonts w:ascii="Arial" w:cs="Arial" w:eastAsia="Arial" w:hAnsi="Arial"/>
                <w:sz w:val="17"/>
                <w:szCs w:val="17"/>
                <w:color w:val="auto"/>
              </w:rPr>
              <w:t>settlements.</w:t>
            </w:r>
          </w:p>
        </w:tc>
      </w:tr>
      <w:tr>
        <w:trPr>
          <w:trHeight w:val="227"/>
        </w:trPr>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3240" w:type="dxa"/>
            <w:vAlign w:val="bottom"/>
            <w:tcBorders>
              <w:bottom w:val="single" w:sz="8" w:color="auto"/>
            </w:tcBorders>
            <w:gridSpan w:val="6"/>
          </w:tcPr>
          <w:p>
            <w:pPr>
              <w:jc w:val="right"/>
              <w:ind w:right="754"/>
              <w:spacing w:after="0"/>
              <w:rPr>
                <w:sz w:val="20"/>
                <w:szCs w:val="20"/>
                <w:color w:val="auto"/>
              </w:rPr>
            </w:pPr>
            <w:r>
              <w:rPr>
                <w:rFonts w:ascii="Arial" w:cs="Arial" w:eastAsia="Arial" w:hAnsi="Arial"/>
                <w:sz w:val="17"/>
                <w:szCs w:val="17"/>
                <w:b w:val="1"/>
                <w:bCs w:val="1"/>
                <w:color w:val="auto"/>
              </w:rPr>
              <w:t>Year Ended October 31,</w:t>
            </w:r>
          </w:p>
        </w:tc>
      </w:tr>
      <w:tr>
        <w:trPr>
          <w:trHeight w:val="173"/>
        </w:trPr>
        <w:tc>
          <w:tcPr>
            <w:tcW w:w="620" w:type="dxa"/>
            <w:vAlign w:val="bottom"/>
            <w:gridSpan w:val="2"/>
          </w:tcPr>
          <w:p>
            <w:pPr>
              <w:ind w:left="20"/>
              <w:spacing w:after="0"/>
              <w:rPr>
                <w:sz w:val="20"/>
                <w:szCs w:val="20"/>
                <w:color w:val="auto"/>
              </w:rPr>
            </w:pPr>
            <w:r>
              <w:rPr>
                <w:rFonts w:ascii="Times New Roman" w:cs="Times New Roman" w:eastAsia="Times New Roman" w:hAnsi="Times New Roman"/>
                <w:sz w:val="12"/>
                <w:szCs w:val="12"/>
                <w:i w:val="1"/>
                <w:iCs w:val="1"/>
                <w:color w:val="auto"/>
                <w:w w:val="98"/>
              </w:rPr>
              <w:t>(in millions)</w:t>
            </w:r>
          </w:p>
        </w:tc>
        <w:tc>
          <w:tcPr>
            <w:tcW w:w="4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jc w:val="right"/>
              <w:ind w:right="274"/>
              <w:spacing w:after="0" w:line="173" w:lineRule="exact"/>
              <w:rPr>
                <w:sz w:val="20"/>
                <w:szCs w:val="20"/>
                <w:color w:val="auto"/>
              </w:rPr>
            </w:pPr>
            <w:r>
              <w:rPr>
                <w:rFonts w:ascii="Arial" w:cs="Arial" w:eastAsia="Arial" w:hAnsi="Arial"/>
                <w:sz w:val="17"/>
                <w:szCs w:val="17"/>
                <w:b w:val="1"/>
                <w:bCs w:val="1"/>
                <w:color w:val="auto"/>
              </w:rPr>
              <w:t>2025</w:t>
            </w:r>
          </w:p>
        </w:tc>
        <w:tc>
          <w:tcPr>
            <w:tcW w:w="120" w:type="dxa"/>
            <w:vAlign w:val="bottom"/>
          </w:tcPr>
          <w:p>
            <w:pPr>
              <w:spacing w:after="0"/>
              <w:rPr>
                <w:sz w:val="15"/>
                <w:szCs w:val="15"/>
                <w:color w:val="auto"/>
              </w:rPr>
            </w:pPr>
          </w:p>
        </w:tc>
        <w:tc>
          <w:tcPr>
            <w:tcW w:w="1120" w:type="dxa"/>
            <w:vAlign w:val="bottom"/>
            <w:gridSpan w:val="2"/>
          </w:tcPr>
          <w:p>
            <w:pPr>
              <w:jc w:val="right"/>
              <w:ind w:right="274"/>
              <w:spacing w:after="0" w:line="173" w:lineRule="exact"/>
              <w:rPr>
                <w:sz w:val="20"/>
                <w:szCs w:val="20"/>
                <w:color w:val="auto"/>
              </w:rPr>
            </w:pPr>
            <w:r>
              <w:rPr>
                <w:rFonts w:ascii="Arial" w:cs="Arial" w:eastAsia="Arial" w:hAnsi="Arial"/>
                <w:sz w:val="17"/>
                <w:szCs w:val="17"/>
                <w:b w:val="1"/>
                <w:bCs w:val="1"/>
                <w:color w:val="auto"/>
              </w:rPr>
              <w:t>2024</w:t>
            </w:r>
          </w:p>
        </w:tc>
        <w:tc>
          <w:tcPr>
            <w:tcW w:w="120" w:type="dxa"/>
            <w:vAlign w:val="bottom"/>
          </w:tcPr>
          <w:p>
            <w:pPr>
              <w:spacing w:after="0"/>
              <w:rPr>
                <w:sz w:val="15"/>
                <w:szCs w:val="15"/>
                <w:color w:val="auto"/>
              </w:rPr>
            </w:pPr>
          </w:p>
        </w:tc>
        <w:tc>
          <w:tcPr>
            <w:tcW w:w="1120" w:type="dxa"/>
            <w:vAlign w:val="bottom"/>
          </w:tcPr>
          <w:p>
            <w:pPr>
              <w:jc w:val="right"/>
              <w:ind w:right="294"/>
              <w:spacing w:after="0" w:line="173" w:lineRule="exact"/>
              <w:rPr>
                <w:sz w:val="20"/>
                <w:szCs w:val="20"/>
                <w:color w:val="auto"/>
              </w:rPr>
            </w:pPr>
            <w:r>
              <w:rPr>
                <w:rFonts w:ascii="Arial" w:cs="Arial" w:eastAsia="Arial" w:hAnsi="Arial"/>
                <w:sz w:val="17"/>
                <w:szCs w:val="17"/>
                <w:b w:val="1"/>
                <w:bCs w:val="1"/>
                <w:color w:val="auto"/>
              </w:rPr>
              <w:t>2023</w:t>
            </w:r>
          </w:p>
        </w:tc>
      </w:tr>
      <w:tr>
        <w:trPr>
          <w:trHeight w:val="20"/>
        </w:trPr>
        <w:tc>
          <w:tcPr>
            <w:tcW w:w="20" w:type="dxa"/>
            <w:vAlign w:val="bottom"/>
            <w:tcBorders>
              <w:bottom w:val="single" w:sz="8" w:color="DCE2EF"/>
            </w:tcBorders>
          </w:tcPr>
          <w:p>
            <w:pPr>
              <w:spacing w:after="0" w:line="20" w:lineRule="exact"/>
              <w:rPr>
                <w:sz w:val="1"/>
                <w:szCs w:val="1"/>
                <w:color w:val="auto"/>
              </w:rPr>
            </w:pPr>
          </w:p>
        </w:tc>
        <w:tc>
          <w:tcPr>
            <w:tcW w:w="600" w:type="dxa"/>
            <w:vAlign w:val="bottom"/>
            <w:tcBorders>
              <w:top w:val="single" w:sz="8" w:color="auto"/>
              <w:bottom w:val="single" w:sz="8" w:color="DCE2EF"/>
            </w:tcBorders>
          </w:tcPr>
          <w:p>
            <w:pPr>
              <w:spacing w:after="0" w:line="20" w:lineRule="exact"/>
              <w:rPr>
                <w:sz w:val="1"/>
                <w:szCs w:val="1"/>
                <w:color w:val="auto"/>
              </w:rPr>
            </w:pPr>
          </w:p>
        </w:tc>
        <w:tc>
          <w:tcPr>
            <w:tcW w:w="400" w:type="dxa"/>
            <w:vAlign w:val="bottom"/>
            <w:tcBorders>
              <w:bottom w:val="single" w:sz="8" w:color="DCE2EF"/>
            </w:tcBorders>
          </w:tcPr>
          <w:p>
            <w:pPr>
              <w:spacing w:after="0" w:line="20" w:lineRule="exact"/>
              <w:rPr>
                <w:sz w:val="1"/>
                <w:szCs w:val="1"/>
                <w:color w:val="auto"/>
              </w:rPr>
            </w:pPr>
          </w:p>
        </w:tc>
        <w:tc>
          <w:tcPr>
            <w:tcW w:w="760" w:type="dxa"/>
            <w:vAlign w:val="bottom"/>
            <w:tcBorders>
              <w:bottom w:val="single" w:sz="8" w:color="DCE2EF"/>
            </w:tcBorders>
          </w:tcPr>
          <w:p>
            <w:pPr>
              <w:spacing w:after="0" w:line="20" w:lineRule="exact"/>
              <w:rPr>
                <w:sz w:val="1"/>
                <w:szCs w:val="1"/>
                <w:color w:val="auto"/>
              </w:rPr>
            </w:pPr>
          </w:p>
        </w:tc>
        <w:tc>
          <w:tcPr>
            <w:tcW w:w="580" w:type="dxa"/>
            <w:vAlign w:val="bottom"/>
            <w:tcBorders>
              <w:bottom w:val="single" w:sz="8" w:color="DCE2EF"/>
            </w:tcBorders>
          </w:tcPr>
          <w:p>
            <w:pPr>
              <w:spacing w:after="0" w:line="20" w:lineRule="exact"/>
              <w:rPr>
                <w:sz w:val="1"/>
                <w:szCs w:val="1"/>
                <w:color w:val="auto"/>
              </w:rPr>
            </w:pPr>
          </w:p>
        </w:tc>
        <w:tc>
          <w:tcPr>
            <w:tcW w:w="540" w:type="dxa"/>
            <w:vAlign w:val="bottom"/>
            <w:tcBorders>
              <w:bottom w:val="single" w:sz="8" w:color="DCE2EF"/>
            </w:tcBorders>
          </w:tcPr>
          <w:p>
            <w:pPr>
              <w:spacing w:after="0" w:line="20" w:lineRule="exact"/>
              <w:rPr>
                <w:sz w:val="1"/>
                <w:szCs w:val="1"/>
                <w:color w:val="auto"/>
              </w:rPr>
            </w:pPr>
          </w:p>
        </w:tc>
        <w:tc>
          <w:tcPr>
            <w:tcW w:w="760" w:type="dxa"/>
            <w:vAlign w:val="bottom"/>
            <w:tcBorders>
              <w:bottom w:val="single" w:sz="8" w:color="DCE2EF"/>
            </w:tcBorders>
          </w:tcPr>
          <w:p>
            <w:pPr>
              <w:spacing w:after="0" w:line="20" w:lineRule="exact"/>
              <w:rPr>
                <w:sz w:val="1"/>
                <w:szCs w:val="1"/>
                <w:color w:val="auto"/>
              </w:rPr>
            </w:pPr>
          </w:p>
        </w:tc>
        <w:tc>
          <w:tcPr>
            <w:tcW w:w="580" w:type="dxa"/>
            <w:vAlign w:val="bottom"/>
            <w:tcBorders>
              <w:bottom w:val="single" w:sz="8" w:color="DCE2EF"/>
            </w:tcBorders>
          </w:tcPr>
          <w:p>
            <w:pPr>
              <w:spacing w:after="0" w:line="20" w:lineRule="exact"/>
              <w:rPr>
                <w:sz w:val="1"/>
                <w:szCs w:val="1"/>
                <w:color w:val="auto"/>
              </w:rPr>
            </w:pPr>
          </w:p>
        </w:tc>
        <w:tc>
          <w:tcPr>
            <w:tcW w:w="880" w:type="dxa"/>
            <w:vAlign w:val="bottom"/>
            <w:tcBorders>
              <w:bottom w:val="single" w:sz="8" w:color="DCE2EF"/>
            </w:tcBorders>
          </w:tcPr>
          <w:p>
            <w:pPr>
              <w:spacing w:after="0" w:line="20" w:lineRule="exact"/>
              <w:rPr>
                <w:sz w:val="1"/>
                <w:szCs w:val="1"/>
                <w:color w:val="auto"/>
              </w:rPr>
            </w:pPr>
          </w:p>
        </w:tc>
        <w:tc>
          <w:tcPr>
            <w:tcW w:w="440" w:type="dxa"/>
            <w:vAlign w:val="bottom"/>
            <w:tcBorders>
              <w:bottom w:val="single" w:sz="8" w:color="DCE2EF"/>
            </w:tcBorders>
          </w:tcPr>
          <w:p>
            <w:pPr>
              <w:spacing w:after="0" w:line="20" w:lineRule="exact"/>
              <w:rPr>
                <w:sz w:val="1"/>
                <w:szCs w:val="1"/>
                <w:color w:val="auto"/>
              </w:rPr>
            </w:pPr>
          </w:p>
        </w:tc>
        <w:tc>
          <w:tcPr>
            <w:tcW w:w="1040" w:type="dxa"/>
            <w:vAlign w:val="bottom"/>
            <w:tcBorders>
              <w:bottom w:val="single" w:sz="8" w:color="DCE2EF"/>
            </w:tcBorders>
          </w:tcPr>
          <w:p>
            <w:pPr>
              <w:spacing w:after="0" w:line="20" w:lineRule="exact"/>
              <w:rPr>
                <w:sz w:val="1"/>
                <w:szCs w:val="1"/>
                <w:color w:val="auto"/>
              </w:rPr>
            </w:pPr>
          </w:p>
        </w:tc>
        <w:tc>
          <w:tcPr>
            <w:tcW w:w="480" w:type="dxa"/>
            <w:vAlign w:val="bottom"/>
            <w:tcBorders>
              <w:bottom w:val="single" w:sz="8" w:color="DCE2EF"/>
            </w:tcBorders>
          </w:tcPr>
          <w:p>
            <w:pPr>
              <w:spacing w:after="0" w:line="20" w:lineRule="exact"/>
              <w:rPr>
                <w:sz w:val="1"/>
                <w:szCs w:val="1"/>
                <w:color w:val="auto"/>
              </w:rPr>
            </w:pPr>
          </w:p>
        </w:tc>
        <w:tc>
          <w:tcPr>
            <w:tcW w:w="560" w:type="dxa"/>
            <w:vAlign w:val="bottom"/>
            <w:tcBorders>
              <w:bottom w:val="single" w:sz="8" w:color="DCE2E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11"/>
        </w:trPr>
        <w:tc>
          <w:tcPr>
            <w:tcW w:w="3660" w:type="dxa"/>
            <w:vAlign w:val="bottom"/>
            <w:gridSpan w:val="7"/>
            <w:shd w:val="clear" w:color="auto" w:fill="DCE2EF"/>
          </w:tcPr>
          <w:p>
            <w:pPr>
              <w:ind w:left="20"/>
              <w:spacing w:after="0"/>
              <w:rPr>
                <w:sz w:val="20"/>
                <w:szCs w:val="20"/>
                <w:color w:val="auto"/>
              </w:rPr>
            </w:pPr>
            <w:r>
              <w:rPr>
                <w:rFonts w:ascii="Arial" w:cs="Arial" w:eastAsia="Arial" w:hAnsi="Arial"/>
                <w:sz w:val="17"/>
                <w:szCs w:val="17"/>
                <w:color w:val="auto"/>
              </w:rPr>
              <w:t>Net cash provided by operating activities</w:t>
            </w:r>
          </w:p>
        </w:tc>
        <w:tc>
          <w:tcPr>
            <w:tcW w:w="580" w:type="dxa"/>
            <w:vAlign w:val="bottom"/>
            <w:shd w:val="clear" w:color="auto" w:fill="DCE2EF"/>
          </w:tcPr>
          <w:p>
            <w:pPr>
              <w:spacing w:after="0"/>
              <w:rPr>
                <w:sz w:val="18"/>
                <w:szCs w:val="18"/>
                <w:color w:val="auto"/>
              </w:rPr>
            </w:pPr>
          </w:p>
        </w:tc>
        <w:tc>
          <w:tcPr>
            <w:tcW w:w="880" w:type="dxa"/>
            <w:vAlign w:val="bottom"/>
            <w:shd w:val="clear" w:color="auto" w:fill="DCE2EF"/>
          </w:tcPr>
          <w:p>
            <w:pPr>
              <w:spacing w:after="0"/>
              <w:rPr>
                <w:sz w:val="18"/>
                <w:szCs w:val="18"/>
                <w:color w:val="auto"/>
              </w:rPr>
            </w:pPr>
          </w:p>
        </w:tc>
        <w:tc>
          <w:tcPr>
            <w:tcW w:w="440" w:type="dxa"/>
            <w:vAlign w:val="bottom"/>
            <w:shd w:val="clear" w:color="auto" w:fill="DCE2EF"/>
          </w:tcPr>
          <w:p>
            <w:pPr>
              <w:spacing w:after="0"/>
              <w:rPr>
                <w:sz w:val="18"/>
                <w:szCs w:val="18"/>
                <w:color w:val="auto"/>
              </w:rPr>
            </w:pPr>
          </w:p>
        </w:tc>
        <w:tc>
          <w:tcPr>
            <w:tcW w:w="1040" w:type="dxa"/>
            <w:vAlign w:val="bottom"/>
            <w:shd w:val="clear" w:color="auto" w:fill="DCE2EF"/>
          </w:tcPr>
          <w:p>
            <w:pPr>
              <w:spacing w:after="0"/>
              <w:rPr>
                <w:sz w:val="18"/>
                <w:szCs w:val="18"/>
                <w:color w:val="auto"/>
              </w:rPr>
            </w:pPr>
          </w:p>
        </w:tc>
        <w:tc>
          <w:tcPr>
            <w:tcW w:w="480" w:type="dxa"/>
            <w:vAlign w:val="bottom"/>
            <w:shd w:val="clear" w:color="auto" w:fill="DCE2EF"/>
          </w:tcPr>
          <w:p>
            <w:pPr>
              <w:spacing w:after="0"/>
              <w:rPr>
                <w:sz w:val="18"/>
                <w:szCs w:val="18"/>
                <w:color w:val="auto"/>
              </w:rPr>
            </w:pPr>
          </w:p>
        </w:tc>
        <w:tc>
          <w:tcPr>
            <w:tcW w:w="560" w:type="dxa"/>
            <w:vAlign w:val="bottom"/>
            <w:shd w:val="clear" w:color="auto" w:fill="DCE2EF"/>
          </w:tcPr>
          <w:p>
            <w:pPr>
              <w:spacing w:after="0"/>
              <w:rPr>
                <w:sz w:val="18"/>
                <w:szCs w:val="18"/>
                <w:color w:val="auto"/>
              </w:rPr>
            </w:pPr>
          </w:p>
        </w:tc>
        <w:tc>
          <w:tcPr>
            <w:tcW w:w="360" w:type="dxa"/>
            <w:vAlign w:val="bottom"/>
            <w:shd w:val="clear" w:color="auto" w:fill="DCE2EF"/>
          </w:tcPr>
          <w:p>
            <w:pPr>
              <w:spacing w:after="0"/>
              <w:rPr>
                <w:sz w:val="18"/>
                <w:szCs w:val="18"/>
                <w:color w:val="auto"/>
              </w:rPr>
            </w:pPr>
          </w:p>
        </w:tc>
        <w:tc>
          <w:tcPr>
            <w:tcW w:w="760" w:type="dxa"/>
            <w:vAlign w:val="bottom"/>
            <w:shd w:val="clear" w:color="auto" w:fill="DCE2EF"/>
          </w:tcPr>
          <w:p>
            <w:pPr>
              <w:jc w:val="right"/>
              <w:spacing w:after="0"/>
              <w:rPr>
                <w:sz w:val="20"/>
                <w:szCs w:val="20"/>
                <w:color w:val="auto"/>
              </w:rPr>
            </w:pPr>
            <w:r>
              <w:rPr>
                <w:rFonts w:ascii="Arial" w:cs="Arial" w:eastAsia="Arial" w:hAnsi="Arial"/>
                <w:sz w:val="17"/>
                <w:szCs w:val="17"/>
                <w:color w:val="auto"/>
              </w:rPr>
              <w:t>234.4</w:t>
            </w:r>
          </w:p>
        </w:tc>
        <w:tc>
          <w:tcPr>
            <w:tcW w:w="120" w:type="dxa"/>
            <w:vAlign w:val="bottom"/>
            <w:shd w:val="clear" w:color="auto" w:fill="DCE2EF"/>
          </w:tcPr>
          <w:p>
            <w:pPr>
              <w:spacing w:after="0"/>
              <w:rPr>
                <w:sz w:val="18"/>
                <w:szCs w:val="18"/>
                <w:color w:val="auto"/>
              </w:rPr>
            </w:pPr>
          </w:p>
        </w:tc>
        <w:tc>
          <w:tcPr>
            <w:tcW w:w="520" w:type="dxa"/>
            <w:vAlign w:val="bottom"/>
            <w:shd w:val="clear" w:color="auto" w:fill="DCE2EF"/>
          </w:tcPr>
          <w:p>
            <w:pPr>
              <w:spacing w:after="0"/>
              <w:rPr>
                <w:sz w:val="18"/>
                <w:szCs w:val="18"/>
                <w:color w:val="auto"/>
              </w:rPr>
            </w:pPr>
          </w:p>
        </w:tc>
        <w:tc>
          <w:tcPr>
            <w:tcW w:w="600" w:type="dxa"/>
            <w:vAlign w:val="bottom"/>
            <w:shd w:val="clear" w:color="auto" w:fill="DCE2EF"/>
          </w:tcPr>
          <w:p>
            <w:pPr>
              <w:jc w:val="right"/>
              <w:spacing w:after="0"/>
              <w:rPr>
                <w:sz w:val="20"/>
                <w:szCs w:val="20"/>
                <w:color w:val="auto"/>
              </w:rPr>
            </w:pPr>
            <w:r>
              <w:rPr>
                <w:rFonts w:ascii="Arial" w:cs="Arial" w:eastAsia="Arial" w:hAnsi="Arial"/>
                <w:sz w:val="17"/>
                <w:szCs w:val="17"/>
                <w:color w:val="auto"/>
              </w:rPr>
              <w:t>226.7</w:t>
            </w:r>
          </w:p>
        </w:tc>
        <w:tc>
          <w:tcPr>
            <w:tcW w:w="120" w:type="dxa"/>
            <w:vAlign w:val="bottom"/>
            <w:shd w:val="clear" w:color="auto" w:fill="DCE2EF"/>
          </w:tcPr>
          <w:p>
            <w:pPr>
              <w:spacing w:after="0"/>
              <w:rPr>
                <w:sz w:val="18"/>
                <w:szCs w:val="18"/>
                <w:color w:val="auto"/>
              </w:rPr>
            </w:pPr>
          </w:p>
        </w:tc>
        <w:tc>
          <w:tcPr>
            <w:tcW w:w="1120" w:type="dxa"/>
            <w:vAlign w:val="bottom"/>
            <w:shd w:val="clear" w:color="auto" w:fill="DCE2EF"/>
          </w:tcPr>
          <w:p>
            <w:pPr>
              <w:jc w:val="right"/>
              <w:spacing w:after="0"/>
              <w:rPr>
                <w:sz w:val="20"/>
                <w:szCs w:val="20"/>
                <w:color w:val="auto"/>
              </w:rPr>
            </w:pPr>
            <w:r>
              <w:rPr>
                <w:rFonts w:ascii="Arial" w:cs="Arial" w:eastAsia="Arial" w:hAnsi="Arial"/>
                <w:sz w:val="17"/>
                <w:szCs w:val="17"/>
                <w:color w:val="auto"/>
              </w:rPr>
              <w:t>243.3</w:t>
            </w:r>
          </w:p>
        </w:tc>
      </w:tr>
      <w:tr>
        <w:trPr>
          <w:trHeight w:val="219"/>
        </w:trPr>
        <w:tc>
          <w:tcPr>
            <w:tcW w:w="2900" w:type="dxa"/>
            <w:vAlign w:val="bottom"/>
            <w:gridSpan w:val="6"/>
          </w:tcPr>
          <w:p>
            <w:pPr>
              <w:ind w:left="20"/>
              <w:spacing w:after="0"/>
              <w:rPr>
                <w:sz w:val="20"/>
                <w:szCs w:val="20"/>
                <w:color w:val="auto"/>
              </w:rPr>
            </w:pPr>
            <w:r>
              <w:rPr>
                <w:rFonts w:ascii="Arial" w:cs="Arial" w:eastAsia="Arial" w:hAnsi="Arial"/>
                <w:sz w:val="17"/>
                <w:szCs w:val="17"/>
                <w:color w:val="auto"/>
              </w:rPr>
              <w:t>Net cash used in investing activities</w:t>
            </w:r>
          </w:p>
        </w:tc>
        <w:tc>
          <w:tcPr>
            <w:tcW w:w="7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(115.6)</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(171.9)</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(62.1)</w:t>
            </w:r>
          </w:p>
        </w:tc>
      </w:tr>
      <w:tr>
        <w:trPr>
          <w:trHeight w:val="219"/>
        </w:trPr>
        <w:tc>
          <w:tcPr>
            <w:tcW w:w="2900" w:type="dxa"/>
            <w:vAlign w:val="bottom"/>
            <w:gridSpan w:val="6"/>
            <w:shd w:val="clear" w:color="auto" w:fill="DCE2EF"/>
          </w:tcPr>
          <w:p>
            <w:pPr>
              <w:ind w:left="20"/>
              <w:spacing w:after="0"/>
              <w:rPr>
                <w:sz w:val="20"/>
                <w:szCs w:val="20"/>
                <w:color w:val="auto"/>
              </w:rPr>
            </w:pPr>
            <w:r>
              <w:rPr>
                <w:rFonts w:ascii="Arial" w:cs="Arial" w:eastAsia="Arial" w:hAnsi="Arial"/>
                <w:sz w:val="17"/>
                <w:szCs w:val="17"/>
                <w:color w:val="auto"/>
              </w:rPr>
              <w:t>Net cash used in financing activities</w:t>
            </w:r>
          </w:p>
        </w:tc>
        <w:tc>
          <w:tcPr>
            <w:tcW w:w="760" w:type="dxa"/>
            <w:vAlign w:val="bottom"/>
            <w:shd w:val="clear" w:color="auto" w:fill="DCE2EF"/>
          </w:tcPr>
          <w:p>
            <w:pPr>
              <w:spacing w:after="0"/>
              <w:rPr>
                <w:sz w:val="19"/>
                <w:szCs w:val="19"/>
                <w:color w:val="auto"/>
              </w:rPr>
            </w:pPr>
          </w:p>
        </w:tc>
        <w:tc>
          <w:tcPr>
            <w:tcW w:w="580" w:type="dxa"/>
            <w:vAlign w:val="bottom"/>
            <w:shd w:val="clear" w:color="auto" w:fill="DCE2EF"/>
          </w:tcPr>
          <w:p>
            <w:pPr>
              <w:spacing w:after="0"/>
              <w:rPr>
                <w:sz w:val="19"/>
                <w:szCs w:val="19"/>
                <w:color w:val="auto"/>
              </w:rPr>
            </w:pPr>
          </w:p>
        </w:tc>
        <w:tc>
          <w:tcPr>
            <w:tcW w:w="880" w:type="dxa"/>
            <w:vAlign w:val="bottom"/>
            <w:shd w:val="clear" w:color="auto" w:fill="DCE2EF"/>
          </w:tcPr>
          <w:p>
            <w:pPr>
              <w:spacing w:after="0"/>
              <w:rPr>
                <w:sz w:val="19"/>
                <w:szCs w:val="19"/>
                <w:color w:val="auto"/>
              </w:rPr>
            </w:pPr>
          </w:p>
        </w:tc>
        <w:tc>
          <w:tcPr>
            <w:tcW w:w="440" w:type="dxa"/>
            <w:vAlign w:val="bottom"/>
            <w:shd w:val="clear" w:color="auto" w:fill="DCE2EF"/>
          </w:tcPr>
          <w:p>
            <w:pPr>
              <w:spacing w:after="0"/>
              <w:rPr>
                <w:sz w:val="19"/>
                <w:szCs w:val="19"/>
                <w:color w:val="auto"/>
              </w:rPr>
            </w:pPr>
          </w:p>
        </w:tc>
        <w:tc>
          <w:tcPr>
            <w:tcW w:w="1040" w:type="dxa"/>
            <w:vAlign w:val="bottom"/>
            <w:shd w:val="clear" w:color="auto" w:fill="DCE2EF"/>
          </w:tcPr>
          <w:p>
            <w:pPr>
              <w:spacing w:after="0"/>
              <w:rPr>
                <w:sz w:val="19"/>
                <w:szCs w:val="19"/>
                <w:color w:val="auto"/>
              </w:rPr>
            </w:pPr>
          </w:p>
        </w:tc>
        <w:tc>
          <w:tcPr>
            <w:tcW w:w="480" w:type="dxa"/>
            <w:vAlign w:val="bottom"/>
            <w:shd w:val="clear" w:color="auto" w:fill="DCE2EF"/>
          </w:tcPr>
          <w:p>
            <w:pPr>
              <w:spacing w:after="0"/>
              <w:rPr>
                <w:sz w:val="19"/>
                <w:szCs w:val="19"/>
                <w:color w:val="auto"/>
              </w:rPr>
            </w:pPr>
          </w:p>
        </w:tc>
        <w:tc>
          <w:tcPr>
            <w:tcW w:w="560" w:type="dxa"/>
            <w:vAlign w:val="bottom"/>
            <w:shd w:val="clear" w:color="auto" w:fill="DCE2EF"/>
          </w:tcPr>
          <w:p>
            <w:pPr>
              <w:spacing w:after="0"/>
              <w:rPr>
                <w:sz w:val="19"/>
                <w:szCs w:val="19"/>
                <w:color w:val="auto"/>
              </w:rPr>
            </w:pPr>
          </w:p>
        </w:tc>
        <w:tc>
          <w:tcPr>
            <w:tcW w:w="360" w:type="dxa"/>
            <w:vAlign w:val="bottom"/>
            <w:shd w:val="clear" w:color="auto" w:fill="DCE2EF"/>
          </w:tcPr>
          <w:p>
            <w:pPr>
              <w:spacing w:after="0"/>
              <w:rPr>
                <w:sz w:val="19"/>
                <w:szCs w:val="19"/>
                <w:color w:val="auto"/>
              </w:rPr>
            </w:pPr>
          </w:p>
        </w:tc>
        <w:tc>
          <w:tcPr>
            <w:tcW w:w="760" w:type="dxa"/>
            <w:vAlign w:val="bottom"/>
            <w:shd w:val="clear" w:color="auto" w:fill="DCE2EF"/>
          </w:tcPr>
          <w:p>
            <w:pPr>
              <w:jc w:val="right"/>
              <w:spacing w:after="0"/>
              <w:rPr>
                <w:sz w:val="20"/>
                <w:szCs w:val="20"/>
                <w:color w:val="auto"/>
              </w:rPr>
            </w:pPr>
            <w:r>
              <w:rPr>
                <w:rFonts w:ascii="Arial" w:cs="Arial" w:eastAsia="Arial" w:hAnsi="Arial"/>
                <w:sz w:val="17"/>
                <w:szCs w:val="17"/>
                <w:color w:val="auto"/>
              </w:rPr>
              <w:t>(80.2)</w:t>
            </w:r>
          </w:p>
        </w:tc>
        <w:tc>
          <w:tcPr>
            <w:tcW w:w="120" w:type="dxa"/>
            <w:vAlign w:val="bottom"/>
            <w:shd w:val="clear" w:color="auto" w:fill="DCE2EF"/>
          </w:tcPr>
          <w:p>
            <w:pPr>
              <w:spacing w:after="0"/>
              <w:rPr>
                <w:sz w:val="19"/>
                <w:szCs w:val="19"/>
                <w:color w:val="auto"/>
              </w:rPr>
            </w:pPr>
          </w:p>
        </w:tc>
        <w:tc>
          <w:tcPr>
            <w:tcW w:w="520" w:type="dxa"/>
            <w:vAlign w:val="bottom"/>
            <w:shd w:val="clear" w:color="auto" w:fill="DCE2EF"/>
          </w:tcPr>
          <w:p>
            <w:pPr>
              <w:spacing w:after="0"/>
              <w:rPr>
                <w:sz w:val="19"/>
                <w:szCs w:val="19"/>
                <w:color w:val="auto"/>
              </w:rPr>
            </w:pPr>
          </w:p>
        </w:tc>
        <w:tc>
          <w:tcPr>
            <w:tcW w:w="600" w:type="dxa"/>
            <w:vAlign w:val="bottom"/>
            <w:shd w:val="clear" w:color="auto" w:fill="DCE2EF"/>
          </w:tcPr>
          <w:p>
            <w:pPr>
              <w:jc w:val="right"/>
              <w:spacing w:after="0"/>
              <w:rPr>
                <w:sz w:val="20"/>
                <w:szCs w:val="20"/>
                <w:color w:val="auto"/>
              </w:rPr>
            </w:pPr>
            <w:r>
              <w:rPr>
                <w:rFonts w:ascii="Arial" w:cs="Arial" w:eastAsia="Arial" w:hAnsi="Arial"/>
                <w:sz w:val="17"/>
                <w:szCs w:val="17"/>
                <w:color w:val="auto"/>
              </w:rPr>
              <w:t>(61.5)</w:t>
            </w:r>
          </w:p>
        </w:tc>
        <w:tc>
          <w:tcPr>
            <w:tcW w:w="120" w:type="dxa"/>
            <w:vAlign w:val="bottom"/>
            <w:shd w:val="clear" w:color="auto" w:fill="DCE2EF"/>
          </w:tcPr>
          <w:p>
            <w:pPr>
              <w:spacing w:after="0"/>
              <w:rPr>
                <w:sz w:val="19"/>
                <w:szCs w:val="19"/>
                <w:color w:val="auto"/>
              </w:rPr>
            </w:pPr>
          </w:p>
        </w:tc>
        <w:tc>
          <w:tcPr>
            <w:tcW w:w="1120" w:type="dxa"/>
            <w:vAlign w:val="bottom"/>
            <w:shd w:val="clear" w:color="auto" w:fill="DCE2EF"/>
          </w:tcPr>
          <w:p>
            <w:pPr>
              <w:jc w:val="right"/>
              <w:spacing w:after="0"/>
              <w:rPr>
                <w:sz w:val="20"/>
                <w:szCs w:val="20"/>
                <w:color w:val="auto"/>
              </w:rPr>
            </w:pPr>
            <w:r>
              <w:rPr>
                <w:rFonts w:ascii="Arial" w:cs="Arial" w:eastAsia="Arial" w:hAnsi="Arial"/>
                <w:sz w:val="17"/>
                <w:szCs w:val="17"/>
                <w:color w:val="auto"/>
              </w:rPr>
              <w:t>(186.3)</w:t>
            </w:r>
          </w:p>
        </w:tc>
      </w:tr>
    </w:tbl>
    <w:p>
      <w:pPr>
        <w:spacing w:after="0" w:line="230"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0046AD"/>
        </w:rPr>
        <w:t>Operating Activities</w:t>
      </w:r>
    </w:p>
    <w:p>
      <w:pPr>
        <w:spacing w:after="0" w:line="163" w:lineRule="exact"/>
        <w:rPr>
          <w:sz w:val="20"/>
          <w:szCs w:val="20"/>
          <w:color w:val="auto"/>
        </w:rPr>
      </w:pPr>
    </w:p>
    <w:p>
      <w:pPr>
        <w:jc w:val="both"/>
        <w:ind w:right="100" w:firstLine="619"/>
        <w:spacing w:after="0" w:line="271" w:lineRule="auto"/>
        <w:rPr>
          <w:sz w:val="20"/>
          <w:szCs w:val="20"/>
          <w:color w:val="auto"/>
        </w:rPr>
      </w:pPr>
      <w:r>
        <w:rPr>
          <w:rFonts w:ascii="Arial" w:cs="Arial" w:eastAsia="Arial" w:hAnsi="Arial"/>
          <w:sz w:val="17"/>
          <w:szCs w:val="17"/>
          <w:color w:val="auto"/>
        </w:rPr>
        <w:t>Net cash provided by operating activities increased by $7.7 million during 2025, as compared to 2024. The increase was primarily driven by the timing of working capital requirements. The increase was partially offset by the $75.0 million payment for contingent consideration related to the RavenVolt Acquisition, of which $16.0 million was classified as an operating cash outflow.</w:t>
      </w:r>
    </w:p>
    <w:p>
      <w:pPr>
        <w:spacing w:after="0" w:line="111" w:lineRule="exact"/>
        <w:rPr>
          <w:sz w:val="20"/>
          <w:szCs w:val="20"/>
          <w:color w:val="auto"/>
        </w:rPr>
      </w:pPr>
    </w:p>
    <w:p>
      <w:pPr>
        <w:jc w:val="both"/>
        <w:ind w:right="100" w:firstLine="619"/>
        <w:spacing w:after="0" w:line="271" w:lineRule="auto"/>
        <w:rPr>
          <w:sz w:val="20"/>
          <w:szCs w:val="20"/>
          <w:color w:val="auto"/>
        </w:rPr>
      </w:pPr>
      <w:r>
        <w:rPr>
          <w:rFonts w:ascii="Arial" w:cs="Arial" w:eastAsia="Arial" w:hAnsi="Arial"/>
          <w:sz w:val="17"/>
          <w:szCs w:val="17"/>
          <w:color w:val="auto"/>
        </w:rPr>
        <w:t>Net cash provided by operating activities decreased by $ 16.6 million during 2024, as compared to 2023. The decrease was primarily driven by the timing of working capital requirements. The decrease was partially offset by the absence of a $66.0 million payment of deferred payroll taxes done in 2023.</w:t>
      </w:r>
    </w:p>
    <w:p>
      <w:pPr>
        <w:spacing w:after="0" w:line="200" w:lineRule="exact"/>
        <w:rPr>
          <w:sz w:val="20"/>
          <w:szCs w:val="20"/>
          <w:color w:val="auto"/>
        </w:rPr>
      </w:pPr>
    </w:p>
    <w:p>
      <w:pPr>
        <w:spacing w:after="0" w:line="285"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340"/>
          </w:cols>
          <w:pgMar w:left="320" w:top="1012" w:right="239" w:bottom="1440" w:gutter="0" w:footer="0" w:header="0"/>
        </w:sectPr>
      </w:pPr>
    </w:p>
    <w:bookmarkStart w:id="36" w:name="page37"/>
    <w:bookmarkEnd w:id="36"/>
    <w:p>
      <w:pPr>
        <w:ind w:left="620"/>
        <w:spacing w:after="0"/>
        <w:rPr>
          <w:sz w:val="20"/>
          <w:szCs w:val="20"/>
          <w:color w:val="auto"/>
        </w:rPr>
      </w:pPr>
      <w:r>
        <w:rPr>
          <w:rFonts w:ascii="Arial" w:cs="Arial" w:eastAsia="Arial" w:hAnsi="Arial"/>
          <w:sz w:val="17"/>
          <w:szCs w:val="17"/>
          <w:i w:val="1"/>
          <w:iCs w:val="1"/>
          <w:color w:val="0046AD"/>
        </w:rPr>
        <w:t>Investing Activities</w:t>
      </w:r>
    </w:p>
    <w:p>
      <w:pPr>
        <w:spacing w:after="0" w:line="163"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17"/>
          <w:szCs w:val="17"/>
          <w:color w:val="auto"/>
        </w:rPr>
        <w:t>Net cash used in investing activities decreased by $56.3 million during 2025, as compared to 2024. The decrease was primarily related to lower cash outflows for acquisitions in 2025.</w:t>
      </w:r>
    </w:p>
    <w:p>
      <w:pPr>
        <w:spacing w:after="0" w:line="95"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17"/>
          <w:szCs w:val="17"/>
          <w:color w:val="auto"/>
        </w:rPr>
        <w:t>Net cash used in investing activities increased by $109.8 million during 2024, as compared to 2023. The change was primarily related to the Quality Uptime Acquisition, completed in 2024.</w:t>
      </w:r>
    </w:p>
    <w:p>
      <w:pPr>
        <w:spacing w:after="0" w:line="97"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0046AD"/>
        </w:rPr>
        <w:t>Financing Activities</w:t>
      </w:r>
    </w:p>
    <w:p>
      <w:pPr>
        <w:spacing w:after="0" w:line="163" w:lineRule="exact"/>
        <w:rPr>
          <w:sz w:val="20"/>
          <w:szCs w:val="20"/>
          <w:color w:val="auto"/>
        </w:rPr>
      </w:pPr>
    </w:p>
    <w:p>
      <w:pPr>
        <w:jc w:val="both"/>
        <w:ind w:firstLine="619"/>
        <w:spacing w:after="0" w:line="268" w:lineRule="auto"/>
        <w:rPr>
          <w:sz w:val="20"/>
          <w:szCs w:val="20"/>
          <w:color w:val="auto"/>
        </w:rPr>
      </w:pPr>
      <w:r>
        <w:rPr>
          <w:rFonts w:ascii="Arial" w:cs="Arial" w:eastAsia="Arial" w:hAnsi="Arial"/>
          <w:sz w:val="17"/>
          <w:szCs w:val="17"/>
          <w:color w:val="auto"/>
        </w:rPr>
        <w:t>Net cash used in financing activities was $80.2 million in 2025, as compared to $61.5 million in 2024. The increase in net cash used was primarily related to higher share buyback repurchases and a $75.0 million payment for contingent consideration related to the RavenVolt Acquisition, of which $59.0 million was classified as a financing cash outflow. This was partially offset by higher net borrowings from our Amended Credit Facility.</w:t>
      </w:r>
    </w:p>
    <w:p>
      <w:pPr>
        <w:spacing w:after="0" w:line="325"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17"/>
          <w:szCs w:val="17"/>
          <w:color w:val="auto"/>
        </w:rPr>
        <w:t>Net cash used in financing activities was $61.5 million in 2024, as compared to $186.3 million in 2023. The decrease in net cash used was primarily related to lower share buyback repurchases in 2024 and an increase in our book cash overdrafts.</w:t>
      </w:r>
    </w:p>
    <w:p>
      <w:pPr>
        <w:spacing w:after="0" w:line="95"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0046AD"/>
        </w:rPr>
        <w:t>Dividends</w:t>
      </w:r>
    </w:p>
    <w:p>
      <w:pPr>
        <w:spacing w:after="0" w:line="165"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7"/>
          <w:szCs w:val="17"/>
          <w:color w:val="auto"/>
        </w:rPr>
        <w:t>On December 17, 2025, we announced a quarterly cash dividend of $0.29 per share on our common stock, payable on February 2, 2026, to shareholders of record on January 14, 2026. We declared a quarterly cash dividend on our common stock every quarter during 2025, 2024, and 2023. We paid total annual dividends of $65.6 million, $56.5 million, and $57.5 million during 2025, 2024, and 2023, respectively.</w:t>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46AD"/>
        </w:rPr>
        <w:t>Material Cash Requirements from Contractual and Other Obligations</w:t>
      </w:r>
    </w:p>
    <w:p>
      <w:pPr>
        <w:spacing w:after="0" w:line="23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As of October 31, 2025, our material cash requirements for our known contractual and other obligations were as follows:</w:t>
      </w:r>
    </w:p>
    <w:p>
      <w:pPr>
        <w:spacing w:after="0" w:line="230" w:lineRule="exact"/>
        <w:rPr>
          <w:sz w:val="20"/>
          <w:szCs w:val="20"/>
          <w:color w:val="auto"/>
        </w:rPr>
      </w:pPr>
    </w:p>
    <w:p>
      <w:pPr>
        <w:ind w:left="620" w:hanging="307"/>
        <w:spacing w:after="0" w:line="245" w:lineRule="auto"/>
        <w:tabs>
          <w:tab w:leader="none" w:pos="616" w:val="left"/>
        </w:tabs>
        <w:numPr>
          <w:ilvl w:val="0"/>
          <w:numId w:val="18"/>
        </w:numPr>
        <w:rPr>
          <w:rFonts w:ascii="Arial" w:cs="Arial" w:eastAsia="Arial" w:hAnsi="Arial"/>
          <w:sz w:val="14"/>
          <w:szCs w:val="14"/>
          <w:b w:val="1"/>
          <w:bCs w:val="1"/>
          <w:color w:val="auto"/>
        </w:rPr>
      </w:pPr>
      <w:r>
        <w:rPr>
          <w:rFonts w:ascii="Arial" w:cs="Arial" w:eastAsia="Arial" w:hAnsi="Arial"/>
          <w:sz w:val="17"/>
          <w:szCs w:val="17"/>
          <w:i w:val="1"/>
          <w:iCs w:val="1"/>
          <w:color w:val="0046AD"/>
        </w:rPr>
        <w:t xml:space="preserve">Debt Obligations and Interest Payments </w:t>
      </w:r>
      <w:r>
        <w:rPr>
          <w:rFonts w:ascii="Arial" w:cs="Arial" w:eastAsia="Arial" w:hAnsi="Arial"/>
          <w:sz w:val="17"/>
          <w:szCs w:val="17"/>
          <w:color w:val="000000"/>
        </w:rPr>
        <w:t>– Outstanding payments on our Amended Credit Facility were $1,569.0 million, with $30.0 million</w:t>
      </w:r>
      <w:r>
        <w:rPr>
          <w:rFonts w:ascii="Arial" w:cs="Arial" w:eastAsia="Arial" w:hAnsi="Arial"/>
          <w:sz w:val="17"/>
          <w:szCs w:val="17"/>
          <w:i w:val="1"/>
          <w:iCs w:val="1"/>
          <w:color w:val="0046AD"/>
        </w:rPr>
        <w:t xml:space="preserve"> </w:t>
      </w:r>
      <w:r>
        <w:rPr>
          <w:rFonts w:ascii="Arial" w:cs="Arial" w:eastAsia="Arial" w:hAnsi="Arial"/>
          <w:sz w:val="17"/>
          <w:szCs w:val="17"/>
          <w:color w:val="000000"/>
        </w:rPr>
        <w:t>payable within 12 months. We have future interest payments based on our hedged borrowings under our Amended Credit Facility of $10.0 million, which is payable within 12 months. The interest payments on our remaining borrowings under the Amended Credit Facility will be determined based upon the average outstanding balance of our borrowings and the prevailing interest rate during that time. See Note 12, “Credit Facility,” in the Financial Statements for further detail of our debt and the timing of expected future principal and interest payments.</w:t>
      </w:r>
    </w:p>
    <w:p>
      <w:pPr>
        <w:spacing w:after="0" w:line="381" w:lineRule="exact"/>
        <w:rPr>
          <w:rFonts w:ascii="Arial" w:cs="Arial" w:eastAsia="Arial" w:hAnsi="Arial"/>
          <w:sz w:val="14"/>
          <w:szCs w:val="14"/>
          <w:b w:val="1"/>
          <w:bCs w:val="1"/>
          <w:color w:val="auto"/>
        </w:rPr>
      </w:pPr>
    </w:p>
    <w:p>
      <w:pPr>
        <w:jc w:val="both"/>
        <w:ind w:left="620" w:right="300" w:hanging="307"/>
        <w:spacing w:after="0" w:line="249" w:lineRule="auto"/>
        <w:tabs>
          <w:tab w:leader="none" w:pos="609" w:val="left"/>
        </w:tabs>
        <w:numPr>
          <w:ilvl w:val="0"/>
          <w:numId w:val="18"/>
        </w:numPr>
        <w:rPr>
          <w:rFonts w:ascii="Arial" w:cs="Arial" w:eastAsia="Arial" w:hAnsi="Arial"/>
          <w:sz w:val="15"/>
          <w:szCs w:val="15"/>
          <w:b w:val="1"/>
          <w:bCs w:val="1"/>
          <w:color w:val="auto"/>
        </w:rPr>
      </w:pPr>
      <w:r>
        <w:rPr>
          <w:rFonts w:ascii="Arial" w:cs="Arial" w:eastAsia="Arial" w:hAnsi="Arial"/>
          <w:sz w:val="17"/>
          <w:szCs w:val="17"/>
          <w:i w:val="1"/>
          <w:iCs w:val="1"/>
          <w:color w:val="0046AD"/>
        </w:rPr>
        <w:t xml:space="preserve">Operating and Finance Leases </w:t>
      </w:r>
      <w:r>
        <w:rPr>
          <w:rFonts w:ascii="Arial" w:cs="Arial" w:eastAsia="Arial" w:hAnsi="Arial"/>
          <w:sz w:val="17"/>
          <w:szCs w:val="17"/>
          <w:color w:val="000000"/>
        </w:rPr>
        <w:t>– We enter into various noncancelable lease agreements for office space, parking facilities, warehouses,</w:t>
      </w:r>
      <w:r>
        <w:rPr>
          <w:rFonts w:ascii="Arial" w:cs="Arial" w:eastAsia="Arial" w:hAnsi="Arial"/>
          <w:sz w:val="17"/>
          <w:szCs w:val="17"/>
          <w:i w:val="1"/>
          <w:iCs w:val="1"/>
          <w:color w:val="0046AD"/>
        </w:rPr>
        <w:t xml:space="preserve"> </w:t>
      </w:r>
      <w:r>
        <w:rPr>
          <w:rFonts w:ascii="Arial" w:cs="Arial" w:eastAsia="Arial" w:hAnsi="Arial"/>
          <w:sz w:val="17"/>
          <w:szCs w:val="17"/>
          <w:color w:val="000000"/>
        </w:rPr>
        <w:t>vehicles, and equipment used in the normal course of business. Operating and finance lease obligations were $148.4 million, with $38.1 million payable within 12 months. See Note 5, “Leases,” in the Financial Statements for further detail of our obligations and the timing of expected future payments.</w:t>
      </w:r>
    </w:p>
    <w:p>
      <w:pPr>
        <w:spacing w:after="0" w:line="194" w:lineRule="exact"/>
        <w:rPr>
          <w:rFonts w:ascii="Arial" w:cs="Arial" w:eastAsia="Arial" w:hAnsi="Arial"/>
          <w:sz w:val="15"/>
          <w:szCs w:val="15"/>
          <w:b w:val="1"/>
          <w:bCs w:val="1"/>
          <w:color w:val="auto"/>
        </w:rPr>
      </w:pPr>
    </w:p>
    <w:p>
      <w:pPr>
        <w:jc w:val="both"/>
        <w:ind w:left="620" w:right="140" w:hanging="307"/>
        <w:spacing w:after="0" w:line="255" w:lineRule="auto"/>
        <w:tabs>
          <w:tab w:leader="none" w:pos="609" w:val="left"/>
        </w:tabs>
        <w:numPr>
          <w:ilvl w:val="0"/>
          <w:numId w:val="18"/>
        </w:numPr>
        <w:rPr>
          <w:rFonts w:ascii="Arial" w:cs="Arial" w:eastAsia="Arial" w:hAnsi="Arial"/>
          <w:sz w:val="15"/>
          <w:szCs w:val="15"/>
          <w:b w:val="1"/>
          <w:bCs w:val="1"/>
          <w:color w:val="auto"/>
        </w:rPr>
      </w:pPr>
      <w:r>
        <w:rPr>
          <w:rFonts w:ascii="Arial" w:cs="Arial" w:eastAsia="Arial" w:hAnsi="Arial"/>
          <w:sz w:val="17"/>
          <w:szCs w:val="17"/>
          <w:i w:val="1"/>
          <w:iCs w:val="1"/>
          <w:color w:val="0046AD"/>
        </w:rPr>
        <w:t xml:space="preserve">Service Concession Arrangements </w:t>
      </w:r>
      <w:r>
        <w:rPr>
          <w:rFonts w:ascii="Arial" w:cs="Arial" w:eastAsia="Arial" w:hAnsi="Arial"/>
          <w:sz w:val="17"/>
          <w:szCs w:val="17"/>
          <w:color w:val="000000"/>
        </w:rPr>
        <w:t>– As defined under ASU No. 2017-10,</w:t>
      </w:r>
      <w:r>
        <w:rPr>
          <w:rFonts w:ascii="Arial" w:cs="Arial" w:eastAsia="Arial" w:hAnsi="Arial"/>
          <w:sz w:val="17"/>
          <w:szCs w:val="17"/>
          <w:i w:val="1"/>
          <w:iCs w:val="1"/>
          <w:color w:val="0046AD"/>
        </w:rPr>
        <w:t xml:space="preserve"> </w:t>
      </w:r>
      <w:r>
        <w:rPr>
          <w:rFonts w:ascii="Arial" w:cs="Arial" w:eastAsia="Arial" w:hAnsi="Arial"/>
          <w:sz w:val="17"/>
          <w:szCs w:val="17"/>
          <w:i w:val="1"/>
          <w:iCs w:val="1"/>
          <w:color w:val="000000"/>
        </w:rPr>
        <w:t>Service Concession Arrangements (Topic 853)</w:t>
      </w:r>
      <w:r>
        <w:rPr>
          <w:rFonts w:ascii="Arial" w:cs="Arial" w:eastAsia="Arial" w:hAnsi="Arial"/>
          <w:sz w:val="17"/>
          <w:szCs w:val="17"/>
          <w:color w:val="000000"/>
        </w:rPr>
        <w:t>:</w:t>
      </w:r>
      <w:r>
        <w:rPr>
          <w:rFonts w:ascii="Arial" w:cs="Arial" w:eastAsia="Arial" w:hAnsi="Arial"/>
          <w:sz w:val="17"/>
          <w:szCs w:val="17"/>
          <w:i w:val="1"/>
          <w:iCs w:val="1"/>
          <w:color w:val="0046AD"/>
        </w:rPr>
        <w:t xml:space="preserve"> </w:t>
      </w:r>
      <w:r>
        <w:rPr>
          <w:rFonts w:ascii="Arial" w:cs="Arial" w:eastAsia="Arial" w:hAnsi="Arial"/>
          <w:sz w:val="17"/>
          <w:szCs w:val="17"/>
          <w:i w:val="1"/>
          <w:iCs w:val="1"/>
          <w:color w:val="000000"/>
        </w:rPr>
        <w:t>Determining the</w:t>
      </w:r>
      <w:r>
        <w:rPr>
          <w:rFonts w:ascii="Arial" w:cs="Arial" w:eastAsia="Arial" w:hAnsi="Arial"/>
          <w:sz w:val="17"/>
          <w:szCs w:val="17"/>
          <w:i w:val="1"/>
          <w:iCs w:val="1"/>
          <w:color w:val="0046AD"/>
        </w:rPr>
        <w:t xml:space="preserve"> </w:t>
      </w:r>
      <w:r>
        <w:rPr>
          <w:rFonts w:ascii="Arial" w:cs="Arial" w:eastAsia="Arial" w:hAnsi="Arial"/>
          <w:sz w:val="17"/>
          <w:szCs w:val="17"/>
          <w:i w:val="1"/>
          <w:iCs w:val="1"/>
          <w:color w:val="000000"/>
        </w:rPr>
        <w:t>Customer of the Operation Services</w:t>
      </w:r>
      <w:r>
        <w:rPr>
          <w:rFonts w:ascii="Arial" w:cs="Arial" w:eastAsia="Arial" w:hAnsi="Arial"/>
          <w:sz w:val="17"/>
          <w:szCs w:val="17"/>
          <w:color w:val="000000"/>
        </w:rPr>
        <w:t>, our leased location parking arrangements are represented as service concession arrangements. We</w:t>
      </w:r>
      <w:r>
        <w:rPr>
          <w:rFonts w:ascii="Arial" w:cs="Arial" w:eastAsia="Arial" w:hAnsi="Arial"/>
          <w:sz w:val="17"/>
          <w:szCs w:val="17"/>
          <w:i w:val="1"/>
          <w:iCs w:val="1"/>
          <w:color w:val="000000"/>
        </w:rPr>
        <w:t xml:space="preserve"> </w:t>
      </w:r>
      <w:r>
        <w:rPr>
          <w:rFonts w:ascii="Arial" w:cs="Arial" w:eastAsia="Arial" w:hAnsi="Arial"/>
          <w:sz w:val="17"/>
          <w:szCs w:val="17"/>
          <w:color w:val="000000"/>
        </w:rPr>
        <w:t>had contractual payments for these arrangements of $50.9 million, with $17.9 million payable within 12 months.</w:t>
      </w:r>
    </w:p>
    <w:p>
      <w:pPr>
        <w:spacing w:after="0" w:line="189" w:lineRule="exact"/>
        <w:rPr>
          <w:rFonts w:ascii="Arial" w:cs="Arial" w:eastAsia="Arial" w:hAnsi="Arial"/>
          <w:sz w:val="15"/>
          <w:szCs w:val="15"/>
          <w:b w:val="1"/>
          <w:bCs w:val="1"/>
          <w:color w:val="auto"/>
        </w:rPr>
      </w:pPr>
    </w:p>
    <w:p>
      <w:pPr>
        <w:ind w:left="620" w:right="60" w:hanging="307"/>
        <w:spacing w:after="0" w:line="255" w:lineRule="auto"/>
        <w:tabs>
          <w:tab w:leader="none" w:pos="609" w:val="left"/>
        </w:tabs>
        <w:numPr>
          <w:ilvl w:val="0"/>
          <w:numId w:val="18"/>
        </w:numPr>
        <w:rPr>
          <w:rFonts w:ascii="Arial" w:cs="Arial" w:eastAsia="Arial" w:hAnsi="Arial"/>
          <w:sz w:val="15"/>
          <w:szCs w:val="15"/>
          <w:b w:val="1"/>
          <w:bCs w:val="1"/>
          <w:color w:val="auto"/>
        </w:rPr>
      </w:pPr>
      <w:r>
        <w:rPr>
          <w:rFonts w:ascii="Arial" w:cs="Arial" w:eastAsia="Arial" w:hAnsi="Arial"/>
          <w:sz w:val="17"/>
          <w:szCs w:val="17"/>
          <w:i w:val="1"/>
          <w:iCs w:val="1"/>
          <w:color w:val="0046AD"/>
        </w:rPr>
        <w:t>Information Technology Service Agreement</w:t>
      </w:r>
      <w:r>
        <w:rPr>
          <w:rFonts w:ascii="Arial" w:cs="Arial" w:eastAsia="Arial" w:hAnsi="Arial"/>
          <w:sz w:val="17"/>
          <w:szCs w:val="17"/>
          <w:i w:val="1"/>
          <w:iCs w:val="1"/>
          <w:color w:val="2F5496"/>
        </w:rPr>
        <w:t>s</w:t>
      </w:r>
      <w:r>
        <w:rPr>
          <w:rFonts w:ascii="Arial" w:cs="Arial" w:eastAsia="Arial" w:hAnsi="Arial"/>
          <w:sz w:val="17"/>
          <w:szCs w:val="17"/>
          <w:i w:val="1"/>
          <w:iCs w:val="1"/>
          <w:color w:val="0046AD"/>
        </w:rPr>
        <w:t xml:space="preserve"> </w:t>
      </w:r>
      <w:r>
        <w:rPr>
          <w:rFonts w:ascii="Arial" w:cs="Arial" w:eastAsia="Arial" w:hAnsi="Arial"/>
          <w:sz w:val="17"/>
          <w:szCs w:val="17"/>
          <w:color w:val="000000"/>
        </w:rPr>
        <w:t>– Information technology service agreements represent outsourced services and licensing</w:t>
      </w:r>
      <w:r>
        <w:rPr>
          <w:rFonts w:ascii="Arial" w:cs="Arial" w:eastAsia="Arial" w:hAnsi="Arial"/>
          <w:sz w:val="17"/>
          <w:szCs w:val="17"/>
          <w:i w:val="1"/>
          <w:iCs w:val="1"/>
          <w:color w:val="0046AD"/>
        </w:rPr>
        <w:t xml:space="preserve"> </w:t>
      </w:r>
      <w:r>
        <w:rPr>
          <w:rFonts w:ascii="Arial" w:cs="Arial" w:eastAsia="Arial" w:hAnsi="Arial"/>
          <w:sz w:val="17"/>
          <w:szCs w:val="17"/>
          <w:color w:val="000000"/>
        </w:rPr>
        <w:t>costs pursuant to our information technology agreements. We had contractual payments for these agreements of $147.7 million, with $68.9 million payable within 12 months.</w:t>
      </w:r>
    </w:p>
    <w:p>
      <w:pPr>
        <w:spacing w:after="0" w:line="189" w:lineRule="exact"/>
        <w:rPr>
          <w:rFonts w:ascii="Arial" w:cs="Arial" w:eastAsia="Arial" w:hAnsi="Arial"/>
          <w:sz w:val="15"/>
          <w:szCs w:val="15"/>
          <w:b w:val="1"/>
          <w:bCs w:val="1"/>
          <w:color w:val="auto"/>
        </w:rPr>
      </w:pPr>
    </w:p>
    <w:p>
      <w:pPr>
        <w:jc w:val="both"/>
        <w:ind w:left="620" w:hanging="307"/>
        <w:spacing w:after="0" w:line="255" w:lineRule="auto"/>
        <w:tabs>
          <w:tab w:leader="none" w:pos="609" w:val="left"/>
        </w:tabs>
        <w:numPr>
          <w:ilvl w:val="0"/>
          <w:numId w:val="18"/>
        </w:numPr>
        <w:rPr>
          <w:rFonts w:ascii="Arial" w:cs="Arial" w:eastAsia="Arial" w:hAnsi="Arial"/>
          <w:sz w:val="15"/>
          <w:szCs w:val="15"/>
          <w:b w:val="1"/>
          <w:bCs w:val="1"/>
          <w:color w:val="auto"/>
        </w:rPr>
      </w:pPr>
      <w:r>
        <w:rPr>
          <w:rFonts w:ascii="Arial" w:cs="Arial" w:eastAsia="Arial" w:hAnsi="Arial"/>
          <w:sz w:val="17"/>
          <w:szCs w:val="17"/>
          <w:i w:val="1"/>
          <w:iCs w:val="1"/>
          <w:color w:val="0046AD"/>
        </w:rPr>
        <w:t xml:space="preserve">Benefit Obligations </w:t>
      </w:r>
      <w:r>
        <w:rPr>
          <w:rFonts w:ascii="Arial" w:cs="Arial" w:eastAsia="Arial" w:hAnsi="Arial"/>
          <w:sz w:val="17"/>
          <w:szCs w:val="17"/>
          <w:color w:val="000000"/>
        </w:rPr>
        <w:t>– Expected future payments relating to our defined benefit, postretirement, and deferred compensation plans were</w:t>
      </w:r>
      <w:r>
        <w:rPr>
          <w:rFonts w:ascii="Arial" w:cs="Arial" w:eastAsia="Arial" w:hAnsi="Arial"/>
          <w:sz w:val="17"/>
          <w:szCs w:val="17"/>
          <w:i w:val="1"/>
          <w:iCs w:val="1"/>
          <w:color w:val="0046AD"/>
        </w:rPr>
        <w:t xml:space="preserve"> </w:t>
      </w:r>
      <w:r>
        <w:rPr>
          <w:rFonts w:ascii="Arial" w:cs="Arial" w:eastAsia="Arial" w:hAnsi="Arial"/>
          <w:sz w:val="17"/>
          <w:szCs w:val="17"/>
          <w:color w:val="000000"/>
        </w:rPr>
        <w:t>$38.8 million, with $3.5 million payable in 12 months. These amounts are based on expected future service and were calculated using the same assumptions used to measure our benefit obligation at October 31, 2025.</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14" w:right="339" w:bottom="1440" w:gutter="0" w:footer="0" w:header="0"/>
        </w:sectPr>
      </w:pPr>
    </w:p>
    <w:bookmarkStart w:id="37" w:name="page38"/>
    <w:bookmarkEnd w:id="37"/>
    <w:p>
      <w:pPr>
        <w:ind w:left="620" w:right="120" w:hanging="307"/>
        <w:spacing w:after="0" w:line="260" w:lineRule="auto"/>
        <w:tabs>
          <w:tab w:leader="none" w:pos="609" w:val="left"/>
        </w:tabs>
        <w:numPr>
          <w:ilvl w:val="0"/>
          <w:numId w:val="19"/>
        </w:numPr>
        <w:rPr>
          <w:rFonts w:ascii="Arial" w:cs="Arial" w:eastAsia="Arial" w:hAnsi="Arial"/>
          <w:sz w:val="15"/>
          <w:szCs w:val="15"/>
          <w:b w:val="1"/>
          <w:bCs w:val="1"/>
          <w:color w:val="auto"/>
        </w:rPr>
      </w:pPr>
      <w:r>
        <w:rPr>
          <w:rFonts w:ascii="Arial" w:cs="Arial" w:eastAsia="Arial" w:hAnsi="Arial"/>
          <w:sz w:val="17"/>
          <w:szCs w:val="17"/>
          <w:i w:val="1"/>
          <w:iCs w:val="1"/>
          <w:color w:val="0046AD"/>
        </w:rPr>
        <w:t xml:space="preserve">Contingent Consideration Payable in Connection with Our Acquisition of RavenVolt and LMC </w:t>
      </w:r>
      <w:r>
        <w:rPr>
          <w:rFonts w:ascii="Arial" w:cs="Arial" w:eastAsia="Arial" w:hAnsi="Arial"/>
          <w:sz w:val="17"/>
          <w:szCs w:val="17"/>
          <w:color w:val="000000"/>
        </w:rPr>
        <w:t>– At October 31, 2025, contingent</w:t>
      </w:r>
      <w:r>
        <w:rPr>
          <w:rFonts w:ascii="Arial" w:cs="Arial" w:eastAsia="Arial" w:hAnsi="Arial"/>
          <w:sz w:val="17"/>
          <w:szCs w:val="17"/>
          <w:i w:val="1"/>
          <w:iCs w:val="1"/>
          <w:color w:val="0046AD"/>
        </w:rPr>
        <w:t xml:space="preserve"> </w:t>
      </w:r>
      <w:r>
        <w:rPr>
          <w:rFonts w:ascii="Arial" w:cs="Arial" w:eastAsia="Arial" w:hAnsi="Arial"/>
          <w:sz w:val="17"/>
          <w:szCs w:val="17"/>
          <w:color w:val="000000"/>
        </w:rPr>
        <w:t>consideration related to the RavenVolt Acquisition of up to $205.0 million in cash may be paid in calendar year 2026 if the RavenVolt business achieves certain financial targets in calendar year 2025 or cumulative targets for calendar years 2023-2025, as defined in the merger agreement</w:t>
      </w:r>
      <w:r>
        <w:rPr>
          <w:rFonts w:ascii="Arial" w:cs="Arial" w:eastAsia="Arial" w:hAnsi="Arial"/>
          <w:sz w:val="17"/>
          <w:szCs w:val="17"/>
          <w:i w:val="1"/>
          <w:iCs w:val="1"/>
          <w:color w:val="000000"/>
        </w:rPr>
        <w:t>.</w:t>
      </w:r>
      <w:r>
        <w:rPr>
          <w:rFonts w:ascii="Arial" w:cs="Arial" w:eastAsia="Arial" w:hAnsi="Arial"/>
          <w:sz w:val="17"/>
          <w:szCs w:val="17"/>
          <w:color w:val="000000"/>
        </w:rPr>
        <w:t xml:space="preserve"> We expect the RavenVolt business to achieve the financial target that would require a $32.5 million payment for calendar year 2025, and as such, we currently expect to make this payment in May 2026. At October 31, 2025, contingent consideration related to the LMC Acquisition of up to $5.8 million in cash may be paid in calendar year 2027 upon the retention of the top two customers.</w:t>
      </w:r>
    </w:p>
    <w:p>
      <w:pPr>
        <w:spacing w:after="0" w:line="186" w:lineRule="exact"/>
        <w:rPr>
          <w:sz w:val="20"/>
          <w:szCs w:val="20"/>
          <w:color w:val="auto"/>
        </w:rPr>
      </w:pPr>
    </w:p>
    <w:p>
      <w:pPr>
        <w:ind w:firstLine="619"/>
        <w:spacing w:after="0" w:line="258" w:lineRule="auto"/>
        <w:rPr>
          <w:sz w:val="20"/>
          <w:szCs w:val="20"/>
          <w:color w:val="auto"/>
        </w:rPr>
      </w:pPr>
      <w:r>
        <w:rPr>
          <w:rFonts w:ascii="Arial" w:cs="Arial" w:eastAsia="Arial" w:hAnsi="Arial"/>
          <w:sz w:val="17"/>
          <w:szCs w:val="17"/>
          <w:color w:val="auto"/>
        </w:rPr>
        <w:t>In addition, our material cash requirements for other obligations, for which we cannot reasonably estimate future payments, include the following:</w:t>
      </w:r>
    </w:p>
    <w:p>
      <w:pPr>
        <w:spacing w:after="0" w:line="186" w:lineRule="exact"/>
        <w:rPr>
          <w:sz w:val="20"/>
          <w:szCs w:val="20"/>
          <w:color w:val="auto"/>
        </w:rPr>
      </w:pPr>
    </w:p>
    <w:p>
      <w:pPr>
        <w:jc w:val="both"/>
        <w:ind w:left="620" w:hanging="307"/>
        <w:spacing w:after="0"/>
        <w:tabs>
          <w:tab w:leader="none" w:pos="609" w:val="left"/>
        </w:tabs>
        <w:numPr>
          <w:ilvl w:val="0"/>
          <w:numId w:val="20"/>
        </w:numPr>
        <w:rPr>
          <w:rFonts w:ascii="Arial" w:cs="Arial" w:eastAsia="Arial" w:hAnsi="Arial"/>
          <w:sz w:val="15"/>
          <w:szCs w:val="15"/>
          <w:b w:val="1"/>
          <w:bCs w:val="1"/>
          <w:color w:val="auto"/>
        </w:rPr>
      </w:pPr>
      <w:r>
        <w:rPr>
          <w:rFonts w:ascii="Arial" w:cs="Arial" w:eastAsia="Arial" w:hAnsi="Arial"/>
          <w:sz w:val="17"/>
          <w:szCs w:val="17"/>
          <w:i w:val="1"/>
          <w:iCs w:val="1"/>
          <w:color w:val="0046AD"/>
        </w:rPr>
        <w:t xml:space="preserve">Multiemployer Benefit Plans </w:t>
      </w:r>
      <w:r>
        <w:rPr>
          <w:rFonts w:ascii="Arial" w:cs="Arial" w:eastAsia="Arial" w:hAnsi="Arial"/>
          <w:sz w:val="17"/>
          <w:szCs w:val="17"/>
          <w:color w:val="000000"/>
        </w:rPr>
        <w:t>– In addition to our company sponsored benefit plans, we participate in certain multiemployer pension and</w:t>
      </w:r>
      <w:r>
        <w:rPr>
          <w:rFonts w:ascii="Arial" w:cs="Arial" w:eastAsia="Arial" w:hAnsi="Arial"/>
          <w:sz w:val="17"/>
          <w:szCs w:val="17"/>
          <w:i w:val="1"/>
          <w:iCs w:val="1"/>
          <w:color w:val="0046AD"/>
        </w:rPr>
        <w:t xml:space="preserve"> </w:t>
      </w:r>
      <w:r>
        <w:rPr>
          <w:rFonts w:ascii="Arial" w:cs="Arial" w:eastAsia="Arial" w:hAnsi="Arial"/>
          <w:sz w:val="17"/>
          <w:szCs w:val="17"/>
          <w:color w:val="000000"/>
        </w:rPr>
        <w:t>other postretirement plans. The cost of these plans is equal to the annual required contributions determined in accordance with the provisions of negotiated collective bargaining arrangements. During 2025, 2024, and 2023, contributions made to these plans were $588.0 million, $565.9 million, and $574.6 million, respectively; however, our future contributions to the multiemployer plans are dependent upon a number of factors, including the funded status of the plans, the ability of other participating companies to meet ongoing funding obligations, and the level of our ongoing participation in these plans. Amounts of future contributions that we would be contractually obligated to make pursuant to these plans cannot be reasonably estimated. See Note 13, “Employee Benefit Plans,” in the Financial Statements for more information.</w:t>
      </w:r>
    </w:p>
    <w:p>
      <w:pPr>
        <w:spacing w:after="0" w:line="397" w:lineRule="exact"/>
        <w:rPr>
          <w:rFonts w:ascii="Arial" w:cs="Arial" w:eastAsia="Arial" w:hAnsi="Arial"/>
          <w:sz w:val="15"/>
          <w:szCs w:val="15"/>
          <w:b w:val="1"/>
          <w:bCs w:val="1"/>
          <w:color w:val="auto"/>
        </w:rPr>
      </w:pPr>
    </w:p>
    <w:p>
      <w:pPr>
        <w:jc w:val="both"/>
        <w:ind w:left="620" w:hanging="307"/>
        <w:spacing w:after="0" w:line="247" w:lineRule="auto"/>
        <w:tabs>
          <w:tab w:leader="none" w:pos="609" w:val="left"/>
        </w:tabs>
        <w:numPr>
          <w:ilvl w:val="0"/>
          <w:numId w:val="20"/>
        </w:numPr>
        <w:rPr>
          <w:rFonts w:ascii="Arial" w:cs="Arial" w:eastAsia="Arial" w:hAnsi="Arial"/>
          <w:sz w:val="15"/>
          <w:szCs w:val="15"/>
          <w:b w:val="1"/>
          <w:bCs w:val="1"/>
          <w:color w:val="auto"/>
        </w:rPr>
      </w:pPr>
      <w:r>
        <w:rPr>
          <w:rFonts w:ascii="Arial" w:cs="Arial" w:eastAsia="Arial" w:hAnsi="Arial"/>
          <w:sz w:val="17"/>
          <w:szCs w:val="17"/>
          <w:i w:val="1"/>
          <w:iCs w:val="1"/>
          <w:color w:val="0046AD"/>
        </w:rPr>
        <w:t xml:space="preserve">Self-Insurance Obligations </w:t>
      </w:r>
      <w:r>
        <w:rPr>
          <w:rFonts w:ascii="Arial" w:cs="Arial" w:eastAsia="Arial" w:hAnsi="Arial"/>
          <w:sz w:val="17"/>
          <w:szCs w:val="17"/>
          <w:color w:val="000000"/>
        </w:rPr>
        <w:t>– We may make payments for exposures for which we are self-insured, including workers’ compensation,</w:t>
      </w:r>
      <w:r>
        <w:rPr>
          <w:rFonts w:ascii="Arial" w:cs="Arial" w:eastAsia="Arial" w:hAnsi="Arial"/>
          <w:sz w:val="17"/>
          <w:szCs w:val="17"/>
          <w:i w:val="1"/>
          <w:iCs w:val="1"/>
          <w:color w:val="0046AD"/>
        </w:rPr>
        <w:t xml:space="preserve"> </w:t>
      </w:r>
      <w:r>
        <w:rPr>
          <w:rFonts w:ascii="Arial" w:cs="Arial" w:eastAsia="Arial" w:hAnsi="Arial"/>
          <w:sz w:val="17"/>
          <w:szCs w:val="17"/>
          <w:color w:val="000000"/>
        </w:rPr>
        <w:t>general liability, automobile liability, property damage, and other insurable risks. At October 31, 2025, our self-insurance reserves, net of recoverables, were $558.6 million. As these obligations do not have scheduled maturities, we are unable to make a reliable estimate of the amount or timing of cash that may be required to settle these matters. See Note 11, “Insurance,” in the Financial Statements for further detail.</w:t>
      </w:r>
    </w:p>
    <w:p>
      <w:pPr>
        <w:spacing w:after="0" w:line="394" w:lineRule="exact"/>
        <w:rPr>
          <w:rFonts w:ascii="Arial" w:cs="Arial" w:eastAsia="Arial" w:hAnsi="Arial"/>
          <w:sz w:val="15"/>
          <w:szCs w:val="15"/>
          <w:b w:val="1"/>
          <w:bCs w:val="1"/>
          <w:color w:val="auto"/>
        </w:rPr>
      </w:pPr>
    </w:p>
    <w:p>
      <w:pPr>
        <w:ind w:left="620" w:right="140" w:hanging="307"/>
        <w:spacing w:after="0" w:line="242" w:lineRule="auto"/>
        <w:tabs>
          <w:tab w:leader="none" w:pos="616" w:val="left"/>
        </w:tabs>
        <w:numPr>
          <w:ilvl w:val="0"/>
          <w:numId w:val="20"/>
        </w:numPr>
        <w:rPr>
          <w:rFonts w:ascii="Arial" w:cs="Arial" w:eastAsia="Arial" w:hAnsi="Arial"/>
          <w:sz w:val="17"/>
          <w:szCs w:val="17"/>
          <w:color w:val="auto"/>
        </w:rPr>
      </w:pPr>
      <w:r>
        <w:rPr>
          <w:rFonts w:ascii="Arial" w:cs="Arial" w:eastAsia="Arial" w:hAnsi="Arial"/>
          <w:sz w:val="17"/>
          <w:szCs w:val="17"/>
          <w:i w:val="1"/>
          <w:iCs w:val="1"/>
          <w:color w:val="0046AD"/>
        </w:rPr>
        <w:t xml:space="preserve">Unrecognized Tax Benefits </w:t>
      </w:r>
      <w:r>
        <w:rPr>
          <w:rFonts w:ascii="Arial" w:cs="Arial" w:eastAsia="Arial" w:hAnsi="Arial"/>
          <w:sz w:val="17"/>
          <w:szCs w:val="17"/>
          <w:color w:val="000000"/>
        </w:rPr>
        <w:t>– At October 31, 2025, our total liability for unrecognized tax benefits was $8.0 million. The resolution or</w:t>
      </w:r>
      <w:r>
        <w:rPr>
          <w:rFonts w:ascii="Arial" w:cs="Arial" w:eastAsia="Arial" w:hAnsi="Arial"/>
          <w:sz w:val="17"/>
          <w:szCs w:val="17"/>
          <w:i w:val="1"/>
          <w:iCs w:val="1"/>
          <w:color w:val="0046AD"/>
        </w:rPr>
        <w:t xml:space="preserve"> </w:t>
      </w:r>
      <w:r>
        <w:rPr>
          <w:rFonts w:ascii="Arial" w:cs="Arial" w:eastAsia="Arial" w:hAnsi="Arial"/>
          <w:sz w:val="17"/>
          <w:szCs w:val="17"/>
          <w:color w:val="000000"/>
        </w:rPr>
        <w:t>settlement of these tax positions with the taxing authorities is subject to significant uncertainty, and therefore we are unable to make a reliable estimate of the amount or timing of cash that may be required to settle these matters. In addition, certain of these matters may not require cash settlements due to the utilization of credits and net operating loss carryforwards as well as other offsets, including the indirect benefit from other taxing jurisdictions that may be available.</w:t>
      </w:r>
    </w:p>
    <w:p>
      <w:pPr>
        <w:spacing w:after="0" w:line="36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46AD"/>
        </w:rPr>
        <w:t>Off-Balance Sheet Arrangements</w:t>
      </w:r>
    </w:p>
    <w:p>
      <w:pPr>
        <w:spacing w:after="0" w:line="165"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We have no off-balance sheet arrangements other than unrecorded standby letters of credit and surety bonds. We use letters of credit and surety bonds in the ordinary course of business to ensure the performance of contractual obligations and to collateralize self-insurance obligations in the event we are unable to meet our claim payment obligations. As we already have reserves on our books for the claims costs, these do not represent additional liabilities. The surety bonds typically remain in force for one to five years and may include optional renewal periods. As of October 31, 2025, these letters of credit totaled $23.5 million, and surety bonds and surety-backed letters of credit totaled $1,026.6 million, respectively. Neither of these arrangements has a material current effect, or is reasonably likely to have a material future effect, on our financial condition, revenues or expenses, results of operations, liquidity, capital expenditures, or capital resources.</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64" w:right="339" w:bottom="1440" w:gutter="0" w:footer="0" w:header="0"/>
        </w:sectPr>
      </w:pPr>
    </w:p>
    <w:bookmarkStart w:id="38" w:name="page39"/>
    <w:bookmarkEnd w:id="38"/>
    <w:p>
      <w:pPr>
        <w:spacing w:after="0"/>
        <w:rPr>
          <w:sz w:val="20"/>
          <w:szCs w:val="20"/>
          <w:color w:val="auto"/>
        </w:rPr>
      </w:pPr>
      <w:r>
        <w:rPr>
          <w:rFonts w:ascii="Arial" w:cs="Arial" w:eastAsia="Arial" w:hAnsi="Arial"/>
          <w:sz w:val="17"/>
          <w:szCs w:val="17"/>
          <w:b w:val="1"/>
          <w:bCs w:val="1"/>
          <w:color w:val="0046AD"/>
        </w:rPr>
        <w:t>Critical Accounting Policies and Estimates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wp:posOffset>
            </wp:positionV>
            <wp:extent cx="713867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40"/>
          </w:cols>
          <w:pgMar w:left="320" w:top="933" w:right="339" w:bottom="1440" w:gutter="0" w:footer="0" w:header="0"/>
        </w:sectPr>
      </w:pPr>
    </w:p>
    <w:p>
      <w:pPr>
        <w:spacing w:after="0" w:line="232" w:lineRule="exact"/>
        <w:rPr>
          <w:sz w:val="20"/>
          <w:szCs w:val="20"/>
          <w:color w:val="auto"/>
        </w:rPr>
      </w:pPr>
    </w:p>
    <w:p>
      <w:pPr>
        <w:jc w:val="both"/>
        <w:ind w:firstLine="619"/>
        <w:spacing w:after="0" w:line="260" w:lineRule="auto"/>
        <w:rPr>
          <w:sz w:val="20"/>
          <w:szCs w:val="20"/>
          <w:color w:val="auto"/>
        </w:rPr>
      </w:pPr>
      <w:r>
        <w:rPr>
          <w:rFonts w:ascii="Arial" w:cs="Arial" w:eastAsia="Arial" w:hAnsi="Arial"/>
          <w:sz w:val="17"/>
          <w:szCs w:val="17"/>
          <w:color w:val="auto"/>
        </w:rPr>
        <w:t>The preparation of consolidated financial statements in accordance with United States generally accepted accounting principles (“U.S. GAAP”) requires our management to make certain estimates that affect the reported amounts. We base our estimates on historical experience, known or expected trends, independent valuations, and various other assumptions that we believe to be reasonable under the circumstances. As future events and their effects cannot be determined with precision, actual results could differ significantly from these estimates. There have been no significant changes to our critical accounting policies and estimates for the year ended October 31, 2025. We believe the following critical accounting policies govern the more significant judgments and estimates used in the preparation of our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33" w:right="339" w:bottom="1440" w:gutter="0" w:footer="0" w:header="0"/>
          <w:type w:val="continuous"/>
        </w:sectPr>
      </w:pPr>
    </w:p>
    <w:bookmarkStart w:id="39" w:name="page40"/>
    <w:bookmarkEnd w:id="39"/>
    <w:p>
      <w:pPr>
        <w:spacing w:after="0"/>
        <w:rPr>
          <w:sz w:val="20"/>
          <w:szCs w:val="20"/>
          <w:color w:val="auto"/>
        </w:rPr>
      </w:pPr>
      <w:r>
        <w:rPr>
          <w:rFonts w:ascii="Arial" w:cs="Arial" w:eastAsia="Arial" w:hAnsi="Arial"/>
          <w:sz w:val="15"/>
          <w:szCs w:val="15"/>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22225</wp:posOffset>
            </wp:positionV>
            <wp:extent cx="169481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694815" cy="825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Valuation of Long-Lived Assets</w:t>
      </w:r>
    </w:p>
    <w:p>
      <w:pPr>
        <w:spacing w:after="0" w:line="17" w:lineRule="exact"/>
        <w:rPr>
          <w:sz w:val="20"/>
          <w:szCs w:val="20"/>
          <w:color w:val="auto"/>
        </w:rPr>
      </w:pPr>
    </w:p>
    <w:p>
      <w:pPr>
        <w:spacing w:after="0"/>
        <w:rPr>
          <w:sz w:val="20"/>
          <w:szCs w:val="20"/>
          <w:color w:val="auto"/>
        </w:rPr>
      </w:pPr>
      <w:r>
        <w:rPr>
          <w:rFonts w:ascii="Arial" w:cs="Arial" w:eastAsia="Arial" w:hAnsi="Arial"/>
          <w:sz w:val="15"/>
          <w:szCs w:val="15"/>
          <w:color w:val="auto"/>
        </w:rPr>
        <w:t>We evaluate our fixed assets and</w:t>
      </w:r>
    </w:p>
    <w:p>
      <w:pPr>
        <w:spacing w:after="0" w:line="217" w:lineRule="auto"/>
        <w:rPr>
          <w:sz w:val="20"/>
          <w:szCs w:val="20"/>
          <w:color w:val="auto"/>
        </w:rPr>
      </w:pPr>
      <w:r>
        <w:rPr>
          <w:rFonts w:ascii="Arial" w:cs="Arial" w:eastAsia="Arial" w:hAnsi="Arial"/>
          <w:sz w:val="14"/>
          <w:szCs w:val="14"/>
          <w:color w:val="auto"/>
        </w:rPr>
        <w:t>amortizable intangible assets for impairment whenever events or changes in circumstances indicate that the</w:t>
      </w:r>
    </w:p>
    <w:p>
      <w:pPr>
        <w:spacing w:after="0" w:line="2" w:lineRule="exact"/>
        <w:rPr>
          <w:sz w:val="20"/>
          <w:szCs w:val="20"/>
          <w:color w:val="auto"/>
        </w:rPr>
      </w:pPr>
    </w:p>
    <w:p>
      <w:pPr>
        <w:ind w:right="40"/>
        <w:spacing w:after="0" w:line="203" w:lineRule="auto"/>
        <w:rPr>
          <w:sz w:val="20"/>
          <w:szCs w:val="20"/>
          <w:color w:val="auto"/>
        </w:rPr>
      </w:pPr>
      <w:r>
        <w:rPr>
          <w:rFonts w:ascii="Arial" w:cs="Arial" w:eastAsia="Arial" w:hAnsi="Arial"/>
          <w:sz w:val="15"/>
          <w:szCs w:val="15"/>
          <w:color w:val="auto"/>
        </w:rPr>
        <w:t>carrying amount of such assets may not be recoverable. These events and circumstances include, but are not</w:t>
      </w:r>
    </w:p>
    <w:p>
      <w:pPr>
        <w:spacing w:after="0" w:line="1" w:lineRule="exact"/>
        <w:rPr>
          <w:sz w:val="20"/>
          <w:szCs w:val="20"/>
          <w:color w:val="auto"/>
        </w:rPr>
      </w:pPr>
    </w:p>
    <w:p>
      <w:pPr>
        <w:ind w:right="80"/>
        <w:spacing w:after="0" w:line="217" w:lineRule="auto"/>
        <w:rPr>
          <w:sz w:val="20"/>
          <w:szCs w:val="20"/>
          <w:color w:val="auto"/>
        </w:rPr>
      </w:pPr>
      <w:r>
        <w:rPr>
          <w:rFonts w:ascii="Arial" w:cs="Arial" w:eastAsia="Arial" w:hAnsi="Arial"/>
          <w:sz w:val="14"/>
          <w:szCs w:val="14"/>
          <w:color w:val="auto"/>
        </w:rPr>
        <w:t>limited to: higher than expected attrition for customer relationships; a current expectation that a long-lived asset will</w:t>
      </w:r>
    </w:p>
    <w:p>
      <w:pPr>
        <w:spacing w:after="0" w:line="2" w:lineRule="exact"/>
        <w:rPr>
          <w:sz w:val="20"/>
          <w:szCs w:val="20"/>
          <w:color w:val="auto"/>
        </w:rPr>
      </w:pPr>
    </w:p>
    <w:p>
      <w:pPr>
        <w:jc w:val="both"/>
        <w:ind w:right="180"/>
        <w:spacing w:after="0" w:line="217" w:lineRule="auto"/>
        <w:rPr>
          <w:sz w:val="20"/>
          <w:szCs w:val="20"/>
          <w:color w:val="auto"/>
        </w:rPr>
      </w:pPr>
      <w:r>
        <w:rPr>
          <w:rFonts w:ascii="Arial" w:cs="Arial" w:eastAsia="Arial" w:hAnsi="Arial"/>
          <w:sz w:val="14"/>
          <w:szCs w:val="14"/>
          <w:color w:val="auto"/>
        </w:rPr>
        <w:t>be disposed of significantly before the end of its previously estimated useful life, such as when we classify a</w:t>
      </w:r>
    </w:p>
    <w:p>
      <w:pPr>
        <w:spacing w:after="0" w:line="2" w:lineRule="exact"/>
        <w:rPr>
          <w:sz w:val="20"/>
          <w:szCs w:val="20"/>
          <w:color w:val="auto"/>
        </w:rPr>
      </w:pPr>
    </w:p>
    <w:p>
      <w:pPr>
        <w:ind w:right="40"/>
        <w:spacing w:after="0" w:line="217" w:lineRule="auto"/>
        <w:rPr>
          <w:sz w:val="20"/>
          <w:szCs w:val="20"/>
          <w:color w:val="auto"/>
        </w:rPr>
      </w:pPr>
      <w:r>
        <w:rPr>
          <w:rFonts w:ascii="Arial" w:cs="Arial" w:eastAsia="Arial" w:hAnsi="Arial"/>
          <w:sz w:val="14"/>
          <w:szCs w:val="14"/>
          <w:color w:val="auto"/>
        </w:rPr>
        <w:t>business as held for sale; a significant adverse change in the extent or manner in which we use a long-lived asset; or a</w:t>
      </w:r>
    </w:p>
    <w:p>
      <w:pPr>
        <w:spacing w:after="0" w:line="2" w:lineRule="exact"/>
        <w:rPr>
          <w:sz w:val="20"/>
          <w:szCs w:val="20"/>
          <w:color w:val="auto"/>
        </w:rPr>
      </w:pPr>
    </w:p>
    <w:p>
      <w:pPr>
        <w:ind w:right="160"/>
        <w:spacing w:after="0" w:line="217" w:lineRule="auto"/>
        <w:rPr>
          <w:sz w:val="20"/>
          <w:szCs w:val="20"/>
          <w:color w:val="auto"/>
        </w:rPr>
      </w:pPr>
      <w:r>
        <w:rPr>
          <w:rFonts w:ascii="Arial" w:cs="Arial" w:eastAsia="Arial" w:hAnsi="Arial"/>
          <w:sz w:val="14"/>
          <w:szCs w:val="14"/>
          <w:color w:val="auto"/>
        </w:rPr>
        <w:t>change in the physical condition of a long-lived asset. Undiscounted cash flow analyses are used to determine if</w:t>
      </w:r>
    </w:p>
    <w:p>
      <w:pPr>
        <w:spacing w:after="0" w:line="2" w:lineRule="exact"/>
        <w:rPr>
          <w:sz w:val="20"/>
          <w:szCs w:val="20"/>
          <w:color w:val="auto"/>
        </w:rPr>
      </w:pPr>
    </w:p>
    <w:p>
      <w:pPr>
        <w:ind w:right="400"/>
        <w:spacing w:after="0" w:line="217" w:lineRule="auto"/>
        <w:rPr>
          <w:sz w:val="20"/>
          <w:szCs w:val="20"/>
          <w:color w:val="auto"/>
        </w:rPr>
      </w:pPr>
      <w:r>
        <w:rPr>
          <w:rFonts w:ascii="Arial" w:cs="Arial" w:eastAsia="Arial" w:hAnsi="Arial"/>
          <w:sz w:val="14"/>
          <w:szCs w:val="14"/>
          <w:color w:val="auto"/>
        </w:rPr>
        <w:t>impairment exists; if impairment is determined to exist, the loss is calculated based on estimated fair</w:t>
      </w:r>
    </w:p>
    <w:p>
      <w:pPr>
        <w:spacing w:after="0" w:line="2" w:lineRule="exact"/>
        <w:rPr>
          <w:sz w:val="20"/>
          <w:szCs w:val="20"/>
          <w:color w:val="auto"/>
        </w:rPr>
      </w:pPr>
    </w:p>
    <w:p>
      <w:pPr>
        <w:ind w:right="240"/>
        <w:spacing w:after="0" w:line="217" w:lineRule="auto"/>
        <w:rPr>
          <w:sz w:val="20"/>
          <w:szCs w:val="20"/>
          <w:color w:val="auto"/>
        </w:rPr>
      </w:pPr>
      <w:r>
        <w:rPr>
          <w:rFonts w:ascii="Arial" w:cs="Arial" w:eastAsia="Arial" w:hAnsi="Arial"/>
          <w:sz w:val="14"/>
          <w:szCs w:val="14"/>
          <w:color w:val="auto"/>
        </w:rPr>
        <w:t>value. Goodwill is not amortized but rather tested at least annually for impairment or more often if events or</w:t>
      </w:r>
    </w:p>
    <w:p>
      <w:pPr>
        <w:spacing w:after="0" w:line="2" w:lineRule="exact"/>
        <w:rPr>
          <w:sz w:val="20"/>
          <w:szCs w:val="20"/>
          <w:color w:val="auto"/>
        </w:rPr>
      </w:pPr>
    </w:p>
    <w:p>
      <w:pPr>
        <w:ind w:right="140"/>
        <w:spacing w:after="0" w:line="217" w:lineRule="auto"/>
        <w:rPr>
          <w:sz w:val="20"/>
          <w:szCs w:val="20"/>
          <w:color w:val="auto"/>
        </w:rPr>
      </w:pPr>
      <w:r>
        <w:rPr>
          <w:rFonts w:ascii="Arial" w:cs="Arial" w:eastAsia="Arial" w:hAnsi="Arial"/>
          <w:sz w:val="14"/>
          <w:szCs w:val="14"/>
          <w:color w:val="auto"/>
        </w:rPr>
        <w:t>changes in circumstances indicate it is more likely than not that the carrying amount of the asset may not be</w:t>
      </w:r>
    </w:p>
    <w:p>
      <w:pPr>
        <w:spacing w:after="0" w:line="2" w:lineRule="exact"/>
        <w:rPr>
          <w:sz w:val="20"/>
          <w:szCs w:val="20"/>
          <w:color w:val="auto"/>
        </w:rPr>
      </w:pPr>
    </w:p>
    <w:p>
      <w:pPr>
        <w:ind w:right="60"/>
        <w:spacing w:after="0" w:line="217" w:lineRule="auto"/>
        <w:rPr>
          <w:sz w:val="20"/>
          <w:szCs w:val="20"/>
          <w:color w:val="auto"/>
        </w:rPr>
      </w:pPr>
      <w:r>
        <w:rPr>
          <w:rFonts w:ascii="Arial" w:cs="Arial" w:eastAsia="Arial" w:hAnsi="Arial"/>
          <w:sz w:val="14"/>
          <w:szCs w:val="14"/>
          <w:color w:val="auto"/>
        </w:rPr>
        <w:t>recoverable. Goodwill is tested for impairment at the reporting unit level, which represents an operating segment</w:t>
      </w:r>
    </w:p>
    <w:p>
      <w:pPr>
        <w:spacing w:after="0" w:line="2" w:lineRule="exact"/>
        <w:rPr>
          <w:sz w:val="20"/>
          <w:szCs w:val="20"/>
          <w:color w:val="auto"/>
        </w:rPr>
      </w:pPr>
    </w:p>
    <w:p>
      <w:pPr>
        <w:ind w:right="180"/>
        <w:spacing w:after="0" w:line="216" w:lineRule="auto"/>
        <w:rPr>
          <w:sz w:val="20"/>
          <w:szCs w:val="20"/>
          <w:color w:val="auto"/>
        </w:rPr>
      </w:pPr>
      <w:r>
        <w:rPr>
          <w:rFonts w:ascii="Arial" w:cs="Arial" w:eastAsia="Arial" w:hAnsi="Arial"/>
          <w:sz w:val="14"/>
          <w:szCs w:val="14"/>
          <w:color w:val="auto"/>
        </w:rPr>
        <w:t>or a component of an operating segment. Goodwill is tested for impairment by either performing a qualitative evaluation or a quantitative</w:t>
      </w:r>
    </w:p>
    <w:p>
      <w:pPr>
        <w:spacing w:after="0" w:line="1" w:lineRule="exact"/>
        <w:rPr>
          <w:sz w:val="20"/>
          <w:szCs w:val="20"/>
          <w:color w:val="auto"/>
        </w:rPr>
      </w:pPr>
    </w:p>
    <w:p>
      <w:pPr>
        <w:spacing w:after="0" w:line="217" w:lineRule="auto"/>
        <w:rPr>
          <w:sz w:val="20"/>
          <w:szCs w:val="20"/>
          <w:color w:val="auto"/>
        </w:rPr>
      </w:pPr>
      <w:r>
        <w:rPr>
          <w:rFonts w:ascii="Arial" w:cs="Arial" w:eastAsia="Arial" w:hAnsi="Arial"/>
          <w:sz w:val="14"/>
          <w:szCs w:val="14"/>
          <w:color w:val="auto"/>
        </w:rPr>
        <w:t>test. The qualitative evaluation is an assessment of factors to determine whether it is more likely than not that the</w:t>
      </w:r>
    </w:p>
    <w:p>
      <w:pPr>
        <w:spacing w:after="0" w:line="2" w:lineRule="exact"/>
        <w:rPr>
          <w:sz w:val="20"/>
          <w:szCs w:val="20"/>
          <w:color w:val="auto"/>
        </w:rPr>
      </w:pPr>
    </w:p>
    <w:p>
      <w:pPr>
        <w:jc w:val="both"/>
        <w:ind w:right="80"/>
        <w:spacing w:after="0" w:line="217" w:lineRule="auto"/>
        <w:rPr>
          <w:sz w:val="20"/>
          <w:szCs w:val="20"/>
          <w:color w:val="auto"/>
        </w:rPr>
      </w:pPr>
      <w:r>
        <w:rPr>
          <w:rFonts w:ascii="Arial" w:cs="Arial" w:eastAsia="Arial" w:hAnsi="Arial"/>
          <w:sz w:val="14"/>
          <w:szCs w:val="14"/>
          <w:color w:val="auto"/>
        </w:rPr>
        <w:t>fair value of a reporting unit is less than its carrying amount, including goodwill. We may elect not to perform the</w:t>
      </w:r>
    </w:p>
    <w:p>
      <w:pPr>
        <w:spacing w:after="0" w:line="2" w:lineRule="exact"/>
        <w:rPr>
          <w:sz w:val="20"/>
          <w:szCs w:val="20"/>
          <w:color w:val="auto"/>
        </w:rPr>
      </w:pPr>
    </w:p>
    <w:p>
      <w:pPr>
        <w:ind w:right="20"/>
        <w:spacing w:after="0" w:line="214" w:lineRule="auto"/>
        <w:rPr>
          <w:sz w:val="20"/>
          <w:szCs w:val="20"/>
          <w:color w:val="auto"/>
        </w:rPr>
      </w:pPr>
      <w:r>
        <w:rPr>
          <w:rFonts w:ascii="Arial" w:cs="Arial" w:eastAsia="Arial" w:hAnsi="Arial"/>
          <w:sz w:val="15"/>
          <w:szCs w:val="15"/>
          <w:color w:val="auto"/>
        </w:rPr>
        <w:t>qualitative assessment for some or all of our reporting units and instead perform a quantitative impairment test.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auto"/>
        </w:rPr>
        <w:t>Judgments and Uncertainties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22225</wp:posOffset>
            </wp:positionV>
            <wp:extent cx="202184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021840" cy="8255"/>
                    </a:xfrm>
                    <a:prstGeom prst="rect">
                      <a:avLst/>
                    </a:prstGeom>
                    <a:noFill/>
                  </pic:spPr>
                </pic:pic>
              </a:graphicData>
            </a:graphic>
          </wp:anchor>
        </w:drawing>
      </w:r>
    </w:p>
    <w:p>
      <w:pPr>
        <w:spacing w:after="0" w:line="24" w:lineRule="exact"/>
        <w:rPr>
          <w:sz w:val="20"/>
          <w:szCs w:val="20"/>
          <w:color w:val="auto"/>
        </w:rPr>
      </w:pPr>
    </w:p>
    <w:p>
      <w:pPr>
        <w:ind w:right="120"/>
        <w:spacing w:after="0" w:line="231" w:lineRule="auto"/>
        <w:rPr>
          <w:sz w:val="20"/>
          <w:szCs w:val="20"/>
          <w:color w:val="auto"/>
        </w:rPr>
      </w:pPr>
      <w:r>
        <w:rPr>
          <w:rFonts w:ascii="Arial" w:cs="Arial" w:eastAsia="Arial" w:hAnsi="Arial"/>
          <w:sz w:val="14"/>
          <w:szCs w:val="14"/>
          <w:color w:val="auto"/>
        </w:rPr>
        <w:t>Our impairment evaluations require us to apply judgment in determining whether a triggering</w:t>
      </w:r>
    </w:p>
    <w:p>
      <w:pPr>
        <w:spacing w:after="0" w:line="1" w:lineRule="exact"/>
        <w:rPr>
          <w:sz w:val="20"/>
          <w:szCs w:val="20"/>
          <w:color w:val="auto"/>
        </w:rPr>
      </w:pPr>
    </w:p>
    <w:p>
      <w:pPr>
        <w:ind w:right="140"/>
        <w:spacing w:after="0" w:line="217" w:lineRule="auto"/>
        <w:rPr>
          <w:sz w:val="20"/>
          <w:szCs w:val="20"/>
          <w:color w:val="auto"/>
        </w:rPr>
      </w:pPr>
      <w:r>
        <w:rPr>
          <w:rFonts w:ascii="Arial" w:cs="Arial" w:eastAsia="Arial" w:hAnsi="Arial"/>
          <w:sz w:val="14"/>
          <w:szCs w:val="14"/>
          <w:color w:val="auto"/>
        </w:rPr>
        <w:t>event has occurred, including the evaluation of whether it is more likely than not that a long-lived asset will be disposed of significantly</w:t>
      </w:r>
    </w:p>
    <w:p>
      <w:pPr>
        <w:spacing w:after="0" w:line="2" w:lineRule="exact"/>
        <w:rPr>
          <w:sz w:val="20"/>
          <w:szCs w:val="20"/>
          <w:color w:val="auto"/>
        </w:rPr>
      </w:pPr>
    </w:p>
    <w:p>
      <w:pPr>
        <w:ind w:right="60"/>
        <w:spacing w:after="0" w:line="203" w:lineRule="auto"/>
        <w:rPr>
          <w:sz w:val="20"/>
          <w:szCs w:val="20"/>
          <w:color w:val="auto"/>
        </w:rPr>
      </w:pPr>
      <w:r>
        <w:rPr>
          <w:rFonts w:ascii="Arial" w:cs="Arial" w:eastAsia="Arial" w:hAnsi="Arial"/>
          <w:sz w:val="15"/>
          <w:szCs w:val="15"/>
          <w:color w:val="auto"/>
        </w:rPr>
        <w:t>before the end of its previously estimated useful life. Incorrect estimation of useful lives may result in inaccurate depreciation and</w:t>
      </w:r>
    </w:p>
    <w:p>
      <w:pPr>
        <w:spacing w:after="0" w:line="1" w:lineRule="exact"/>
        <w:rPr>
          <w:sz w:val="20"/>
          <w:szCs w:val="20"/>
          <w:color w:val="auto"/>
        </w:rPr>
      </w:pPr>
    </w:p>
    <w:p>
      <w:pPr>
        <w:ind w:right="20"/>
        <w:spacing w:after="0" w:line="222" w:lineRule="auto"/>
        <w:rPr>
          <w:sz w:val="20"/>
          <w:szCs w:val="20"/>
          <w:color w:val="auto"/>
        </w:rPr>
      </w:pPr>
      <w:r>
        <w:rPr>
          <w:rFonts w:ascii="Arial" w:cs="Arial" w:eastAsia="Arial" w:hAnsi="Arial"/>
          <w:sz w:val="15"/>
          <w:szCs w:val="15"/>
          <w:color w:val="auto"/>
        </w:rPr>
        <w:t>amortization charges over future periods leading to future impairment.</w:t>
      </w:r>
    </w:p>
    <w:p>
      <w:pPr>
        <w:spacing w:after="0" w:line="237" w:lineRule="auto"/>
        <w:rPr>
          <w:sz w:val="20"/>
          <w:szCs w:val="20"/>
          <w:color w:val="auto"/>
        </w:rPr>
      </w:pPr>
      <w:r>
        <w:rPr>
          <w:rFonts w:ascii="Arial" w:cs="Arial" w:eastAsia="Arial" w:hAnsi="Arial"/>
          <w:sz w:val="15"/>
          <w:szCs w:val="15"/>
          <w:color w:val="auto"/>
        </w:rPr>
        <w:t>Our impairment loss calculations contain</w:t>
      </w:r>
    </w:p>
    <w:p>
      <w:pPr>
        <w:ind w:right="20"/>
        <w:spacing w:after="0" w:line="217" w:lineRule="auto"/>
        <w:rPr>
          <w:sz w:val="20"/>
          <w:szCs w:val="20"/>
          <w:color w:val="auto"/>
        </w:rPr>
      </w:pPr>
      <w:r>
        <w:rPr>
          <w:rFonts w:ascii="Arial" w:cs="Arial" w:eastAsia="Arial" w:hAnsi="Arial"/>
          <w:sz w:val="14"/>
          <w:szCs w:val="14"/>
          <w:color w:val="auto"/>
        </w:rPr>
        <w:t>uncertainties because they require management to make assumptions and to apply judgment to estimate future cash flows and asset fair values,</w:t>
      </w:r>
    </w:p>
    <w:p>
      <w:pPr>
        <w:spacing w:after="0" w:line="2" w:lineRule="exact"/>
        <w:rPr>
          <w:sz w:val="20"/>
          <w:szCs w:val="20"/>
          <w:color w:val="auto"/>
        </w:rPr>
      </w:pPr>
    </w:p>
    <w:p>
      <w:pPr>
        <w:jc w:val="both"/>
        <w:ind w:right="120"/>
        <w:spacing w:after="0" w:line="214" w:lineRule="auto"/>
        <w:rPr>
          <w:sz w:val="20"/>
          <w:szCs w:val="20"/>
          <w:color w:val="auto"/>
        </w:rPr>
      </w:pPr>
      <w:r>
        <w:rPr>
          <w:rFonts w:ascii="Arial" w:cs="Arial" w:eastAsia="Arial" w:hAnsi="Arial"/>
          <w:sz w:val="15"/>
          <w:szCs w:val="15"/>
          <w:color w:val="auto"/>
        </w:rPr>
        <w:t>including forecasting useful lives of the assets and selecting the discount rate that reflects the risk inherent in future cash flows.</w:t>
      </w:r>
    </w:p>
    <w:p>
      <w:pPr>
        <w:spacing w:after="0" w:line="14" w:lineRule="exact"/>
        <w:rPr>
          <w:sz w:val="20"/>
          <w:szCs w:val="20"/>
          <w:color w:val="auto"/>
        </w:rPr>
      </w:pPr>
    </w:p>
    <w:p>
      <w:pPr>
        <w:jc w:val="both"/>
        <w:spacing w:after="0" w:line="220" w:lineRule="auto"/>
        <w:rPr>
          <w:sz w:val="20"/>
          <w:szCs w:val="20"/>
          <w:color w:val="auto"/>
        </w:rPr>
      </w:pPr>
      <w:r>
        <w:rPr>
          <w:rFonts w:ascii="Arial" w:cs="Arial" w:eastAsia="Arial" w:hAnsi="Arial"/>
          <w:sz w:val="15"/>
          <w:szCs w:val="15"/>
          <w:color w:val="auto"/>
        </w:rPr>
        <w:t>We estimate the fair value of each reporting unit using a combination of the income approach and the market approach.</w:t>
      </w:r>
    </w:p>
    <w:p>
      <w:pPr>
        <w:spacing w:after="0" w:line="16" w:lineRule="exact"/>
        <w:rPr>
          <w:sz w:val="20"/>
          <w:szCs w:val="20"/>
          <w:color w:val="auto"/>
        </w:rPr>
      </w:pPr>
    </w:p>
    <w:p>
      <w:pPr>
        <w:ind w:right="80"/>
        <w:spacing w:after="0" w:line="224" w:lineRule="auto"/>
        <w:rPr>
          <w:sz w:val="20"/>
          <w:szCs w:val="20"/>
          <w:color w:val="auto"/>
        </w:rPr>
      </w:pPr>
      <w:r>
        <w:rPr>
          <w:rFonts w:ascii="Arial" w:cs="Arial" w:eastAsia="Arial" w:hAnsi="Arial"/>
          <w:sz w:val="14"/>
          <w:szCs w:val="14"/>
          <w:color w:val="auto"/>
        </w:rPr>
        <w:t>The income approach incorporates the use of a discounted cash flow method in which the estimated future cash flows and terminal value</w:t>
      </w:r>
    </w:p>
    <w:p>
      <w:pPr>
        <w:spacing w:after="0" w:line="2" w:lineRule="exact"/>
        <w:rPr>
          <w:sz w:val="20"/>
          <w:szCs w:val="20"/>
          <w:color w:val="auto"/>
        </w:rPr>
      </w:pPr>
    </w:p>
    <w:p>
      <w:pPr>
        <w:ind w:right="160"/>
        <w:spacing w:after="0" w:line="214" w:lineRule="auto"/>
        <w:rPr>
          <w:sz w:val="20"/>
          <w:szCs w:val="20"/>
          <w:color w:val="auto"/>
        </w:rPr>
      </w:pPr>
      <w:r>
        <w:rPr>
          <w:rFonts w:ascii="Arial" w:cs="Arial" w:eastAsia="Arial" w:hAnsi="Arial"/>
          <w:sz w:val="15"/>
          <w:szCs w:val="15"/>
          <w:color w:val="auto"/>
        </w:rPr>
        <w:t>are calculated for each reporting unit and then discounted to present value using an appropriate discount rate.</w:t>
      </w:r>
    </w:p>
    <w:p>
      <w:pPr>
        <w:spacing w:after="0" w:line="14" w:lineRule="exact"/>
        <w:rPr>
          <w:sz w:val="20"/>
          <w:szCs w:val="20"/>
          <w:color w:val="auto"/>
        </w:rPr>
      </w:pPr>
    </w:p>
    <w:p>
      <w:pPr>
        <w:ind w:right="20"/>
        <w:spacing w:after="0" w:line="224" w:lineRule="auto"/>
        <w:rPr>
          <w:sz w:val="20"/>
          <w:szCs w:val="20"/>
          <w:color w:val="auto"/>
        </w:rPr>
      </w:pPr>
      <w:r>
        <w:rPr>
          <w:rFonts w:ascii="Arial" w:cs="Arial" w:eastAsia="Arial" w:hAnsi="Arial"/>
          <w:sz w:val="14"/>
          <w:szCs w:val="14"/>
          <w:color w:val="auto"/>
        </w:rPr>
        <w:t>The valuation of our reporting units requires significant judgment in evaluation of recent indicators of market activity and estimated future</w:t>
      </w:r>
    </w:p>
    <w:p>
      <w:pPr>
        <w:spacing w:after="0" w:line="2" w:lineRule="exact"/>
        <w:rPr>
          <w:sz w:val="20"/>
          <w:szCs w:val="20"/>
          <w:color w:val="auto"/>
        </w:rPr>
      </w:pPr>
    </w:p>
    <w:p>
      <w:pPr>
        <w:ind w:right="160"/>
        <w:spacing w:after="0" w:line="217" w:lineRule="auto"/>
        <w:rPr>
          <w:sz w:val="20"/>
          <w:szCs w:val="20"/>
          <w:color w:val="auto"/>
        </w:rPr>
      </w:pPr>
      <w:r>
        <w:rPr>
          <w:rFonts w:ascii="Arial" w:cs="Arial" w:eastAsia="Arial" w:hAnsi="Arial"/>
          <w:sz w:val="14"/>
          <w:szCs w:val="14"/>
          <w:color w:val="auto"/>
        </w:rPr>
        <w:t>cash flows, discount rates, and other factors. Our impairment analyses contain inherent uncertainties due to uncontrollable events that</w:t>
      </w:r>
    </w:p>
    <w:p>
      <w:pPr>
        <w:spacing w:after="0" w:line="2" w:lineRule="exact"/>
        <w:rPr>
          <w:sz w:val="20"/>
          <w:szCs w:val="20"/>
          <w:color w:val="auto"/>
        </w:rPr>
      </w:pPr>
    </w:p>
    <w:p>
      <w:pPr>
        <w:ind w:right="80"/>
        <w:spacing w:after="0" w:line="238" w:lineRule="auto"/>
        <w:rPr>
          <w:sz w:val="20"/>
          <w:szCs w:val="20"/>
          <w:color w:val="auto"/>
        </w:rPr>
      </w:pPr>
      <w:r>
        <w:rPr>
          <w:rFonts w:ascii="Arial" w:cs="Arial" w:eastAsia="Arial" w:hAnsi="Arial"/>
          <w:sz w:val="14"/>
          <w:szCs w:val="14"/>
          <w:color w:val="auto"/>
        </w:rPr>
        <w:t>could positively or negatively impact anticipated future economic and operating conditions.</w:t>
      </w:r>
    </w:p>
    <w:p>
      <w:pPr>
        <w:spacing w:after="0" w:line="2" w:lineRule="exact"/>
        <w:rPr>
          <w:sz w:val="20"/>
          <w:szCs w:val="20"/>
          <w:color w:val="auto"/>
        </w:rPr>
      </w:pPr>
    </w:p>
    <w:p>
      <w:pPr>
        <w:ind w:right="20"/>
        <w:spacing w:after="0" w:line="231" w:lineRule="auto"/>
        <w:rPr>
          <w:sz w:val="20"/>
          <w:szCs w:val="20"/>
          <w:color w:val="auto"/>
        </w:rPr>
      </w:pPr>
      <w:r>
        <w:rPr>
          <w:rFonts w:ascii="Arial" w:cs="Arial" w:eastAsia="Arial" w:hAnsi="Arial"/>
          <w:sz w:val="14"/>
          <w:szCs w:val="14"/>
          <w:color w:val="auto"/>
        </w:rPr>
        <w:t>In making these estimates, the weighted-average cost of capital is utilized to calculate the</w:t>
      </w:r>
    </w:p>
    <w:p>
      <w:pPr>
        <w:spacing w:after="0" w:line="1" w:lineRule="exact"/>
        <w:rPr>
          <w:sz w:val="20"/>
          <w:szCs w:val="20"/>
          <w:color w:val="auto"/>
        </w:rPr>
      </w:pPr>
    </w:p>
    <w:p>
      <w:pPr>
        <w:jc w:val="both"/>
        <w:ind w:right="120"/>
        <w:spacing w:after="0" w:line="217" w:lineRule="auto"/>
        <w:rPr>
          <w:sz w:val="20"/>
          <w:szCs w:val="20"/>
          <w:color w:val="auto"/>
        </w:rPr>
      </w:pPr>
      <w:r>
        <w:rPr>
          <w:rFonts w:ascii="Arial" w:cs="Arial" w:eastAsia="Arial" w:hAnsi="Arial"/>
          <w:sz w:val="14"/>
          <w:szCs w:val="14"/>
          <w:color w:val="auto"/>
        </w:rPr>
        <w:t>present value of future cash flows and terminal value. Many variables go into estimating future cash flows, including estimates of our future</w:t>
      </w:r>
    </w:p>
    <w:p>
      <w:pPr>
        <w:spacing w:after="0" w:line="2" w:lineRule="exact"/>
        <w:rPr>
          <w:sz w:val="20"/>
          <w:szCs w:val="20"/>
          <w:color w:val="auto"/>
        </w:rPr>
      </w:pPr>
    </w:p>
    <w:p>
      <w:pPr>
        <w:jc w:val="both"/>
        <w:ind w:right="240"/>
        <w:spacing w:after="0" w:line="217" w:lineRule="auto"/>
        <w:rPr>
          <w:sz w:val="20"/>
          <w:szCs w:val="20"/>
          <w:color w:val="auto"/>
        </w:rPr>
      </w:pPr>
      <w:r>
        <w:rPr>
          <w:rFonts w:ascii="Arial" w:cs="Arial" w:eastAsia="Arial" w:hAnsi="Arial"/>
          <w:sz w:val="14"/>
          <w:szCs w:val="14"/>
          <w:color w:val="auto"/>
        </w:rPr>
        <w:t>revenue growth and operating results. When estimating our projected revenue growth and future operating results, we consider industry</w:t>
      </w:r>
    </w:p>
    <w:p>
      <w:pPr>
        <w:spacing w:after="0" w:line="2" w:lineRule="exact"/>
        <w:rPr>
          <w:sz w:val="20"/>
          <w:szCs w:val="20"/>
          <w:color w:val="auto"/>
        </w:rPr>
      </w:pPr>
    </w:p>
    <w:p>
      <w:pPr>
        <w:ind w:right="360"/>
        <w:spacing w:after="0" w:line="222" w:lineRule="auto"/>
        <w:rPr>
          <w:sz w:val="20"/>
          <w:szCs w:val="20"/>
          <w:color w:val="auto"/>
        </w:rPr>
      </w:pPr>
      <w:r>
        <w:rPr>
          <w:rFonts w:ascii="Arial" w:cs="Arial" w:eastAsia="Arial" w:hAnsi="Arial"/>
          <w:sz w:val="15"/>
          <w:szCs w:val="15"/>
          <w:color w:val="auto"/>
        </w:rPr>
        <w:t>trends, economic data, and our competitive advantage.</w:t>
      </w:r>
    </w:p>
    <w:p>
      <w:pPr>
        <w:spacing w:after="0" w:line="237" w:lineRule="auto"/>
        <w:rPr>
          <w:sz w:val="20"/>
          <w:szCs w:val="20"/>
          <w:color w:val="auto"/>
        </w:rPr>
      </w:pPr>
      <w:r>
        <w:rPr>
          <w:rFonts w:ascii="Arial" w:cs="Arial" w:eastAsia="Arial" w:hAnsi="Arial"/>
          <w:sz w:val="15"/>
          <w:szCs w:val="15"/>
          <w:color w:val="auto"/>
        </w:rPr>
        <w:t>The market approach estimates fair value of a</w:t>
      </w:r>
    </w:p>
    <w:p>
      <w:pPr>
        <w:ind w:right="140"/>
        <w:spacing w:after="0" w:line="222" w:lineRule="auto"/>
        <w:rPr>
          <w:sz w:val="20"/>
          <w:szCs w:val="20"/>
          <w:color w:val="auto"/>
        </w:rPr>
      </w:pPr>
      <w:r>
        <w:rPr>
          <w:rFonts w:ascii="Arial" w:cs="Arial" w:eastAsia="Arial" w:hAnsi="Arial"/>
          <w:sz w:val="15"/>
          <w:szCs w:val="15"/>
          <w:color w:val="auto"/>
        </w:rPr>
        <w:t>reporting unit by using market comparables for reasonably similar public companies.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auto"/>
        </w:rPr>
        <w:t>Effect if Actual Results Differ from Assumptions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22225</wp:posOffset>
            </wp:positionV>
            <wp:extent cx="295846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958465" cy="8255"/>
                    </a:xfrm>
                    <a:prstGeom prst="rect">
                      <a:avLst/>
                    </a:prstGeom>
                    <a:noFill/>
                  </pic:spPr>
                </pic:pic>
              </a:graphicData>
            </a:graphic>
          </wp:anchor>
        </w:drawing>
      </w:r>
    </w:p>
    <w:p>
      <w:pPr>
        <w:spacing w:after="0" w:line="24" w:lineRule="exact"/>
        <w:rPr>
          <w:sz w:val="20"/>
          <w:szCs w:val="20"/>
          <w:color w:val="auto"/>
        </w:rPr>
      </w:pPr>
    </w:p>
    <w:p>
      <w:pPr>
        <w:ind w:right="40"/>
        <w:spacing w:after="0" w:line="231" w:lineRule="auto"/>
        <w:rPr>
          <w:sz w:val="20"/>
          <w:szCs w:val="20"/>
          <w:color w:val="auto"/>
        </w:rPr>
      </w:pPr>
      <w:r>
        <w:rPr>
          <w:rFonts w:ascii="Arial" w:cs="Arial" w:eastAsia="Arial" w:hAnsi="Arial"/>
          <w:sz w:val="14"/>
          <w:szCs w:val="14"/>
          <w:color w:val="auto"/>
        </w:rPr>
        <w:t>During the last three years, we have not made any changes in the acco methodology used to evaluate the impairment of long-lived assets or to</w:t>
      </w:r>
    </w:p>
    <w:p>
      <w:pPr>
        <w:spacing w:after="0" w:line="1" w:lineRule="exact"/>
        <w:rPr>
          <w:sz w:val="20"/>
          <w:szCs w:val="20"/>
          <w:color w:val="auto"/>
        </w:rPr>
      </w:pPr>
    </w:p>
    <w:p>
      <w:pPr>
        <w:jc w:val="both"/>
        <w:spacing w:after="0" w:line="214" w:lineRule="auto"/>
        <w:rPr>
          <w:sz w:val="20"/>
          <w:szCs w:val="20"/>
          <w:color w:val="auto"/>
        </w:rPr>
      </w:pPr>
      <w:r>
        <w:rPr>
          <w:rFonts w:ascii="Arial" w:cs="Arial" w:eastAsia="Arial" w:hAnsi="Arial"/>
          <w:sz w:val="15"/>
          <w:szCs w:val="15"/>
          <w:color w:val="auto"/>
        </w:rPr>
        <w:t>estimate the useful lives of our long-lived assets. Additionally, we have n made any changes in the accounting methodology used to evaluate imp of goodwill during the last three years.</w:t>
      </w:r>
    </w:p>
    <w:p>
      <w:pPr>
        <w:spacing w:after="0" w:line="195" w:lineRule="exact"/>
        <w:rPr>
          <w:sz w:val="20"/>
          <w:szCs w:val="20"/>
          <w:color w:val="auto"/>
        </w:rPr>
      </w:pPr>
    </w:p>
    <w:p>
      <w:pPr>
        <w:jc w:val="both"/>
        <w:ind w:right="20"/>
        <w:spacing w:after="0" w:line="232" w:lineRule="auto"/>
        <w:rPr>
          <w:sz w:val="20"/>
          <w:szCs w:val="20"/>
          <w:color w:val="auto"/>
        </w:rPr>
      </w:pPr>
      <w:r>
        <w:rPr>
          <w:rFonts w:ascii="Arial" w:cs="Arial" w:eastAsia="Arial" w:hAnsi="Arial"/>
          <w:sz w:val="15"/>
          <w:szCs w:val="15"/>
          <w:color w:val="auto"/>
        </w:rPr>
        <w:t>At October 31, 2025, we had $2.6 billion of goodwill. Our goodwill is incl the following segments:</w:t>
      </w:r>
    </w:p>
    <w:p>
      <w:pPr>
        <w:spacing w:after="0" w:line="182" w:lineRule="exact"/>
        <w:rPr>
          <w:sz w:val="20"/>
          <w:szCs w:val="20"/>
          <w:color w:val="auto"/>
        </w:rPr>
      </w:pPr>
    </w:p>
    <w:p>
      <w:pPr>
        <w:spacing w:after="0"/>
        <w:rPr>
          <w:sz w:val="20"/>
          <w:szCs w:val="20"/>
          <w:color w:val="auto"/>
        </w:rPr>
      </w:pPr>
      <w:r>
        <w:rPr>
          <w:rFonts w:ascii="Arial" w:cs="Arial" w:eastAsia="Arial" w:hAnsi="Arial"/>
          <w:sz w:val="15"/>
          <w:szCs w:val="15"/>
          <w:color w:val="auto"/>
        </w:rPr>
        <w:t>$1.1 billion — B&amp;I</w:t>
      </w:r>
    </w:p>
    <w:p>
      <w:pPr>
        <w:spacing w:after="0" w:line="214" w:lineRule="exact"/>
        <w:rPr>
          <w:sz w:val="20"/>
          <w:szCs w:val="20"/>
          <w:color w:val="auto"/>
        </w:rPr>
      </w:pPr>
    </w:p>
    <w:p>
      <w:pPr>
        <w:spacing w:after="0"/>
        <w:rPr>
          <w:sz w:val="20"/>
          <w:szCs w:val="20"/>
          <w:color w:val="auto"/>
        </w:rPr>
      </w:pPr>
      <w:r>
        <w:rPr>
          <w:rFonts w:ascii="Arial" w:cs="Arial" w:eastAsia="Arial" w:hAnsi="Arial"/>
          <w:sz w:val="15"/>
          <w:szCs w:val="15"/>
          <w:color w:val="auto"/>
        </w:rPr>
        <w:t>$502.2 million — M&amp;D</w:t>
      </w:r>
    </w:p>
    <w:p>
      <w:pPr>
        <w:spacing w:after="0" w:line="201" w:lineRule="exact"/>
        <w:rPr>
          <w:sz w:val="20"/>
          <w:szCs w:val="20"/>
          <w:color w:val="auto"/>
        </w:rPr>
      </w:pPr>
    </w:p>
    <w:p>
      <w:pPr>
        <w:spacing w:after="0"/>
        <w:rPr>
          <w:sz w:val="20"/>
          <w:szCs w:val="20"/>
          <w:color w:val="auto"/>
        </w:rPr>
      </w:pPr>
      <w:r>
        <w:rPr>
          <w:rFonts w:ascii="Arial" w:cs="Arial" w:eastAsia="Arial" w:hAnsi="Arial"/>
          <w:sz w:val="15"/>
          <w:szCs w:val="15"/>
          <w:color w:val="auto"/>
        </w:rPr>
        <w:t>$459.3 million — Education</w:t>
      </w:r>
    </w:p>
    <w:p>
      <w:pPr>
        <w:spacing w:after="0" w:line="201" w:lineRule="exact"/>
        <w:rPr>
          <w:sz w:val="20"/>
          <w:szCs w:val="20"/>
          <w:color w:val="auto"/>
        </w:rPr>
      </w:pPr>
    </w:p>
    <w:p>
      <w:pPr>
        <w:spacing w:after="0"/>
        <w:rPr>
          <w:sz w:val="20"/>
          <w:szCs w:val="20"/>
          <w:color w:val="auto"/>
        </w:rPr>
      </w:pPr>
      <w:r>
        <w:rPr>
          <w:rFonts w:ascii="Arial" w:cs="Arial" w:eastAsia="Arial" w:hAnsi="Arial"/>
          <w:sz w:val="15"/>
          <w:szCs w:val="15"/>
          <w:color w:val="auto"/>
        </w:rPr>
        <w:t>$69.6 million — Aviation</w:t>
      </w:r>
    </w:p>
    <w:p>
      <w:pPr>
        <w:spacing w:after="0" w:line="214" w:lineRule="exact"/>
        <w:rPr>
          <w:sz w:val="20"/>
          <w:szCs w:val="20"/>
          <w:color w:val="auto"/>
        </w:rPr>
      </w:pPr>
    </w:p>
    <w:p>
      <w:pPr>
        <w:spacing w:after="0"/>
        <w:rPr>
          <w:sz w:val="20"/>
          <w:szCs w:val="20"/>
          <w:color w:val="auto"/>
        </w:rPr>
      </w:pPr>
      <w:r>
        <w:rPr>
          <w:rFonts w:ascii="Arial" w:cs="Arial" w:eastAsia="Arial" w:hAnsi="Arial"/>
          <w:sz w:val="15"/>
          <w:szCs w:val="15"/>
          <w:color w:val="auto"/>
        </w:rPr>
        <w:t>$461.4 million — Technical Solutions</w:t>
      </w:r>
    </w:p>
    <w:p>
      <w:pPr>
        <w:spacing w:after="0" w:line="201" w:lineRule="exact"/>
        <w:rPr>
          <w:sz w:val="20"/>
          <w:szCs w:val="20"/>
          <w:color w:val="auto"/>
        </w:rPr>
      </w:pPr>
    </w:p>
    <w:p>
      <w:pPr>
        <w:jc w:val="both"/>
        <w:spacing w:after="0" w:line="231" w:lineRule="auto"/>
        <w:rPr>
          <w:sz w:val="20"/>
          <w:szCs w:val="20"/>
          <w:color w:val="auto"/>
        </w:rPr>
      </w:pPr>
      <w:r>
        <w:rPr>
          <w:rFonts w:ascii="Arial" w:cs="Arial" w:eastAsia="Arial" w:hAnsi="Arial"/>
          <w:sz w:val="14"/>
          <w:szCs w:val="14"/>
          <w:color w:val="auto"/>
        </w:rPr>
        <w:t>A goodwill impairment analysis was performed for each of our reporting on August 1, 2025. Based on these studies, the implied fair value of eac</w:t>
      </w:r>
    </w:p>
    <w:p>
      <w:pPr>
        <w:spacing w:after="0" w:line="1" w:lineRule="exact"/>
        <w:rPr>
          <w:sz w:val="20"/>
          <w:szCs w:val="20"/>
          <w:color w:val="auto"/>
        </w:rPr>
      </w:pPr>
    </w:p>
    <w:p>
      <w:pPr>
        <w:jc w:val="both"/>
        <w:spacing w:after="0" w:line="217" w:lineRule="auto"/>
        <w:rPr>
          <w:sz w:val="20"/>
          <w:szCs w:val="20"/>
          <w:color w:val="auto"/>
        </w:rPr>
      </w:pPr>
      <w:r>
        <w:rPr>
          <w:rFonts w:ascii="Arial" w:cs="Arial" w:eastAsia="Arial" w:hAnsi="Arial"/>
          <w:sz w:val="14"/>
          <w:szCs w:val="14"/>
          <w:color w:val="auto"/>
        </w:rPr>
        <w:t>reporting units was substantially in excess of its carrying value. Therefor concluded there were no indicators of impairment. A 10% decrease in th estimated fair value of any of our reporting units would not have resulted</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different conclusion.</w:t>
      </w:r>
    </w:p>
    <w:p>
      <w:pPr>
        <w:spacing w:after="0" w:line="3118" w:lineRule="exact"/>
        <w:rPr>
          <w:sz w:val="20"/>
          <w:szCs w:val="20"/>
          <w:color w:val="auto"/>
        </w:rPr>
      </w:pPr>
    </w:p>
    <w:p>
      <w:pPr>
        <w:sectPr>
          <w:pgSz w:w="11900" w:h="16838" w:orient="portrait"/>
          <w:cols w:equalWidth="0" w:num="3">
            <w:col w:w="2620" w:space="160"/>
            <w:col w:w="3140" w:space="140"/>
            <w:col w:w="4640"/>
          </w:cols>
          <w:pgMar w:left="960" w:top="113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4880"/>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70485</wp:posOffset>
            </wp:positionV>
            <wp:extent cx="716407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700"/>
          </w:cols>
          <w:pgMar w:left="960" w:top="1131" w:right="239" w:bottom="1440" w:gutter="0" w:footer="0" w:header="0"/>
          <w:type w:val="continuous"/>
        </w:sectPr>
      </w:pPr>
    </w:p>
    <w:bookmarkStart w:id="40" w:name="page41"/>
    <w:bookmarkEnd w:id="40"/>
    <w:p>
      <w:pPr>
        <w:spacing w:after="0"/>
        <w:tabs>
          <w:tab w:leader="none" w:pos="3240" w:val="left"/>
          <w:tab w:leader="none" w:pos="6500" w:val="left"/>
        </w:tabs>
        <w:rPr>
          <w:sz w:val="20"/>
          <w:szCs w:val="20"/>
          <w:color w:val="auto"/>
        </w:rPr>
      </w:pPr>
      <w:r>
        <w:rPr>
          <w:rFonts w:ascii="Arial" w:cs="Arial" w:eastAsia="Arial" w:hAnsi="Arial"/>
          <w:sz w:val="15"/>
          <w:szCs w:val="15"/>
          <w:b w:val="1"/>
          <w:bCs w:val="1"/>
          <w:color w:val="auto"/>
        </w:rPr>
        <w:t>Description</w:t>
      </w:r>
      <w:r>
        <w:rPr>
          <w:sz w:val="20"/>
          <w:szCs w:val="20"/>
          <w:color w:val="auto"/>
        </w:rPr>
        <w:tab/>
      </w:r>
      <w:r>
        <w:rPr>
          <w:rFonts w:ascii="Arial" w:cs="Arial" w:eastAsia="Arial" w:hAnsi="Arial"/>
          <w:sz w:val="15"/>
          <w:szCs w:val="15"/>
          <w:b w:val="1"/>
          <w:bCs w:val="1"/>
          <w:color w:val="auto"/>
        </w:rPr>
        <w:t>Judgments and Uncertainties</w:t>
      </w:r>
      <w:r>
        <w:rPr>
          <w:sz w:val="20"/>
          <w:szCs w:val="20"/>
          <w:color w:val="auto"/>
        </w:rPr>
        <w:tab/>
      </w:r>
      <w:r>
        <w:rPr>
          <w:rFonts w:ascii="Arial" w:cs="Arial" w:eastAsia="Arial" w:hAnsi="Arial"/>
          <w:sz w:val="15"/>
          <w:szCs w:val="15"/>
          <w:b w:val="1"/>
          <w:bCs w:val="1"/>
          <w:color w:val="auto"/>
        </w:rPr>
        <w:t>Effect if Actual Results Differ from Assumptions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22225</wp:posOffset>
            </wp:positionV>
            <wp:extent cx="710565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05650" cy="8255"/>
                    </a:xfrm>
                    <a:prstGeom prst="rect">
                      <a:avLst/>
                    </a:prstGeom>
                    <a:noFill/>
                  </pic:spPr>
                </pic:pic>
              </a:graphicData>
            </a:graphic>
          </wp:anchor>
        </w:drawing>
      </w:r>
    </w:p>
    <w:p>
      <w:pPr>
        <w:spacing w:after="0" w:line="2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Insurance Reserves</w:t>
      </w:r>
    </w:p>
    <w:p>
      <w:pPr>
        <w:sectPr>
          <w:pgSz w:w="11900" w:h="16838" w:orient="portrait"/>
          <w:cols w:equalWidth="0" w:num="1">
            <w:col w:w="11080"/>
          </w:cols>
          <w:pgMar w:left="340" w:top="976" w:right="479" w:bottom="1440" w:gutter="0" w:footer="0" w:header="0"/>
        </w:sectPr>
      </w:pPr>
    </w:p>
    <w:p>
      <w:pPr>
        <w:spacing w:after="0" w:line="190" w:lineRule="exact"/>
        <w:rPr>
          <w:sz w:val="20"/>
          <w:szCs w:val="20"/>
          <w:color w:val="auto"/>
        </w:rPr>
      </w:pPr>
    </w:p>
    <w:p>
      <w:pPr>
        <w:spacing w:after="0" w:line="228" w:lineRule="auto"/>
        <w:rPr>
          <w:sz w:val="20"/>
          <w:szCs w:val="20"/>
          <w:color w:val="auto"/>
        </w:rPr>
      </w:pPr>
      <w:r>
        <w:rPr>
          <w:rFonts w:ascii="Arial" w:cs="Arial" w:eastAsia="Arial" w:hAnsi="Arial"/>
          <w:sz w:val="15"/>
          <w:szCs w:val="15"/>
          <w:color w:val="auto"/>
        </w:rPr>
        <w:t>We use a combination of insured and self-insurance programs to cover workers’ compensation, general liability, automobile liability, property damage, and other insurable risks.</w:t>
      </w:r>
    </w:p>
    <w:p>
      <w:pPr>
        <w:spacing w:after="0" w:line="186" w:lineRule="exact"/>
        <w:rPr>
          <w:sz w:val="20"/>
          <w:szCs w:val="20"/>
          <w:color w:val="auto"/>
        </w:rPr>
      </w:pPr>
    </w:p>
    <w:p>
      <w:pPr>
        <w:ind w:right="80"/>
        <w:spacing w:after="0" w:line="223" w:lineRule="auto"/>
        <w:rPr>
          <w:sz w:val="20"/>
          <w:szCs w:val="20"/>
          <w:color w:val="auto"/>
        </w:rPr>
      </w:pPr>
      <w:r>
        <w:rPr>
          <w:rFonts w:ascii="Arial" w:cs="Arial" w:eastAsia="Arial" w:hAnsi="Arial"/>
          <w:sz w:val="15"/>
          <w:szCs w:val="15"/>
          <w:color w:val="auto"/>
        </w:rPr>
        <w:t>Insurance claim liabilities represent our estimate of retained risks without regard to insurance coverage. We retain a substantial portion of the risk related to certain workers’ compensation and medical claims. Liabilities associated with these losses include estimates of both claims filed and incurred but not reported (“IBNR”) Claims.</w:t>
      </w:r>
    </w:p>
    <w:p>
      <w:pPr>
        <w:spacing w:after="0" w:line="188" w:lineRule="exact"/>
        <w:rPr>
          <w:sz w:val="20"/>
          <w:szCs w:val="20"/>
          <w:color w:val="auto"/>
        </w:rPr>
      </w:pPr>
    </w:p>
    <w:p>
      <w:pPr>
        <w:ind w:right="160"/>
        <w:spacing w:after="0" w:line="223" w:lineRule="auto"/>
        <w:rPr>
          <w:sz w:val="20"/>
          <w:szCs w:val="20"/>
          <w:color w:val="auto"/>
        </w:rPr>
      </w:pPr>
      <w:r>
        <w:rPr>
          <w:rFonts w:ascii="Arial" w:cs="Arial" w:eastAsia="Arial" w:hAnsi="Arial"/>
          <w:sz w:val="15"/>
          <w:szCs w:val="15"/>
          <w:color w:val="auto"/>
        </w:rPr>
        <w:t>With the assistance of third-party actuaries, we periodically review our estimate of ultimate losses for IBNR Claims and adjust our required self-insurance reserves as appropriate. As part of this evaluation, we review the status of existing and new claim reserves as established by our third-party claims administrators.</w:t>
      </w:r>
    </w:p>
    <w:p>
      <w:pPr>
        <w:spacing w:after="0" w:line="188" w:lineRule="exact"/>
        <w:rPr>
          <w:sz w:val="20"/>
          <w:szCs w:val="20"/>
          <w:color w:val="auto"/>
        </w:rPr>
      </w:pPr>
    </w:p>
    <w:p>
      <w:pPr>
        <w:spacing w:after="0" w:line="228" w:lineRule="auto"/>
        <w:rPr>
          <w:sz w:val="20"/>
          <w:szCs w:val="20"/>
          <w:color w:val="auto"/>
        </w:rPr>
      </w:pPr>
      <w:r>
        <w:rPr>
          <w:rFonts w:ascii="Arial" w:cs="Arial" w:eastAsia="Arial" w:hAnsi="Arial"/>
          <w:sz w:val="15"/>
          <w:szCs w:val="15"/>
          <w:color w:val="auto"/>
        </w:rPr>
        <w:t>The third-party claims administrators establish the case reserves based upon known factors related to the type and severity of the claims, demographic data, legislative matters, and case law, as appropriate.</w:t>
      </w:r>
    </w:p>
    <w:p>
      <w:pPr>
        <w:spacing w:after="0" w:line="186" w:lineRule="exact"/>
        <w:rPr>
          <w:sz w:val="20"/>
          <w:szCs w:val="20"/>
          <w:color w:val="auto"/>
        </w:rPr>
      </w:pPr>
    </w:p>
    <w:p>
      <w:pPr>
        <w:spacing w:after="0" w:line="259" w:lineRule="auto"/>
        <w:rPr>
          <w:sz w:val="20"/>
          <w:szCs w:val="20"/>
          <w:color w:val="auto"/>
        </w:rPr>
      </w:pPr>
      <w:r>
        <w:rPr>
          <w:rFonts w:ascii="Arial" w:cs="Arial" w:eastAsia="Arial" w:hAnsi="Arial"/>
          <w:sz w:val="15"/>
          <w:szCs w:val="15"/>
          <w:color w:val="auto"/>
        </w:rPr>
        <w:t>We compare actual trends to expected trends and monitor claims development.</w:t>
      </w:r>
    </w:p>
    <w:p>
      <w:pPr>
        <w:spacing w:after="0" w:line="169" w:lineRule="exact"/>
        <w:rPr>
          <w:sz w:val="20"/>
          <w:szCs w:val="20"/>
          <w:color w:val="auto"/>
        </w:rPr>
      </w:pPr>
    </w:p>
    <w:p>
      <w:pPr>
        <w:ind w:right="80"/>
        <w:spacing w:after="0" w:line="222" w:lineRule="auto"/>
        <w:rPr>
          <w:sz w:val="20"/>
          <w:szCs w:val="20"/>
          <w:color w:val="auto"/>
        </w:rPr>
      </w:pPr>
      <w:r>
        <w:rPr>
          <w:rFonts w:ascii="Arial" w:cs="Arial" w:eastAsia="Arial" w:hAnsi="Arial"/>
          <w:sz w:val="15"/>
          <w:szCs w:val="15"/>
          <w:color w:val="auto"/>
        </w:rPr>
        <w:t>The specific case reserves estimated by the third-party administrators are provided to an actuary who assists us in projecting an actuarial estimate of the overall ultimate losses for our self-insured or high deductible programs. The projection includes the case reserves plus an actuarial estimate of reserves required for additional developments, including IBNR Claims.</w:t>
      </w:r>
    </w:p>
    <w:p>
      <w:pPr>
        <w:spacing w:after="0" w:line="188" w:lineRule="exact"/>
        <w:rPr>
          <w:sz w:val="20"/>
          <w:szCs w:val="20"/>
          <w:color w:val="auto"/>
        </w:rPr>
      </w:pPr>
    </w:p>
    <w:p>
      <w:pPr>
        <w:ind w:right="160"/>
        <w:spacing w:after="0" w:line="232" w:lineRule="auto"/>
        <w:rPr>
          <w:sz w:val="20"/>
          <w:szCs w:val="20"/>
          <w:color w:val="auto"/>
        </w:rPr>
      </w:pPr>
      <w:r>
        <w:rPr>
          <w:rFonts w:ascii="Arial" w:cs="Arial" w:eastAsia="Arial" w:hAnsi="Arial"/>
          <w:sz w:val="15"/>
          <w:szCs w:val="15"/>
          <w:color w:val="auto"/>
        </w:rPr>
        <w:t>We utilize the results of actuarial studies to estimate our insurance rates and insurance reserves for future periods and to adjust reserves, if appropriate, for prior years.</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ind w:right="220"/>
        <w:spacing w:after="0" w:line="238" w:lineRule="auto"/>
        <w:rPr>
          <w:sz w:val="20"/>
          <w:szCs w:val="20"/>
          <w:color w:val="auto"/>
        </w:rPr>
      </w:pPr>
      <w:r>
        <w:rPr>
          <w:rFonts w:ascii="Arial" w:cs="Arial" w:eastAsia="Arial" w:hAnsi="Arial"/>
          <w:sz w:val="15"/>
          <w:szCs w:val="15"/>
          <w:color w:val="auto"/>
        </w:rPr>
        <w:t>Our self-insurance liabilities contain uncertainties due to assumptions required and judgment used.</w:t>
      </w:r>
    </w:p>
    <w:p>
      <w:pPr>
        <w:spacing w:after="0" w:line="106" w:lineRule="exact"/>
        <w:rPr>
          <w:sz w:val="20"/>
          <w:szCs w:val="20"/>
          <w:color w:val="auto"/>
        </w:rPr>
      </w:pPr>
    </w:p>
    <w:p>
      <w:pPr>
        <w:spacing w:after="0" w:line="232" w:lineRule="auto"/>
        <w:rPr>
          <w:sz w:val="20"/>
          <w:szCs w:val="20"/>
          <w:color w:val="auto"/>
        </w:rPr>
      </w:pPr>
      <w:r>
        <w:rPr>
          <w:rFonts w:ascii="Arial" w:cs="Arial" w:eastAsia="Arial" w:hAnsi="Arial"/>
          <w:sz w:val="15"/>
          <w:szCs w:val="15"/>
          <w:color w:val="auto"/>
        </w:rPr>
        <w:t>Costs to settle our obligations, including legal and healthcare costs, could fluctuate and cause estimates of our self-insurance liabilities to change.</w:t>
      </w:r>
    </w:p>
    <w:p>
      <w:pPr>
        <w:spacing w:after="0" w:line="107" w:lineRule="exact"/>
        <w:rPr>
          <w:sz w:val="20"/>
          <w:szCs w:val="20"/>
          <w:color w:val="auto"/>
        </w:rPr>
      </w:pPr>
    </w:p>
    <w:p>
      <w:pPr>
        <w:ind w:right="200"/>
        <w:spacing w:after="0" w:line="232" w:lineRule="auto"/>
        <w:rPr>
          <w:sz w:val="20"/>
          <w:szCs w:val="20"/>
          <w:color w:val="auto"/>
        </w:rPr>
      </w:pPr>
      <w:r>
        <w:rPr>
          <w:rFonts w:ascii="Arial" w:cs="Arial" w:eastAsia="Arial" w:hAnsi="Arial"/>
          <w:sz w:val="15"/>
          <w:szCs w:val="15"/>
          <w:color w:val="auto"/>
        </w:rPr>
        <w:t>Incident rates, including frequency and severity, could fluctuate and cause the estimates in our self-insurance liabilities to change.</w:t>
      </w:r>
    </w:p>
    <w:p>
      <w:pPr>
        <w:spacing w:after="0" w:line="107" w:lineRule="exact"/>
        <w:rPr>
          <w:sz w:val="20"/>
          <w:szCs w:val="20"/>
          <w:color w:val="auto"/>
        </w:rPr>
      </w:pPr>
    </w:p>
    <w:p>
      <w:pPr>
        <w:ind w:right="160"/>
        <w:spacing w:after="0" w:line="218" w:lineRule="auto"/>
        <w:rPr>
          <w:sz w:val="20"/>
          <w:szCs w:val="20"/>
          <w:color w:val="auto"/>
        </w:rPr>
      </w:pPr>
      <w:r>
        <w:rPr>
          <w:rFonts w:ascii="Arial" w:cs="Arial" w:eastAsia="Arial" w:hAnsi="Arial"/>
          <w:sz w:val="15"/>
          <w:szCs w:val="15"/>
          <w:color w:val="auto"/>
        </w:rPr>
        <w:t>These estimates are subject to: changes in the regulatory environment; fluctuations in projected exposures, including payroll, revenues, and the number of vehicle units; and the frequency, lag, and severity of claims.</w:t>
      </w:r>
    </w:p>
    <w:p>
      <w:pPr>
        <w:spacing w:after="0" w:line="2" w:lineRule="exact"/>
        <w:rPr>
          <w:sz w:val="20"/>
          <w:szCs w:val="20"/>
          <w:color w:val="auto"/>
        </w:rPr>
      </w:pPr>
    </w:p>
    <w:p>
      <w:pPr>
        <w:ind w:right="140"/>
        <w:spacing w:after="0" w:line="227" w:lineRule="auto"/>
        <w:rPr>
          <w:sz w:val="20"/>
          <w:szCs w:val="20"/>
          <w:color w:val="auto"/>
        </w:rPr>
      </w:pPr>
      <w:r>
        <w:rPr>
          <w:rFonts w:ascii="Arial" w:cs="Arial" w:eastAsia="Arial" w:hAnsi="Arial"/>
          <w:sz w:val="15"/>
          <w:szCs w:val="15"/>
          <w:color w:val="auto"/>
        </w:rPr>
        <w:t>The full extent of certain claims, especially workers’ compensation and general liability claims, may not be fully determined for several years.</w:t>
      </w:r>
    </w:p>
    <w:p>
      <w:pPr>
        <w:spacing w:after="0" w:line="107" w:lineRule="exact"/>
        <w:rPr>
          <w:sz w:val="20"/>
          <w:szCs w:val="20"/>
          <w:color w:val="auto"/>
        </w:rPr>
      </w:pPr>
    </w:p>
    <w:p>
      <w:pPr>
        <w:ind w:right="120"/>
        <w:spacing w:after="0" w:line="225" w:lineRule="auto"/>
        <w:rPr>
          <w:sz w:val="20"/>
          <w:szCs w:val="20"/>
          <w:color w:val="auto"/>
        </w:rPr>
      </w:pPr>
      <w:r>
        <w:rPr>
          <w:rFonts w:ascii="Arial" w:cs="Arial" w:eastAsia="Arial" w:hAnsi="Arial"/>
          <w:sz w:val="15"/>
          <w:szCs w:val="15"/>
          <w:color w:val="auto"/>
        </w:rPr>
        <w:t>In addition, if the reserves related to self-insurance or high deductible programs from acquired businesses are not adequate to cover damages resulting from future accidents or other incidents, we may be exposed to substantial losses arising from future claim developments.</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ind w:right="40"/>
        <w:spacing w:after="0" w:line="238" w:lineRule="auto"/>
        <w:rPr>
          <w:sz w:val="20"/>
          <w:szCs w:val="20"/>
          <w:color w:val="auto"/>
        </w:rPr>
      </w:pPr>
      <w:r>
        <w:rPr>
          <w:rFonts w:ascii="Arial" w:cs="Arial" w:eastAsia="Arial" w:hAnsi="Arial"/>
          <w:sz w:val="15"/>
          <w:szCs w:val="15"/>
          <w:color w:val="auto"/>
        </w:rPr>
        <w:t>We have not made any changes in the accounting methodology used to establish our self-insurance liabilities during the past three years.</w:t>
      </w:r>
    </w:p>
    <w:p>
      <w:pPr>
        <w:spacing w:after="0" w:line="183" w:lineRule="exact"/>
        <w:rPr>
          <w:sz w:val="20"/>
          <w:szCs w:val="20"/>
          <w:color w:val="auto"/>
        </w:rPr>
      </w:pPr>
    </w:p>
    <w:p>
      <w:pPr>
        <w:spacing w:after="0" w:line="225" w:lineRule="auto"/>
        <w:rPr>
          <w:sz w:val="20"/>
          <w:szCs w:val="20"/>
          <w:color w:val="auto"/>
        </w:rPr>
      </w:pPr>
      <w:r>
        <w:rPr>
          <w:rFonts w:ascii="Arial" w:cs="Arial" w:eastAsia="Arial" w:hAnsi="Arial"/>
          <w:sz w:val="15"/>
          <w:szCs w:val="15"/>
          <w:color w:val="auto"/>
        </w:rPr>
        <w:t>After analyzing recent loss development patterns, comparing the loss development patterns against benchmarks, and applying actuarial projection methods to estimate the ultimate losses, we increased our total reserves related to prior years for known claims as well as our estimate of the loss amounts associated with IBNR Claims during 2025 by $23.3 million. In 2024, we increased our total reserves related to prior years claims by $20.3 million.</w:t>
      </w:r>
    </w:p>
    <w:p>
      <w:pPr>
        <w:spacing w:after="0" w:line="183" w:lineRule="exact"/>
        <w:rPr>
          <w:sz w:val="20"/>
          <w:szCs w:val="20"/>
          <w:color w:val="auto"/>
        </w:rPr>
      </w:pPr>
    </w:p>
    <w:p>
      <w:pPr>
        <w:ind w:right="120"/>
        <w:spacing w:after="0" w:line="228" w:lineRule="auto"/>
        <w:rPr>
          <w:sz w:val="20"/>
          <w:szCs w:val="20"/>
          <w:color w:val="auto"/>
        </w:rPr>
      </w:pPr>
      <w:r>
        <w:rPr>
          <w:rFonts w:ascii="Arial" w:cs="Arial" w:eastAsia="Arial" w:hAnsi="Arial"/>
          <w:sz w:val="15"/>
          <w:szCs w:val="15"/>
          <w:color w:val="auto"/>
        </w:rPr>
        <w:t>It is possible that actual results could differ from recorded self-insurance liabilities. Our insurance claims liabilities as of October 31, 2025, amounted to $660.1 million. A 10% change in our projected ultimate losses would have affected net income by approximately $40.4 million for 2025.</w:t>
      </w:r>
    </w:p>
    <w:p>
      <w:pPr>
        <w:spacing w:after="0" w:line="5152" w:lineRule="exact"/>
        <w:rPr>
          <w:sz w:val="20"/>
          <w:szCs w:val="20"/>
          <w:color w:val="auto"/>
        </w:rPr>
      </w:pPr>
    </w:p>
    <w:p>
      <w:pPr>
        <w:sectPr>
          <w:pgSz w:w="11900" w:h="16838" w:orient="portrait"/>
          <w:cols w:equalWidth="0" w:num="3">
            <w:col w:w="3120" w:space="140"/>
            <w:col w:w="3100" w:space="160"/>
            <w:col w:w="4560"/>
          </w:cols>
          <w:pgMar w:left="340" w:top="976" w:right="4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70485</wp:posOffset>
            </wp:positionV>
            <wp:extent cx="716407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080"/>
          </w:cols>
          <w:pgMar w:left="340" w:top="976" w:right="479" w:bottom="1440" w:gutter="0" w:footer="0" w:header="0"/>
          <w:type w:val="continuous"/>
        </w:sectPr>
      </w:pPr>
    </w:p>
    <w:bookmarkStart w:id="41" w:name="page42"/>
    <w:bookmarkEnd w:id="41"/>
    <w:p>
      <w:pPr>
        <w:spacing w:after="0"/>
        <w:rPr>
          <w:sz w:val="20"/>
          <w:szCs w:val="20"/>
          <w:color w:val="auto"/>
        </w:rPr>
      </w:pPr>
      <w:r>
        <w:rPr>
          <w:rFonts w:ascii="Arial" w:cs="Arial" w:eastAsia="Arial" w:hAnsi="Arial"/>
          <w:sz w:val="17"/>
          <w:szCs w:val="17"/>
          <w:b w:val="1"/>
          <w:bCs w:val="1"/>
          <w:color w:val="0046AD"/>
        </w:rPr>
        <w:t>Accounting Pronouncements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340" w:type="dxa"/>
            <w:vAlign w:val="bottom"/>
            <w:gridSpan w:val="2"/>
          </w:tcPr>
          <w:p>
            <w:pPr>
              <w:jc w:val="center"/>
              <w:ind w:right="100"/>
              <w:spacing w:after="0"/>
              <w:rPr>
                <w:sz w:val="20"/>
                <w:szCs w:val="20"/>
                <w:color w:val="auto"/>
              </w:rPr>
            </w:pPr>
            <w:r>
              <w:rPr>
                <w:rFonts w:ascii="Arial" w:cs="Arial" w:eastAsia="Arial" w:hAnsi="Arial"/>
                <w:sz w:val="15"/>
                <w:szCs w:val="15"/>
                <w:b w:val="1"/>
                <w:bCs w:val="1"/>
                <w:color w:val="auto"/>
              </w:rPr>
              <w:t>Accounting</w:t>
            </w:r>
          </w:p>
        </w:tc>
        <w:tc>
          <w:tcPr>
            <w:tcW w:w="2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20" w:type="dxa"/>
            <w:vAlign w:val="bottom"/>
            <w:vMerge w:val="restart"/>
          </w:tcPr>
          <w:p>
            <w:pPr>
              <w:ind w:left="620"/>
              <w:spacing w:after="0"/>
              <w:rPr>
                <w:sz w:val="20"/>
                <w:szCs w:val="20"/>
                <w:color w:val="auto"/>
              </w:rPr>
            </w:pPr>
            <w:r>
              <w:rPr>
                <w:rFonts w:ascii="Arial" w:cs="Arial" w:eastAsia="Arial" w:hAnsi="Arial"/>
                <w:sz w:val="15"/>
                <w:szCs w:val="15"/>
                <w:b w:val="1"/>
                <w:bCs w:val="1"/>
                <w:color w:val="auto"/>
              </w:rPr>
              <w:t>Effective Date/</w:t>
            </w:r>
          </w:p>
        </w:tc>
        <w:tc>
          <w:tcPr>
            <w:tcW w:w="0" w:type="dxa"/>
            <w:vAlign w:val="bottom"/>
          </w:tcPr>
          <w:p>
            <w:pPr>
              <w:spacing w:after="0"/>
              <w:rPr>
                <w:sz w:val="1"/>
                <w:szCs w:val="1"/>
                <w:color w:val="auto"/>
              </w:rPr>
            </w:pPr>
          </w:p>
        </w:tc>
      </w:tr>
      <w:tr>
        <w:trPr>
          <w:trHeight w:val="155"/>
        </w:trPr>
        <w:tc>
          <w:tcPr>
            <w:tcW w:w="1340" w:type="dxa"/>
            <w:vAlign w:val="bottom"/>
            <w:gridSpan w:val="2"/>
          </w:tcPr>
          <w:p>
            <w:pPr>
              <w:jc w:val="center"/>
              <w:ind w:right="100"/>
              <w:spacing w:after="0" w:line="155" w:lineRule="exact"/>
              <w:rPr>
                <w:sz w:val="20"/>
                <w:szCs w:val="20"/>
                <w:color w:val="auto"/>
              </w:rPr>
            </w:pPr>
            <w:r>
              <w:rPr>
                <w:rFonts w:ascii="Arial" w:cs="Arial" w:eastAsia="Arial" w:hAnsi="Arial"/>
                <w:sz w:val="15"/>
                <w:szCs w:val="15"/>
                <w:b w:val="1"/>
                <w:bCs w:val="1"/>
                <w:color w:val="auto"/>
              </w:rPr>
              <w:t>Standard</w:t>
            </w:r>
          </w:p>
        </w:tc>
        <w:tc>
          <w:tcPr>
            <w:tcW w:w="2100" w:type="dxa"/>
            <w:vAlign w:val="bottom"/>
            <w:vMerge w:val="restart"/>
          </w:tcPr>
          <w:p>
            <w:pPr>
              <w:jc w:val="center"/>
              <w:spacing w:after="0"/>
              <w:rPr>
                <w:sz w:val="20"/>
                <w:szCs w:val="20"/>
                <w:color w:val="auto"/>
              </w:rPr>
            </w:pPr>
            <w:r>
              <w:rPr>
                <w:rFonts w:ascii="Arial" w:cs="Arial" w:eastAsia="Arial" w:hAnsi="Arial"/>
                <w:sz w:val="15"/>
                <w:szCs w:val="15"/>
                <w:b w:val="1"/>
                <w:bCs w:val="1"/>
                <w:color w:val="auto"/>
                <w:w w:val="99"/>
              </w:rPr>
              <w:t>Topic</w:t>
            </w:r>
          </w:p>
        </w:tc>
        <w:tc>
          <w:tcPr>
            <w:tcW w:w="80" w:type="dxa"/>
            <w:vAlign w:val="bottom"/>
            <w:vMerge w:val="restart"/>
          </w:tcPr>
          <w:p>
            <w:pPr>
              <w:spacing w:after="0"/>
              <w:rPr>
                <w:sz w:val="13"/>
                <w:szCs w:val="13"/>
                <w:color w:val="auto"/>
              </w:rPr>
            </w:pPr>
          </w:p>
        </w:tc>
        <w:tc>
          <w:tcPr>
            <w:tcW w:w="5280" w:type="dxa"/>
            <w:vAlign w:val="bottom"/>
            <w:vMerge w:val="restart"/>
          </w:tcPr>
          <w:p>
            <w:pPr>
              <w:ind w:left="2300"/>
              <w:spacing w:after="0"/>
              <w:rPr>
                <w:sz w:val="20"/>
                <w:szCs w:val="20"/>
                <w:color w:val="auto"/>
              </w:rPr>
            </w:pPr>
            <w:r>
              <w:rPr>
                <w:rFonts w:ascii="Arial" w:cs="Arial" w:eastAsia="Arial" w:hAnsi="Arial"/>
                <w:sz w:val="15"/>
                <w:szCs w:val="15"/>
                <w:b w:val="1"/>
                <w:bCs w:val="1"/>
                <w:color w:val="auto"/>
              </w:rPr>
              <w:t>Summary</w:t>
            </w:r>
          </w:p>
        </w:tc>
        <w:tc>
          <w:tcPr>
            <w:tcW w:w="120" w:type="dxa"/>
            <w:vAlign w:val="bottom"/>
            <w:vMerge w:val="restart"/>
          </w:tcPr>
          <w:p>
            <w:pPr>
              <w:spacing w:after="0"/>
              <w:rPr>
                <w:sz w:val="13"/>
                <w:szCs w:val="13"/>
                <w:color w:val="auto"/>
              </w:rPr>
            </w:pPr>
          </w:p>
        </w:tc>
        <w:tc>
          <w:tcPr>
            <w:tcW w:w="23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rPr>
              <w:t>Updates</w:t>
            </w:r>
          </w:p>
        </w:tc>
        <w:tc>
          <w:tcPr>
            <w:tcW w:w="120" w:type="dxa"/>
            <w:vAlign w:val="bottom"/>
          </w:tcPr>
          <w:p>
            <w:pPr>
              <w:spacing w:after="0"/>
              <w:rPr>
                <w:sz w:val="17"/>
                <w:szCs w:val="17"/>
                <w:color w:val="auto"/>
              </w:rPr>
            </w:pPr>
          </w:p>
        </w:tc>
        <w:tc>
          <w:tcPr>
            <w:tcW w:w="2100" w:type="dxa"/>
            <w:vAlign w:val="bottom"/>
            <w:tcBorders>
              <w:bottom w:val="single" w:sz="8" w:color="auto"/>
            </w:tcBorders>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5280" w:type="dxa"/>
            <w:vAlign w:val="bottom"/>
            <w:tcBorders>
              <w:bottom w:val="single" w:sz="8" w:color="auto"/>
            </w:tcBorders>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2320" w:type="dxa"/>
            <w:vAlign w:val="bottom"/>
            <w:tcBorders>
              <w:bottom w:val="single" w:sz="8" w:color="auto"/>
            </w:tcBorders>
          </w:tcPr>
          <w:p>
            <w:pPr>
              <w:ind w:left="420"/>
              <w:spacing w:after="0"/>
              <w:rPr>
                <w:sz w:val="20"/>
                <w:szCs w:val="20"/>
                <w:color w:val="auto"/>
              </w:rPr>
            </w:pPr>
            <w:r>
              <w:rPr>
                <w:rFonts w:ascii="Arial" w:cs="Arial" w:eastAsia="Arial" w:hAnsi="Arial"/>
                <w:sz w:val="15"/>
                <w:szCs w:val="15"/>
                <w:b w:val="1"/>
                <w:bCs w:val="1"/>
                <w:color w:val="auto"/>
              </w:rPr>
              <w:t>Method of Adoption</w:t>
            </w:r>
          </w:p>
        </w:tc>
        <w:tc>
          <w:tcPr>
            <w:tcW w:w="0" w:type="dxa"/>
            <w:vAlign w:val="bottom"/>
          </w:tcPr>
          <w:p>
            <w:pPr>
              <w:spacing w:after="0"/>
              <w:rPr>
                <w:sz w:val="1"/>
                <w:szCs w:val="1"/>
                <w:color w:val="auto"/>
              </w:rPr>
            </w:pPr>
          </w:p>
        </w:tc>
      </w:tr>
      <w:tr>
        <w:trPr>
          <w:trHeight w:val="148"/>
        </w:trPr>
        <w:tc>
          <w:tcPr>
            <w:tcW w:w="1220" w:type="dxa"/>
            <w:vAlign w:val="bottom"/>
          </w:tcPr>
          <w:p>
            <w:pPr>
              <w:jc w:val="center"/>
              <w:spacing w:after="0" w:line="148" w:lineRule="exact"/>
              <w:rPr>
                <w:sz w:val="20"/>
                <w:szCs w:val="20"/>
                <w:color w:val="auto"/>
              </w:rPr>
            </w:pPr>
            <w:r>
              <w:rPr>
                <w:rFonts w:ascii="Arial" w:cs="Arial" w:eastAsia="Arial" w:hAnsi="Arial"/>
                <w:sz w:val="15"/>
                <w:szCs w:val="15"/>
                <w:color w:val="auto"/>
              </w:rPr>
              <w:t>2023-09</w:t>
            </w:r>
          </w:p>
        </w:tc>
        <w:tc>
          <w:tcPr>
            <w:tcW w:w="120" w:type="dxa"/>
            <w:vAlign w:val="bottom"/>
          </w:tcPr>
          <w:p>
            <w:pPr>
              <w:spacing w:after="0"/>
              <w:rPr>
                <w:sz w:val="12"/>
                <w:szCs w:val="12"/>
                <w:color w:val="auto"/>
              </w:rPr>
            </w:pPr>
          </w:p>
        </w:tc>
        <w:tc>
          <w:tcPr>
            <w:tcW w:w="2180" w:type="dxa"/>
            <w:vAlign w:val="bottom"/>
            <w:gridSpan w:val="2"/>
          </w:tcPr>
          <w:p>
            <w:pPr>
              <w:jc w:val="center"/>
              <w:ind w:right="100"/>
              <w:spacing w:after="0" w:line="148" w:lineRule="exact"/>
              <w:rPr>
                <w:sz w:val="20"/>
                <w:szCs w:val="20"/>
                <w:color w:val="auto"/>
              </w:rPr>
            </w:pPr>
            <w:r>
              <w:rPr>
                <w:rFonts w:ascii="Arial" w:cs="Arial" w:eastAsia="Arial" w:hAnsi="Arial"/>
                <w:sz w:val="15"/>
                <w:szCs w:val="15"/>
                <w:color w:val="auto"/>
                <w:w w:val="98"/>
              </w:rPr>
              <w:t>Income Taxes (Topic 740):</w:t>
            </w:r>
          </w:p>
        </w:tc>
        <w:tc>
          <w:tcPr>
            <w:tcW w:w="5400" w:type="dxa"/>
            <w:vAlign w:val="bottom"/>
            <w:gridSpan w:val="2"/>
          </w:tcPr>
          <w:p>
            <w:pPr>
              <w:ind w:left="20"/>
              <w:spacing w:after="0" w:line="148" w:lineRule="exact"/>
              <w:rPr>
                <w:sz w:val="20"/>
                <w:szCs w:val="20"/>
                <w:color w:val="auto"/>
              </w:rPr>
            </w:pPr>
            <w:r>
              <w:rPr>
                <w:rFonts w:ascii="Arial" w:cs="Arial" w:eastAsia="Arial" w:hAnsi="Arial"/>
                <w:sz w:val="15"/>
                <w:szCs w:val="15"/>
                <w:color w:val="auto"/>
              </w:rPr>
              <w:t>This ASU, issued in December 2023, is intended to enhance the transparency</w:t>
            </w:r>
          </w:p>
        </w:tc>
        <w:tc>
          <w:tcPr>
            <w:tcW w:w="2320" w:type="dxa"/>
            <w:vAlign w:val="bottom"/>
          </w:tcPr>
          <w:p>
            <w:pPr>
              <w:spacing w:after="0" w:line="148" w:lineRule="exact"/>
              <w:rPr>
                <w:sz w:val="20"/>
                <w:szCs w:val="20"/>
                <w:color w:val="auto"/>
              </w:rPr>
            </w:pPr>
            <w:r>
              <w:rPr>
                <w:rFonts w:ascii="Arial" w:cs="Arial" w:eastAsia="Arial" w:hAnsi="Arial"/>
                <w:sz w:val="15"/>
                <w:szCs w:val="15"/>
                <w:color w:val="auto"/>
              </w:rPr>
              <w:t>This ASU is effective for fiscal</w:t>
            </w:r>
          </w:p>
        </w:tc>
        <w:tc>
          <w:tcPr>
            <w:tcW w:w="0" w:type="dxa"/>
            <w:vAlign w:val="bottom"/>
          </w:tcPr>
          <w:p>
            <w:pPr>
              <w:spacing w:after="0"/>
              <w:rPr>
                <w:sz w:val="1"/>
                <w:szCs w:val="1"/>
                <w:color w:val="auto"/>
              </w:rPr>
            </w:pPr>
          </w:p>
        </w:tc>
      </w:tr>
      <w:tr>
        <w:trPr>
          <w:trHeight w:val="146"/>
        </w:trPr>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80" w:type="dxa"/>
            <w:vAlign w:val="bottom"/>
            <w:gridSpan w:val="2"/>
          </w:tcPr>
          <w:p>
            <w:pPr>
              <w:jc w:val="center"/>
              <w:ind w:right="80"/>
              <w:spacing w:after="0" w:line="146" w:lineRule="exact"/>
              <w:rPr>
                <w:sz w:val="20"/>
                <w:szCs w:val="20"/>
                <w:color w:val="auto"/>
              </w:rPr>
            </w:pPr>
            <w:r>
              <w:rPr>
                <w:rFonts w:ascii="Arial" w:cs="Arial" w:eastAsia="Arial" w:hAnsi="Arial"/>
                <w:sz w:val="15"/>
                <w:szCs w:val="15"/>
                <w:color w:val="auto"/>
                <w:w w:val="99"/>
              </w:rPr>
              <w:t>Improvements to Income Tax</w:t>
            </w:r>
          </w:p>
        </w:tc>
        <w:tc>
          <w:tcPr>
            <w:tcW w:w="5400" w:type="dxa"/>
            <w:vAlign w:val="bottom"/>
            <w:gridSpan w:val="2"/>
          </w:tcPr>
          <w:p>
            <w:pPr>
              <w:ind w:left="20"/>
              <w:spacing w:after="0" w:line="146" w:lineRule="exact"/>
              <w:rPr>
                <w:sz w:val="20"/>
                <w:szCs w:val="20"/>
                <w:color w:val="auto"/>
              </w:rPr>
            </w:pPr>
            <w:r>
              <w:rPr>
                <w:rFonts w:ascii="Arial" w:cs="Arial" w:eastAsia="Arial" w:hAnsi="Arial"/>
                <w:sz w:val="15"/>
                <w:szCs w:val="15"/>
                <w:color w:val="auto"/>
              </w:rPr>
              <w:t>and decision usefulness of income tax disclosures. The amendments in this</w:t>
            </w:r>
          </w:p>
        </w:tc>
        <w:tc>
          <w:tcPr>
            <w:tcW w:w="2320" w:type="dxa"/>
            <w:vAlign w:val="bottom"/>
          </w:tcPr>
          <w:p>
            <w:pPr>
              <w:spacing w:after="0" w:line="146" w:lineRule="exact"/>
              <w:rPr>
                <w:sz w:val="20"/>
                <w:szCs w:val="20"/>
                <w:color w:val="auto"/>
              </w:rPr>
            </w:pPr>
            <w:r>
              <w:rPr>
                <w:rFonts w:ascii="Arial" w:cs="Arial" w:eastAsia="Arial" w:hAnsi="Arial"/>
                <w:sz w:val="15"/>
                <w:szCs w:val="15"/>
                <w:color w:val="auto"/>
              </w:rPr>
              <w:t>years beginning after December</w:t>
            </w:r>
          </w:p>
        </w:tc>
        <w:tc>
          <w:tcPr>
            <w:tcW w:w="0" w:type="dxa"/>
            <w:vAlign w:val="bottom"/>
          </w:tcPr>
          <w:p>
            <w:pPr>
              <w:spacing w:after="0"/>
              <w:rPr>
                <w:sz w:val="1"/>
                <w:szCs w:val="1"/>
                <w:color w:val="auto"/>
              </w:rPr>
            </w:pPr>
          </w:p>
        </w:tc>
      </w:tr>
      <w:tr>
        <w:trPr>
          <w:trHeight w:val="155"/>
        </w:trPr>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80" w:type="dxa"/>
            <w:vAlign w:val="bottom"/>
            <w:gridSpan w:val="2"/>
          </w:tcPr>
          <w:p>
            <w:pPr>
              <w:jc w:val="center"/>
              <w:ind w:right="80"/>
              <w:spacing w:after="0" w:line="155" w:lineRule="exact"/>
              <w:rPr>
                <w:sz w:val="20"/>
                <w:szCs w:val="20"/>
                <w:color w:val="auto"/>
              </w:rPr>
            </w:pPr>
            <w:r>
              <w:rPr>
                <w:rFonts w:ascii="Arial" w:cs="Arial" w:eastAsia="Arial" w:hAnsi="Arial"/>
                <w:sz w:val="15"/>
                <w:szCs w:val="15"/>
                <w:color w:val="auto"/>
              </w:rPr>
              <w:t>Disclosures</w:t>
            </w:r>
          </w:p>
        </w:tc>
        <w:tc>
          <w:tcPr>
            <w:tcW w:w="5400" w:type="dxa"/>
            <w:vAlign w:val="bottom"/>
            <w:gridSpan w:val="2"/>
          </w:tcPr>
          <w:p>
            <w:pPr>
              <w:ind w:left="20"/>
              <w:spacing w:after="0" w:line="155" w:lineRule="exact"/>
              <w:rPr>
                <w:sz w:val="20"/>
                <w:szCs w:val="20"/>
                <w:color w:val="auto"/>
              </w:rPr>
            </w:pPr>
            <w:r>
              <w:rPr>
                <w:rFonts w:ascii="Arial" w:cs="Arial" w:eastAsia="Arial" w:hAnsi="Arial"/>
                <w:sz w:val="15"/>
                <w:szCs w:val="15"/>
                <w:color w:val="auto"/>
              </w:rPr>
              <w:t>ASU address investor requests for enhanced income tax information primarily</w:t>
            </w:r>
          </w:p>
        </w:tc>
        <w:tc>
          <w:tcPr>
            <w:tcW w:w="2320" w:type="dxa"/>
            <w:vAlign w:val="bottom"/>
          </w:tcPr>
          <w:p>
            <w:pPr>
              <w:spacing w:after="0" w:line="155" w:lineRule="exact"/>
              <w:rPr>
                <w:sz w:val="20"/>
                <w:szCs w:val="20"/>
                <w:color w:val="auto"/>
              </w:rPr>
            </w:pPr>
            <w:r>
              <w:rPr>
                <w:rFonts w:ascii="Arial" w:cs="Arial" w:eastAsia="Arial" w:hAnsi="Arial"/>
                <w:sz w:val="15"/>
                <w:szCs w:val="15"/>
                <w:color w:val="auto"/>
              </w:rPr>
              <w:t>15, 2024, with early adoption</w:t>
            </w:r>
          </w:p>
        </w:tc>
        <w:tc>
          <w:tcPr>
            <w:tcW w:w="0" w:type="dxa"/>
            <w:vAlign w:val="bottom"/>
          </w:tcPr>
          <w:p>
            <w:pPr>
              <w:spacing w:after="0"/>
              <w:rPr>
                <w:sz w:val="1"/>
                <w:szCs w:val="1"/>
                <w:color w:val="auto"/>
              </w:rPr>
            </w:pPr>
          </w:p>
        </w:tc>
      </w:tr>
      <w:tr>
        <w:trPr>
          <w:trHeight w:val="155"/>
        </w:trPr>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0" w:type="dxa"/>
            <w:vAlign w:val="bottom"/>
            <w:gridSpan w:val="2"/>
          </w:tcPr>
          <w:p>
            <w:pPr>
              <w:ind w:left="20"/>
              <w:spacing w:after="0" w:line="155" w:lineRule="exact"/>
              <w:rPr>
                <w:sz w:val="20"/>
                <w:szCs w:val="20"/>
                <w:color w:val="auto"/>
              </w:rPr>
            </w:pPr>
            <w:r>
              <w:rPr>
                <w:rFonts w:ascii="Arial" w:cs="Arial" w:eastAsia="Arial" w:hAnsi="Arial"/>
                <w:sz w:val="15"/>
                <w:szCs w:val="15"/>
                <w:color w:val="auto"/>
              </w:rPr>
              <w:t>through changes to the rate reconciliation and income taxes paid information.</w:t>
            </w:r>
          </w:p>
        </w:tc>
        <w:tc>
          <w:tcPr>
            <w:tcW w:w="2320" w:type="dxa"/>
            <w:vAlign w:val="bottom"/>
          </w:tcPr>
          <w:p>
            <w:pPr>
              <w:spacing w:after="0" w:line="155" w:lineRule="exact"/>
              <w:rPr>
                <w:sz w:val="20"/>
                <w:szCs w:val="20"/>
                <w:color w:val="auto"/>
              </w:rPr>
            </w:pPr>
            <w:r>
              <w:rPr>
                <w:rFonts w:ascii="Arial" w:cs="Arial" w:eastAsia="Arial" w:hAnsi="Arial"/>
                <w:sz w:val="15"/>
                <w:szCs w:val="15"/>
                <w:color w:val="auto"/>
              </w:rPr>
              <w:t>permitted.</w:t>
            </w:r>
          </w:p>
        </w:tc>
        <w:tc>
          <w:tcPr>
            <w:tcW w:w="0" w:type="dxa"/>
            <w:vAlign w:val="bottom"/>
          </w:tcPr>
          <w:p>
            <w:pPr>
              <w:spacing w:after="0"/>
              <w:rPr>
                <w:sz w:val="1"/>
                <w:szCs w:val="1"/>
                <w:color w:val="auto"/>
              </w:rPr>
            </w:pPr>
          </w:p>
        </w:tc>
      </w:tr>
      <w:tr>
        <w:trPr>
          <w:trHeight w:val="151"/>
        </w:trPr>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0" w:type="dxa"/>
            <w:vAlign w:val="bottom"/>
            <w:gridSpan w:val="2"/>
          </w:tcPr>
          <w:p>
            <w:pPr>
              <w:ind w:left="20"/>
              <w:spacing w:after="0" w:line="151" w:lineRule="exact"/>
              <w:rPr>
                <w:sz w:val="20"/>
                <w:szCs w:val="20"/>
                <w:color w:val="auto"/>
              </w:rPr>
            </w:pPr>
            <w:r>
              <w:rPr>
                <w:rFonts w:ascii="Arial" w:cs="Arial" w:eastAsia="Arial" w:hAnsi="Arial"/>
                <w:sz w:val="15"/>
                <w:szCs w:val="15"/>
                <w:color w:val="auto"/>
              </w:rPr>
              <w:t>We are currently evaluating the impact of implementing this guidance on our</w:t>
            </w:r>
          </w:p>
        </w:tc>
        <w:tc>
          <w:tcPr>
            <w:tcW w:w="2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12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1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528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financial statements.</w:t>
            </w:r>
          </w:p>
        </w:tc>
        <w:tc>
          <w:tcPr>
            <w:tcW w:w="120" w:type="dxa"/>
            <w:vAlign w:val="bottom"/>
          </w:tcPr>
          <w:p>
            <w:pPr>
              <w:spacing w:after="0"/>
              <w:rPr>
                <w:sz w:val="16"/>
                <w:szCs w:val="16"/>
                <w:color w:val="auto"/>
              </w:rPr>
            </w:pPr>
          </w:p>
        </w:tc>
        <w:tc>
          <w:tcPr>
            <w:tcW w:w="23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1220" w:type="dxa"/>
            <w:vAlign w:val="bottom"/>
          </w:tcPr>
          <w:p>
            <w:pPr>
              <w:jc w:val="center"/>
              <w:spacing w:after="0" w:line="148" w:lineRule="exact"/>
              <w:rPr>
                <w:sz w:val="20"/>
                <w:szCs w:val="20"/>
                <w:color w:val="auto"/>
              </w:rPr>
            </w:pPr>
            <w:r>
              <w:rPr>
                <w:rFonts w:ascii="Arial" w:cs="Arial" w:eastAsia="Arial" w:hAnsi="Arial"/>
                <w:sz w:val="15"/>
                <w:szCs w:val="15"/>
                <w:color w:val="auto"/>
              </w:rPr>
              <w:t>2024-03</w:t>
            </w:r>
          </w:p>
        </w:tc>
        <w:tc>
          <w:tcPr>
            <w:tcW w:w="120" w:type="dxa"/>
            <w:vAlign w:val="bottom"/>
          </w:tcPr>
          <w:p>
            <w:pPr>
              <w:spacing w:after="0"/>
              <w:rPr>
                <w:sz w:val="12"/>
                <w:szCs w:val="12"/>
                <w:color w:val="auto"/>
              </w:rPr>
            </w:pPr>
          </w:p>
        </w:tc>
        <w:tc>
          <w:tcPr>
            <w:tcW w:w="2180" w:type="dxa"/>
            <w:vAlign w:val="bottom"/>
            <w:gridSpan w:val="2"/>
          </w:tcPr>
          <w:p>
            <w:pPr>
              <w:jc w:val="center"/>
              <w:ind w:right="80"/>
              <w:spacing w:after="0" w:line="148" w:lineRule="exact"/>
              <w:rPr>
                <w:sz w:val="20"/>
                <w:szCs w:val="20"/>
                <w:color w:val="auto"/>
              </w:rPr>
            </w:pPr>
            <w:r>
              <w:rPr>
                <w:rFonts w:ascii="Arial" w:cs="Arial" w:eastAsia="Arial" w:hAnsi="Arial"/>
                <w:sz w:val="15"/>
                <w:szCs w:val="15"/>
                <w:color w:val="auto"/>
              </w:rPr>
              <w:t>Income Statement —</w:t>
            </w:r>
          </w:p>
        </w:tc>
        <w:tc>
          <w:tcPr>
            <w:tcW w:w="5400" w:type="dxa"/>
            <w:vAlign w:val="bottom"/>
            <w:gridSpan w:val="2"/>
          </w:tcPr>
          <w:p>
            <w:pPr>
              <w:ind w:left="20"/>
              <w:spacing w:after="0" w:line="148" w:lineRule="exact"/>
              <w:rPr>
                <w:sz w:val="20"/>
                <w:szCs w:val="20"/>
                <w:color w:val="auto"/>
              </w:rPr>
            </w:pPr>
            <w:r>
              <w:rPr>
                <w:rFonts w:ascii="Arial" w:cs="Arial" w:eastAsia="Arial" w:hAnsi="Arial"/>
                <w:sz w:val="15"/>
                <w:szCs w:val="15"/>
                <w:color w:val="auto"/>
              </w:rPr>
              <w:t>This ASU, issued in November 2024, is intended to improve financial reporting</w:t>
            </w:r>
          </w:p>
        </w:tc>
        <w:tc>
          <w:tcPr>
            <w:tcW w:w="2320" w:type="dxa"/>
            <w:vAlign w:val="bottom"/>
          </w:tcPr>
          <w:p>
            <w:pPr>
              <w:spacing w:after="0" w:line="148" w:lineRule="exact"/>
              <w:rPr>
                <w:sz w:val="20"/>
                <w:szCs w:val="20"/>
                <w:color w:val="auto"/>
              </w:rPr>
            </w:pPr>
            <w:r>
              <w:rPr>
                <w:rFonts w:ascii="Arial" w:cs="Arial" w:eastAsia="Arial" w:hAnsi="Arial"/>
                <w:sz w:val="15"/>
                <w:szCs w:val="15"/>
                <w:color w:val="auto"/>
              </w:rPr>
              <w:t>This ASU is effective for fiscal</w:t>
            </w:r>
          </w:p>
        </w:tc>
        <w:tc>
          <w:tcPr>
            <w:tcW w:w="0" w:type="dxa"/>
            <w:vAlign w:val="bottom"/>
          </w:tcPr>
          <w:p>
            <w:pPr>
              <w:spacing w:after="0"/>
              <w:rPr>
                <w:sz w:val="1"/>
                <w:szCs w:val="1"/>
                <w:color w:val="auto"/>
              </w:rPr>
            </w:pPr>
          </w:p>
        </w:tc>
      </w:tr>
      <w:tr>
        <w:trPr>
          <w:trHeight w:val="146"/>
        </w:trPr>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80" w:type="dxa"/>
            <w:vAlign w:val="bottom"/>
            <w:gridSpan w:val="2"/>
          </w:tcPr>
          <w:p>
            <w:pPr>
              <w:jc w:val="center"/>
              <w:ind w:right="100"/>
              <w:spacing w:after="0" w:line="146" w:lineRule="exact"/>
              <w:rPr>
                <w:sz w:val="20"/>
                <w:szCs w:val="20"/>
                <w:color w:val="auto"/>
              </w:rPr>
            </w:pPr>
            <w:r>
              <w:rPr>
                <w:rFonts w:ascii="Arial" w:cs="Arial" w:eastAsia="Arial" w:hAnsi="Arial"/>
                <w:sz w:val="15"/>
                <w:szCs w:val="15"/>
                <w:color w:val="auto"/>
              </w:rPr>
              <w:t>Reporting Comprehensive</w:t>
            </w:r>
          </w:p>
        </w:tc>
        <w:tc>
          <w:tcPr>
            <w:tcW w:w="5400" w:type="dxa"/>
            <w:vAlign w:val="bottom"/>
            <w:gridSpan w:val="2"/>
          </w:tcPr>
          <w:p>
            <w:pPr>
              <w:ind w:left="20"/>
              <w:spacing w:after="0" w:line="146" w:lineRule="exact"/>
              <w:rPr>
                <w:sz w:val="20"/>
                <w:szCs w:val="20"/>
                <w:color w:val="auto"/>
              </w:rPr>
            </w:pPr>
            <w:r>
              <w:rPr>
                <w:rFonts w:ascii="Arial" w:cs="Arial" w:eastAsia="Arial" w:hAnsi="Arial"/>
                <w:sz w:val="15"/>
                <w:szCs w:val="15"/>
                <w:color w:val="auto"/>
              </w:rPr>
              <w:t>by requiring public entities to disclose additional information about specific</w:t>
            </w:r>
          </w:p>
        </w:tc>
        <w:tc>
          <w:tcPr>
            <w:tcW w:w="2320" w:type="dxa"/>
            <w:vAlign w:val="bottom"/>
          </w:tcPr>
          <w:p>
            <w:pPr>
              <w:spacing w:after="0" w:line="146" w:lineRule="exact"/>
              <w:rPr>
                <w:sz w:val="20"/>
                <w:szCs w:val="20"/>
                <w:color w:val="auto"/>
              </w:rPr>
            </w:pPr>
            <w:r>
              <w:rPr>
                <w:rFonts w:ascii="Arial" w:cs="Arial" w:eastAsia="Arial" w:hAnsi="Arial"/>
                <w:sz w:val="15"/>
                <w:szCs w:val="15"/>
                <w:color w:val="auto"/>
              </w:rPr>
              <w:t>years beginning after December</w:t>
            </w:r>
          </w:p>
        </w:tc>
        <w:tc>
          <w:tcPr>
            <w:tcW w:w="0" w:type="dxa"/>
            <w:vAlign w:val="bottom"/>
          </w:tcPr>
          <w:p>
            <w:pPr>
              <w:spacing w:after="0"/>
              <w:rPr>
                <w:sz w:val="1"/>
                <w:szCs w:val="1"/>
                <w:color w:val="auto"/>
              </w:rPr>
            </w:pPr>
          </w:p>
        </w:tc>
      </w:tr>
      <w:tr>
        <w:trPr>
          <w:trHeight w:val="155"/>
        </w:trPr>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80" w:type="dxa"/>
            <w:vAlign w:val="bottom"/>
            <w:gridSpan w:val="2"/>
          </w:tcPr>
          <w:p>
            <w:pPr>
              <w:jc w:val="center"/>
              <w:ind w:right="100"/>
              <w:spacing w:after="0" w:line="155" w:lineRule="exact"/>
              <w:rPr>
                <w:sz w:val="20"/>
                <w:szCs w:val="20"/>
                <w:color w:val="auto"/>
              </w:rPr>
            </w:pPr>
            <w:r>
              <w:rPr>
                <w:rFonts w:ascii="Arial" w:cs="Arial" w:eastAsia="Arial" w:hAnsi="Arial"/>
                <w:sz w:val="15"/>
                <w:szCs w:val="15"/>
                <w:color w:val="auto"/>
              </w:rPr>
              <w:t>Income — Expense</w:t>
            </w:r>
          </w:p>
        </w:tc>
        <w:tc>
          <w:tcPr>
            <w:tcW w:w="5400" w:type="dxa"/>
            <w:vAlign w:val="bottom"/>
            <w:gridSpan w:val="2"/>
          </w:tcPr>
          <w:p>
            <w:pPr>
              <w:ind w:left="20"/>
              <w:spacing w:after="0" w:line="155" w:lineRule="exact"/>
              <w:rPr>
                <w:sz w:val="20"/>
                <w:szCs w:val="20"/>
                <w:color w:val="auto"/>
              </w:rPr>
            </w:pPr>
            <w:r>
              <w:rPr>
                <w:rFonts w:ascii="Arial" w:cs="Arial" w:eastAsia="Arial" w:hAnsi="Arial"/>
                <w:sz w:val="15"/>
                <w:szCs w:val="15"/>
                <w:color w:val="auto"/>
              </w:rPr>
              <w:t>expense categories in the notes to the financial statements at interim and</w:t>
            </w:r>
          </w:p>
        </w:tc>
        <w:tc>
          <w:tcPr>
            <w:tcW w:w="2320" w:type="dxa"/>
            <w:vAlign w:val="bottom"/>
          </w:tcPr>
          <w:p>
            <w:pPr>
              <w:spacing w:after="0" w:line="155" w:lineRule="exact"/>
              <w:rPr>
                <w:sz w:val="20"/>
                <w:szCs w:val="20"/>
                <w:color w:val="auto"/>
              </w:rPr>
            </w:pPr>
            <w:r>
              <w:rPr>
                <w:rFonts w:ascii="Arial" w:cs="Arial" w:eastAsia="Arial" w:hAnsi="Arial"/>
                <w:sz w:val="15"/>
                <w:szCs w:val="15"/>
                <w:color w:val="auto"/>
              </w:rPr>
              <w:t>15, 2026, and interim periods</w:t>
            </w:r>
          </w:p>
        </w:tc>
        <w:tc>
          <w:tcPr>
            <w:tcW w:w="0" w:type="dxa"/>
            <w:vAlign w:val="bottom"/>
          </w:tcPr>
          <w:p>
            <w:pPr>
              <w:spacing w:after="0"/>
              <w:rPr>
                <w:sz w:val="1"/>
                <w:szCs w:val="1"/>
                <w:color w:val="auto"/>
              </w:rPr>
            </w:pPr>
          </w:p>
        </w:tc>
      </w:tr>
      <w:tr>
        <w:trPr>
          <w:trHeight w:val="155"/>
        </w:trPr>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80" w:type="dxa"/>
            <w:vAlign w:val="bottom"/>
            <w:gridSpan w:val="2"/>
          </w:tcPr>
          <w:p>
            <w:pPr>
              <w:jc w:val="center"/>
              <w:ind w:right="100"/>
              <w:spacing w:after="0" w:line="155" w:lineRule="exact"/>
              <w:rPr>
                <w:sz w:val="20"/>
                <w:szCs w:val="20"/>
                <w:color w:val="auto"/>
              </w:rPr>
            </w:pPr>
            <w:r>
              <w:rPr>
                <w:rFonts w:ascii="Arial" w:cs="Arial" w:eastAsia="Arial" w:hAnsi="Arial"/>
                <w:sz w:val="15"/>
                <w:szCs w:val="15"/>
                <w:color w:val="auto"/>
              </w:rPr>
              <w:t>Disaggregation Disclosures</w:t>
            </w:r>
          </w:p>
        </w:tc>
        <w:tc>
          <w:tcPr>
            <w:tcW w:w="5400" w:type="dxa"/>
            <w:vAlign w:val="bottom"/>
            <w:gridSpan w:val="2"/>
          </w:tcPr>
          <w:p>
            <w:pPr>
              <w:ind w:left="20"/>
              <w:spacing w:after="0" w:line="155" w:lineRule="exact"/>
              <w:rPr>
                <w:sz w:val="20"/>
                <w:szCs w:val="20"/>
                <w:color w:val="auto"/>
              </w:rPr>
            </w:pPr>
            <w:r>
              <w:rPr>
                <w:rFonts w:ascii="Arial" w:cs="Arial" w:eastAsia="Arial" w:hAnsi="Arial"/>
                <w:sz w:val="15"/>
                <w:szCs w:val="15"/>
                <w:color w:val="auto"/>
              </w:rPr>
              <w:t>annual reporting periods. We are currently evaluating the impact of</w:t>
            </w:r>
          </w:p>
        </w:tc>
        <w:tc>
          <w:tcPr>
            <w:tcW w:w="2320" w:type="dxa"/>
            <w:vAlign w:val="bottom"/>
          </w:tcPr>
          <w:p>
            <w:pPr>
              <w:spacing w:after="0" w:line="155" w:lineRule="exact"/>
              <w:rPr>
                <w:sz w:val="20"/>
                <w:szCs w:val="20"/>
                <w:color w:val="auto"/>
              </w:rPr>
            </w:pPr>
            <w:r>
              <w:rPr>
                <w:rFonts w:ascii="Arial" w:cs="Arial" w:eastAsia="Arial" w:hAnsi="Arial"/>
                <w:sz w:val="15"/>
                <w:szCs w:val="15"/>
                <w:color w:val="auto"/>
              </w:rPr>
              <w:t>within fiscal years beginning after</w:t>
            </w:r>
          </w:p>
        </w:tc>
        <w:tc>
          <w:tcPr>
            <w:tcW w:w="0" w:type="dxa"/>
            <w:vAlign w:val="bottom"/>
          </w:tcPr>
          <w:p>
            <w:pPr>
              <w:spacing w:after="0"/>
              <w:rPr>
                <w:sz w:val="1"/>
                <w:szCs w:val="1"/>
                <w:color w:val="auto"/>
              </w:rPr>
            </w:pPr>
          </w:p>
        </w:tc>
      </w:tr>
      <w:tr>
        <w:trPr>
          <w:trHeight w:val="151"/>
        </w:trPr>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80" w:type="dxa"/>
            <w:vAlign w:val="bottom"/>
            <w:gridSpan w:val="2"/>
          </w:tcPr>
          <w:p>
            <w:pPr>
              <w:jc w:val="center"/>
              <w:ind w:right="100"/>
              <w:spacing w:after="0" w:line="151" w:lineRule="exact"/>
              <w:rPr>
                <w:sz w:val="20"/>
                <w:szCs w:val="20"/>
                <w:color w:val="auto"/>
              </w:rPr>
            </w:pPr>
            <w:r>
              <w:rPr>
                <w:rFonts w:ascii="Arial" w:cs="Arial" w:eastAsia="Arial" w:hAnsi="Arial"/>
                <w:sz w:val="15"/>
                <w:szCs w:val="15"/>
                <w:color w:val="auto"/>
              </w:rPr>
              <w:t>(Subtopic 220-40):</w:t>
            </w:r>
          </w:p>
        </w:tc>
        <w:tc>
          <w:tcPr>
            <w:tcW w:w="5400" w:type="dxa"/>
            <w:vAlign w:val="bottom"/>
            <w:gridSpan w:val="2"/>
          </w:tcPr>
          <w:p>
            <w:pPr>
              <w:ind w:left="20"/>
              <w:spacing w:after="0" w:line="151" w:lineRule="exact"/>
              <w:rPr>
                <w:sz w:val="20"/>
                <w:szCs w:val="20"/>
                <w:color w:val="auto"/>
              </w:rPr>
            </w:pPr>
            <w:r>
              <w:rPr>
                <w:rFonts w:ascii="Arial" w:cs="Arial" w:eastAsia="Arial" w:hAnsi="Arial"/>
                <w:sz w:val="15"/>
                <w:szCs w:val="15"/>
                <w:color w:val="auto"/>
              </w:rPr>
              <w:t>implementing this guidance on our financial statements.</w:t>
            </w:r>
          </w:p>
        </w:tc>
        <w:tc>
          <w:tcPr>
            <w:tcW w:w="2320" w:type="dxa"/>
            <w:vAlign w:val="bottom"/>
          </w:tcPr>
          <w:p>
            <w:pPr>
              <w:spacing w:after="0" w:line="151" w:lineRule="exact"/>
              <w:rPr>
                <w:sz w:val="20"/>
                <w:szCs w:val="20"/>
                <w:color w:val="auto"/>
              </w:rPr>
            </w:pPr>
            <w:r>
              <w:rPr>
                <w:rFonts w:ascii="Arial" w:cs="Arial" w:eastAsia="Arial" w:hAnsi="Arial"/>
                <w:sz w:val="15"/>
                <w:szCs w:val="15"/>
                <w:color w:val="auto"/>
              </w:rPr>
              <w:t>December 15, 2027, with early</w:t>
            </w:r>
          </w:p>
        </w:tc>
        <w:tc>
          <w:tcPr>
            <w:tcW w:w="0" w:type="dxa"/>
            <w:vAlign w:val="bottom"/>
          </w:tcPr>
          <w:p>
            <w:pPr>
              <w:spacing w:after="0"/>
              <w:rPr>
                <w:sz w:val="1"/>
                <w:szCs w:val="1"/>
                <w:color w:val="auto"/>
              </w:rPr>
            </w:pPr>
          </w:p>
        </w:tc>
      </w:tr>
      <w:tr>
        <w:trPr>
          <w:trHeight w:val="146"/>
        </w:trPr>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80" w:type="dxa"/>
            <w:vAlign w:val="bottom"/>
            <w:gridSpan w:val="2"/>
          </w:tcPr>
          <w:p>
            <w:pPr>
              <w:jc w:val="center"/>
              <w:ind w:right="100"/>
              <w:spacing w:after="0" w:line="146" w:lineRule="exact"/>
              <w:rPr>
                <w:sz w:val="20"/>
                <w:szCs w:val="20"/>
                <w:color w:val="auto"/>
              </w:rPr>
            </w:pPr>
            <w:r>
              <w:rPr>
                <w:rFonts w:ascii="Arial" w:cs="Arial" w:eastAsia="Arial" w:hAnsi="Arial"/>
                <w:sz w:val="15"/>
                <w:szCs w:val="15"/>
                <w:color w:val="auto"/>
              </w:rPr>
              <w:t>Disaggregation of Income</w:t>
            </w:r>
          </w:p>
        </w:tc>
        <w:tc>
          <w:tcPr>
            <w:tcW w:w="5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20" w:type="dxa"/>
            <w:vAlign w:val="bottom"/>
          </w:tcPr>
          <w:p>
            <w:pPr>
              <w:spacing w:after="0" w:line="146" w:lineRule="exact"/>
              <w:rPr>
                <w:sz w:val="20"/>
                <w:szCs w:val="20"/>
                <w:color w:val="auto"/>
              </w:rPr>
            </w:pPr>
            <w:r>
              <w:rPr>
                <w:rFonts w:ascii="Arial" w:cs="Arial" w:eastAsia="Arial" w:hAnsi="Arial"/>
                <w:sz w:val="15"/>
                <w:szCs w:val="15"/>
                <w:color w:val="auto"/>
              </w:rPr>
              <w:t>adoption permitted.</w:t>
            </w:r>
          </w:p>
        </w:tc>
        <w:tc>
          <w:tcPr>
            <w:tcW w:w="0" w:type="dxa"/>
            <w:vAlign w:val="bottom"/>
          </w:tcPr>
          <w:p>
            <w:pPr>
              <w:spacing w:after="0"/>
              <w:rPr>
                <w:sz w:val="1"/>
                <w:szCs w:val="1"/>
                <w:color w:val="auto"/>
              </w:rPr>
            </w:pPr>
          </w:p>
        </w:tc>
      </w:tr>
      <w:tr>
        <w:trPr>
          <w:trHeight w:val="201"/>
        </w:trPr>
        <w:tc>
          <w:tcPr>
            <w:tcW w:w="12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10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rPr>
              <w:t>Statement Expenses</w:t>
            </w:r>
          </w:p>
        </w:tc>
        <w:tc>
          <w:tcPr>
            <w:tcW w:w="80" w:type="dxa"/>
            <w:vAlign w:val="bottom"/>
          </w:tcPr>
          <w:p>
            <w:pPr>
              <w:spacing w:after="0"/>
              <w:rPr>
                <w:sz w:val="17"/>
                <w:szCs w:val="17"/>
                <w:color w:val="auto"/>
              </w:rPr>
            </w:pPr>
          </w:p>
        </w:tc>
        <w:tc>
          <w:tcPr>
            <w:tcW w:w="52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3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1220" w:type="dxa"/>
            <w:vAlign w:val="bottom"/>
          </w:tcPr>
          <w:p>
            <w:pPr>
              <w:jc w:val="center"/>
              <w:spacing w:after="0" w:line="149" w:lineRule="exact"/>
              <w:rPr>
                <w:sz w:val="20"/>
                <w:szCs w:val="20"/>
                <w:color w:val="auto"/>
              </w:rPr>
            </w:pPr>
            <w:r>
              <w:rPr>
                <w:rFonts w:ascii="Arial" w:cs="Arial" w:eastAsia="Arial" w:hAnsi="Arial"/>
                <w:sz w:val="15"/>
                <w:szCs w:val="15"/>
                <w:color w:val="auto"/>
              </w:rPr>
              <w:t>2025-06</w:t>
            </w:r>
          </w:p>
        </w:tc>
        <w:tc>
          <w:tcPr>
            <w:tcW w:w="120" w:type="dxa"/>
            <w:vAlign w:val="bottom"/>
          </w:tcPr>
          <w:p>
            <w:pPr>
              <w:spacing w:after="0"/>
              <w:rPr>
                <w:sz w:val="12"/>
                <w:szCs w:val="12"/>
                <w:color w:val="auto"/>
              </w:rPr>
            </w:pPr>
          </w:p>
        </w:tc>
        <w:tc>
          <w:tcPr>
            <w:tcW w:w="2180" w:type="dxa"/>
            <w:vAlign w:val="bottom"/>
            <w:gridSpan w:val="2"/>
          </w:tcPr>
          <w:p>
            <w:pPr>
              <w:jc w:val="center"/>
              <w:ind w:right="100"/>
              <w:spacing w:after="0" w:line="149" w:lineRule="exact"/>
              <w:rPr>
                <w:sz w:val="20"/>
                <w:szCs w:val="20"/>
                <w:color w:val="auto"/>
              </w:rPr>
            </w:pPr>
            <w:r>
              <w:rPr>
                <w:rFonts w:ascii="Arial" w:cs="Arial" w:eastAsia="Arial" w:hAnsi="Arial"/>
                <w:sz w:val="15"/>
                <w:szCs w:val="15"/>
                <w:color w:val="auto"/>
              </w:rPr>
              <w:t>Intangibles — Goodwill and</w:t>
            </w:r>
          </w:p>
        </w:tc>
        <w:tc>
          <w:tcPr>
            <w:tcW w:w="5400" w:type="dxa"/>
            <w:vAlign w:val="bottom"/>
            <w:gridSpan w:val="2"/>
          </w:tcPr>
          <w:p>
            <w:pPr>
              <w:ind w:left="20"/>
              <w:spacing w:after="0" w:line="149" w:lineRule="exact"/>
              <w:rPr>
                <w:sz w:val="20"/>
                <w:szCs w:val="20"/>
                <w:color w:val="auto"/>
              </w:rPr>
            </w:pPr>
            <w:r>
              <w:rPr>
                <w:rFonts w:ascii="Arial" w:cs="Arial" w:eastAsia="Arial" w:hAnsi="Arial"/>
                <w:sz w:val="15"/>
                <w:szCs w:val="15"/>
                <w:color w:val="auto"/>
              </w:rPr>
              <w:t>This ASU, issued in September 2025, removes all references to prescriptive</w:t>
            </w:r>
          </w:p>
        </w:tc>
        <w:tc>
          <w:tcPr>
            <w:tcW w:w="2320" w:type="dxa"/>
            <w:vAlign w:val="bottom"/>
          </w:tcPr>
          <w:p>
            <w:pPr>
              <w:spacing w:after="0" w:line="149" w:lineRule="exact"/>
              <w:rPr>
                <w:sz w:val="20"/>
                <w:szCs w:val="20"/>
                <w:color w:val="auto"/>
              </w:rPr>
            </w:pPr>
            <w:r>
              <w:rPr>
                <w:rFonts w:ascii="Arial" w:cs="Arial" w:eastAsia="Arial" w:hAnsi="Arial"/>
                <w:sz w:val="15"/>
                <w:szCs w:val="15"/>
                <w:color w:val="auto"/>
              </w:rPr>
              <w:t>This ASU is effective for fiscal</w:t>
            </w:r>
          </w:p>
        </w:tc>
        <w:tc>
          <w:tcPr>
            <w:tcW w:w="0" w:type="dxa"/>
            <w:vAlign w:val="bottom"/>
          </w:tcPr>
          <w:p>
            <w:pPr>
              <w:spacing w:after="0"/>
              <w:rPr>
                <w:sz w:val="1"/>
                <w:szCs w:val="1"/>
                <w:color w:val="auto"/>
              </w:rPr>
            </w:pPr>
          </w:p>
        </w:tc>
      </w:tr>
      <w:tr>
        <w:trPr>
          <w:trHeight w:val="146"/>
        </w:trPr>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80" w:type="dxa"/>
            <w:vAlign w:val="bottom"/>
            <w:gridSpan w:val="2"/>
          </w:tcPr>
          <w:p>
            <w:pPr>
              <w:jc w:val="center"/>
              <w:ind w:right="100"/>
              <w:spacing w:after="0" w:line="146" w:lineRule="exact"/>
              <w:rPr>
                <w:sz w:val="20"/>
                <w:szCs w:val="20"/>
                <w:color w:val="auto"/>
              </w:rPr>
            </w:pPr>
            <w:r>
              <w:rPr>
                <w:rFonts w:ascii="Arial" w:cs="Arial" w:eastAsia="Arial" w:hAnsi="Arial"/>
                <w:sz w:val="15"/>
                <w:szCs w:val="15"/>
                <w:color w:val="auto"/>
              </w:rPr>
              <w:t>Other — Internal-Use</w:t>
            </w:r>
          </w:p>
        </w:tc>
        <w:tc>
          <w:tcPr>
            <w:tcW w:w="5400" w:type="dxa"/>
            <w:vAlign w:val="bottom"/>
            <w:gridSpan w:val="2"/>
          </w:tcPr>
          <w:p>
            <w:pPr>
              <w:ind w:left="20"/>
              <w:spacing w:after="0" w:line="146" w:lineRule="exact"/>
              <w:rPr>
                <w:sz w:val="20"/>
                <w:szCs w:val="20"/>
                <w:color w:val="auto"/>
              </w:rPr>
            </w:pPr>
            <w:r>
              <w:rPr>
                <w:rFonts w:ascii="Arial" w:cs="Arial" w:eastAsia="Arial" w:hAnsi="Arial"/>
                <w:sz w:val="15"/>
                <w:szCs w:val="15"/>
                <w:color w:val="auto"/>
              </w:rPr>
              <w:t>and sequential software development stages (referred to as “project stages”)</w:t>
            </w:r>
          </w:p>
        </w:tc>
        <w:tc>
          <w:tcPr>
            <w:tcW w:w="2320" w:type="dxa"/>
            <w:vAlign w:val="bottom"/>
          </w:tcPr>
          <w:p>
            <w:pPr>
              <w:spacing w:after="0" w:line="146" w:lineRule="exact"/>
              <w:rPr>
                <w:sz w:val="20"/>
                <w:szCs w:val="20"/>
                <w:color w:val="auto"/>
              </w:rPr>
            </w:pPr>
            <w:r>
              <w:rPr>
                <w:rFonts w:ascii="Arial" w:cs="Arial" w:eastAsia="Arial" w:hAnsi="Arial"/>
                <w:sz w:val="15"/>
                <w:szCs w:val="15"/>
                <w:color w:val="auto"/>
              </w:rPr>
              <w:t>years beginning after December</w:t>
            </w:r>
          </w:p>
        </w:tc>
        <w:tc>
          <w:tcPr>
            <w:tcW w:w="0" w:type="dxa"/>
            <w:vAlign w:val="bottom"/>
          </w:tcPr>
          <w:p>
            <w:pPr>
              <w:spacing w:after="0"/>
              <w:rPr>
                <w:sz w:val="1"/>
                <w:szCs w:val="1"/>
                <w:color w:val="auto"/>
              </w:rPr>
            </w:pPr>
          </w:p>
        </w:tc>
      </w:tr>
      <w:tr>
        <w:trPr>
          <w:trHeight w:val="155"/>
        </w:trPr>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80" w:type="dxa"/>
            <w:vAlign w:val="bottom"/>
            <w:gridSpan w:val="2"/>
          </w:tcPr>
          <w:p>
            <w:pPr>
              <w:jc w:val="center"/>
              <w:ind w:right="100"/>
              <w:spacing w:after="0" w:line="155" w:lineRule="exact"/>
              <w:rPr>
                <w:sz w:val="20"/>
                <w:szCs w:val="20"/>
                <w:color w:val="auto"/>
              </w:rPr>
            </w:pPr>
            <w:r>
              <w:rPr>
                <w:rFonts w:ascii="Arial" w:cs="Arial" w:eastAsia="Arial" w:hAnsi="Arial"/>
                <w:sz w:val="15"/>
                <w:szCs w:val="15"/>
                <w:color w:val="auto"/>
              </w:rPr>
              <w:t>Software (Subtopic 350-40):</w:t>
            </w:r>
          </w:p>
        </w:tc>
        <w:tc>
          <w:tcPr>
            <w:tcW w:w="5400" w:type="dxa"/>
            <w:vAlign w:val="bottom"/>
            <w:gridSpan w:val="2"/>
          </w:tcPr>
          <w:p>
            <w:pPr>
              <w:ind w:left="20"/>
              <w:spacing w:after="0" w:line="155" w:lineRule="exact"/>
              <w:rPr>
                <w:sz w:val="20"/>
                <w:szCs w:val="20"/>
                <w:color w:val="auto"/>
              </w:rPr>
            </w:pPr>
            <w:r>
              <w:rPr>
                <w:rFonts w:ascii="Arial" w:cs="Arial" w:eastAsia="Arial" w:hAnsi="Arial"/>
                <w:sz w:val="15"/>
                <w:szCs w:val="15"/>
                <w:color w:val="auto"/>
              </w:rPr>
              <w:t>throughout Subtopic 350-40 and requires the capitalization of software costs</w:t>
            </w:r>
          </w:p>
        </w:tc>
        <w:tc>
          <w:tcPr>
            <w:tcW w:w="2320" w:type="dxa"/>
            <w:vAlign w:val="bottom"/>
          </w:tcPr>
          <w:p>
            <w:pPr>
              <w:spacing w:after="0" w:line="155" w:lineRule="exact"/>
              <w:rPr>
                <w:sz w:val="20"/>
                <w:szCs w:val="20"/>
                <w:color w:val="auto"/>
              </w:rPr>
            </w:pPr>
            <w:r>
              <w:rPr>
                <w:rFonts w:ascii="Arial" w:cs="Arial" w:eastAsia="Arial" w:hAnsi="Arial"/>
                <w:sz w:val="15"/>
                <w:szCs w:val="15"/>
                <w:color w:val="auto"/>
              </w:rPr>
              <w:t>15, 2027, and for interim periods</w:t>
            </w:r>
          </w:p>
        </w:tc>
        <w:tc>
          <w:tcPr>
            <w:tcW w:w="0" w:type="dxa"/>
            <w:vAlign w:val="bottom"/>
          </w:tcPr>
          <w:p>
            <w:pPr>
              <w:spacing w:after="0"/>
              <w:rPr>
                <w:sz w:val="1"/>
                <w:szCs w:val="1"/>
                <w:color w:val="auto"/>
              </w:rPr>
            </w:pPr>
          </w:p>
        </w:tc>
      </w:tr>
      <w:tr>
        <w:trPr>
          <w:trHeight w:val="155"/>
        </w:trPr>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80" w:type="dxa"/>
            <w:vAlign w:val="bottom"/>
            <w:gridSpan w:val="2"/>
          </w:tcPr>
          <w:p>
            <w:pPr>
              <w:jc w:val="center"/>
              <w:ind w:right="100"/>
              <w:spacing w:after="0" w:line="155" w:lineRule="exact"/>
              <w:rPr>
                <w:sz w:val="20"/>
                <w:szCs w:val="20"/>
                <w:color w:val="auto"/>
              </w:rPr>
            </w:pPr>
            <w:r>
              <w:rPr>
                <w:rFonts w:ascii="Arial" w:cs="Arial" w:eastAsia="Arial" w:hAnsi="Arial"/>
                <w:sz w:val="15"/>
                <w:szCs w:val="15"/>
                <w:color w:val="auto"/>
                <w:w w:val="99"/>
              </w:rPr>
              <w:t>Targeted Improvements to the</w:t>
            </w:r>
          </w:p>
        </w:tc>
        <w:tc>
          <w:tcPr>
            <w:tcW w:w="5400" w:type="dxa"/>
            <w:vAlign w:val="bottom"/>
            <w:gridSpan w:val="2"/>
          </w:tcPr>
          <w:p>
            <w:pPr>
              <w:ind w:left="20"/>
              <w:spacing w:after="0" w:line="155" w:lineRule="exact"/>
              <w:rPr>
                <w:sz w:val="20"/>
                <w:szCs w:val="20"/>
                <w:color w:val="auto"/>
              </w:rPr>
            </w:pPr>
            <w:r>
              <w:rPr>
                <w:rFonts w:ascii="Arial" w:cs="Arial" w:eastAsia="Arial" w:hAnsi="Arial"/>
                <w:sz w:val="15"/>
                <w:szCs w:val="15"/>
                <w:color w:val="auto"/>
              </w:rPr>
              <w:t>to begin when 1) management has authorized and committed to funding the</w:t>
            </w:r>
          </w:p>
        </w:tc>
        <w:tc>
          <w:tcPr>
            <w:tcW w:w="2320" w:type="dxa"/>
            <w:vAlign w:val="bottom"/>
          </w:tcPr>
          <w:p>
            <w:pPr>
              <w:spacing w:after="0" w:line="155" w:lineRule="exact"/>
              <w:rPr>
                <w:sz w:val="20"/>
                <w:szCs w:val="20"/>
                <w:color w:val="auto"/>
              </w:rPr>
            </w:pPr>
            <w:r>
              <w:rPr>
                <w:rFonts w:ascii="Arial" w:cs="Arial" w:eastAsia="Arial" w:hAnsi="Arial"/>
                <w:sz w:val="15"/>
                <w:szCs w:val="15"/>
                <w:color w:val="auto"/>
              </w:rPr>
              <w:t>within those annual reporting</w:t>
            </w:r>
          </w:p>
        </w:tc>
        <w:tc>
          <w:tcPr>
            <w:tcW w:w="0" w:type="dxa"/>
            <w:vAlign w:val="bottom"/>
          </w:tcPr>
          <w:p>
            <w:pPr>
              <w:spacing w:after="0"/>
              <w:rPr>
                <w:sz w:val="1"/>
                <w:szCs w:val="1"/>
                <w:color w:val="auto"/>
              </w:rPr>
            </w:pPr>
          </w:p>
        </w:tc>
      </w:tr>
      <w:tr>
        <w:trPr>
          <w:trHeight w:val="151"/>
        </w:trPr>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80" w:type="dxa"/>
            <w:vAlign w:val="bottom"/>
            <w:gridSpan w:val="2"/>
          </w:tcPr>
          <w:p>
            <w:pPr>
              <w:jc w:val="center"/>
              <w:ind w:right="100"/>
              <w:spacing w:after="0" w:line="151" w:lineRule="exact"/>
              <w:rPr>
                <w:sz w:val="20"/>
                <w:szCs w:val="20"/>
                <w:color w:val="auto"/>
              </w:rPr>
            </w:pPr>
            <w:r>
              <w:rPr>
                <w:rFonts w:ascii="Arial" w:cs="Arial" w:eastAsia="Arial" w:hAnsi="Arial"/>
                <w:sz w:val="15"/>
                <w:szCs w:val="15"/>
                <w:color w:val="auto"/>
              </w:rPr>
              <w:t>Accounting for Internal-Use</w:t>
            </w:r>
          </w:p>
        </w:tc>
        <w:tc>
          <w:tcPr>
            <w:tcW w:w="5400" w:type="dxa"/>
            <w:vAlign w:val="bottom"/>
            <w:gridSpan w:val="2"/>
          </w:tcPr>
          <w:p>
            <w:pPr>
              <w:ind w:left="20"/>
              <w:spacing w:after="0" w:line="151" w:lineRule="exact"/>
              <w:rPr>
                <w:sz w:val="20"/>
                <w:szCs w:val="20"/>
                <w:color w:val="auto"/>
              </w:rPr>
            </w:pPr>
            <w:r>
              <w:rPr>
                <w:rFonts w:ascii="Arial" w:cs="Arial" w:eastAsia="Arial" w:hAnsi="Arial"/>
                <w:sz w:val="15"/>
                <w:szCs w:val="15"/>
                <w:color w:val="auto"/>
              </w:rPr>
              <w:t>software project and 2) it is probable that the project will be completed and the</w:t>
            </w:r>
          </w:p>
        </w:tc>
        <w:tc>
          <w:tcPr>
            <w:tcW w:w="2320" w:type="dxa"/>
            <w:vAlign w:val="bottom"/>
          </w:tcPr>
          <w:p>
            <w:pPr>
              <w:spacing w:after="0" w:line="151" w:lineRule="exact"/>
              <w:rPr>
                <w:sz w:val="20"/>
                <w:szCs w:val="20"/>
                <w:color w:val="auto"/>
              </w:rPr>
            </w:pPr>
            <w:r>
              <w:rPr>
                <w:rFonts w:ascii="Arial" w:cs="Arial" w:eastAsia="Arial" w:hAnsi="Arial"/>
                <w:sz w:val="15"/>
                <w:szCs w:val="15"/>
                <w:color w:val="auto"/>
              </w:rPr>
              <w:t>periods, with early adoption</w:t>
            </w:r>
          </w:p>
        </w:tc>
        <w:tc>
          <w:tcPr>
            <w:tcW w:w="0" w:type="dxa"/>
            <w:vAlign w:val="bottom"/>
          </w:tcPr>
          <w:p>
            <w:pPr>
              <w:spacing w:after="0"/>
              <w:rPr>
                <w:sz w:val="1"/>
                <w:szCs w:val="1"/>
                <w:color w:val="auto"/>
              </w:rPr>
            </w:pPr>
          </w:p>
        </w:tc>
      </w:tr>
      <w:tr>
        <w:trPr>
          <w:trHeight w:val="193"/>
        </w:trPr>
        <w:tc>
          <w:tcPr>
            <w:tcW w:w="12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10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rPr>
              <w:t>Software</w:t>
            </w:r>
          </w:p>
        </w:tc>
        <w:tc>
          <w:tcPr>
            <w:tcW w:w="80" w:type="dxa"/>
            <w:vAlign w:val="bottom"/>
          </w:tcPr>
          <w:p>
            <w:pPr>
              <w:spacing w:after="0"/>
              <w:rPr>
                <w:sz w:val="16"/>
                <w:szCs w:val="16"/>
                <w:color w:val="auto"/>
              </w:rPr>
            </w:pPr>
          </w:p>
        </w:tc>
        <w:tc>
          <w:tcPr>
            <w:tcW w:w="528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software will be used to perform the function intended.</w:t>
            </w:r>
          </w:p>
        </w:tc>
        <w:tc>
          <w:tcPr>
            <w:tcW w:w="120" w:type="dxa"/>
            <w:vAlign w:val="bottom"/>
          </w:tcPr>
          <w:p>
            <w:pPr>
              <w:spacing w:after="0"/>
              <w:rPr>
                <w:sz w:val="16"/>
                <w:szCs w:val="16"/>
                <w:color w:val="auto"/>
              </w:rPr>
            </w:pPr>
          </w:p>
        </w:tc>
        <w:tc>
          <w:tcPr>
            <w:tcW w:w="232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permitted.</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42" w:name="page43"/>
    <w:bookmarkEnd w:id="42"/>
    <w:p>
      <w:pPr>
        <w:spacing w:after="0"/>
        <w:rPr>
          <w:sz w:val="20"/>
          <w:szCs w:val="20"/>
          <w:color w:val="auto"/>
        </w:rPr>
      </w:pPr>
      <w:r>
        <w:rPr>
          <w:rFonts w:ascii="Arial" w:cs="Arial" w:eastAsia="Arial" w:hAnsi="Arial"/>
          <w:sz w:val="17"/>
          <w:szCs w:val="17"/>
          <w:b w:val="1"/>
          <w:bCs w:val="1"/>
          <w:color w:val="0046AD"/>
        </w:rPr>
        <w:t>ITEM 7A. QUANTITATIVE AND QUALITATIVE DISCLOSURES ABOUT MARKET RISK.</w:t>
      </w:r>
    </w:p>
    <w:p>
      <w:pPr>
        <w:spacing w:after="0" w:line="168"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17"/>
          <w:szCs w:val="17"/>
          <w:color w:val="auto"/>
        </w:rPr>
        <w:t>We have market risk exposure related to interest rates and foreign currency exchange rates. Market risk is measured as the potential negative impact on earnings, cash flows, or fair values resulting from a hypothetical change in interest rates or foreign currency exchange rates.</w:t>
      </w:r>
    </w:p>
    <w:p>
      <w:pPr>
        <w:spacing w:after="0" w:line="93"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Interest Rate Risk</w:t>
      </w:r>
    </w:p>
    <w:p>
      <w:pPr>
        <w:spacing w:after="0" w:line="168" w:lineRule="exact"/>
        <w:rPr>
          <w:sz w:val="20"/>
          <w:szCs w:val="20"/>
          <w:color w:val="auto"/>
        </w:rPr>
      </w:pPr>
    </w:p>
    <w:p>
      <w:pPr>
        <w:jc w:val="both"/>
        <w:ind w:firstLine="619"/>
        <w:spacing w:after="0" w:line="256" w:lineRule="auto"/>
        <w:rPr>
          <w:sz w:val="20"/>
          <w:szCs w:val="20"/>
          <w:color w:val="auto"/>
        </w:rPr>
      </w:pPr>
      <w:r>
        <w:rPr>
          <w:rFonts w:ascii="Arial" w:cs="Arial" w:eastAsia="Arial" w:hAnsi="Arial"/>
          <w:sz w:val="17"/>
          <w:szCs w:val="17"/>
          <w:color w:val="auto"/>
        </w:rPr>
        <w:t xml:space="preserve">We are primarily exposed to interest rate risk through our variable rate borrowings under our Amended Credit Facility, as further described in </w:t>
      </w:r>
      <w:r>
        <w:rPr>
          <w:rFonts w:ascii="Arial" w:cs="Arial" w:eastAsia="Arial" w:hAnsi="Arial"/>
          <w:sz w:val="17"/>
          <w:szCs w:val="17"/>
          <w:u w:val="single" w:color="auto"/>
          <w:color w:val="0000FF"/>
        </w:rPr>
        <w:t>Note 12</w:t>
      </w:r>
      <w:r>
        <w:rPr>
          <w:rFonts w:ascii="Arial" w:cs="Arial" w:eastAsia="Arial" w:hAnsi="Arial"/>
          <w:sz w:val="17"/>
          <w:szCs w:val="17"/>
          <w:color w:val="auto"/>
        </w:rPr>
        <w:t>, “Credit Facility,” in the Financial Statements. Under the Amended Credit Facility, the term loan and U.S.-dollar-denominated borrowings under the revolving line of credit (“Revolver”) bear interest at a rate equal to one-month of Secured Overnight Financing Rate (“SOFR”) plus a spread. Euro and sterling-denominated borrowings under the revolver bear at rate equal to the Euro Interbank Offered Rate (“EURIBOR”) and Sterling Overnight Index Average (“SONIA”) reference rates, respectively, plus a spread. At October 31, 2025, we had total outstanding borrowings of $ 1,569.0 million. To limit exposure to upward movements in interest rates associated with our floating-rate, SOFR-based borrowings, we entered into interest rate swap agreements to fix the interest rates on a portion of our outstanding borrowings. At October 31, 2025, we had interest rate swaps with an underlying notional amount of $620.0 million and fixed interest rates ranging from 1.72% to 3.81%. Based on our average borrowings, interest rates, and interest rate swaps in effect at October 31, 2025 and 2024, a 100 basis point increase in SOFR, EURIBOR, and SONIA would decrease our future earnings and cash flows by $ 7.5 million and $5.6 million, respectively. As actual interest rate movements over time are uncertain, our interest rate swaps pose potential interest rate risks if interest rates decrease. As of October 31, 2025, the fair values of our interest rate swap agreements were an asset of $4.3 million and a liability of $0.1 million.</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Foreign Currency Exchange Rate Risk</w:t>
      </w:r>
    </w:p>
    <w:p>
      <w:pPr>
        <w:spacing w:after="0" w:line="168"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We are primarily exposed to the impact of foreign exchange rate risk through our UK and Ireland operations where the functional currency is the British pound sterling (“GBP”) and Euro (“EUR”), respectively. As we intend to remain permanently invested in these foreign operations, we do not utilize hedging instruments to mitigate foreign currency exchange risks. If we change our intent with respect to such international investment, we would expect to implement strategies designed to manage those risks in an effort to mitigate the effect of foreign currency fluctuations on our earnings and cash flows.</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10" w:right="339" w:bottom="1440" w:gutter="0" w:footer="0" w:header="0"/>
        </w:sectPr>
      </w:pPr>
    </w:p>
    <w:bookmarkStart w:id="43" w:name="page44"/>
    <w:bookmarkEnd w:id="43"/>
    <w:p>
      <w:pPr>
        <w:spacing w:after="0"/>
        <w:rPr>
          <w:sz w:val="20"/>
          <w:szCs w:val="20"/>
          <w:color w:val="auto"/>
        </w:rPr>
      </w:pPr>
      <w:r>
        <w:rPr>
          <w:rFonts w:ascii="Arial" w:cs="Arial" w:eastAsia="Arial" w:hAnsi="Arial"/>
          <w:sz w:val="17"/>
          <w:szCs w:val="17"/>
          <w:b w:val="1"/>
          <w:bCs w:val="1"/>
          <w:color w:val="0046AD"/>
        </w:rPr>
        <w:t>ITEM 8. FINANCIAL STATEMENTS AND SUPPLEMENTARY DATA.</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7"/>
          <w:szCs w:val="17"/>
          <w:color w:val="auto"/>
        </w:rPr>
        <w:t>To the Stockholders and Board of Directors</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ABM Industries Incorporated: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Opinion on the Consolidated Financial Statements</w:t>
      </w:r>
    </w:p>
    <w:p>
      <w:pPr>
        <w:spacing w:after="0" w:line="241" w:lineRule="exact"/>
        <w:rPr>
          <w:sz w:val="20"/>
          <w:szCs w:val="20"/>
          <w:color w:val="auto"/>
        </w:rPr>
      </w:pPr>
    </w:p>
    <w:p>
      <w:pPr>
        <w:ind w:right="40"/>
        <w:spacing w:after="0" w:line="260" w:lineRule="auto"/>
        <w:rPr>
          <w:sz w:val="20"/>
          <w:szCs w:val="20"/>
          <w:color w:val="auto"/>
        </w:rPr>
      </w:pPr>
      <w:r>
        <w:rPr>
          <w:rFonts w:ascii="Arial" w:cs="Arial" w:eastAsia="Arial" w:hAnsi="Arial"/>
          <w:sz w:val="17"/>
          <w:szCs w:val="17"/>
          <w:color w:val="auto"/>
        </w:rPr>
        <w:t>We have audited the accompanying consolidated balance sheets of ABM Industries Incorporated and subsidiaries (the Company) as of October 31, 2025 and 2024, the related consolidated statements of comprehensive income, stockholders’ equity, and cash flows for each of the years in the three-year period ended October 31, 2025, and the related notes and financial statement schedule II (collectively, the consolidated financial statements). In our opinion, the consolidated financial statements present fairly, in all material respects, the financial position of the Company as of October 31, 2025 and 2024, and the results of its operations and its cash flows for each of the years in the three-year period ended October 31, 2025, in conformity with U.S. generally accepted accounting principles.</w:t>
      </w:r>
    </w:p>
    <w:p>
      <w:pPr>
        <w:spacing w:after="0" w:line="199" w:lineRule="exact"/>
        <w:rPr>
          <w:sz w:val="20"/>
          <w:szCs w:val="20"/>
          <w:color w:val="auto"/>
        </w:rPr>
      </w:pPr>
    </w:p>
    <w:p>
      <w:pPr>
        <w:ind w:right="40"/>
        <w:spacing w:after="0" w:line="265" w:lineRule="auto"/>
        <w:rPr>
          <w:sz w:val="20"/>
          <w:szCs w:val="20"/>
          <w:color w:val="auto"/>
        </w:rPr>
      </w:pPr>
      <w:r>
        <w:rPr>
          <w:rFonts w:ascii="Arial" w:cs="Arial" w:eastAsia="Arial" w:hAnsi="Arial"/>
          <w:sz w:val="17"/>
          <w:szCs w:val="17"/>
          <w:color w:val="auto"/>
        </w:rPr>
        <w:t xml:space="preserve">We also have audited, in accordance with the standards of the Public Company Accounting Oversight Board (United States) (PCAOB), the Company’s internal control over financial reporting as of October 31, 2025, based on criteria established in </w:t>
      </w:r>
      <w:r>
        <w:rPr>
          <w:rFonts w:ascii="Arial" w:cs="Arial" w:eastAsia="Arial" w:hAnsi="Arial"/>
          <w:sz w:val="17"/>
          <w:szCs w:val="17"/>
          <w:i w:val="1"/>
          <w:iCs w:val="1"/>
          <w:color w:val="auto"/>
        </w:rPr>
        <w:t>Internal Control – Integrated Framework</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(2013) </w:t>
      </w:r>
      <w:r>
        <w:rPr>
          <w:rFonts w:ascii="Arial" w:cs="Arial" w:eastAsia="Arial" w:hAnsi="Arial"/>
          <w:sz w:val="17"/>
          <w:szCs w:val="17"/>
          <w:color w:val="auto"/>
        </w:rPr>
        <w:t>issued by the Committee of Sponsoring Organizations of the Treadway Commission, and our report dated December 19, 2025 expressed an</w:t>
      </w:r>
      <w:r>
        <w:rPr>
          <w:rFonts w:ascii="Arial" w:cs="Arial" w:eastAsia="Arial" w:hAnsi="Arial"/>
          <w:sz w:val="17"/>
          <w:szCs w:val="17"/>
          <w:i w:val="1"/>
          <w:iCs w:val="1"/>
          <w:color w:val="auto"/>
        </w:rPr>
        <w:t xml:space="preserve"> </w:t>
      </w:r>
      <w:r>
        <w:rPr>
          <w:rFonts w:ascii="Arial" w:cs="Arial" w:eastAsia="Arial" w:hAnsi="Arial"/>
          <w:sz w:val="17"/>
          <w:szCs w:val="17"/>
          <w:color w:val="auto"/>
        </w:rPr>
        <w:t>unqualified opinion on the effectiveness of the Company’s internal control over financial reporting.</w:t>
      </w:r>
    </w:p>
    <w:p>
      <w:pPr>
        <w:spacing w:after="0" w:line="29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Basis for Opinion</w:t>
      </w:r>
    </w:p>
    <w:p>
      <w:pPr>
        <w:spacing w:after="0" w:line="241" w:lineRule="exact"/>
        <w:rPr>
          <w:sz w:val="20"/>
          <w:szCs w:val="20"/>
          <w:color w:val="auto"/>
        </w:rPr>
      </w:pPr>
    </w:p>
    <w:p>
      <w:pPr>
        <w:ind w:right="140"/>
        <w:spacing w:after="0" w:line="265" w:lineRule="auto"/>
        <w:rPr>
          <w:sz w:val="20"/>
          <w:szCs w:val="20"/>
          <w:color w:val="auto"/>
        </w:rPr>
      </w:pPr>
      <w:r>
        <w:rPr>
          <w:rFonts w:ascii="Arial" w:cs="Arial" w:eastAsia="Arial" w:hAnsi="Arial"/>
          <w:sz w:val="17"/>
          <w:szCs w:val="17"/>
          <w:color w:val="auto"/>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94" w:lineRule="exact"/>
        <w:rPr>
          <w:sz w:val="20"/>
          <w:szCs w:val="20"/>
          <w:color w:val="auto"/>
        </w:rPr>
      </w:pPr>
    </w:p>
    <w:p>
      <w:pPr>
        <w:ind w:right="20"/>
        <w:spacing w:after="0" w:line="259"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30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Critical Audit Matter</w:t>
      </w:r>
    </w:p>
    <w:p>
      <w:pPr>
        <w:spacing w:after="0" w:line="241"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302"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Valuation of self-insurance liabilities</w:t>
      </w:r>
    </w:p>
    <w:p>
      <w:pPr>
        <w:spacing w:after="0" w:line="241" w:lineRule="exact"/>
        <w:rPr>
          <w:sz w:val="20"/>
          <w:szCs w:val="20"/>
          <w:color w:val="auto"/>
        </w:rPr>
      </w:pPr>
    </w:p>
    <w:p>
      <w:pPr>
        <w:ind w:left="620" w:right="260"/>
        <w:spacing w:after="0" w:line="290" w:lineRule="auto"/>
        <w:rPr>
          <w:sz w:val="20"/>
          <w:szCs w:val="20"/>
          <w:color w:val="auto"/>
        </w:rPr>
      </w:pPr>
      <w:r>
        <w:rPr>
          <w:rFonts w:ascii="Arial" w:cs="Arial" w:eastAsia="Arial" w:hAnsi="Arial"/>
          <w:sz w:val="17"/>
          <w:szCs w:val="17"/>
          <w:color w:val="auto"/>
        </w:rPr>
        <w:t>As discussed in Notes 2 and 11 to the consolidated financial statements, the Company uses a combination of insured and self-insurance programs to cover insurable risks. The balance of casualty program insurance reserves as of October 31,</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44" w:name="page45"/>
    <w:bookmarkEnd w:id="44"/>
    <w:p>
      <w:pPr>
        <w:ind w:left="620" w:right="280"/>
        <w:spacing w:after="0" w:line="290" w:lineRule="auto"/>
        <w:rPr>
          <w:sz w:val="20"/>
          <w:szCs w:val="20"/>
          <w:color w:val="auto"/>
        </w:rPr>
      </w:pPr>
      <w:r>
        <w:rPr>
          <w:rFonts w:ascii="Arial" w:cs="Arial" w:eastAsia="Arial" w:hAnsi="Arial"/>
          <w:sz w:val="17"/>
          <w:szCs w:val="17"/>
          <w:color w:val="auto"/>
        </w:rPr>
        <w:t>2025, amounted to $649.5 million, a portion of which related to workers’ compensation and general liability self-insurance liabilities. The Company engages actuaries to estimate its self-insurance liabilities at least annually.</w:t>
      </w:r>
    </w:p>
    <w:p>
      <w:pPr>
        <w:spacing w:after="0" w:line="172" w:lineRule="exact"/>
        <w:rPr>
          <w:sz w:val="20"/>
          <w:szCs w:val="20"/>
          <w:color w:val="auto"/>
        </w:rPr>
      </w:pPr>
    </w:p>
    <w:p>
      <w:pPr>
        <w:ind w:left="620"/>
        <w:spacing w:after="0" w:line="271" w:lineRule="auto"/>
        <w:rPr>
          <w:sz w:val="20"/>
          <w:szCs w:val="20"/>
          <w:color w:val="auto"/>
        </w:rPr>
      </w:pPr>
      <w:r>
        <w:rPr>
          <w:rFonts w:ascii="Arial" w:cs="Arial" w:eastAsia="Arial" w:hAnsi="Arial"/>
          <w:sz w:val="17"/>
          <w:szCs w:val="17"/>
          <w:color w:val="auto"/>
        </w:rPr>
        <w:t>We identified the evaluation of certain workers’ compensation and general liability self-insurance liabilities as a critical audit matter because it involves a high degree of judgment and actuarial expertise to assess: (1) the application of actuarial models used and (2) estimated incurred but not reported claims based on application of loss development factors to historical claims experience.</w:t>
      </w:r>
    </w:p>
    <w:p>
      <w:pPr>
        <w:spacing w:after="0" w:line="189" w:lineRule="exact"/>
        <w:rPr>
          <w:sz w:val="20"/>
          <w:szCs w:val="20"/>
          <w:color w:val="auto"/>
        </w:rPr>
      </w:pPr>
    </w:p>
    <w:p>
      <w:pPr>
        <w:ind w:left="620" w:right="140"/>
        <w:spacing w:after="0" w:line="258" w:lineRule="auto"/>
        <w:rPr>
          <w:sz w:val="20"/>
          <w:szCs w:val="20"/>
          <w:color w:val="auto"/>
        </w:rPr>
      </w:pPr>
      <w:r>
        <w:rPr>
          <w:rFonts w:ascii="Arial" w:cs="Arial" w:eastAsia="Arial" w:hAnsi="Arial"/>
          <w:sz w:val="17"/>
          <w:szCs w:val="17"/>
          <w:color w:val="auto"/>
        </w:rPr>
        <w:t>The following are the primary procedures we performed to address this critical audit matter. We evaluated the design and tested the operating effectiveness of certain internal controls over the Company’s self-insurance liability process, including controls related to (1) evaluation of claims information sent to the actuary, (2) estimation of incurred but not reported claims based on the application of loss development factors to historical claims experience, and (3) evaluation of the actuarial report and the external actuarial specialist’s qualifications and competency. We evaluated the Company’s historical ability to estimate self-insurance liabilities by comparing the prior year recorded amounts to the subsequent claim development. We tested a sample of the claims data utilized by the Company’s actuaries by comparing it to underlying claims details; and involved an actuarial professional with specialized skills and knowledge who assisted in the:</w:t>
      </w:r>
    </w:p>
    <w:p>
      <w:pPr>
        <w:spacing w:after="0" w:line="201" w:lineRule="exact"/>
        <w:rPr>
          <w:sz w:val="20"/>
          <w:szCs w:val="20"/>
          <w:color w:val="auto"/>
        </w:rPr>
      </w:pPr>
    </w:p>
    <w:p>
      <w:pPr>
        <w:ind w:left="1240" w:right="440" w:hanging="309"/>
        <w:spacing w:after="0" w:line="263" w:lineRule="auto"/>
        <w:tabs>
          <w:tab w:leader="none" w:pos="1236" w:val="left"/>
        </w:tabs>
        <w:numPr>
          <w:ilvl w:val="0"/>
          <w:numId w:val="21"/>
        </w:numPr>
        <w:rPr>
          <w:rFonts w:ascii="Arial" w:cs="Arial" w:eastAsia="Arial" w:hAnsi="Arial"/>
          <w:sz w:val="17"/>
          <w:szCs w:val="17"/>
          <w:color w:val="auto"/>
        </w:rPr>
      </w:pPr>
      <w:r>
        <w:rPr>
          <w:rFonts w:ascii="Arial" w:cs="Arial" w:eastAsia="Arial" w:hAnsi="Arial"/>
          <w:sz w:val="17"/>
          <w:szCs w:val="17"/>
          <w:color w:val="auto"/>
        </w:rPr>
        <w:t>assessment of the application of the actuarial models used by the Company for consistency with generally accepted actuarial standards and</w:t>
      </w:r>
    </w:p>
    <w:p>
      <w:pPr>
        <w:ind w:left="1240" w:right="240" w:hanging="309"/>
        <w:spacing w:after="0" w:line="270" w:lineRule="auto"/>
        <w:tabs>
          <w:tab w:leader="none" w:pos="1236" w:val="left"/>
        </w:tabs>
        <w:numPr>
          <w:ilvl w:val="0"/>
          <w:numId w:val="21"/>
        </w:numPr>
        <w:rPr>
          <w:rFonts w:ascii="Arial" w:cs="Arial" w:eastAsia="Arial" w:hAnsi="Arial"/>
          <w:sz w:val="17"/>
          <w:szCs w:val="17"/>
          <w:color w:val="auto"/>
        </w:rPr>
      </w:pPr>
      <w:r>
        <w:rPr>
          <w:rFonts w:ascii="Arial" w:cs="Arial" w:eastAsia="Arial" w:hAnsi="Arial"/>
          <w:sz w:val="17"/>
          <w:szCs w:val="17"/>
          <w:color w:val="auto"/>
        </w:rPr>
        <w:t>development of an actuarial estimate of self-insurance liabilities based on the Company’s underlying historical paid and incurred loss data for comparison with the liabilities recorded by the Company.</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color w:val="auto"/>
        </w:rPr>
        <w:t>/s/ KPMG LLP</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color w:val="auto"/>
        </w:rPr>
        <w:t>We have served as the Company’s auditor since 1980.</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color w:val="auto"/>
        </w:rPr>
        <w:t>New York, New York</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December 19,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80"/>
          </w:cols>
          <w:pgMar w:left="320" w:top="858" w:right="399" w:bottom="1440" w:gutter="0" w:footer="0" w:header="0"/>
        </w:sectPr>
      </w:pPr>
    </w:p>
    <w:bookmarkStart w:id="45" w:name="page46"/>
    <w:bookmarkEnd w:id="45"/>
    <w:p>
      <w:pPr>
        <w:jc w:val="center"/>
        <w:ind w:right="-19"/>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7"/>
          <w:szCs w:val="17"/>
          <w:color w:val="auto"/>
        </w:rPr>
        <w:t>To the Stockholders and Board of Directors</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ABM Industries Incorporated: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Opinion on Internal Control Over Financial Reporting</w:t>
      </w:r>
    </w:p>
    <w:p>
      <w:pPr>
        <w:spacing w:after="0" w:line="241" w:lineRule="exact"/>
        <w:rPr>
          <w:sz w:val="20"/>
          <w:szCs w:val="20"/>
          <w:color w:val="auto"/>
        </w:rPr>
      </w:pPr>
    </w:p>
    <w:p>
      <w:pPr>
        <w:ind w:right="380"/>
        <w:spacing w:after="0" w:line="262" w:lineRule="auto"/>
        <w:rPr>
          <w:sz w:val="20"/>
          <w:szCs w:val="20"/>
          <w:color w:val="auto"/>
        </w:rPr>
      </w:pPr>
      <w:r>
        <w:rPr>
          <w:rFonts w:ascii="Arial" w:cs="Arial" w:eastAsia="Arial" w:hAnsi="Arial"/>
          <w:sz w:val="17"/>
          <w:szCs w:val="17"/>
          <w:color w:val="auto"/>
        </w:rPr>
        <w:t xml:space="preserve">We have audited ABM Industries Incorporated and subsidiaries’ (the Company) internal control over financial reporting as of October 31, 2025,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the Committee of Sponsoring Organizations of the Treadway Commission. In our opinion, the Company maintained, in all material respects, effective internal control over financial reporting as of October 31, 2025,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the Committee of Sponsoring Organizations of the Treadway Commission.</w:t>
      </w:r>
    </w:p>
    <w:p>
      <w:pPr>
        <w:spacing w:after="0" w:line="196" w:lineRule="exact"/>
        <w:rPr>
          <w:sz w:val="20"/>
          <w:szCs w:val="20"/>
          <w:color w:val="auto"/>
        </w:rPr>
      </w:pPr>
    </w:p>
    <w:p>
      <w:pPr>
        <w:ind w:right="360"/>
        <w:spacing w:after="0" w:line="262" w:lineRule="auto"/>
        <w:rPr>
          <w:sz w:val="20"/>
          <w:szCs w:val="20"/>
          <w:color w:val="auto"/>
        </w:rPr>
      </w:pPr>
      <w:r>
        <w:rPr>
          <w:rFonts w:ascii="Arial" w:cs="Arial" w:eastAsia="Arial" w:hAnsi="Arial"/>
          <w:sz w:val="17"/>
          <w:szCs w:val="17"/>
          <w:color w:val="auto"/>
        </w:rPr>
        <w:t>We also have audited, in accordance with the standards of the Public Company Accounting Oversight Board (United States) (PCAOB), the consolidated balance sheets of the Company as of October 31, 2025 and 2024, the related consolidated statements of comprehensive income, stockholders’ equity, and cash flows for each of the years in the three-year period ended October 31, 2025, and the related notes and financial statement schedule II (collectively, the consolidated financial statements), and our report dated December 19, 2025 expressed an unqualified opinion on those consolidated financial statements.</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Basis for Opinion</w:t>
      </w:r>
    </w:p>
    <w:p>
      <w:pPr>
        <w:spacing w:after="0" w:line="241" w:lineRule="exact"/>
        <w:rPr>
          <w:sz w:val="20"/>
          <w:szCs w:val="20"/>
          <w:color w:val="auto"/>
        </w:rPr>
      </w:pPr>
    </w:p>
    <w:p>
      <w:pPr>
        <w:ind w:right="40"/>
        <w:spacing w:after="0" w:line="262"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96" w:lineRule="exact"/>
        <w:rPr>
          <w:sz w:val="20"/>
          <w:szCs w:val="20"/>
          <w:color w:val="auto"/>
        </w:rPr>
      </w:pPr>
    </w:p>
    <w:p>
      <w:pPr>
        <w:ind w:right="140"/>
        <w:spacing w:after="0" w:line="260" w:lineRule="auto"/>
        <w:rPr>
          <w:sz w:val="20"/>
          <w:szCs w:val="20"/>
          <w:color w:val="auto"/>
        </w:rPr>
      </w:pPr>
      <w:r>
        <w:rPr>
          <w:rFonts w:ascii="Arial" w:cs="Arial" w:eastAsia="Arial" w:hAnsi="Arial"/>
          <w:sz w:val="17"/>
          <w:szCs w:val="17"/>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Definition and Limitations of Internal Control Over Financial Reporting</w:t>
      </w:r>
    </w:p>
    <w:p>
      <w:pPr>
        <w:spacing w:after="0" w:line="241" w:lineRule="exact"/>
        <w:rPr>
          <w:sz w:val="20"/>
          <w:szCs w:val="20"/>
          <w:color w:val="auto"/>
        </w:rPr>
      </w:pPr>
    </w:p>
    <w:p>
      <w:pPr>
        <w:spacing w:after="0" w:line="258" w:lineRule="auto"/>
        <w:rPr>
          <w:sz w:val="20"/>
          <w:szCs w:val="20"/>
          <w:color w:val="auto"/>
        </w:rPr>
      </w:pPr>
      <w:r>
        <w:rPr>
          <w:rFonts w:ascii="Arial" w:cs="Arial" w:eastAsia="Arial" w:hAnsi="Arial"/>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856" w:right="359" w:bottom="1440" w:gutter="0" w:footer="0" w:header="0"/>
        </w:sectPr>
      </w:pPr>
    </w:p>
    <w:bookmarkStart w:id="46" w:name="page47"/>
    <w:bookmarkEnd w:id="46"/>
    <w:p>
      <w:pPr>
        <w:spacing w:after="0" w:line="271"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7"/>
          <w:szCs w:val="17"/>
          <w:color w:val="auto"/>
        </w:rPr>
        <w:t>/s/ KPMG LLP</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New York, New York</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December 19,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080"/>
          </w:cols>
          <w:pgMar w:left="320" w:top="858" w:right="499" w:bottom="1440" w:gutter="0" w:footer="0" w:header="0"/>
        </w:sectPr>
      </w:pPr>
    </w:p>
    <w:bookmarkStart w:id="47" w:name="page48"/>
    <w:bookmarkEnd w:id="47"/>
    <w:p>
      <w:pPr>
        <w:spacing w:after="0"/>
        <w:rPr>
          <w:sz w:val="20"/>
          <w:szCs w:val="20"/>
          <w:color w:val="auto"/>
        </w:rPr>
      </w:pPr>
      <w:r>
        <w:rPr>
          <w:rFonts w:ascii="Arial" w:cs="Arial" w:eastAsia="Arial" w:hAnsi="Arial"/>
          <w:sz w:val="17"/>
          <w:szCs w:val="17"/>
          <w:b w:val="1"/>
          <w:bCs w:val="1"/>
          <w:color w:val="0046AD"/>
        </w:rPr>
        <w:t>ABM INDUSTRIES INCORPORATED AND SUBSIDIARIES</w:t>
      </w:r>
    </w:p>
    <w:p>
      <w:pPr>
        <w:spacing w:after="0" w:line="127" w:lineRule="exact"/>
        <w:rPr>
          <w:sz w:val="20"/>
          <w:szCs w:val="20"/>
          <w:color w:val="auto"/>
        </w:rPr>
      </w:pPr>
    </w:p>
    <w:p>
      <w:pPr>
        <w:ind w:left="4140"/>
        <w:spacing w:after="0"/>
        <w:rPr>
          <w:sz w:val="20"/>
          <w:szCs w:val="20"/>
          <w:color w:val="auto"/>
        </w:rPr>
      </w:pPr>
      <w:r>
        <w:rPr>
          <w:rFonts w:ascii="Arial" w:cs="Arial" w:eastAsia="Arial" w:hAnsi="Arial"/>
          <w:sz w:val="17"/>
          <w:szCs w:val="17"/>
          <w:b w:val="1"/>
          <w:bCs w:val="1"/>
          <w:color w:val="0046AD"/>
        </w:rPr>
        <w:t>CONSOLIDATED BALANCE SHEETS</w:t>
      </w:r>
    </w:p>
    <w:p>
      <w:pPr>
        <w:spacing w:after="0" w:line="42" w:lineRule="exact"/>
        <w:rPr>
          <w:sz w:val="20"/>
          <w:szCs w:val="20"/>
          <w:color w:val="auto"/>
        </w:rPr>
      </w:pPr>
    </w:p>
    <w:tbl>
      <w:tblPr>
        <w:tblLayout w:type="fixed"/>
        <w:tblInd w:w="100" w:type="dxa"/>
        <w:tblCellMar>
          <w:top w:w="0" w:type="dxa"/>
          <w:left w:w="0" w:type="dxa"/>
          <w:bottom w:w="0" w:type="dxa"/>
          <w:right w:w="0" w:type="dxa"/>
        </w:tblCellMar>
      </w:tblPr>
      <w:tr>
        <w:trPr>
          <w:trHeight w:val="220"/>
        </w:trPr>
        <w:tc>
          <w:tcPr>
            <w:tcW w:w="2720" w:type="dxa"/>
            <w:vAlign w:val="bottom"/>
          </w:tcPr>
          <w:p>
            <w:pPr>
              <w:spacing w:after="0"/>
              <w:rPr>
                <w:sz w:val="19"/>
                <w:szCs w:val="19"/>
                <w:color w:val="auto"/>
              </w:rPr>
            </w:pPr>
          </w:p>
        </w:tc>
        <w:tc>
          <w:tcPr>
            <w:tcW w:w="50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rPr>
              <w:t>October 31,</w:t>
            </w:r>
          </w:p>
        </w:tc>
        <w:tc>
          <w:tcPr>
            <w:tcW w:w="1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0"/>
        </w:trPr>
        <w:tc>
          <w:tcPr>
            <w:tcW w:w="7740" w:type="dxa"/>
            <w:vAlign w:val="bottom"/>
            <w:gridSpan w:val="2"/>
          </w:tcPr>
          <w:p>
            <w:pPr>
              <w:spacing w:after="0" w:line="148" w:lineRule="exact"/>
              <w:rPr>
                <w:sz w:val="20"/>
                <w:szCs w:val="20"/>
                <w:color w:val="auto"/>
              </w:rPr>
            </w:pPr>
            <w:r>
              <w:rPr>
                <w:rFonts w:ascii="Times New Roman" w:cs="Times New Roman" w:eastAsia="Times New Roman" w:hAnsi="Times New Roman"/>
                <w:sz w:val="14"/>
                <w:szCs w:val="14"/>
                <w:i w:val="1"/>
                <w:iCs w:val="1"/>
                <w:color w:val="auto"/>
              </w:rPr>
              <w:t>(in millions, except share and per share amounts)</w:t>
            </w:r>
          </w:p>
        </w:tc>
        <w:tc>
          <w:tcPr>
            <w:tcW w:w="360" w:type="dxa"/>
            <w:vAlign w:val="bottom"/>
          </w:tcPr>
          <w:p>
            <w:pPr>
              <w:spacing w:after="0"/>
              <w:rPr>
                <w:sz w:val="13"/>
                <w:szCs w:val="13"/>
                <w:color w:val="auto"/>
              </w:rPr>
            </w:pPr>
          </w:p>
        </w:tc>
        <w:tc>
          <w:tcPr>
            <w:tcW w:w="1260" w:type="dxa"/>
            <w:vAlign w:val="bottom"/>
          </w:tcPr>
          <w:p>
            <w:pPr>
              <w:jc w:val="right"/>
              <w:ind w:right="534"/>
              <w:spacing w:after="0" w:line="148" w:lineRule="exact"/>
              <w:rPr>
                <w:sz w:val="20"/>
                <w:szCs w:val="20"/>
                <w:color w:val="auto"/>
              </w:rPr>
            </w:pPr>
            <w:r>
              <w:rPr>
                <w:rFonts w:ascii="Arial" w:cs="Arial" w:eastAsia="Arial" w:hAnsi="Arial"/>
                <w:sz w:val="17"/>
                <w:szCs w:val="17"/>
                <w:b w:val="1"/>
                <w:bCs w:val="1"/>
                <w:color w:val="auto"/>
              </w:rPr>
              <w:t>2025</w:t>
            </w: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100" w:type="dxa"/>
            <w:vAlign w:val="bottom"/>
          </w:tcPr>
          <w:p>
            <w:pPr>
              <w:jc w:val="right"/>
              <w:ind w:right="534"/>
              <w:spacing w:after="0" w:line="148" w:lineRule="exact"/>
              <w:rPr>
                <w:sz w:val="20"/>
                <w:szCs w:val="20"/>
                <w:color w:val="auto"/>
              </w:rPr>
            </w:pPr>
            <w:r>
              <w:rPr>
                <w:rFonts w:ascii="Arial" w:cs="Arial" w:eastAsia="Arial" w:hAnsi="Arial"/>
                <w:sz w:val="17"/>
                <w:szCs w:val="17"/>
                <w:b w:val="1"/>
                <w:bCs w:val="1"/>
                <w:color w:val="auto"/>
              </w:rPr>
              <w:t>2024</w:t>
            </w:r>
          </w:p>
        </w:tc>
        <w:tc>
          <w:tcPr>
            <w:tcW w:w="0" w:type="dxa"/>
            <w:vAlign w:val="bottom"/>
          </w:tcPr>
          <w:p>
            <w:pPr>
              <w:spacing w:after="0"/>
              <w:rPr>
                <w:sz w:val="1"/>
                <w:szCs w:val="1"/>
                <w:color w:val="auto"/>
              </w:rPr>
            </w:pPr>
          </w:p>
        </w:tc>
      </w:tr>
      <w:tr>
        <w:trPr>
          <w:trHeight w:val="32"/>
        </w:trPr>
        <w:tc>
          <w:tcPr>
            <w:tcW w:w="2720" w:type="dxa"/>
            <w:vAlign w:val="bottom"/>
            <w:tcBorders>
              <w:top w:val="single" w:sz="8" w:color="auto"/>
              <w:bottom w:val="single" w:sz="8" w:color="DCE2EF"/>
            </w:tcBorders>
          </w:tcPr>
          <w:p>
            <w:pPr>
              <w:spacing w:after="0"/>
              <w:rPr>
                <w:sz w:val="2"/>
                <w:szCs w:val="2"/>
                <w:color w:val="auto"/>
              </w:rPr>
            </w:pPr>
          </w:p>
        </w:tc>
        <w:tc>
          <w:tcPr>
            <w:tcW w:w="5020" w:type="dxa"/>
            <w:vAlign w:val="bottom"/>
            <w:tcBorders>
              <w:bottom w:val="single" w:sz="8" w:color="DCE2E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9"/>
        </w:trPr>
        <w:tc>
          <w:tcPr>
            <w:tcW w:w="7740" w:type="dxa"/>
            <w:vAlign w:val="bottom"/>
            <w:gridSpan w:val="2"/>
            <w:shd w:val="clear" w:color="auto" w:fill="DCE2EF"/>
          </w:tcPr>
          <w:p>
            <w:pPr>
              <w:spacing w:after="0"/>
              <w:rPr>
                <w:sz w:val="20"/>
                <w:szCs w:val="20"/>
                <w:color w:val="auto"/>
              </w:rPr>
            </w:pPr>
            <w:r>
              <w:rPr>
                <w:rFonts w:ascii="Arial" w:cs="Arial" w:eastAsia="Arial" w:hAnsi="Arial"/>
                <w:sz w:val="17"/>
                <w:szCs w:val="17"/>
                <w:b w:val="1"/>
                <w:bCs w:val="1"/>
                <w:color w:val="auto"/>
              </w:rPr>
              <w:t>ASSETS</w:t>
            </w:r>
          </w:p>
        </w:tc>
        <w:tc>
          <w:tcPr>
            <w:tcW w:w="360" w:type="dxa"/>
            <w:vAlign w:val="bottom"/>
            <w:shd w:val="clear" w:color="auto" w:fill="DCE2EF"/>
          </w:tcPr>
          <w:p>
            <w:pPr>
              <w:spacing w:after="0"/>
              <w:rPr>
                <w:sz w:val="17"/>
                <w:szCs w:val="17"/>
                <w:color w:val="auto"/>
              </w:rPr>
            </w:pPr>
          </w:p>
        </w:tc>
        <w:tc>
          <w:tcPr>
            <w:tcW w:w="1260" w:type="dxa"/>
            <w:vAlign w:val="bottom"/>
            <w:shd w:val="clear" w:color="auto" w:fill="DCE2EF"/>
          </w:tcPr>
          <w:p>
            <w:pPr>
              <w:spacing w:after="0"/>
              <w:rPr>
                <w:sz w:val="17"/>
                <w:szCs w:val="17"/>
                <w:color w:val="auto"/>
              </w:rPr>
            </w:pPr>
          </w:p>
        </w:tc>
        <w:tc>
          <w:tcPr>
            <w:tcW w:w="100" w:type="dxa"/>
            <w:vAlign w:val="bottom"/>
            <w:shd w:val="clear" w:color="auto" w:fill="DCE2EF"/>
          </w:tcPr>
          <w:p>
            <w:pPr>
              <w:spacing w:after="0"/>
              <w:rPr>
                <w:sz w:val="17"/>
                <w:szCs w:val="17"/>
                <w:color w:val="auto"/>
              </w:rPr>
            </w:pPr>
          </w:p>
        </w:tc>
        <w:tc>
          <w:tcPr>
            <w:tcW w:w="500" w:type="dxa"/>
            <w:vAlign w:val="bottom"/>
            <w:shd w:val="clear" w:color="auto" w:fill="DCE2EF"/>
          </w:tcPr>
          <w:p>
            <w:pPr>
              <w:spacing w:after="0"/>
              <w:rPr>
                <w:sz w:val="17"/>
                <w:szCs w:val="17"/>
                <w:color w:val="auto"/>
              </w:rPr>
            </w:pPr>
          </w:p>
        </w:tc>
        <w:tc>
          <w:tcPr>
            <w:tcW w:w="1100" w:type="dxa"/>
            <w:vAlign w:val="bottom"/>
            <w:shd w:val="clear" w:color="auto" w:fill="DCE2E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740" w:type="dxa"/>
            <w:vAlign w:val="bottom"/>
            <w:gridSpan w:val="2"/>
          </w:tcPr>
          <w:p>
            <w:pPr>
              <w:spacing w:after="0"/>
              <w:rPr>
                <w:sz w:val="20"/>
                <w:szCs w:val="20"/>
                <w:color w:val="auto"/>
              </w:rPr>
            </w:pPr>
            <w:r>
              <w:rPr>
                <w:rFonts w:ascii="Arial" w:cs="Arial" w:eastAsia="Arial" w:hAnsi="Arial"/>
                <w:sz w:val="17"/>
                <w:szCs w:val="17"/>
                <w:color w:val="auto"/>
              </w:rPr>
              <w:t>Current assets</w:t>
            </w: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740" w:type="dxa"/>
            <w:vAlign w:val="bottom"/>
            <w:gridSpan w:val="2"/>
            <w:shd w:val="clear" w:color="auto" w:fill="DCE2EF"/>
          </w:tcPr>
          <w:p>
            <w:pPr>
              <w:ind w:left="320"/>
              <w:spacing w:after="0"/>
              <w:rPr>
                <w:sz w:val="20"/>
                <w:szCs w:val="20"/>
                <w:color w:val="auto"/>
              </w:rPr>
            </w:pPr>
            <w:r>
              <w:rPr>
                <w:rFonts w:ascii="Arial" w:cs="Arial" w:eastAsia="Arial" w:hAnsi="Arial"/>
                <w:sz w:val="17"/>
                <w:szCs w:val="17"/>
                <w:color w:val="auto"/>
              </w:rPr>
              <w:t>Cash and cash equivalents</w:t>
            </w:r>
          </w:p>
        </w:tc>
        <w:tc>
          <w:tcPr>
            <w:tcW w:w="360" w:type="dxa"/>
            <w:vAlign w:val="bottom"/>
            <w:shd w:val="clear" w:color="auto" w:fill="DCE2EF"/>
          </w:tcPr>
          <w:p>
            <w:pPr>
              <w:jc w:val="right"/>
              <w:ind w:right="174"/>
              <w:spacing w:after="0"/>
              <w:rPr>
                <w:sz w:val="20"/>
                <w:szCs w:val="20"/>
                <w:color w:val="auto"/>
              </w:rPr>
            </w:pPr>
            <w:r>
              <w:rPr>
                <w:rFonts w:ascii="Arial" w:cs="Arial" w:eastAsia="Arial" w:hAnsi="Arial"/>
                <w:sz w:val="17"/>
                <w:szCs w:val="17"/>
                <w:color w:val="auto"/>
                <w:w w:val="84"/>
              </w:rPr>
              <w:t>$</w:t>
            </w:r>
          </w:p>
        </w:tc>
        <w:tc>
          <w:tcPr>
            <w:tcW w:w="1260" w:type="dxa"/>
            <w:vAlign w:val="bottom"/>
            <w:shd w:val="clear" w:color="auto" w:fill="DCE2EF"/>
          </w:tcPr>
          <w:p>
            <w:pPr>
              <w:jc w:val="right"/>
              <w:spacing w:after="0"/>
              <w:rPr>
                <w:sz w:val="20"/>
                <w:szCs w:val="20"/>
                <w:color w:val="auto"/>
              </w:rPr>
            </w:pPr>
            <w:r>
              <w:rPr>
                <w:rFonts w:ascii="Arial" w:cs="Arial" w:eastAsia="Arial" w:hAnsi="Arial"/>
                <w:sz w:val="17"/>
                <w:szCs w:val="17"/>
                <w:color w:val="auto"/>
              </w:rPr>
              <w:t>104.1</w:t>
            </w:r>
          </w:p>
        </w:tc>
        <w:tc>
          <w:tcPr>
            <w:tcW w:w="100" w:type="dxa"/>
            <w:vAlign w:val="bottom"/>
            <w:shd w:val="clear" w:color="auto" w:fill="DCE2EF"/>
          </w:tcPr>
          <w:p>
            <w:pPr>
              <w:spacing w:after="0"/>
              <w:rPr>
                <w:sz w:val="19"/>
                <w:szCs w:val="19"/>
                <w:color w:val="auto"/>
              </w:rPr>
            </w:pPr>
          </w:p>
        </w:tc>
        <w:tc>
          <w:tcPr>
            <w:tcW w:w="500" w:type="dxa"/>
            <w:vAlign w:val="bottom"/>
            <w:shd w:val="clear" w:color="auto" w:fill="DCE2EF"/>
          </w:tcPr>
          <w:p>
            <w:pPr>
              <w:jc w:val="right"/>
              <w:ind w:right="314"/>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DCE2EF"/>
          </w:tcPr>
          <w:p>
            <w:pPr>
              <w:jc w:val="right"/>
              <w:spacing w:after="0"/>
              <w:rPr>
                <w:sz w:val="20"/>
                <w:szCs w:val="20"/>
                <w:color w:val="auto"/>
              </w:rPr>
            </w:pPr>
            <w:r>
              <w:rPr>
                <w:rFonts w:ascii="Arial" w:cs="Arial" w:eastAsia="Arial" w:hAnsi="Arial"/>
                <w:sz w:val="17"/>
                <w:szCs w:val="17"/>
                <w:color w:val="auto"/>
              </w:rPr>
              <w:t>64.6</w:t>
            </w:r>
          </w:p>
        </w:tc>
        <w:tc>
          <w:tcPr>
            <w:tcW w:w="0" w:type="dxa"/>
            <w:vAlign w:val="bottom"/>
          </w:tcPr>
          <w:p>
            <w:pPr>
              <w:spacing w:after="0"/>
              <w:rPr>
                <w:sz w:val="1"/>
                <w:szCs w:val="1"/>
                <w:color w:val="auto"/>
              </w:rPr>
            </w:pPr>
          </w:p>
        </w:tc>
      </w:tr>
      <w:tr>
        <w:trPr>
          <w:trHeight w:val="168"/>
        </w:trPr>
        <w:tc>
          <w:tcPr>
            <w:tcW w:w="7740" w:type="dxa"/>
            <w:vAlign w:val="bottom"/>
            <w:gridSpan w:val="2"/>
          </w:tcPr>
          <w:p>
            <w:pPr>
              <w:ind w:left="320"/>
              <w:spacing w:after="0" w:line="167" w:lineRule="exact"/>
              <w:rPr>
                <w:sz w:val="20"/>
                <w:szCs w:val="20"/>
                <w:color w:val="auto"/>
              </w:rPr>
            </w:pPr>
            <w:r>
              <w:rPr>
                <w:rFonts w:ascii="Arial" w:cs="Arial" w:eastAsia="Arial" w:hAnsi="Arial"/>
                <w:sz w:val="17"/>
                <w:szCs w:val="17"/>
                <w:color w:val="auto"/>
              </w:rPr>
              <w:t>Trade accounts receivable, net of allowances of $25.5 and $22.8 at</w:t>
            </w:r>
          </w:p>
        </w:tc>
        <w:tc>
          <w:tcPr>
            <w:tcW w:w="3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7740" w:type="dxa"/>
            <w:vAlign w:val="bottom"/>
            <w:gridSpan w:val="2"/>
          </w:tcPr>
          <w:p>
            <w:pPr>
              <w:ind w:left="460"/>
              <w:spacing w:after="0"/>
              <w:rPr>
                <w:sz w:val="20"/>
                <w:szCs w:val="20"/>
                <w:color w:val="auto"/>
              </w:rPr>
            </w:pPr>
            <w:r>
              <w:rPr>
                <w:rFonts w:ascii="Arial" w:cs="Arial" w:eastAsia="Arial" w:hAnsi="Arial"/>
                <w:sz w:val="17"/>
                <w:szCs w:val="17"/>
                <w:color w:val="auto"/>
              </w:rPr>
              <w:t>October 31, 2025 and 2024, respectively</w:t>
            </w:r>
          </w:p>
        </w:tc>
        <w:tc>
          <w:tcPr>
            <w:tcW w:w="3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1,471.1</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1,384.1</w:t>
            </w:r>
          </w:p>
        </w:tc>
        <w:tc>
          <w:tcPr>
            <w:tcW w:w="0" w:type="dxa"/>
            <w:vAlign w:val="bottom"/>
          </w:tcPr>
          <w:p>
            <w:pPr>
              <w:spacing w:after="0"/>
              <w:rPr>
                <w:sz w:val="1"/>
                <w:szCs w:val="1"/>
                <w:color w:val="auto"/>
              </w:rPr>
            </w:pPr>
          </w:p>
        </w:tc>
      </w:tr>
      <w:tr>
        <w:trPr>
          <w:trHeight w:val="219"/>
        </w:trPr>
        <w:tc>
          <w:tcPr>
            <w:tcW w:w="7740" w:type="dxa"/>
            <w:vAlign w:val="bottom"/>
            <w:gridSpan w:val="2"/>
            <w:shd w:val="clear" w:color="auto" w:fill="DCE2EF"/>
          </w:tcPr>
          <w:p>
            <w:pPr>
              <w:ind w:left="320"/>
              <w:spacing w:after="0"/>
              <w:rPr>
                <w:sz w:val="20"/>
                <w:szCs w:val="20"/>
                <w:color w:val="auto"/>
              </w:rPr>
            </w:pPr>
            <w:r>
              <w:rPr>
                <w:rFonts w:ascii="Arial" w:cs="Arial" w:eastAsia="Arial" w:hAnsi="Arial"/>
                <w:sz w:val="17"/>
                <w:szCs w:val="17"/>
                <w:color w:val="auto"/>
              </w:rPr>
              <w:t>Costs incurred in excess of amounts billed</w:t>
            </w:r>
          </w:p>
        </w:tc>
        <w:tc>
          <w:tcPr>
            <w:tcW w:w="360" w:type="dxa"/>
            <w:vAlign w:val="bottom"/>
            <w:shd w:val="clear" w:color="auto" w:fill="DCE2EF"/>
          </w:tcPr>
          <w:p>
            <w:pPr>
              <w:spacing w:after="0"/>
              <w:rPr>
                <w:sz w:val="19"/>
                <w:szCs w:val="19"/>
                <w:color w:val="auto"/>
              </w:rPr>
            </w:pPr>
          </w:p>
        </w:tc>
        <w:tc>
          <w:tcPr>
            <w:tcW w:w="1260" w:type="dxa"/>
            <w:vAlign w:val="bottom"/>
            <w:shd w:val="clear" w:color="auto" w:fill="DCE2EF"/>
          </w:tcPr>
          <w:p>
            <w:pPr>
              <w:jc w:val="right"/>
              <w:spacing w:after="0"/>
              <w:rPr>
                <w:sz w:val="20"/>
                <w:szCs w:val="20"/>
                <w:color w:val="auto"/>
              </w:rPr>
            </w:pPr>
            <w:r>
              <w:rPr>
                <w:rFonts w:ascii="Arial" w:cs="Arial" w:eastAsia="Arial" w:hAnsi="Arial"/>
                <w:sz w:val="17"/>
                <w:szCs w:val="17"/>
                <w:color w:val="auto"/>
              </w:rPr>
              <w:t>193.7</w:t>
            </w:r>
          </w:p>
        </w:tc>
        <w:tc>
          <w:tcPr>
            <w:tcW w:w="100" w:type="dxa"/>
            <w:vAlign w:val="bottom"/>
            <w:shd w:val="clear" w:color="auto" w:fill="DCE2EF"/>
          </w:tcPr>
          <w:p>
            <w:pPr>
              <w:spacing w:after="0"/>
              <w:rPr>
                <w:sz w:val="19"/>
                <w:szCs w:val="19"/>
                <w:color w:val="auto"/>
              </w:rPr>
            </w:pPr>
          </w:p>
        </w:tc>
        <w:tc>
          <w:tcPr>
            <w:tcW w:w="500" w:type="dxa"/>
            <w:vAlign w:val="bottom"/>
            <w:shd w:val="clear" w:color="auto" w:fill="DCE2EF"/>
          </w:tcPr>
          <w:p>
            <w:pPr>
              <w:spacing w:after="0"/>
              <w:rPr>
                <w:sz w:val="19"/>
                <w:szCs w:val="19"/>
                <w:color w:val="auto"/>
              </w:rPr>
            </w:pPr>
          </w:p>
        </w:tc>
        <w:tc>
          <w:tcPr>
            <w:tcW w:w="1100" w:type="dxa"/>
            <w:vAlign w:val="bottom"/>
            <w:shd w:val="clear" w:color="auto" w:fill="DCE2EF"/>
          </w:tcPr>
          <w:p>
            <w:pPr>
              <w:jc w:val="right"/>
              <w:spacing w:after="0"/>
              <w:rPr>
                <w:sz w:val="20"/>
                <w:szCs w:val="20"/>
                <w:color w:val="auto"/>
              </w:rPr>
            </w:pPr>
            <w:r>
              <w:rPr>
                <w:rFonts w:ascii="Arial" w:cs="Arial" w:eastAsia="Arial" w:hAnsi="Arial"/>
                <w:sz w:val="17"/>
                <w:szCs w:val="17"/>
                <w:color w:val="auto"/>
              </w:rPr>
              <w:t>162.1</w:t>
            </w:r>
          </w:p>
        </w:tc>
        <w:tc>
          <w:tcPr>
            <w:tcW w:w="0" w:type="dxa"/>
            <w:vAlign w:val="bottom"/>
          </w:tcPr>
          <w:p>
            <w:pPr>
              <w:spacing w:after="0"/>
              <w:rPr>
                <w:sz w:val="1"/>
                <w:szCs w:val="1"/>
                <w:color w:val="auto"/>
              </w:rPr>
            </w:pPr>
          </w:p>
        </w:tc>
      </w:tr>
      <w:tr>
        <w:trPr>
          <w:trHeight w:val="219"/>
        </w:trPr>
        <w:tc>
          <w:tcPr>
            <w:tcW w:w="7740" w:type="dxa"/>
            <w:vAlign w:val="bottom"/>
            <w:gridSpan w:val="2"/>
          </w:tcPr>
          <w:p>
            <w:pPr>
              <w:ind w:left="320"/>
              <w:spacing w:after="0"/>
              <w:rPr>
                <w:sz w:val="20"/>
                <w:szCs w:val="20"/>
                <w:color w:val="auto"/>
              </w:rPr>
            </w:pPr>
            <w:r>
              <w:rPr>
                <w:rFonts w:ascii="Arial" w:cs="Arial" w:eastAsia="Arial" w:hAnsi="Arial"/>
                <w:sz w:val="17"/>
                <w:szCs w:val="17"/>
                <w:color w:val="auto"/>
              </w:rPr>
              <w:t>Prepaid expenses</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91.2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103.2</w:t>
            </w:r>
          </w:p>
        </w:tc>
        <w:tc>
          <w:tcPr>
            <w:tcW w:w="0" w:type="dxa"/>
            <w:vAlign w:val="bottom"/>
          </w:tcPr>
          <w:p>
            <w:pPr>
              <w:spacing w:after="0"/>
              <w:rPr>
                <w:sz w:val="1"/>
                <w:szCs w:val="1"/>
                <w:color w:val="auto"/>
              </w:rPr>
            </w:pPr>
          </w:p>
        </w:tc>
      </w:tr>
      <w:tr>
        <w:trPr>
          <w:trHeight w:val="219"/>
        </w:trPr>
        <w:tc>
          <w:tcPr>
            <w:tcW w:w="7740" w:type="dxa"/>
            <w:vAlign w:val="bottom"/>
            <w:gridSpan w:val="2"/>
            <w:shd w:val="clear" w:color="auto" w:fill="DCE2EF"/>
          </w:tcPr>
          <w:p>
            <w:pPr>
              <w:ind w:left="320"/>
              <w:spacing w:after="0"/>
              <w:rPr>
                <w:sz w:val="20"/>
                <w:szCs w:val="20"/>
                <w:color w:val="auto"/>
              </w:rPr>
            </w:pPr>
            <w:r>
              <w:rPr>
                <w:rFonts w:ascii="Arial" w:cs="Arial" w:eastAsia="Arial" w:hAnsi="Arial"/>
                <w:sz w:val="17"/>
                <w:szCs w:val="17"/>
                <w:color w:val="auto"/>
              </w:rPr>
              <w:t>Other current assets</w:t>
            </w:r>
          </w:p>
        </w:tc>
        <w:tc>
          <w:tcPr>
            <w:tcW w:w="360" w:type="dxa"/>
            <w:vAlign w:val="bottom"/>
            <w:tcBorders>
              <w:bottom w:val="single" w:sz="8" w:color="auto"/>
            </w:tcBorders>
            <w:shd w:val="clear" w:color="auto" w:fill="DCE2EF"/>
          </w:tcPr>
          <w:p>
            <w:pPr>
              <w:spacing w:after="0"/>
              <w:rPr>
                <w:sz w:val="19"/>
                <w:szCs w:val="19"/>
                <w:color w:val="auto"/>
              </w:rPr>
            </w:pPr>
          </w:p>
        </w:tc>
        <w:tc>
          <w:tcPr>
            <w:tcW w:w="126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7"/>
                <w:szCs w:val="17"/>
                <w:color w:val="auto"/>
              </w:rPr>
              <w:t>78.6</w:t>
            </w:r>
          </w:p>
        </w:tc>
        <w:tc>
          <w:tcPr>
            <w:tcW w:w="100" w:type="dxa"/>
            <w:vAlign w:val="bottom"/>
            <w:shd w:val="clear" w:color="auto" w:fill="DCE2EF"/>
          </w:tcPr>
          <w:p>
            <w:pPr>
              <w:spacing w:after="0"/>
              <w:rPr>
                <w:sz w:val="19"/>
                <w:szCs w:val="19"/>
                <w:color w:val="auto"/>
              </w:rPr>
            </w:pPr>
          </w:p>
        </w:tc>
        <w:tc>
          <w:tcPr>
            <w:tcW w:w="500" w:type="dxa"/>
            <w:vAlign w:val="bottom"/>
            <w:tcBorders>
              <w:bottom w:val="single" w:sz="8" w:color="auto"/>
            </w:tcBorders>
            <w:shd w:val="clear" w:color="auto" w:fill="DCE2EF"/>
          </w:tcPr>
          <w:p>
            <w:pPr>
              <w:spacing w:after="0"/>
              <w:rPr>
                <w:sz w:val="19"/>
                <w:szCs w:val="19"/>
                <w:color w:val="auto"/>
              </w:rPr>
            </w:pPr>
          </w:p>
        </w:tc>
        <w:tc>
          <w:tcPr>
            <w:tcW w:w="110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7"/>
                <w:szCs w:val="17"/>
                <w:color w:val="auto"/>
              </w:rPr>
              <w:t>74.8</w:t>
            </w:r>
          </w:p>
        </w:tc>
        <w:tc>
          <w:tcPr>
            <w:tcW w:w="0" w:type="dxa"/>
            <w:vAlign w:val="bottom"/>
          </w:tcPr>
          <w:p>
            <w:pPr>
              <w:spacing w:after="0"/>
              <w:rPr>
                <w:sz w:val="1"/>
                <w:szCs w:val="1"/>
                <w:color w:val="auto"/>
              </w:rPr>
            </w:pPr>
          </w:p>
        </w:tc>
      </w:tr>
      <w:tr>
        <w:trPr>
          <w:trHeight w:val="212"/>
        </w:trPr>
        <w:tc>
          <w:tcPr>
            <w:tcW w:w="7740" w:type="dxa"/>
            <w:vAlign w:val="bottom"/>
            <w:tcBorders>
              <w:bottom w:val="single" w:sz="8" w:color="DCE2EF"/>
            </w:tcBorders>
            <w:gridSpan w:val="2"/>
          </w:tcPr>
          <w:p>
            <w:pPr>
              <w:ind w:left="620"/>
              <w:spacing w:after="0"/>
              <w:rPr>
                <w:sz w:val="20"/>
                <w:szCs w:val="20"/>
                <w:color w:val="auto"/>
              </w:rPr>
            </w:pPr>
            <w:r>
              <w:rPr>
                <w:rFonts w:ascii="Arial" w:cs="Arial" w:eastAsia="Arial" w:hAnsi="Arial"/>
                <w:sz w:val="17"/>
                <w:szCs w:val="17"/>
                <w:color w:val="auto"/>
              </w:rPr>
              <w:t>Total current assets</w:t>
            </w: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1,938.7</w:t>
            </w:r>
          </w:p>
        </w:tc>
        <w:tc>
          <w:tcPr>
            <w:tcW w:w="100" w:type="dxa"/>
            <w:vAlign w:val="bottom"/>
            <w:tcBorders>
              <w:bottom w:val="single" w:sz="8" w:color="DCE2E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1,788.7</w:t>
            </w:r>
          </w:p>
        </w:tc>
        <w:tc>
          <w:tcPr>
            <w:tcW w:w="0" w:type="dxa"/>
            <w:vAlign w:val="bottom"/>
          </w:tcPr>
          <w:p>
            <w:pPr>
              <w:spacing w:after="0"/>
              <w:rPr>
                <w:sz w:val="1"/>
                <w:szCs w:val="1"/>
                <w:color w:val="auto"/>
              </w:rPr>
            </w:pPr>
          </w:p>
        </w:tc>
      </w:tr>
      <w:tr>
        <w:trPr>
          <w:trHeight w:val="212"/>
        </w:trPr>
        <w:tc>
          <w:tcPr>
            <w:tcW w:w="7740" w:type="dxa"/>
            <w:vAlign w:val="bottom"/>
            <w:gridSpan w:val="2"/>
            <w:shd w:val="clear" w:color="auto" w:fill="DCE2EF"/>
          </w:tcPr>
          <w:p>
            <w:pPr>
              <w:spacing w:after="0"/>
              <w:rPr>
                <w:sz w:val="20"/>
                <w:szCs w:val="20"/>
                <w:color w:val="auto"/>
              </w:rPr>
            </w:pPr>
            <w:r>
              <w:rPr>
                <w:rFonts w:ascii="Arial" w:cs="Arial" w:eastAsia="Arial" w:hAnsi="Arial"/>
                <w:sz w:val="17"/>
                <w:szCs w:val="17"/>
                <w:color w:val="auto"/>
              </w:rPr>
              <w:t>Other investments</w:t>
            </w:r>
          </w:p>
        </w:tc>
        <w:tc>
          <w:tcPr>
            <w:tcW w:w="360" w:type="dxa"/>
            <w:vAlign w:val="bottom"/>
            <w:shd w:val="clear" w:color="auto" w:fill="DCE2EF"/>
          </w:tcPr>
          <w:p>
            <w:pPr>
              <w:spacing w:after="0"/>
              <w:rPr>
                <w:sz w:val="18"/>
                <w:szCs w:val="18"/>
                <w:color w:val="auto"/>
              </w:rPr>
            </w:pPr>
          </w:p>
        </w:tc>
        <w:tc>
          <w:tcPr>
            <w:tcW w:w="1260" w:type="dxa"/>
            <w:vAlign w:val="bottom"/>
            <w:shd w:val="clear" w:color="auto" w:fill="DCE2EF"/>
          </w:tcPr>
          <w:p>
            <w:pPr>
              <w:jc w:val="right"/>
              <w:spacing w:after="0"/>
              <w:rPr>
                <w:sz w:val="20"/>
                <w:szCs w:val="20"/>
                <w:color w:val="auto"/>
              </w:rPr>
            </w:pPr>
            <w:r>
              <w:rPr>
                <w:rFonts w:ascii="Arial" w:cs="Arial" w:eastAsia="Arial" w:hAnsi="Arial"/>
                <w:sz w:val="17"/>
                <w:szCs w:val="17"/>
                <w:color w:val="auto"/>
              </w:rPr>
              <w:t>48.6</w:t>
            </w:r>
          </w:p>
        </w:tc>
        <w:tc>
          <w:tcPr>
            <w:tcW w:w="100" w:type="dxa"/>
            <w:vAlign w:val="bottom"/>
            <w:shd w:val="clear" w:color="auto" w:fill="DCE2EF"/>
          </w:tcPr>
          <w:p>
            <w:pPr>
              <w:spacing w:after="0"/>
              <w:rPr>
                <w:sz w:val="18"/>
                <w:szCs w:val="18"/>
                <w:color w:val="auto"/>
              </w:rPr>
            </w:pPr>
          </w:p>
        </w:tc>
        <w:tc>
          <w:tcPr>
            <w:tcW w:w="500" w:type="dxa"/>
            <w:vAlign w:val="bottom"/>
            <w:shd w:val="clear" w:color="auto" w:fill="DCE2EF"/>
          </w:tcPr>
          <w:p>
            <w:pPr>
              <w:spacing w:after="0"/>
              <w:rPr>
                <w:sz w:val="18"/>
                <w:szCs w:val="18"/>
                <w:color w:val="auto"/>
              </w:rPr>
            </w:pPr>
          </w:p>
        </w:tc>
        <w:tc>
          <w:tcPr>
            <w:tcW w:w="1100" w:type="dxa"/>
            <w:vAlign w:val="bottom"/>
            <w:shd w:val="clear" w:color="auto" w:fill="DCE2EF"/>
          </w:tcPr>
          <w:p>
            <w:pPr>
              <w:jc w:val="right"/>
              <w:spacing w:after="0"/>
              <w:rPr>
                <w:sz w:val="20"/>
                <w:szCs w:val="20"/>
                <w:color w:val="auto"/>
              </w:rPr>
            </w:pPr>
            <w:r>
              <w:rPr>
                <w:rFonts w:ascii="Arial" w:cs="Arial" w:eastAsia="Arial" w:hAnsi="Arial"/>
                <w:sz w:val="17"/>
                <w:szCs w:val="17"/>
                <w:color w:val="auto"/>
              </w:rPr>
              <w:t>30.8</w:t>
            </w:r>
          </w:p>
        </w:tc>
        <w:tc>
          <w:tcPr>
            <w:tcW w:w="0" w:type="dxa"/>
            <w:vAlign w:val="bottom"/>
          </w:tcPr>
          <w:p>
            <w:pPr>
              <w:spacing w:after="0"/>
              <w:rPr>
                <w:sz w:val="1"/>
                <w:szCs w:val="1"/>
                <w:color w:val="auto"/>
              </w:rPr>
            </w:pPr>
          </w:p>
        </w:tc>
      </w:tr>
      <w:tr>
        <w:trPr>
          <w:trHeight w:val="168"/>
        </w:trPr>
        <w:tc>
          <w:tcPr>
            <w:tcW w:w="7740" w:type="dxa"/>
            <w:vAlign w:val="bottom"/>
            <w:gridSpan w:val="2"/>
          </w:tcPr>
          <w:p>
            <w:pPr>
              <w:spacing w:after="0" w:line="167" w:lineRule="exact"/>
              <w:rPr>
                <w:sz w:val="20"/>
                <w:szCs w:val="20"/>
                <w:color w:val="auto"/>
              </w:rPr>
            </w:pPr>
            <w:r>
              <w:rPr>
                <w:rFonts w:ascii="Arial" w:cs="Arial" w:eastAsia="Arial" w:hAnsi="Arial"/>
                <w:sz w:val="17"/>
                <w:szCs w:val="17"/>
                <w:color w:val="auto"/>
              </w:rPr>
              <w:t>Property, plant and equipment, net of accumulated depreciation of $379.8 and</w:t>
            </w:r>
          </w:p>
        </w:tc>
        <w:tc>
          <w:tcPr>
            <w:tcW w:w="3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7740" w:type="dxa"/>
            <w:vAlign w:val="bottom"/>
            <w:gridSpan w:val="2"/>
          </w:tcPr>
          <w:p>
            <w:pPr>
              <w:ind w:left="200"/>
              <w:spacing w:after="0"/>
              <w:rPr>
                <w:sz w:val="20"/>
                <w:szCs w:val="20"/>
                <w:color w:val="auto"/>
              </w:rPr>
            </w:pPr>
            <w:r>
              <w:rPr>
                <w:rFonts w:ascii="Arial" w:cs="Arial" w:eastAsia="Arial" w:hAnsi="Arial"/>
                <w:sz w:val="17"/>
                <w:szCs w:val="17"/>
                <w:color w:val="auto"/>
              </w:rPr>
              <w:t>$351.3 at October 31, 2025 and 2024, respectively</w:t>
            </w:r>
          </w:p>
        </w:tc>
        <w:tc>
          <w:tcPr>
            <w:tcW w:w="3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177.2</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150.7</w:t>
            </w:r>
          </w:p>
        </w:tc>
        <w:tc>
          <w:tcPr>
            <w:tcW w:w="0" w:type="dxa"/>
            <w:vAlign w:val="bottom"/>
          </w:tcPr>
          <w:p>
            <w:pPr>
              <w:spacing w:after="0"/>
              <w:rPr>
                <w:sz w:val="1"/>
                <w:szCs w:val="1"/>
                <w:color w:val="auto"/>
              </w:rPr>
            </w:pPr>
          </w:p>
        </w:tc>
      </w:tr>
      <w:tr>
        <w:trPr>
          <w:trHeight w:val="219"/>
        </w:trPr>
        <w:tc>
          <w:tcPr>
            <w:tcW w:w="7740" w:type="dxa"/>
            <w:vAlign w:val="bottom"/>
            <w:gridSpan w:val="2"/>
            <w:shd w:val="clear" w:color="auto" w:fill="DCE2EF"/>
          </w:tcPr>
          <w:p>
            <w:pPr>
              <w:spacing w:after="0"/>
              <w:rPr>
                <w:sz w:val="20"/>
                <w:szCs w:val="20"/>
                <w:color w:val="auto"/>
              </w:rPr>
            </w:pPr>
            <w:r>
              <w:rPr>
                <w:rFonts w:ascii="Arial" w:cs="Arial" w:eastAsia="Arial" w:hAnsi="Arial"/>
                <w:sz w:val="17"/>
                <w:szCs w:val="17"/>
                <w:color w:val="auto"/>
              </w:rPr>
              <w:t>Right-of-use assets</w:t>
            </w:r>
          </w:p>
        </w:tc>
        <w:tc>
          <w:tcPr>
            <w:tcW w:w="360" w:type="dxa"/>
            <w:vAlign w:val="bottom"/>
            <w:shd w:val="clear" w:color="auto" w:fill="DCE2EF"/>
          </w:tcPr>
          <w:p>
            <w:pPr>
              <w:spacing w:after="0"/>
              <w:rPr>
                <w:sz w:val="19"/>
                <w:szCs w:val="19"/>
                <w:color w:val="auto"/>
              </w:rPr>
            </w:pPr>
          </w:p>
        </w:tc>
        <w:tc>
          <w:tcPr>
            <w:tcW w:w="1260" w:type="dxa"/>
            <w:vAlign w:val="bottom"/>
            <w:shd w:val="clear" w:color="auto" w:fill="DCE2EF"/>
          </w:tcPr>
          <w:p>
            <w:pPr>
              <w:jc w:val="right"/>
              <w:spacing w:after="0"/>
              <w:rPr>
                <w:sz w:val="20"/>
                <w:szCs w:val="20"/>
                <w:color w:val="auto"/>
              </w:rPr>
            </w:pPr>
            <w:r>
              <w:rPr>
                <w:rFonts w:ascii="Arial" w:cs="Arial" w:eastAsia="Arial" w:hAnsi="Arial"/>
                <w:sz w:val="17"/>
                <w:szCs w:val="17"/>
                <w:color w:val="auto"/>
              </w:rPr>
              <w:t>95.1</w:t>
            </w:r>
          </w:p>
        </w:tc>
        <w:tc>
          <w:tcPr>
            <w:tcW w:w="100" w:type="dxa"/>
            <w:vAlign w:val="bottom"/>
            <w:shd w:val="clear" w:color="auto" w:fill="DCE2EF"/>
          </w:tcPr>
          <w:p>
            <w:pPr>
              <w:spacing w:after="0"/>
              <w:rPr>
                <w:sz w:val="19"/>
                <w:szCs w:val="19"/>
                <w:color w:val="auto"/>
              </w:rPr>
            </w:pPr>
          </w:p>
        </w:tc>
        <w:tc>
          <w:tcPr>
            <w:tcW w:w="500" w:type="dxa"/>
            <w:vAlign w:val="bottom"/>
            <w:shd w:val="clear" w:color="auto" w:fill="DCE2EF"/>
          </w:tcPr>
          <w:p>
            <w:pPr>
              <w:spacing w:after="0"/>
              <w:rPr>
                <w:sz w:val="19"/>
                <w:szCs w:val="19"/>
                <w:color w:val="auto"/>
              </w:rPr>
            </w:pPr>
          </w:p>
        </w:tc>
        <w:tc>
          <w:tcPr>
            <w:tcW w:w="1100" w:type="dxa"/>
            <w:vAlign w:val="bottom"/>
            <w:shd w:val="clear" w:color="auto" w:fill="DCE2EF"/>
          </w:tcPr>
          <w:p>
            <w:pPr>
              <w:jc w:val="right"/>
              <w:spacing w:after="0"/>
              <w:rPr>
                <w:sz w:val="20"/>
                <w:szCs w:val="20"/>
                <w:color w:val="auto"/>
              </w:rPr>
            </w:pPr>
            <w:r>
              <w:rPr>
                <w:rFonts w:ascii="Arial" w:cs="Arial" w:eastAsia="Arial" w:hAnsi="Arial"/>
                <w:sz w:val="17"/>
                <w:szCs w:val="17"/>
                <w:color w:val="auto"/>
              </w:rPr>
              <w:t>101.2</w:t>
            </w:r>
          </w:p>
        </w:tc>
        <w:tc>
          <w:tcPr>
            <w:tcW w:w="0" w:type="dxa"/>
            <w:vAlign w:val="bottom"/>
          </w:tcPr>
          <w:p>
            <w:pPr>
              <w:spacing w:after="0"/>
              <w:rPr>
                <w:sz w:val="1"/>
                <w:szCs w:val="1"/>
                <w:color w:val="auto"/>
              </w:rPr>
            </w:pPr>
          </w:p>
        </w:tc>
      </w:tr>
      <w:tr>
        <w:trPr>
          <w:trHeight w:val="168"/>
        </w:trPr>
        <w:tc>
          <w:tcPr>
            <w:tcW w:w="7740" w:type="dxa"/>
            <w:vAlign w:val="bottom"/>
            <w:gridSpan w:val="2"/>
          </w:tcPr>
          <w:p>
            <w:pPr>
              <w:spacing w:after="0" w:line="167" w:lineRule="exact"/>
              <w:rPr>
                <w:sz w:val="20"/>
                <w:szCs w:val="20"/>
                <w:color w:val="auto"/>
              </w:rPr>
            </w:pPr>
            <w:r>
              <w:rPr>
                <w:rFonts w:ascii="Arial" w:cs="Arial" w:eastAsia="Arial" w:hAnsi="Arial"/>
                <w:sz w:val="17"/>
                <w:szCs w:val="17"/>
                <w:color w:val="auto"/>
              </w:rPr>
              <w:t>Other intangible assets, net of accumulated amortization of $532.2 and</w:t>
            </w:r>
          </w:p>
        </w:tc>
        <w:tc>
          <w:tcPr>
            <w:tcW w:w="3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7740" w:type="dxa"/>
            <w:vAlign w:val="bottom"/>
            <w:gridSpan w:val="2"/>
          </w:tcPr>
          <w:p>
            <w:pPr>
              <w:ind w:left="140"/>
              <w:spacing w:after="0"/>
              <w:rPr>
                <w:sz w:val="20"/>
                <w:szCs w:val="20"/>
                <w:color w:val="auto"/>
              </w:rPr>
            </w:pPr>
            <w:r>
              <w:rPr>
                <w:rFonts w:ascii="Arial" w:cs="Arial" w:eastAsia="Arial" w:hAnsi="Arial"/>
                <w:sz w:val="17"/>
                <w:szCs w:val="17"/>
                <w:color w:val="auto"/>
              </w:rPr>
              <w:t>$479.3 at October 31, 2025 and 2024, respectively</w:t>
            </w:r>
          </w:p>
        </w:tc>
        <w:tc>
          <w:tcPr>
            <w:tcW w:w="3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243.2</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282.4</w:t>
            </w:r>
          </w:p>
        </w:tc>
        <w:tc>
          <w:tcPr>
            <w:tcW w:w="0" w:type="dxa"/>
            <w:vAlign w:val="bottom"/>
          </w:tcPr>
          <w:p>
            <w:pPr>
              <w:spacing w:after="0"/>
              <w:rPr>
                <w:sz w:val="1"/>
                <w:szCs w:val="1"/>
                <w:color w:val="auto"/>
              </w:rPr>
            </w:pPr>
          </w:p>
        </w:tc>
      </w:tr>
      <w:tr>
        <w:trPr>
          <w:trHeight w:val="219"/>
        </w:trPr>
        <w:tc>
          <w:tcPr>
            <w:tcW w:w="7740" w:type="dxa"/>
            <w:vAlign w:val="bottom"/>
            <w:gridSpan w:val="2"/>
            <w:shd w:val="clear" w:color="auto" w:fill="DCE2EF"/>
          </w:tcPr>
          <w:p>
            <w:pPr>
              <w:spacing w:after="0"/>
              <w:rPr>
                <w:sz w:val="20"/>
                <w:szCs w:val="20"/>
                <w:color w:val="auto"/>
              </w:rPr>
            </w:pPr>
            <w:r>
              <w:rPr>
                <w:rFonts w:ascii="Arial" w:cs="Arial" w:eastAsia="Arial" w:hAnsi="Arial"/>
                <w:sz w:val="17"/>
                <w:szCs w:val="17"/>
                <w:color w:val="auto"/>
              </w:rPr>
              <w:t>Goodwill</w:t>
            </w:r>
          </w:p>
        </w:tc>
        <w:tc>
          <w:tcPr>
            <w:tcW w:w="360" w:type="dxa"/>
            <w:vAlign w:val="bottom"/>
            <w:shd w:val="clear" w:color="auto" w:fill="DCE2EF"/>
          </w:tcPr>
          <w:p>
            <w:pPr>
              <w:spacing w:after="0"/>
              <w:rPr>
                <w:sz w:val="19"/>
                <w:szCs w:val="19"/>
                <w:color w:val="auto"/>
              </w:rPr>
            </w:pPr>
          </w:p>
        </w:tc>
        <w:tc>
          <w:tcPr>
            <w:tcW w:w="1260" w:type="dxa"/>
            <w:vAlign w:val="bottom"/>
            <w:shd w:val="clear" w:color="auto" w:fill="DCE2EF"/>
          </w:tcPr>
          <w:p>
            <w:pPr>
              <w:jc w:val="right"/>
              <w:spacing w:after="0"/>
              <w:rPr>
                <w:sz w:val="20"/>
                <w:szCs w:val="20"/>
                <w:color w:val="auto"/>
              </w:rPr>
            </w:pPr>
            <w:r>
              <w:rPr>
                <w:rFonts w:ascii="Arial" w:cs="Arial" w:eastAsia="Arial" w:hAnsi="Arial"/>
                <w:sz w:val="17"/>
                <w:szCs w:val="17"/>
                <w:color w:val="auto"/>
              </w:rPr>
              <w:t>2,591.1</w:t>
            </w:r>
          </w:p>
        </w:tc>
        <w:tc>
          <w:tcPr>
            <w:tcW w:w="100" w:type="dxa"/>
            <w:vAlign w:val="bottom"/>
            <w:shd w:val="clear" w:color="auto" w:fill="DCE2EF"/>
          </w:tcPr>
          <w:p>
            <w:pPr>
              <w:spacing w:after="0"/>
              <w:rPr>
                <w:sz w:val="19"/>
                <w:szCs w:val="19"/>
                <w:color w:val="auto"/>
              </w:rPr>
            </w:pPr>
          </w:p>
        </w:tc>
        <w:tc>
          <w:tcPr>
            <w:tcW w:w="500" w:type="dxa"/>
            <w:vAlign w:val="bottom"/>
            <w:shd w:val="clear" w:color="auto" w:fill="DCE2EF"/>
          </w:tcPr>
          <w:p>
            <w:pPr>
              <w:spacing w:after="0"/>
              <w:rPr>
                <w:sz w:val="19"/>
                <w:szCs w:val="19"/>
                <w:color w:val="auto"/>
              </w:rPr>
            </w:pPr>
          </w:p>
        </w:tc>
        <w:tc>
          <w:tcPr>
            <w:tcW w:w="1100" w:type="dxa"/>
            <w:vAlign w:val="bottom"/>
            <w:shd w:val="clear" w:color="auto" w:fill="DCE2EF"/>
          </w:tcPr>
          <w:p>
            <w:pPr>
              <w:jc w:val="right"/>
              <w:spacing w:after="0"/>
              <w:rPr>
                <w:sz w:val="20"/>
                <w:szCs w:val="20"/>
                <w:color w:val="auto"/>
              </w:rPr>
            </w:pPr>
            <w:r>
              <w:rPr>
                <w:rFonts w:ascii="Arial" w:cs="Arial" w:eastAsia="Arial" w:hAnsi="Arial"/>
                <w:sz w:val="17"/>
                <w:szCs w:val="17"/>
                <w:color w:val="auto"/>
              </w:rPr>
              <w:t>2,575.9</w:t>
            </w:r>
          </w:p>
        </w:tc>
        <w:tc>
          <w:tcPr>
            <w:tcW w:w="0" w:type="dxa"/>
            <w:vAlign w:val="bottom"/>
          </w:tcPr>
          <w:p>
            <w:pPr>
              <w:spacing w:after="0"/>
              <w:rPr>
                <w:sz w:val="1"/>
                <w:szCs w:val="1"/>
                <w:color w:val="auto"/>
              </w:rPr>
            </w:pPr>
          </w:p>
        </w:tc>
      </w:tr>
      <w:tr>
        <w:trPr>
          <w:trHeight w:val="219"/>
        </w:trPr>
        <w:tc>
          <w:tcPr>
            <w:tcW w:w="7740" w:type="dxa"/>
            <w:vAlign w:val="bottom"/>
            <w:tcBorders>
              <w:bottom w:val="single" w:sz="8" w:color="DCE2EF"/>
            </w:tcBorders>
            <w:gridSpan w:val="2"/>
          </w:tcPr>
          <w:p>
            <w:pPr>
              <w:spacing w:after="0"/>
              <w:rPr>
                <w:sz w:val="20"/>
                <w:szCs w:val="20"/>
                <w:color w:val="auto"/>
              </w:rPr>
            </w:pPr>
            <w:r>
              <w:rPr>
                <w:rFonts w:ascii="Arial" w:cs="Arial" w:eastAsia="Arial" w:hAnsi="Arial"/>
                <w:sz w:val="17"/>
                <w:szCs w:val="17"/>
                <w:color w:val="auto"/>
              </w:rPr>
              <w:t>Other noncurrent assets</w:t>
            </w: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175.5</w:t>
            </w:r>
          </w:p>
        </w:tc>
        <w:tc>
          <w:tcPr>
            <w:tcW w:w="100" w:type="dxa"/>
            <w:vAlign w:val="bottom"/>
            <w:tcBorders>
              <w:bottom w:val="single" w:sz="8" w:color="DCE2E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167.5</w:t>
            </w:r>
          </w:p>
        </w:tc>
        <w:tc>
          <w:tcPr>
            <w:tcW w:w="0" w:type="dxa"/>
            <w:vAlign w:val="bottom"/>
          </w:tcPr>
          <w:p>
            <w:pPr>
              <w:spacing w:after="0"/>
              <w:rPr>
                <w:sz w:val="1"/>
                <w:szCs w:val="1"/>
                <w:color w:val="auto"/>
              </w:rPr>
            </w:pPr>
          </w:p>
        </w:tc>
      </w:tr>
      <w:tr>
        <w:trPr>
          <w:trHeight w:val="237"/>
        </w:trPr>
        <w:tc>
          <w:tcPr>
            <w:tcW w:w="7740" w:type="dxa"/>
            <w:vAlign w:val="bottom"/>
            <w:tcBorders>
              <w:bottom w:val="single" w:sz="8" w:color="DCE2EF"/>
            </w:tcBorders>
            <w:gridSpan w:val="2"/>
            <w:shd w:val="clear" w:color="auto" w:fill="DCE2EF"/>
          </w:tcPr>
          <w:p>
            <w:pPr>
              <w:spacing w:after="0"/>
              <w:rPr>
                <w:sz w:val="20"/>
                <w:szCs w:val="20"/>
                <w:color w:val="auto"/>
              </w:rPr>
            </w:pPr>
            <w:r>
              <w:rPr>
                <w:rFonts w:ascii="Arial" w:cs="Arial" w:eastAsia="Arial" w:hAnsi="Arial"/>
                <w:sz w:val="17"/>
                <w:szCs w:val="17"/>
                <w:color w:val="auto"/>
              </w:rPr>
              <w:t>Total assets</w:t>
            </w:r>
          </w:p>
        </w:tc>
        <w:tc>
          <w:tcPr>
            <w:tcW w:w="360" w:type="dxa"/>
            <w:vAlign w:val="bottom"/>
            <w:tcBorders>
              <w:bottom w:val="single" w:sz="8" w:color="auto"/>
            </w:tcBorders>
            <w:shd w:val="clear" w:color="auto" w:fill="DCE2EF"/>
          </w:tcPr>
          <w:p>
            <w:pPr>
              <w:jc w:val="right"/>
              <w:ind w:right="174"/>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7"/>
                <w:szCs w:val="17"/>
                <w:color w:val="auto"/>
              </w:rPr>
              <w:t>5,269.5</w:t>
            </w:r>
          </w:p>
        </w:tc>
        <w:tc>
          <w:tcPr>
            <w:tcW w:w="100" w:type="dxa"/>
            <w:vAlign w:val="bottom"/>
            <w:tcBorders>
              <w:bottom w:val="single" w:sz="8" w:color="DCE2EF"/>
            </w:tcBorders>
            <w:shd w:val="clear" w:color="auto" w:fill="DCE2EF"/>
          </w:tcPr>
          <w:p>
            <w:pPr>
              <w:spacing w:after="0"/>
              <w:rPr>
                <w:sz w:val="20"/>
                <w:szCs w:val="20"/>
                <w:color w:val="auto"/>
              </w:rPr>
            </w:pPr>
          </w:p>
        </w:tc>
        <w:tc>
          <w:tcPr>
            <w:tcW w:w="500" w:type="dxa"/>
            <w:vAlign w:val="bottom"/>
            <w:tcBorders>
              <w:bottom w:val="single" w:sz="8" w:color="auto"/>
            </w:tcBorders>
            <w:shd w:val="clear" w:color="auto" w:fill="DCE2EF"/>
          </w:tcPr>
          <w:p>
            <w:pPr>
              <w:jc w:val="right"/>
              <w:ind w:right="314"/>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7"/>
                <w:szCs w:val="17"/>
                <w:color w:val="auto"/>
              </w:rPr>
              <w:t>5,097.2</w:t>
            </w:r>
          </w:p>
        </w:tc>
        <w:tc>
          <w:tcPr>
            <w:tcW w:w="0" w:type="dxa"/>
            <w:vAlign w:val="bottom"/>
          </w:tcPr>
          <w:p>
            <w:pPr>
              <w:spacing w:after="0"/>
              <w:rPr>
                <w:sz w:val="1"/>
                <w:szCs w:val="1"/>
                <w:color w:val="auto"/>
              </w:rPr>
            </w:pPr>
          </w:p>
        </w:tc>
      </w:tr>
      <w:tr>
        <w:trPr>
          <w:trHeight w:val="20"/>
        </w:trPr>
        <w:tc>
          <w:tcPr>
            <w:tcW w:w="7740" w:type="dxa"/>
            <w:vAlign w:val="bottom"/>
            <w:tcBorders>
              <w:top w:val="single" w:sz="8" w:color="DCE2EF"/>
              <w:bottom w:val="single" w:sz="8" w:color="DCE2EF"/>
            </w:tcBorders>
            <w:gridSpan w:val="2"/>
            <w:vMerge w:val="restart"/>
          </w:tcPr>
          <w:p>
            <w:pPr>
              <w:spacing w:after="0"/>
              <w:rPr>
                <w:sz w:val="20"/>
                <w:szCs w:val="20"/>
                <w:color w:val="auto"/>
              </w:rPr>
            </w:pPr>
            <w:r>
              <w:rPr>
                <w:rFonts w:ascii="Arial" w:cs="Arial" w:eastAsia="Arial" w:hAnsi="Arial"/>
                <w:sz w:val="17"/>
                <w:szCs w:val="17"/>
                <w:b w:val="1"/>
                <w:bCs w:val="1"/>
                <w:color w:val="auto"/>
              </w:rPr>
              <w:t>LIABILITIES AND STOCKHOLDERS’ EQUITY</w:t>
            </w:r>
          </w:p>
        </w:tc>
        <w:tc>
          <w:tcPr>
            <w:tcW w:w="360" w:type="dxa"/>
            <w:vAlign w:val="bottom"/>
            <w:tcBorders>
              <w:top w:val="single" w:sz="8" w:color="DCE2EF"/>
              <w:bottom w:val="single" w:sz="8" w:color="auto"/>
            </w:tcBorders>
          </w:tcPr>
          <w:p>
            <w:pPr>
              <w:spacing w:after="0" w:line="20" w:lineRule="exact"/>
              <w:rPr>
                <w:sz w:val="1"/>
                <w:szCs w:val="1"/>
                <w:color w:val="auto"/>
              </w:rPr>
            </w:pPr>
          </w:p>
        </w:tc>
        <w:tc>
          <w:tcPr>
            <w:tcW w:w="1260" w:type="dxa"/>
            <w:vAlign w:val="bottom"/>
            <w:tcBorders>
              <w:top w:val="single" w:sz="8" w:color="DCE2EF"/>
              <w:bottom w:val="single" w:sz="8" w:color="auto"/>
            </w:tcBorders>
          </w:tcPr>
          <w:p>
            <w:pPr>
              <w:spacing w:after="0" w:line="20" w:lineRule="exact"/>
              <w:rPr>
                <w:sz w:val="1"/>
                <w:szCs w:val="1"/>
                <w:color w:val="auto"/>
              </w:rPr>
            </w:pPr>
          </w:p>
        </w:tc>
        <w:tc>
          <w:tcPr>
            <w:tcW w:w="100" w:type="dxa"/>
            <w:vAlign w:val="bottom"/>
            <w:tcBorders>
              <w:top w:val="single" w:sz="8" w:color="DCE2EF"/>
            </w:tcBorders>
          </w:tcPr>
          <w:p>
            <w:pPr>
              <w:spacing w:after="0" w:line="20" w:lineRule="exact"/>
              <w:rPr>
                <w:sz w:val="1"/>
                <w:szCs w:val="1"/>
                <w:color w:val="auto"/>
              </w:rPr>
            </w:pPr>
          </w:p>
        </w:tc>
        <w:tc>
          <w:tcPr>
            <w:tcW w:w="500" w:type="dxa"/>
            <w:vAlign w:val="bottom"/>
            <w:tcBorders>
              <w:top w:val="single" w:sz="8" w:color="DCE2EF"/>
              <w:bottom w:val="single" w:sz="8" w:color="auto"/>
            </w:tcBorders>
          </w:tcPr>
          <w:p>
            <w:pPr>
              <w:spacing w:after="0" w:line="20" w:lineRule="exact"/>
              <w:rPr>
                <w:sz w:val="1"/>
                <w:szCs w:val="1"/>
                <w:color w:val="auto"/>
              </w:rPr>
            </w:pPr>
          </w:p>
        </w:tc>
        <w:tc>
          <w:tcPr>
            <w:tcW w:w="1100" w:type="dxa"/>
            <w:vAlign w:val="bottom"/>
            <w:tcBorders>
              <w:top w:val="single" w:sz="8" w:color="DCE2E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774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7740" w:type="dxa"/>
            <w:vAlign w:val="bottom"/>
            <w:gridSpan w:val="2"/>
            <w:shd w:val="clear" w:color="auto" w:fill="DCE2EF"/>
          </w:tcPr>
          <w:p>
            <w:pPr>
              <w:spacing w:after="0"/>
              <w:rPr>
                <w:sz w:val="20"/>
                <w:szCs w:val="20"/>
                <w:color w:val="auto"/>
              </w:rPr>
            </w:pPr>
            <w:r>
              <w:rPr>
                <w:rFonts w:ascii="Arial" w:cs="Arial" w:eastAsia="Arial" w:hAnsi="Arial"/>
                <w:sz w:val="17"/>
                <w:szCs w:val="17"/>
                <w:color w:val="auto"/>
              </w:rPr>
              <w:t>Current liabilities</w:t>
            </w:r>
          </w:p>
        </w:tc>
        <w:tc>
          <w:tcPr>
            <w:tcW w:w="360" w:type="dxa"/>
            <w:vAlign w:val="bottom"/>
            <w:shd w:val="clear" w:color="auto" w:fill="DCE2EF"/>
          </w:tcPr>
          <w:p>
            <w:pPr>
              <w:spacing w:after="0"/>
              <w:rPr>
                <w:sz w:val="19"/>
                <w:szCs w:val="19"/>
                <w:color w:val="auto"/>
              </w:rPr>
            </w:pPr>
          </w:p>
        </w:tc>
        <w:tc>
          <w:tcPr>
            <w:tcW w:w="1260" w:type="dxa"/>
            <w:vAlign w:val="bottom"/>
            <w:shd w:val="clear" w:color="auto" w:fill="DCE2EF"/>
          </w:tcPr>
          <w:p>
            <w:pPr>
              <w:spacing w:after="0"/>
              <w:rPr>
                <w:sz w:val="19"/>
                <w:szCs w:val="19"/>
                <w:color w:val="auto"/>
              </w:rPr>
            </w:pPr>
          </w:p>
        </w:tc>
        <w:tc>
          <w:tcPr>
            <w:tcW w:w="100" w:type="dxa"/>
            <w:vAlign w:val="bottom"/>
            <w:shd w:val="clear" w:color="auto" w:fill="DCE2EF"/>
          </w:tcPr>
          <w:p>
            <w:pPr>
              <w:spacing w:after="0"/>
              <w:rPr>
                <w:sz w:val="19"/>
                <w:szCs w:val="19"/>
                <w:color w:val="auto"/>
              </w:rPr>
            </w:pPr>
          </w:p>
        </w:tc>
        <w:tc>
          <w:tcPr>
            <w:tcW w:w="500" w:type="dxa"/>
            <w:vAlign w:val="bottom"/>
            <w:shd w:val="clear" w:color="auto" w:fill="DCE2EF"/>
          </w:tcPr>
          <w:p>
            <w:pPr>
              <w:spacing w:after="0"/>
              <w:rPr>
                <w:sz w:val="19"/>
                <w:szCs w:val="19"/>
                <w:color w:val="auto"/>
              </w:rPr>
            </w:pPr>
          </w:p>
        </w:tc>
        <w:tc>
          <w:tcPr>
            <w:tcW w:w="1100" w:type="dxa"/>
            <w:vAlign w:val="bottom"/>
            <w:shd w:val="clear" w:color="auto" w:fill="DCE2E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740" w:type="dxa"/>
            <w:vAlign w:val="bottom"/>
            <w:gridSpan w:val="2"/>
          </w:tcPr>
          <w:p>
            <w:pPr>
              <w:ind w:left="320"/>
              <w:spacing w:after="0"/>
              <w:rPr>
                <w:sz w:val="20"/>
                <w:szCs w:val="20"/>
                <w:color w:val="auto"/>
              </w:rPr>
            </w:pPr>
            <w:r>
              <w:rPr>
                <w:rFonts w:ascii="Arial" w:cs="Arial" w:eastAsia="Arial" w:hAnsi="Arial"/>
                <w:sz w:val="17"/>
                <w:szCs w:val="17"/>
                <w:color w:val="auto"/>
              </w:rPr>
              <w:t>Current portion of debt, net</w:t>
            </w:r>
          </w:p>
        </w:tc>
        <w:tc>
          <w:tcPr>
            <w:tcW w:w="360" w:type="dxa"/>
            <w:vAlign w:val="bottom"/>
          </w:tcPr>
          <w:p>
            <w:pPr>
              <w:jc w:val="right"/>
              <w:ind w:right="174"/>
              <w:spacing w:after="0"/>
              <w:rPr>
                <w:sz w:val="20"/>
                <w:szCs w:val="20"/>
                <w:color w:val="auto"/>
              </w:rPr>
            </w:pPr>
            <w:r>
              <w:rPr>
                <w:rFonts w:ascii="Arial" w:cs="Arial" w:eastAsia="Arial" w:hAnsi="Arial"/>
                <w:sz w:val="17"/>
                <w:szCs w:val="17"/>
                <w:color w:val="auto"/>
                <w:w w:val="84"/>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29.4</w:t>
            </w:r>
          </w:p>
        </w:tc>
        <w:tc>
          <w:tcPr>
            <w:tcW w:w="100" w:type="dxa"/>
            <w:vAlign w:val="bottom"/>
          </w:tcPr>
          <w:p>
            <w:pPr>
              <w:spacing w:after="0"/>
              <w:rPr>
                <w:sz w:val="19"/>
                <w:szCs w:val="19"/>
                <w:color w:val="auto"/>
              </w:rPr>
            </w:pPr>
          </w:p>
        </w:tc>
        <w:tc>
          <w:tcPr>
            <w:tcW w:w="500" w:type="dxa"/>
            <w:vAlign w:val="bottom"/>
          </w:tcPr>
          <w:p>
            <w:pPr>
              <w:jc w:val="right"/>
              <w:ind w:right="314"/>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31.6</w:t>
            </w:r>
          </w:p>
        </w:tc>
        <w:tc>
          <w:tcPr>
            <w:tcW w:w="0" w:type="dxa"/>
            <w:vAlign w:val="bottom"/>
          </w:tcPr>
          <w:p>
            <w:pPr>
              <w:spacing w:after="0"/>
              <w:rPr>
                <w:sz w:val="1"/>
                <w:szCs w:val="1"/>
                <w:color w:val="auto"/>
              </w:rPr>
            </w:pPr>
          </w:p>
        </w:tc>
      </w:tr>
      <w:tr>
        <w:trPr>
          <w:trHeight w:val="219"/>
        </w:trPr>
        <w:tc>
          <w:tcPr>
            <w:tcW w:w="7740" w:type="dxa"/>
            <w:vAlign w:val="bottom"/>
            <w:gridSpan w:val="2"/>
            <w:shd w:val="clear" w:color="auto" w:fill="DCE2EF"/>
          </w:tcPr>
          <w:p>
            <w:pPr>
              <w:ind w:left="320"/>
              <w:spacing w:after="0"/>
              <w:rPr>
                <w:sz w:val="20"/>
                <w:szCs w:val="20"/>
                <w:color w:val="auto"/>
              </w:rPr>
            </w:pPr>
            <w:r>
              <w:rPr>
                <w:rFonts w:ascii="Arial" w:cs="Arial" w:eastAsia="Arial" w:hAnsi="Arial"/>
                <w:sz w:val="17"/>
                <w:szCs w:val="17"/>
                <w:color w:val="auto"/>
              </w:rPr>
              <w:t>Trade accounts payable</w:t>
            </w:r>
          </w:p>
        </w:tc>
        <w:tc>
          <w:tcPr>
            <w:tcW w:w="360" w:type="dxa"/>
            <w:vAlign w:val="bottom"/>
            <w:shd w:val="clear" w:color="auto" w:fill="DCE2EF"/>
          </w:tcPr>
          <w:p>
            <w:pPr>
              <w:spacing w:after="0"/>
              <w:rPr>
                <w:sz w:val="19"/>
                <w:szCs w:val="19"/>
                <w:color w:val="auto"/>
              </w:rPr>
            </w:pPr>
          </w:p>
        </w:tc>
        <w:tc>
          <w:tcPr>
            <w:tcW w:w="1260" w:type="dxa"/>
            <w:vAlign w:val="bottom"/>
            <w:shd w:val="clear" w:color="auto" w:fill="DCE2EF"/>
          </w:tcPr>
          <w:p>
            <w:pPr>
              <w:jc w:val="right"/>
              <w:spacing w:after="0"/>
              <w:rPr>
                <w:sz w:val="20"/>
                <w:szCs w:val="20"/>
                <w:color w:val="auto"/>
              </w:rPr>
            </w:pPr>
            <w:r>
              <w:rPr>
                <w:rFonts w:ascii="Arial" w:cs="Arial" w:eastAsia="Arial" w:hAnsi="Arial"/>
                <w:sz w:val="17"/>
                <w:szCs w:val="17"/>
                <w:color w:val="auto"/>
              </w:rPr>
              <w:t>401.2</w:t>
            </w:r>
          </w:p>
        </w:tc>
        <w:tc>
          <w:tcPr>
            <w:tcW w:w="100" w:type="dxa"/>
            <w:vAlign w:val="bottom"/>
            <w:shd w:val="clear" w:color="auto" w:fill="DCE2EF"/>
          </w:tcPr>
          <w:p>
            <w:pPr>
              <w:spacing w:after="0"/>
              <w:rPr>
                <w:sz w:val="19"/>
                <w:szCs w:val="19"/>
                <w:color w:val="auto"/>
              </w:rPr>
            </w:pPr>
          </w:p>
        </w:tc>
        <w:tc>
          <w:tcPr>
            <w:tcW w:w="500" w:type="dxa"/>
            <w:vAlign w:val="bottom"/>
            <w:shd w:val="clear" w:color="auto" w:fill="DCE2EF"/>
          </w:tcPr>
          <w:p>
            <w:pPr>
              <w:spacing w:after="0"/>
              <w:rPr>
                <w:sz w:val="19"/>
                <w:szCs w:val="19"/>
                <w:color w:val="auto"/>
              </w:rPr>
            </w:pPr>
          </w:p>
        </w:tc>
        <w:tc>
          <w:tcPr>
            <w:tcW w:w="1100" w:type="dxa"/>
            <w:vAlign w:val="bottom"/>
            <w:shd w:val="clear" w:color="auto" w:fill="DCE2EF"/>
          </w:tcPr>
          <w:p>
            <w:pPr>
              <w:jc w:val="right"/>
              <w:spacing w:after="0"/>
              <w:rPr>
                <w:sz w:val="20"/>
                <w:szCs w:val="20"/>
                <w:color w:val="auto"/>
              </w:rPr>
            </w:pPr>
            <w:r>
              <w:rPr>
                <w:rFonts w:ascii="Arial" w:cs="Arial" w:eastAsia="Arial" w:hAnsi="Arial"/>
                <w:sz w:val="17"/>
                <w:szCs w:val="17"/>
                <w:color w:val="auto"/>
              </w:rPr>
              <w:t>324.3</w:t>
            </w:r>
          </w:p>
        </w:tc>
        <w:tc>
          <w:tcPr>
            <w:tcW w:w="0" w:type="dxa"/>
            <w:vAlign w:val="bottom"/>
          </w:tcPr>
          <w:p>
            <w:pPr>
              <w:spacing w:after="0"/>
              <w:rPr>
                <w:sz w:val="1"/>
                <w:szCs w:val="1"/>
                <w:color w:val="auto"/>
              </w:rPr>
            </w:pPr>
          </w:p>
        </w:tc>
      </w:tr>
      <w:tr>
        <w:trPr>
          <w:trHeight w:val="219"/>
        </w:trPr>
        <w:tc>
          <w:tcPr>
            <w:tcW w:w="7740" w:type="dxa"/>
            <w:vAlign w:val="bottom"/>
            <w:gridSpan w:val="2"/>
          </w:tcPr>
          <w:p>
            <w:pPr>
              <w:ind w:left="320"/>
              <w:spacing w:after="0"/>
              <w:rPr>
                <w:sz w:val="20"/>
                <w:szCs w:val="20"/>
                <w:color w:val="auto"/>
              </w:rPr>
            </w:pPr>
            <w:r>
              <w:rPr>
                <w:rFonts w:ascii="Arial" w:cs="Arial" w:eastAsia="Arial" w:hAnsi="Arial"/>
                <w:sz w:val="17"/>
                <w:szCs w:val="17"/>
                <w:color w:val="auto"/>
              </w:rPr>
              <w:t>Accrued compensation</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195.0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295.6</w:t>
            </w:r>
          </w:p>
        </w:tc>
        <w:tc>
          <w:tcPr>
            <w:tcW w:w="0" w:type="dxa"/>
            <w:vAlign w:val="bottom"/>
          </w:tcPr>
          <w:p>
            <w:pPr>
              <w:spacing w:after="0"/>
              <w:rPr>
                <w:sz w:val="1"/>
                <w:szCs w:val="1"/>
                <w:color w:val="auto"/>
              </w:rPr>
            </w:pPr>
          </w:p>
        </w:tc>
      </w:tr>
      <w:tr>
        <w:trPr>
          <w:trHeight w:val="219"/>
        </w:trPr>
        <w:tc>
          <w:tcPr>
            <w:tcW w:w="7740" w:type="dxa"/>
            <w:vAlign w:val="bottom"/>
            <w:gridSpan w:val="2"/>
            <w:shd w:val="clear" w:color="auto" w:fill="DCE2EF"/>
          </w:tcPr>
          <w:p>
            <w:pPr>
              <w:ind w:left="320"/>
              <w:spacing w:after="0"/>
              <w:rPr>
                <w:sz w:val="20"/>
                <w:szCs w:val="20"/>
                <w:color w:val="auto"/>
              </w:rPr>
            </w:pPr>
            <w:r>
              <w:rPr>
                <w:rFonts w:ascii="Arial" w:cs="Arial" w:eastAsia="Arial" w:hAnsi="Arial"/>
                <w:sz w:val="17"/>
                <w:szCs w:val="17"/>
                <w:color w:val="auto"/>
              </w:rPr>
              <w:t>Accrued taxes—other than income</w:t>
            </w:r>
          </w:p>
        </w:tc>
        <w:tc>
          <w:tcPr>
            <w:tcW w:w="360" w:type="dxa"/>
            <w:vAlign w:val="bottom"/>
            <w:shd w:val="clear" w:color="auto" w:fill="DCE2EF"/>
          </w:tcPr>
          <w:p>
            <w:pPr>
              <w:spacing w:after="0"/>
              <w:rPr>
                <w:sz w:val="19"/>
                <w:szCs w:val="19"/>
                <w:color w:val="auto"/>
              </w:rPr>
            </w:pPr>
          </w:p>
        </w:tc>
        <w:tc>
          <w:tcPr>
            <w:tcW w:w="1260" w:type="dxa"/>
            <w:vAlign w:val="bottom"/>
            <w:shd w:val="clear" w:color="auto" w:fill="DCE2EF"/>
          </w:tcPr>
          <w:p>
            <w:pPr>
              <w:jc w:val="right"/>
              <w:spacing w:after="0"/>
              <w:rPr>
                <w:sz w:val="20"/>
                <w:szCs w:val="20"/>
                <w:color w:val="auto"/>
              </w:rPr>
            </w:pPr>
            <w:r>
              <w:rPr>
                <w:rFonts w:ascii="Arial" w:cs="Arial" w:eastAsia="Arial" w:hAnsi="Arial"/>
                <w:sz w:val="17"/>
                <w:szCs w:val="17"/>
                <w:color w:val="auto"/>
              </w:rPr>
              <w:t>48.1</w:t>
            </w:r>
          </w:p>
        </w:tc>
        <w:tc>
          <w:tcPr>
            <w:tcW w:w="100" w:type="dxa"/>
            <w:vAlign w:val="bottom"/>
            <w:shd w:val="clear" w:color="auto" w:fill="DCE2EF"/>
          </w:tcPr>
          <w:p>
            <w:pPr>
              <w:spacing w:after="0"/>
              <w:rPr>
                <w:sz w:val="19"/>
                <w:szCs w:val="19"/>
                <w:color w:val="auto"/>
              </w:rPr>
            </w:pPr>
          </w:p>
        </w:tc>
        <w:tc>
          <w:tcPr>
            <w:tcW w:w="500" w:type="dxa"/>
            <w:vAlign w:val="bottom"/>
            <w:shd w:val="clear" w:color="auto" w:fill="DCE2EF"/>
          </w:tcPr>
          <w:p>
            <w:pPr>
              <w:spacing w:after="0"/>
              <w:rPr>
                <w:sz w:val="19"/>
                <w:szCs w:val="19"/>
                <w:color w:val="auto"/>
              </w:rPr>
            </w:pPr>
          </w:p>
        </w:tc>
        <w:tc>
          <w:tcPr>
            <w:tcW w:w="1100" w:type="dxa"/>
            <w:vAlign w:val="bottom"/>
            <w:shd w:val="clear" w:color="auto" w:fill="DCE2EF"/>
          </w:tcPr>
          <w:p>
            <w:pPr>
              <w:jc w:val="right"/>
              <w:spacing w:after="0"/>
              <w:rPr>
                <w:sz w:val="20"/>
                <w:szCs w:val="20"/>
                <w:color w:val="auto"/>
              </w:rPr>
            </w:pPr>
            <w:r>
              <w:rPr>
                <w:rFonts w:ascii="Arial" w:cs="Arial" w:eastAsia="Arial" w:hAnsi="Arial"/>
                <w:sz w:val="17"/>
                <w:szCs w:val="17"/>
                <w:color w:val="auto"/>
              </w:rPr>
              <w:t>56.2</w:t>
            </w:r>
          </w:p>
        </w:tc>
        <w:tc>
          <w:tcPr>
            <w:tcW w:w="0" w:type="dxa"/>
            <w:vAlign w:val="bottom"/>
          </w:tcPr>
          <w:p>
            <w:pPr>
              <w:spacing w:after="0"/>
              <w:rPr>
                <w:sz w:val="1"/>
                <w:szCs w:val="1"/>
                <w:color w:val="auto"/>
              </w:rPr>
            </w:pPr>
          </w:p>
        </w:tc>
      </w:tr>
      <w:tr>
        <w:trPr>
          <w:trHeight w:val="219"/>
        </w:trPr>
        <w:tc>
          <w:tcPr>
            <w:tcW w:w="7740" w:type="dxa"/>
            <w:vAlign w:val="bottom"/>
            <w:gridSpan w:val="2"/>
          </w:tcPr>
          <w:p>
            <w:pPr>
              <w:ind w:left="320"/>
              <w:spacing w:after="0"/>
              <w:rPr>
                <w:sz w:val="20"/>
                <w:szCs w:val="20"/>
                <w:color w:val="auto"/>
              </w:rPr>
            </w:pPr>
            <w:r>
              <w:rPr>
                <w:rFonts w:ascii="Arial" w:cs="Arial" w:eastAsia="Arial" w:hAnsi="Arial"/>
                <w:sz w:val="17"/>
                <w:szCs w:val="17"/>
                <w:color w:val="auto"/>
              </w:rPr>
              <w:t>Deferred revenue</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74.7</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63.7</w:t>
            </w:r>
          </w:p>
        </w:tc>
        <w:tc>
          <w:tcPr>
            <w:tcW w:w="0" w:type="dxa"/>
            <w:vAlign w:val="bottom"/>
          </w:tcPr>
          <w:p>
            <w:pPr>
              <w:spacing w:after="0"/>
              <w:rPr>
                <w:sz w:val="1"/>
                <w:szCs w:val="1"/>
                <w:color w:val="auto"/>
              </w:rPr>
            </w:pPr>
          </w:p>
        </w:tc>
      </w:tr>
      <w:tr>
        <w:trPr>
          <w:trHeight w:val="219"/>
        </w:trPr>
        <w:tc>
          <w:tcPr>
            <w:tcW w:w="7740" w:type="dxa"/>
            <w:vAlign w:val="bottom"/>
            <w:gridSpan w:val="2"/>
            <w:shd w:val="clear" w:color="auto" w:fill="DCE2EF"/>
          </w:tcPr>
          <w:p>
            <w:pPr>
              <w:ind w:left="320"/>
              <w:spacing w:after="0"/>
              <w:rPr>
                <w:sz w:val="20"/>
                <w:szCs w:val="20"/>
                <w:color w:val="auto"/>
              </w:rPr>
            </w:pPr>
            <w:r>
              <w:rPr>
                <w:rFonts w:ascii="Arial" w:cs="Arial" w:eastAsia="Arial" w:hAnsi="Arial"/>
                <w:sz w:val="17"/>
                <w:szCs w:val="17"/>
                <w:color w:val="auto"/>
              </w:rPr>
              <w:t>Insurance claims</w:t>
            </w:r>
          </w:p>
        </w:tc>
        <w:tc>
          <w:tcPr>
            <w:tcW w:w="360" w:type="dxa"/>
            <w:vAlign w:val="bottom"/>
            <w:shd w:val="clear" w:color="auto" w:fill="DCE2EF"/>
          </w:tcPr>
          <w:p>
            <w:pPr>
              <w:spacing w:after="0"/>
              <w:rPr>
                <w:sz w:val="19"/>
                <w:szCs w:val="19"/>
                <w:color w:val="auto"/>
              </w:rPr>
            </w:pPr>
          </w:p>
        </w:tc>
        <w:tc>
          <w:tcPr>
            <w:tcW w:w="1260" w:type="dxa"/>
            <w:vAlign w:val="bottom"/>
            <w:shd w:val="clear" w:color="auto" w:fill="DCE2EF"/>
          </w:tcPr>
          <w:p>
            <w:pPr>
              <w:jc w:val="right"/>
              <w:spacing w:after="0"/>
              <w:rPr>
                <w:sz w:val="20"/>
                <w:szCs w:val="20"/>
                <w:color w:val="auto"/>
              </w:rPr>
            </w:pPr>
            <w:r>
              <w:rPr>
                <w:rFonts w:ascii="Arial" w:cs="Arial" w:eastAsia="Arial" w:hAnsi="Arial"/>
                <w:sz w:val="17"/>
                <w:szCs w:val="17"/>
                <w:color w:val="auto"/>
              </w:rPr>
              <w:t>200.8</w:t>
            </w:r>
          </w:p>
        </w:tc>
        <w:tc>
          <w:tcPr>
            <w:tcW w:w="100" w:type="dxa"/>
            <w:vAlign w:val="bottom"/>
            <w:shd w:val="clear" w:color="auto" w:fill="DCE2EF"/>
          </w:tcPr>
          <w:p>
            <w:pPr>
              <w:spacing w:after="0"/>
              <w:rPr>
                <w:sz w:val="19"/>
                <w:szCs w:val="19"/>
                <w:color w:val="auto"/>
              </w:rPr>
            </w:pPr>
          </w:p>
        </w:tc>
        <w:tc>
          <w:tcPr>
            <w:tcW w:w="500" w:type="dxa"/>
            <w:vAlign w:val="bottom"/>
            <w:shd w:val="clear" w:color="auto" w:fill="DCE2EF"/>
          </w:tcPr>
          <w:p>
            <w:pPr>
              <w:spacing w:after="0"/>
              <w:rPr>
                <w:sz w:val="19"/>
                <w:szCs w:val="19"/>
                <w:color w:val="auto"/>
              </w:rPr>
            </w:pPr>
          </w:p>
        </w:tc>
        <w:tc>
          <w:tcPr>
            <w:tcW w:w="1100" w:type="dxa"/>
            <w:vAlign w:val="bottom"/>
            <w:shd w:val="clear" w:color="auto" w:fill="DCE2EF"/>
          </w:tcPr>
          <w:p>
            <w:pPr>
              <w:jc w:val="right"/>
              <w:spacing w:after="0"/>
              <w:rPr>
                <w:sz w:val="20"/>
                <w:szCs w:val="20"/>
                <w:color w:val="auto"/>
              </w:rPr>
            </w:pPr>
            <w:r>
              <w:rPr>
                <w:rFonts w:ascii="Arial" w:cs="Arial" w:eastAsia="Arial" w:hAnsi="Arial"/>
                <w:sz w:val="17"/>
                <w:szCs w:val="17"/>
                <w:color w:val="auto"/>
              </w:rPr>
              <w:t>197.5</w:t>
            </w:r>
          </w:p>
        </w:tc>
        <w:tc>
          <w:tcPr>
            <w:tcW w:w="0" w:type="dxa"/>
            <w:vAlign w:val="bottom"/>
          </w:tcPr>
          <w:p>
            <w:pPr>
              <w:spacing w:after="0"/>
              <w:rPr>
                <w:sz w:val="1"/>
                <w:szCs w:val="1"/>
                <w:color w:val="auto"/>
              </w:rPr>
            </w:pPr>
          </w:p>
        </w:tc>
      </w:tr>
      <w:tr>
        <w:trPr>
          <w:trHeight w:val="219"/>
        </w:trPr>
        <w:tc>
          <w:tcPr>
            <w:tcW w:w="7740" w:type="dxa"/>
            <w:vAlign w:val="bottom"/>
            <w:gridSpan w:val="2"/>
          </w:tcPr>
          <w:p>
            <w:pPr>
              <w:ind w:left="320"/>
              <w:spacing w:after="0"/>
              <w:rPr>
                <w:sz w:val="20"/>
                <w:szCs w:val="20"/>
                <w:color w:val="auto"/>
              </w:rPr>
            </w:pPr>
            <w:r>
              <w:rPr>
                <w:rFonts w:ascii="Arial" w:cs="Arial" w:eastAsia="Arial" w:hAnsi="Arial"/>
                <w:sz w:val="17"/>
                <w:szCs w:val="17"/>
                <w:color w:val="auto"/>
              </w:rPr>
              <w:t>Income taxes payable</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4.0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4.8</w:t>
            </w:r>
          </w:p>
        </w:tc>
        <w:tc>
          <w:tcPr>
            <w:tcW w:w="0" w:type="dxa"/>
            <w:vAlign w:val="bottom"/>
          </w:tcPr>
          <w:p>
            <w:pPr>
              <w:spacing w:after="0"/>
              <w:rPr>
                <w:sz w:val="1"/>
                <w:szCs w:val="1"/>
                <w:color w:val="auto"/>
              </w:rPr>
            </w:pPr>
          </w:p>
        </w:tc>
      </w:tr>
      <w:tr>
        <w:trPr>
          <w:trHeight w:val="219"/>
        </w:trPr>
        <w:tc>
          <w:tcPr>
            <w:tcW w:w="7740" w:type="dxa"/>
            <w:vAlign w:val="bottom"/>
            <w:gridSpan w:val="2"/>
            <w:shd w:val="clear" w:color="auto" w:fill="DCE2EF"/>
          </w:tcPr>
          <w:p>
            <w:pPr>
              <w:ind w:left="320"/>
              <w:spacing w:after="0"/>
              <w:rPr>
                <w:sz w:val="20"/>
                <w:szCs w:val="20"/>
                <w:color w:val="auto"/>
              </w:rPr>
            </w:pPr>
            <w:r>
              <w:rPr>
                <w:rFonts w:ascii="Arial" w:cs="Arial" w:eastAsia="Arial" w:hAnsi="Arial"/>
                <w:sz w:val="17"/>
                <w:szCs w:val="17"/>
                <w:color w:val="auto"/>
              </w:rPr>
              <w:t>Current portion of lease liabilities</w:t>
            </w:r>
          </w:p>
        </w:tc>
        <w:tc>
          <w:tcPr>
            <w:tcW w:w="360" w:type="dxa"/>
            <w:vAlign w:val="bottom"/>
            <w:shd w:val="clear" w:color="auto" w:fill="DCE2EF"/>
          </w:tcPr>
          <w:p>
            <w:pPr>
              <w:spacing w:after="0"/>
              <w:rPr>
                <w:sz w:val="19"/>
                <w:szCs w:val="19"/>
                <w:color w:val="auto"/>
              </w:rPr>
            </w:pPr>
          </w:p>
        </w:tc>
        <w:tc>
          <w:tcPr>
            <w:tcW w:w="1260" w:type="dxa"/>
            <w:vAlign w:val="bottom"/>
            <w:shd w:val="clear" w:color="auto" w:fill="DCE2EF"/>
          </w:tcPr>
          <w:p>
            <w:pPr>
              <w:jc w:val="right"/>
              <w:spacing w:after="0"/>
              <w:rPr>
                <w:sz w:val="20"/>
                <w:szCs w:val="20"/>
                <w:color w:val="auto"/>
              </w:rPr>
            </w:pPr>
            <w:r>
              <w:rPr>
                <w:rFonts w:ascii="Arial" w:cs="Arial" w:eastAsia="Arial" w:hAnsi="Arial"/>
                <w:sz w:val="17"/>
                <w:szCs w:val="17"/>
                <w:color w:val="auto"/>
              </w:rPr>
              <w:t>28.2</w:t>
            </w:r>
          </w:p>
        </w:tc>
        <w:tc>
          <w:tcPr>
            <w:tcW w:w="100" w:type="dxa"/>
            <w:vAlign w:val="bottom"/>
            <w:shd w:val="clear" w:color="auto" w:fill="DCE2EF"/>
          </w:tcPr>
          <w:p>
            <w:pPr>
              <w:spacing w:after="0"/>
              <w:rPr>
                <w:sz w:val="19"/>
                <w:szCs w:val="19"/>
                <w:color w:val="auto"/>
              </w:rPr>
            </w:pPr>
          </w:p>
        </w:tc>
        <w:tc>
          <w:tcPr>
            <w:tcW w:w="500" w:type="dxa"/>
            <w:vAlign w:val="bottom"/>
            <w:shd w:val="clear" w:color="auto" w:fill="DCE2EF"/>
          </w:tcPr>
          <w:p>
            <w:pPr>
              <w:spacing w:after="0"/>
              <w:rPr>
                <w:sz w:val="19"/>
                <w:szCs w:val="19"/>
                <w:color w:val="auto"/>
              </w:rPr>
            </w:pPr>
          </w:p>
        </w:tc>
        <w:tc>
          <w:tcPr>
            <w:tcW w:w="1100" w:type="dxa"/>
            <w:vAlign w:val="bottom"/>
            <w:shd w:val="clear" w:color="auto" w:fill="DCE2EF"/>
          </w:tcPr>
          <w:p>
            <w:pPr>
              <w:jc w:val="right"/>
              <w:spacing w:after="0"/>
              <w:rPr>
                <w:sz w:val="20"/>
                <w:szCs w:val="20"/>
                <w:color w:val="auto"/>
              </w:rPr>
            </w:pPr>
            <w:r>
              <w:rPr>
                <w:rFonts w:ascii="Arial" w:cs="Arial" w:eastAsia="Arial" w:hAnsi="Arial"/>
                <w:sz w:val="17"/>
                <w:szCs w:val="17"/>
                <w:color w:val="auto"/>
              </w:rPr>
              <w:t>26.6</w:t>
            </w:r>
          </w:p>
        </w:tc>
        <w:tc>
          <w:tcPr>
            <w:tcW w:w="0" w:type="dxa"/>
            <w:vAlign w:val="bottom"/>
          </w:tcPr>
          <w:p>
            <w:pPr>
              <w:spacing w:after="0"/>
              <w:rPr>
                <w:sz w:val="1"/>
                <w:szCs w:val="1"/>
                <w:color w:val="auto"/>
              </w:rPr>
            </w:pPr>
          </w:p>
        </w:tc>
      </w:tr>
      <w:tr>
        <w:trPr>
          <w:trHeight w:val="219"/>
        </w:trPr>
        <w:tc>
          <w:tcPr>
            <w:tcW w:w="7740" w:type="dxa"/>
            <w:vAlign w:val="bottom"/>
            <w:tcBorders>
              <w:bottom w:val="single" w:sz="8" w:color="DCE2EF"/>
            </w:tcBorders>
            <w:gridSpan w:val="2"/>
          </w:tcPr>
          <w:p>
            <w:pPr>
              <w:ind w:left="320"/>
              <w:spacing w:after="0"/>
              <w:rPr>
                <w:sz w:val="20"/>
                <w:szCs w:val="20"/>
                <w:color w:val="auto"/>
              </w:rPr>
            </w:pPr>
            <w:r>
              <w:rPr>
                <w:rFonts w:ascii="Arial" w:cs="Arial" w:eastAsia="Arial" w:hAnsi="Arial"/>
                <w:sz w:val="17"/>
                <w:szCs w:val="17"/>
                <w:color w:val="auto"/>
              </w:rPr>
              <w:t>Other accrued liabilities</w:t>
            </w: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324.1</w:t>
            </w:r>
          </w:p>
        </w:tc>
        <w:tc>
          <w:tcPr>
            <w:tcW w:w="100" w:type="dxa"/>
            <w:vAlign w:val="bottom"/>
            <w:tcBorders>
              <w:bottom w:val="single" w:sz="8" w:color="DCE2E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348.2</w:t>
            </w:r>
          </w:p>
        </w:tc>
        <w:tc>
          <w:tcPr>
            <w:tcW w:w="0" w:type="dxa"/>
            <w:vAlign w:val="bottom"/>
          </w:tcPr>
          <w:p>
            <w:pPr>
              <w:spacing w:after="0"/>
              <w:rPr>
                <w:sz w:val="1"/>
                <w:szCs w:val="1"/>
                <w:color w:val="auto"/>
              </w:rPr>
            </w:pPr>
          </w:p>
        </w:tc>
      </w:tr>
      <w:tr>
        <w:trPr>
          <w:trHeight w:val="212"/>
        </w:trPr>
        <w:tc>
          <w:tcPr>
            <w:tcW w:w="7740" w:type="dxa"/>
            <w:vAlign w:val="bottom"/>
            <w:gridSpan w:val="2"/>
            <w:shd w:val="clear" w:color="auto" w:fill="DCE2EF"/>
          </w:tcPr>
          <w:p>
            <w:pPr>
              <w:ind w:left="620"/>
              <w:spacing w:after="0"/>
              <w:rPr>
                <w:sz w:val="20"/>
                <w:szCs w:val="20"/>
                <w:color w:val="auto"/>
              </w:rPr>
            </w:pPr>
            <w:r>
              <w:rPr>
                <w:rFonts w:ascii="Arial" w:cs="Arial" w:eastAsia="Arial" w:hAnsi="Arial"/>
                <w:sz w:val="17"/>
                <w:szCs w:val="17"/>
                <w:color w:val="auto"/>
              </w:rPr>
              <w:t>Total current liabilities</w:t>
            </w:r>
          </w:p>
        </w:tc>
        <w:tc>
          <w:tcPr>
            <w:tcW w:w="360" w:type="dxa"/>
            <w:vAlign w:val="bottom"/>
            <w:tcBorders>
              <w:bottom w:val="single" w:sz="8" w:color="auto"/>
            </w:tcBorders>
            <w:shd w:val="clear" w:color="auto" w:fill="DCE2EF"/>
          </w:tcPr>
          <w:p>
            <w:pPr>
              <w:spacing w:after="0"/>
              <w:rPr>
                <w:sz w:val="18"/>
                <w:szCs w:val="18"/>
                <w:color w:val="auto"/>
              </w:rPr>
            </w:pPr>
          </w:p>
        </w:tc>
        <w:tc>
          <w:tcPr>
            <w:tcW w:w="126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7"/>
                <w:szCs w:val="17"/>
                <w:color w:val="auto"/>
              </w:rPr>
              <w:t>1,305.7</w:t>
            </w:r>
          </w:p>
        </w:tc>
        <w:tc>
          <w:tcPr>
            <w:tcW w:w="100" w:type="dxa"/>
            <w:vAlign w:val="bottom"/>
            <w:shd w:val="clear" w:color="auto" w:fill="DCE2EF"/>
          </w:tcPr>
          <w:p>
            <w:pPr>
              <w:spacing w:after="0"/>
              <w:rPr>
                <w:sz w:val="18"/>
                <w:szCs w:val="18"/>
                <w:color w:val="auto"/>
              </w:rPr>
            </w:pPr>
          </w:p>
        </w:tc>
        <w:tc>
          <w:tcPr>
            <w:tcW w:w="500" w:type="dxa"/>
            <w:vAlign w:val="bottom"/>
            <w:tcBorders>
              <w:bottom w:val="single" w:sz="8" w:color="auto"/>
            </w:tcBorders>
            <w:shd w:val="clear" w:color="auto" w:fill="DCE2EF"/>
          </w:tcPr>
          <w:p>
            <w:pPr>
              <w:spacing w:after="0"/>
              <w:rPr>
                <w:sz w:val="18"/>
                <w:szCs w:val="18"/>
                <w:color w:val="auto"/>
              </w:rPr>
            </w:pPr>
          </w:p>
        </w:tc>
        <w:tc>
          <w:tcPr>
            <w:tcW w:w="110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7"/>
                <w:szCs w:val="17"/>
                <w:color w:val="auto"/>
              </w:rPr>
              <w:t>1,348.4</w:t>
            </w:r>
          </w:p>
        </w:tc>
        <w:tc>
          <w:tcPr>
            <w:tcW w:w="0" w:type="dxa"/>
            <w:vAlign w:val="bottom"/>
          </w:tcPr>
          <w:p>
            <w:pPr>
              <w:spacing w:after="0"/>
              <w:rPr>
                <w:sz w:val="1"/>
                <w:szCs w:val="1"/>
                <w:color w:val="auto"/>
              </w:rPr>
            </w:pPr>
          </w:p>
        </w:tc>
      </w:tr>
      <w:tr>
        <w:trPr>
          <w:trHeight w:val="212"/>
        </w:trPr>
        <w:tc>
          <w:tcPr>
            <w:tcW w:w="7740" w:type="dxa"/>
            <w:vAlign w:val="bottom"/>
            <w:gridSpan w:val="2"/>
          </w:tcPr>
          <w:p>
            <w:pPr>
              <w:spacing w:after="0"/>
              <w:rPr>
                <w:sz w:val="20"/>
                <w:szCs w:val="20"/>
                <w:color w:val="auto"/>
              </w:rPr>
            </w:pPr>
            <w:r>
              <w:rPr>
                <w:rFonts w:ascii="Arial" w:cs="Arial" w:eastAsia="Arial" w:hAnsi="Arial"/>
                <w:sz w:val="17"/>
                <w:szCs w:val="17"/>
                <w:color w:val="auto"/>
              </w:rPr>
              <w:t>Long-term debt, net</w:t>
            </w: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1,537.1</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1,302.2</w:t>
            </w:r>
          </w:p>
        </w:tc>
        <w:tc>
          <w:tcPr>
            <w:tcW w:w="0" w:type="dxa"/>
            <w:vAlign w:val="bottom"/>
          </w:tcPr>
          <w:p>
            <w:pPr>
              <w:spacing w:after="0"/>
              <w:rPr>
                <w:sz w:val="1"/>
                <w:szCs w:val="1"/>
                <w:color w:val="auto"/>
              </w:rPr>
            </w:pPr>
          </w:p>
        </w:tc>
      </w:tr>
      <w:tr>
        <w:trPr>
          <w:trHeight w:val="219"/>
        </w:trPr>
        <w:tc>
          <w:tcPr>
            <w:tcW w:w="7740" w:type="dxa"/>
            <w:vAlign w:val="bottom"/>
            <w:gridSpan w:val="2"/>
            <w:shd w:val="clear" w:color="auto" w:fill="DCE2EF"/>
          </w:tcPr>
          <w:p>
            <w:pPr>
              <w:spacing w:after="0"/>
              <w:rPr>
                <w:sz w:val="20"/>
                <w:szCs w:val="20"/>
                <w:color w:val="auto"/>
              </w:rPr>
            </w:pPr>
            <w:r>
              <w:rPr>
                <w:rFonts w:ascii="Arial" w:cs="Arial" w:eastAsia="Arial" w:hAnsi="Arial"/>
                <w:sz w:val="17"/>
                <w:szCs w:val="17"/>
                <w:color w:val="auto"/>
              </w:rPr>
              <w:t>Long-term lease liabilities</w:t>
            </w:r>
          </w:p>
        </w:tc>
        <w:tc>
          <w:tcPr>
            <w:tcW w:w="360" w:type="dxa"/>
            <w:vAlign w:val="bottom"/>
            <w:shd w:val="clear" w:color="auto" w:fill="DCE2EF"/>
          </w:tcPr>
          <w:p>
            <w:pPr>
              <w:spacing w:after="0"/>
              <w:rPr>
                <w:sz w:val="19"/>
                <w:szCs w:val="19"/>
                <w:color w:val="auto"/>
              </w:rPr>
            </w:pPr>
          </w:p>
        </w:tc>
        <w:tc>
          <w:tcPr>
            <w:tcW w:w="1260" w:type="dxa"/>
            <w:vAlign w:val="bottom"/>
            <w:shd w:val="clear" w:color="auto" w:fill="DCE2EF"/>
          </w:tcPr>
          <w:p>
            <w:pPr>
              <w:jc w:val="right"/>
              <w:spacing w:after="0"/>
              <w:rPr>
                <w:sz w:val="20"/>
                <w:szCs w:val="20"/>
                <w:color w:val="auto"/>
              </w:rPr>
            </w:pPr>
            <w:r>
              <w:rPr>
                <w:rFonts w:ascii="Arial" w:cs="Arial" w:eastAsia="Arial" w:hAnsi="Arial"/>
                <w:sz w:val="17"/>
                <w:szCs w:val="17"/>
                <w:color w:val="auto"/>
              </w:rPr>
              <w:t>83.7</w:t>
            </w:r>
          </w:p>
        </w:tc>
        <w:tc>
          <w:tcPr>
            <w:tcW w:w="100" w:type="dxa"/>
            <w:vAlign w:val="bottom"/>
            <w:shd w:val="clear" w:color="auto" w:fill="DCE2EF"/>
          </w:tcPr>
          <w:p>
            <w:pPr>
              <w:spacing w:after="0"/>
              <w:rPr>
                <w:sz w:val="19"/>
                <w:szCs w:val="19"/>
                <w:color w:val="auto"/>
              </w:rPr>
            </w:pPr>
          </w:p>
        </w:tc>
        <w:tc>
          <w:tcPr>
            <w:tcW w:w="500" w:type="dxa"/>
            <w:vAlign w:val="bottom"/>
            <w:shd w:val="clear" w:color="auto" w:fill="DCE2EF"/>
          </w:tcPr>
          <w:p>
            <w:pPr>
              <w:spacing w:after="0"/>
              <w:rPr>
                <w:sz w:val="19"/>
                <w:szCs w:val="19"/>
                <w:color w:val="auto"/>
              </w:rPr>
            </w:pPr>
          </w:p>
        </w:tc>
        <w:tc>
          <w:tcPr>
            <w:tcW w:w="1100" w:type="dxa"/>
            <w:vAlign w:val="bottom"/>
            <w:shd w:val="clear" w:color="auto" w:fill="DCE2EF"/>
          </w:tcPr>
          <w:p>
            <w:pPr>
              <w:jc w:val="right"/>
              <w:spacing w:after="0"/>
              <w:rPr>
                <w:sz w:val="20"/>
                <w:szCs w:val="20"/>
                <w:color w:val="auto"/>
              </w:rPr>
            </w:pPr>
            <w:r>
              <w:rPr>
                <w:rFonts w:ascii="Arial" w:cs="Arial" w:eastAsia="Arial" w:hAnsi="Arial"/>
                <w:sz w:val="17"/>
                <w:szCs w:val="17"/>
                <w:color w:val="auto"/>
              </w:rPr>
              <w:t>92.0</w:t>
            </w:r>
          </w:p>
        </w:tc>
        <w:tc>
          <w:tcPr>
            <w:tcW w:w="0" w:type="dxa"/>
            <w:vAlign w:val="bottom"/>
          </w:tcPr>
          <w:p>
            <w:pPr>
              <w:spacing w:after="0"/>
              <w:rPr>
                <w:sz w:val="1"/>
                <w:szCs w:val="1"/>
                <w:color w:val="auto"/>
              </w:rPr>
            </w:pPr>
          </w:p>
        </w:tc>
      </w:tr>
      <w:tr>
        <w:trPr>
          <w:trHeight w:val="219"/>
        </w:trPr>
        <w:tc>
          <w:tcPr>
            <w:tcW w:w="7740" w:type="dxa"/>
            <w:vAlign w:val="bottom"/>
            <w:gridSpan w:val="2"/>
          </w:tcPr>
          <w:p>
            <w:pPr>
              <w:spacing w:after="0"/>
              <w:rPr>
                <w:sz w:val="20"/>
                <w:szCs w:val="20"/>
                <w:color w:val="auto"/>
              </w:rPr>
            </w:pPr>
            <w:r>
              <w:rPr>
                <w:rFonts w:ascii="Arial" w:cs="Arial" w:eastAsia="Arial" w:hAnsi="Arial"/>
                <w:sz w:val="17"/>
                <w:szCs w:val="17"/>
                <w:color w:val="auto"/>
              </w:rPr>
              <w:t>Deferred income tax liability, net</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39.9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60.2</w:t>
            </w:r>
          </w:p>
        </w:tc>
        <w:tc>
          <w:tcPr>
            <w:tcW w:w="0" w:type="dxa"/>
            <w:vAlign w:val="bottom"/>
          </w:tcPr>
          <w:p>
            <w:pPr>
              <w:spacing w:after="0"/>
              <w:rPr>
                <w:sz w:val="1"/>
                <w:szCs w:val="1"/>
                <w:color w:val="auto"/>
              </w:rPr>
            </w:pPr>
          </w:p>
        </w:tc>
      </w:tr>
      <w:tr>
        <w:trPr>
          <w:trHeight w:val="219"/>
        </w:trPr>
        <w:tc>
          <w:tcPr>
            <w:tcW w:w="7740" w:type="dxa"/>
            <w:vAlign w:val="bottom"/>
            <w:gridSpan w:val="2"/>
            <w:shd w:val="clear" w:color="auto" w:fill="DCE2EF"/>
          </w:tcPr>
          <w:p>
            <w:pPr>
              <w:spacing w:after="0"/>
              <w:rPr>
                <w:sz w:val="20"/>
                <w:szCs w:val="20"/>
                <w:color w:val="auto"/>
              </w:rPr>
            </w:pPr>
            <w:r>
              <w:rPr>
                <w:rFonts w:ascii="Arial" w:cs="Arial" w:eastAsia="Arial" w:hAnsi="Arial"/>
                <w:sz w:val="17"/>
                <w:szCs w:val="17"/>
                <w:color w:val="auto"/>
              </w:rPr>
              <w:t>Noncurrent insurance claims</w:t>
            </w:r>
          </w:p>
        </w:tc>
        <w:tc>
          <w:tcPr>
            <w:tcW w:w="360" w:type="dxa"/>
            <w:vAlign w:val="bottom"/>
            <w:shd w:val="clear" w:color="auto" w:fill="DCE2EF"/>
          </w:tcPr>
          <w:p>
            <w:pPr>
              <w:spacing w:after="0"/>
              <w:rPr>
                <w:sz w:val="19"/>
                <w:szCs w:val="19"/>
                <w:color w:val="auto"/>
              </w:rPr>
            </w:pPr>
          </w:p>
        </w:tc>
        <w:tc>
          <w:tcPr>
            <w:tcW w:w="1260" w:type="dxa"/>
            <w:vAlign w:val="bottom"/>
            <w:shd w:val="clear" w:color="auto" w:fill="DCE2EF"/>
          </w:tcPr>
          <w:p>
            <w:pPr>
              <w:jc w:val="right"/>
              <w:spacing w:after="0"/>
              <w:rPr>
                <w:sz w:val="20"/>
                <w:szCs w:val="20"/>
                <w:color w:val="auto"/>
              </w:rPr>
            </w:pPr>
            <w:r>
              <w:rPr>
                <w:rFonts w:ascii="Arial" w:cs="Arial" w:eastAsia="Arial" w:hAnsi="Arial"/>
                <w:sz w:val="17"/>
                <w:szCs w:val="17"/>
                <w:color w:val="auto"/>
              </w:rPr>
              <w:t>459.3</w:t>
            </w:r>
          </w:p>
        </w:tc>
        <w:tc>
          <w:tcPr>
            <w:tcW w:w="100" w:type="dxa"/>
            <w:vAlign w:val="bottom"/>
            <w:shd w:val="clear" w:color="auto" w:fill="DCE2EF"/>
          </w:tcPr>
          <w:p>
            <w:pPr>
              <w:spacing w:after="0"/>
              <w:rPr>
                <w:sz w:val="19"/>
                <w:szCs w:val="19"/>
                <w:color w:val="auto"/>
              </w:rPr>
            </w:pPr>
          </w:p>
        </w:tc>
        <w:tc>
          <w:tcPr>
            <w:tcW w:w="500" w:type="dxa"/>
            <w:vAlign w:val="bottom"/>
            <w:shd w:val="clear" w:color="auto" w:fill="DCE2EF"/>
          </w:tcPr>
          <w:p>
            <w:pPr>
              <w:spacing w:after="0"/>
              <w:rPr>
                <w:sz w:val="19"/>
                <w:szCs w:val="19"/>
                <w:color w:val="auto"/>
              </w:rPr>
            </w:pPr>
          </w:p>
        </w:tc>
        <w:tc>
          <w:tcPr>
            <w:tcW w:w="1100" w:type="dxa"/>
            <w:vAlign w:val="bottom"/>
            <w:shd w:val="clear" w:color="auto" w:fill="DCE2EF"/>
          </w:tcPr>
          <w:p>
            <w:pPr>
              <w:jc w:val="right"/>
              <w:spacing w:after="0"/>
              <w:rPr>
                <w:sz w:val="20"/>
                <w:szCs w:val="20"/>
                <w:color w:val="auto"/>
              </w:rPr>
            </w:pPr>
            <w:r>
              <w:rPr>
                <w:rFonts w:ascii="Arial" w:cs="Arial" w:eastAsia="Arial" w:hAnsi="Arial"/>
                <w:sz w:val="17"/>
                <w:szCs w:val="17"/>
                <w:color w:val="auto"/>
              </w:rPr>
              <w:t>421.8</w:t>
            </w:r>
          </w:p>
        </w:tc>
        <w:tc>
          <w:tcPr>
            <w:tcW w:w="0" w:type="dxa"/>
            <w:vAlign w:val="bottom"/>
          </w:tcPr>
          <w:p>
            <w:pPr>
              <w:spacing w:after="0"/>
              <w:rPr>
                <w:sz w:val="1"/>
                <w:szCs w:val="1"/>
                <w:color w:val="auto"/>
              </w:rPr>
            </w:pPr>
          </w:p>
        </w:tc>
      </w:tr>
      <w:tr>
        <w:trPr>
          <w:trHeight w:val="219"/>
        </w:trPr>
        <w:tc>
          <w:tcPr>
            <w:tcW w:w="7740" w:type="dxa"/>
            <w:vAlign w:val="bottom"/>
            <w:gridSpan w:val="2"/>
          </w:tcPr>
          <w:p>
            <w:pPr>
              <w:spacing w:after="0"/>
              <w:rPr>
                <w:sz w:val="20"/>
                <w:szCs w:val="20"/>
                <w:color w:val="auto"/>
              </w:rPr>
            </w:pPr>
            <w:r>
              <w:rPr>
                <w:rFonts w:ascii="Arial" w:cs="Arial" w:eastAsia="Arial" w:hAnsi="Arial"/>
                <w:sz w:val="17"/>
                <w:szCs w:val="17"/>
                <w:color w:val="auto"/>
              </w:rPr>
              <w:t>Other noncurrent liabilities</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54.3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86.8</w:t>
            </w:r>
          </w:p>
        </w:tc>
        <w:tc>
          <w:tcPr>
            <w:tcW w:w="0" w:type="dxa"/>
            <w:vAlign w:val="bottom"/>
          </w:tcPr>
          <w:p>
            <w:pPr>
              <w:spacing w:after="0"/>
              <w:rPr>
                <w:sz w:val="1"/>
                <w:szCs w:val="1"/>
                <w:color w:val="auto"/>
              </w:rPr>
            </w:pPr>
          </w:p>
        </w:tc>
      </w:tr>
      <w:tr>
        <w:trPr>
          <w:trHeight w:val="219"/>
        </w:trPr>
        <w:tc>
          <w:tcPr>
            <w:tcW w:w="7740" w:type="dxa"/>
            <w:vAlign w:val="bottom"/>
            <w:gridSpan w:val="2"/>
            <w:shd w:val="clear" w:color="auto" w:fill="DCE2EF"/>
          </w:tcPr>
          <w:p>
            <w:pPr>
              <w:spacing w:after="0"/>
              <w:rPr>
                <w:sz w:val="20"/>
                <w:szCs w:val="20"/>
                <w:color w:val="auto"/>
              </w:rPr>
            </w:pPr>
            <w:r>
              <w:rPr>
                <w:rFonts w:ascii="Arial" w:cs="Arial" w:eastAsia="Arial" w:hAnsi="Arial"/>
                <w:sz w:val="17"/>
                <w:szCs w:val="17"/>
                <w:color w:val="auto"/>
              </w:rPr>
              <w:t>Noncurrent income taxes payable</w:t>
            </w:r>
          </w:p>
        </w:tc>
        <w:tc>
          <w:tcPr>
            <w:tcW w:w="360" w:type="dxa"/>
            <w:vAlign w:val="bottom"/>
            <w:tcBorders>
              <w:bottom w:val="single" w:sz="8" w:color="auto"/>
            </w:tcBorders>
            <w:shd w:val="clear" w:color="auto" w:fill="DCE2EF"/>
          </w:tcPr>
          <w:p>
            <w:pPr>
              <w:spacing w:after="0"/>
              <w:rPr>
                <w:sz w:val="19"/>
                <w:szCs w:val="19"/>
                <w:color w:val="auto"/>
              </w:rPr>
            </w:pPr>
          </w:p>
        </w:tc>
        <w:tc>
          <w:tcPr>
            <w:tcW w:w="126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7"/>
                <w:szCs w:val="17"/>
                <w:color w:val="auto"/>
              </w:rPr>
              <w:t>3.9</w:t>
            </w:r>
          </w:p>
        </w:tc>
        <w:tc>
          <w:tcPr>
            <w:tcW w:w="100" w:type="dxa"/>
            <w:vAlign w:val="bottom"/>
            <w:shd w:val="clear" w:color="auto" w:fill="DCE2EF"/>
          </w:tcPr>
          <w:p>
            <w:pPr>
              <w:spacing w:after="0"/>
              <w:rPr>
                <w:sz w:val="19"/>
                <w:szCs w:val="19"/>
                <w:color w:val="auto"/>
              </w:rPr>
            </w:pPr>
          </w:p>
        </w:tc>
        <w:tc>
          <w:tcPr>
            <w:tcW w:w="500" w:type="dxa"/>
            <w:vAlign w:val="bottom"/>
            <w:tcBorders>
              <w:bottom w:val="single" w:sz="8" w:color="auto"/>
            </w:tcBorders>
            <w:shd w:val="clear" w:color="auto" w:fill="DCE2EF"/>
          </w:tcPr>
          <w:p>
            <w:pPr>
              <w:spacing w:after="0"/>
              <w:rPr>
                <w:sz w:val="19"/>
                <w:szCs w:val="19"/>
                <w:color w:val="auto"/>
              </w:rPr>
            </w:pPr>
          </w:p>
        </w:tc>
        <w:tc>
          <w:tcPr>
            <w:tcW w:w="110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7"/>
                <w:szCs w:val="17"/>
                <w:color w:val="auto"/>
              </w:rPr>
              <w:t>3.8</w:t>
            </w:r>
          </w:p>
        </w:tc>
        <w:tc>
          <w:tcPr>
            <w:tcW w:w="0" w:type="dxa"/>
            <w:vAlign w:val="bottom"/>
          </w:tcPr>
          <w:p>
            <w:pPr>
              <w:spacing w:after="0"/>
              <w:rPr>
                <w:sz w:val="1"/>
                <w:szCs w:val="1"/>
                <w:color w:val="auto"/>
              </w:rPr>
            </w:pPr>
          </w:p>
        </w:tc>
      </w:tr>
      <w:tr>
        <w:trPr>
          <w:trHeight w:val="212"/>
        </w:trPr>
        <w:tc>
          <w:tcPr>
            <w:tcW w:w="7740" w:type="dxa"/>
            <w:vAlign w:val="bottom"/>
            <w:tcBorders>
              <w:bottom w:val="single" w:sz="8" w:color="DCE2EF"/>
            </w:tcBorders>
            <w:gridSpan w:val="2"/>
          </w:tcPr>
          <w:p>
            <w:pPr>
              <w:ind w:left="320"/>
              <w:spacing w:after="0"/>
              <w:rPr>
                <w:sz w:val="20"/>
                <w:szCs w:val="20"/>
                <w:color w:val="auto"/>
              </w:rPr>
            </w:pPr>
            <w:r>
              <w:rPr>
                <w:rFonts w:ascii="Arial" w:cs="Arial" w:eastAsia="Arial" w:hAnsi="Arial"/>
                <w:sz w:val="17"/>
                <w:szCs w:val="17"/>
                <w:color w:val="auto"/>
              </w:rPr>
              <w:t>Total liabilities</w:t>
            </w: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3,483.8</w:t>
            </w:r>
          </w:p>
        </w:tc>
        <w:tc>
          <w:tcPr>
            <w:tcW w:w="100" w:type="dxa"/>
            <w:vAlign w:val="bottom"/>
            <w:tcBorders>
              <w:bottom w:val="single" w:sz="8" w:color="DCE2E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3,315.2</w:t>
            </w:r>
          </w:p>
        </w:tc>
        <w:tc>
          <w:tcPr>
            <w:tcW w:w="0" w:type="dxa"/>
            <w:vAlign w:val="bottom"/>
          </w:tcPr>
          <w:p>
            <w:pPr>
              <w:spacing w:after="0"/>
              <w:rPr>
                <w:sz w:val="1"/>
                <w:szCs w:val="1"/>
                <w:color w:val="auto"/>
              </w:rPr>
            </w:pPr>
          </w:p>
        </w:tc>
      </w:tr>
      <w:tr>
        <w:trPr>
          <w:trHeight w:val="199"/>
        </w:trPr>
        <w:tc>
          <w:tcPr>
            <w:tcW w:w="7740" w:type="dxa"/>
            <w:vAlign w:val="bottom"/>
            <w:gridSpan w:val="2"/>
            <w:shd w:val="clear" w:color="auto" w:fill="DCE2EF"/>
          </w:tcPr>
          <w:p>
            <w:pPr>
              <w:spacing w:after="0"/>
              <w:rPr>
                <w:sz w:val="20"/>
                <w:szCs w:val="20"/>
                <w:color w:val="auto"/>
              </w:rPr>
            </w:pPr>
            <w:r>
              <w:rPr>
                <w:rFonts w:ascii="Arial" w:cs="Arial" w:eastAsia="Arial" w:hAnsi="Arial"/>
                <w:sz w:val="17"/>
                <w:szCs w:val="17"/>
                <w:color w:val="auto"/>
              </w:rPr>
              <w:t>Commitments and contingencies</w:t>
            </w:r>
          </w:p>
        </w:tc>
        <w:tc>
          <w:tcPr>
            <w:tcW w:w="360" w:type="dxa"/>
            <w:vAlign w:val="bottom"/>
            <w:shd w:val="clear" w:color="auto" w:fill="DCE2EF"/>
          </w:tcPr>
          <w:p>
            <w:pPr>
              <w:spacing w:after="0"/>
              <w:rPr>
                <w:sz w:val="17"/>
                <w:szCs w:val="17"/>
                <w:color w:val="auto"/>
              </w:rPr>
            </w:pPr>
          </w:p>
        </w:tc>
        <w:tc>
          <w:tcPr>
            <w:tcW w:w="1260" w:type="dxa"/>
            <w:vAlign w:val="bottom"/>
            <w:shd w:val="clear" w:color="auto" w:fill="DCE2EF"/>
          </w:tcPr>
          <w:p>
            <w:pPr>
              <w:spacing w:after="0"/>
              <w:rPr>
                <w:sz w:val="17"/>
                <w:szCs w:val="17"/>
                <w:color w:val="auto"/>
              </w:rPr>
            </w:pPr>
          </w:p>
        </w:tc>
        <w:tc>
          <w:tcPr>
            <w:tcW w:w="100" w:type="dxa"/>
            <w:vAlign w:val="bottom"/>
            <w:shd w:val="clear" w:color="auto" w:fill="DCE2EF"/>
          </w:tcPr>
          <w:p>
            <w:pPr>
              <w:spacing w:after="0"/>
              <w:rPr>
                <w:sz w:val="17"/>
                <w:szCs w:val="17"/>
                <w:color w:val="auto"/>
              </w:rPr>
            </w:pPr>
          </w:p>
        </w:tc>
        <w:tc>
          <w:tcPr>
            <w:tcW w:w="500" w:type="dxa"/>
            <w:vAlign w:val="bottom"/>
            <w:shd w:val="clear" w:color="auto" w:fill="DCE2EF"/>
          </w:tcPr>
          <w:p>
            <w:pPr>
              <w:spacing w:after="0"/>
              <w:rPr>
                <w:sz w:val="17"/>
                <w:szCs w:val="17"/>
                <w:color w:val="auto"/>
              </w:rPr>
            </w:pPr>
          </w:p>
        </w:tc>
        <w:tc>
          <w:tcPr>
            <w:tcW w:w="1100" w:type="dxa"/>
            <w:vAlign w:val="bottom"/>
            <w:shd w:val="clear" w:color="auto" w:fill="DCE2E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740" w:type="dxa"/>
            <w:vAlign w:val="bottom"/>
            <w:gridSpan w:val="2"/>
          </w:tcPr>
          <w:p>
            <w:pPr>
              <w:spacing w:after="0"/>
              <w:rPr>
                <w:sz w:val="20"/>
                <w:szCs w:val="20"/>
                <w:color w:val="auto"/>
              </w:rPr>
            </w:pPr>
            <w:r>
              <w:rPr>
                <w:rFonts w:ascii="Arial" w:cs="Arial" w:eastAsia="Arial" w:hAnsi="Arial"/>
                <w:sz w:val="17"/>
                <w:szCs w:val="17"/>
                <w:b w:val="1"/>
                <w:bCs w:val="1"/>
                <w:color w:val="auto"/>
              </w:rPr>
              <w:t>Stockholders’ Equity</w:t>
            </w: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740" w:type="dxa"/>
            <w:vAlign w:val="bottom"/>
            <w:gridSpan w:val="2"/>
            <w:shd w:val="clear" w:color="auto" w:fill="DCE2EF"/>
          </w:tcPr>
          <w:p>
            <w:pPr>
              <w:spacing w:after="0"/>
              <w:rPr>
                <w:sz w:val="20"/>
                <w:szCs w:val="20"/>
                <w:color w:val="auto"/>
              </w:rPr>
            </w:pPr>
            <w:r>
              <w:rPr>
                <w:rFonts w:ascii="Arial" w:cs="Arial" w:eastAsia="Arial" w:hAnsi="Arial"/>
                <w:sz w:val="17"/>
                <w:szCs w:val="17"/>
                <w:color w:val="auto"/>
              </w:rPr>
              <w:t>Preferred stock, $0.01 par value; 500,000 shares authorized; none issued</w:t>
            </w:r>
          </w:p>
        </w:tc>
        <w:tc>
          <w:tcPr>
            <w:tcW w:w="360" w:type="dxa"/>
            <w:vAlign w:val="bottom"/>
            <w:shd w:val="clear" w:color="auto" w:fill="DCE2EF"/>
          </w:tcPr>
          <w:p>
            <w:pPr>
              <w:spacing w:after="0"/>
              <w:rPr>
                <w:sz w:val="19"/>
                <w:szCs w:val="19"/>
                <w:color w:val="auto"/>
              </w:rPr>
            </w:pPr>
          </w:p>
        </w:tc>
        <w:tc>
          <w:tcPr>
            <w:tcW w:w="1360" w:type="dxa"/>
            <w:vAlign w:val="bottom"/>
            <w:gridSpan w:val="2"/>
            <w:shd w:val="clear" w:color="auto" w:fill="DCE2EF"/>
          </w:tcPr>
          <w:p>
            <w:pPr>
              <w:jc w:val="right"/>
              <w:ind w:right="180"/>
              <w:spacing w:after="0"/>
              <w:rPr>
                <w:sz w:val="20"/>
                <w:szCs w:val="20"/>
                <w:color w:val="auto"/>
              </w:rPr>
            </w:pPr>
            <w:r>
              <w:rPr>
                <w:rFonts w:ascii="Arial" w:cs="Arial" w:eastAsia="Arial" w:hAnsi="Arial"/>
                <w:sz w:val="17"/>
                <w:szCs w:val="17"/>
                <w:color w:val="auto"/>
              </w:rPr>
              <w:t>—</w:t>
            </w:r>
          </w:p>
        </w:tc>
        <w:tc>
          <w:tcPr>
            <w:tcW w:w="500" w:type="dxa"/>
            <w:vAlign w:val="bottom"/>
            <w:shd w:val="clear" w:color="auto" w:fill="DCE2EF"/>
          </w:tcPr>
          <w:p>
            <w:pPr>
              <w:spacing w:after="0"/>
              <w:rPr>
                <w:sz w:val="19"/>
                <w:szCs w:val="19"/>
                <w:color w:val="auto"/>
              </w:rPr>
            </w:pPr>
          </w:p>
        </w:tc>
        <w:tc>
          <w:tcPr>
            <w:tcW w:w="1100" w:type="dxa"/>
            <w:vAlign w:val="bottom"/>
            <w:shd w:val="clear" w:color="auto" w:fill="DCE2E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68"/>
        </w:trPr>
        <w:tc>
          <w:tcPr>
            <w:tcW w:w="7740" w:type="dxa"/>
            <w:vAlign w:val="bottom"/>
            <w:gridSpan w:val="2"/>
          </w:tcPr>
          <w:p>
            <w:pPr>
              <w:spacing w:after="0" w:line="167" w:lineRule="exact"/>
              <w:rPr>
                <w:sz w:val="20"/>
                <w:szCs w:val="20"/>
                <w:color w:val="auto"/>
              </w:rPr>
            </w:pPr>
            <w:r>
              <w:rPr>
                <w:rFonts w:ascii="Arial" w:cs="Arial" w:eastAsia="Arial" w:hAnsi="Arial"/>
                <w:sz w:val="17"/>
                <w:szCs w:val="17"/>
                <w:color w:val="auto"/>
              </w:rPr>
              <w:t>Common stock, $0.01 par value; 100,000,000 shares authorized;</w:t>
            </w:r>
          </w:p>
        </w:tc>
        <w:tc>
          <w:tcPr>
            <w:tcW w:w="3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740" w:type="dxa"/>
            <w:vAlign w:val="bottom"/>
            <w:gridSpan w:val="2"/>
          </w:tcPr>
          <w:p>
            <w:pPr>
              <w:ind w:left="200"/>
              <w:spacing w:after="0" w:line="167" w:lineRule="exact"/>
              <w:rPr>
                <w:sz w:val="20"/>
                <w:szCs w:val="20"/>
                <w:color w:val="auto"/>
              </w:rPr>
            </w:pPr>
            <w:r>
              <w:rPr>
                <w:rFonts w:ascii="Arial" w:cs="Arial" w:eastAsia="Arial" w:hAnsi="Arial"/>
                <w:sz w:val="17"/>
                <w:szCs w:val="17"/>
                <w:color w:val="auto"/>
              </w:rPr>
              <w:t>60,176,611 and 62,196,665 shares issued and outstanding at</w:t>
            </w:r>
          </w:p>
        </w:tc>
        <w:tc>
          <w:tcPr>
            <w:tcW w:w="3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7740" w:type="dxa"/>
            <w:vAlign w:val="bottom"/>
            <w:gridSpan w:val="2"/>
          </w:tcPr>
          <w:p>
            <w:pPr>
              <w:ind w:left="200"/>
              <w:spacing w:after="0"/>
              <w:rPr>
                <w:sz w:val="20"/>
                <w:szCs w:val="20"/>
                <w:color w:val="auto"/>
              </w:rPr>
            </w:pPr>
            <w:r>
              <w:rPr>
                <w:rFonts w:ascii="Arial" w:cs="Arial" w:eastAsia="Arial" w:hAnsi="Arial"/>
                <w:sz w:val="17"/>
                <w:szCs w:val="17"/>
                <w:color w:val="auto"/>
              </w:rPr>
              <w:t>October 31, 2025 and 2024, respectively</w:t>
            </w:r>
          </w:p>
        </w:tc>
        <w:tc>
          <w:tcPr>
            <w:tcW w:w="3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0.6</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0.6</w:t>
            </w:r>
          </w:p>
        </w:tc>
        <w:tc>
          <w:tcPr>
            <w:tcW w:w="0" w:type="dxa"/>
            <w:vAlign w:val="bottom"/>
          </w:tcPr>
          <w:p>
            <w:pPr>
              <w:spacing w:after="0"/>
              <w:rPr>
                <w:sz w:val="1"/>
                <w:szCs w:val="1"/>
                <w:color w:val="auto"/>
              </w:rPr>
            </w:pPr>
          </w:p>
        </w:tc>
      </w:tr>
      <w:tr>
        <w:trPr>
          <w:trHeight w:val="219"/>
        </w:trPr>
        <w:tc>
          <w:tcPr>
            <w:tcW w:w="7740" w:type="dxa"/>
            <w:vAlign w:val="bottom"/>
            <w:gridSpan w:val="2"/>
            <w:shd w:val="clear" w:color="auto" w:fill="DCE2EF"/>
          </w:tcPr>
          <w:p>
            <w:pPr>
              <w:spacing w:after="0"/>
              <w:rPr>
                <w:sz w:val="20"/>
                <w:szCs w:val="20"/>
                <w:color w:val="auto"/>
              </w:rPr>
            </w:pPr>
            <w:r>
              <w:rPr>
                <w:rFonts w:ascii="Arial" w:cs="Arial" w:eastAsia="Arial" w:hAnsi="Arial"/>
                <w:sz w:val="17"/>
                <w:szCs w:val="17"/>
                <w:color w:val="auto"/>
              </w:rPr>
              <w:t>Additional paid-in capital</w:t>
            </w:r>
          </w:p>
        </w:tc>
        <w:tc>
          <w:tcPr>
            <w:tcW w:w="360" w:type="dxa"/>
            <w:vAlign w:val="bottom"/>
            <w:shd w:val="clear" w:color="auto" w:fill="DCE2EF"/>
          </w:tcPr>
          <w:p>
            <w:pPr>
              <w:spacing w:after="0"/>
              <w:rPr>
                <w:sz w:val="19"/>
                <w:szCs w:val="19"/>
                <w:color w:val="auto"/>
              </w:rPr>
            </w:pPr>
          </w:p>
        </w:tc>
        <w:tc>
          <w:tcPr>
            <w:tcW w:w="1260" w:type="dxa"/>
            <w:vAlign w:val="bottom"/>
            <w:shd w:val="clear" w:color="auto" w:fill="DCE2EF"/>
          </w:tcPr>
          <w:p>
            <w:pPr>
              <w:jc w:val="right"/>
              <w:spacing w:after="0"/>
              <w:rPr>
                <w:sz w:val="20"/>
                <w:szCs w:val="20"/>
                <w:color w:val="auto"/>
              </w:rPr>
            </w:pPr>
            <w:r>
              <w:rPr>
                <w:rFonts w:ascii="Arial" w:cs="Arial" w:eastAsia="Arial" w:hAnsi="Arial"/>
                <w:sz w:val="17"/>
                <w:szCs w:val="17"/>
                <w:color w:val="auto"/>
              </w:rPr>
              <w:t>437.4</w:t>
            </w:r>
          </w:p>
        </w:tc>
        <w:tc>
          <w:tcPr>
            <w:tcW w:w="100" w:type="dxa"/>
            <w:vAlign w:val="bottom"/>
            <w:shd w:val="clear" w:color="auto" w:fill="DCE2EF"/>
          </w:tcPr>
          <w:p>
            <w:pPr>
              <w:spacing w:after="0"/>
              <w:rPr>
                <w:sz w:val="19"/>
                <w:szCs w:val="19"/>
                <w:color w:val="auto"/>
              </w:rPr>
            </w:pPr>
          </w:p>
        </w:tc>
        <w:tc>
          <w:tcPr>
            <w:tcW w:w="500" w:type="dxa"/>
            <w:vAlign w:val="bottom"/>
            <w:shd w:val="clear" w:color="auto" w:fill="DCE2EF"/>
          </w:tcPr>
          <w:p>
            <w:pPr>
              <w:spacing w:after="0"/>
              <w:rPr>
                <w:sz w:val="19"/>
                <w:szCs w:val="19"/>
                <w:color w:val="auto"/>
              </w:rPr>
            </w:pPr>
          </w:p>
        </w:tc>
        <w:tc>
          <w:tcPr>
            <w:tcW w:w="1100" w:type="dxa"/>
            <w:vAlign w:val="bottom"/>
            <w:shd w:val="clear" w:color="auto" w:fill="DCE2EF"/>
          </w:tcPr>
          <w:p>
            <w:pPr>
              <w:jc w:val="right"/>
              <w:spacing w:after="0"/>
              <w:rPr>
                <w:sz w:val="20"/>
                <w:szCs w:val="20"/>
                <w:color w:val="auto"/>
              </w:rPr>
            </w:pPr>
            <w:r>
              <w:rPr>
                <w:rFonts w:ascii="Arial" w:cs="Arial" w:eastAsia="Arial" w:hAnsi="Arial"/>
                <w:sz w:val="17"/>
                <w:szCs w:val="17"/>
                <w:color w:val="auto"/>
              </w:rPr>
              <w:t>527.4</w:t>
            </w:r>
          </w:p>
        </w:tc>
        <w:tc>
          <w:tcPr>
            <w:tcW w:w="0" w:type="dxa"/>
            <w:vAlign w:val="bottom"/>
          </w:tcPr>
          <w:p>
            <w:pPr>
              <w:spacing w:after="0"/>
              <w:rPr>
                <w:sz w:val="1"/>
                <w:szCs w:val="1"/>
                <w:color w:val="auto"/>
              </w:rPr>
            </w:pPr>
          </w:p>
        </w:tc>
      </w:tr>
      <w:tr>
        <w:trPr>
          <w:trHeight w:val="219"/>
        </w:trPr>
        <w:tc>
          <w:tcPr>
            <w:tcW w:w="7740" w:type="dxa"/>
            <w:vAlign w:val="bottom"/>
            <w:gridSpan w:val="2"/>
          </w:tcPr>
          <w:p>
            <w:pPr>
              <w:spacing w:after="0"/>
              <w:rPr>
                <w:sz w:val="20"/>
                <w:szCs w:val="20"/>
                <w:color w:val="auto"/>
              </w:rPr>
            </w:pPr>
            <w:r>
              <w:rPr>
                <w:rFonts w:ascii="Arial" w:cs="Arial" w:eastAsia="Arial" w:hAnsi="Arial"/>
                <w:sz w:val="17"/>
                <w:szCs w:val="17"/>
                <w:color w:val="auto"/>
              </w:rPr>
              <w:t>Accumulated other comprehensive loss, net of taxes</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(20.5)</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(19.1)</w:t>
            </w:r>
          </w:p>
        </w:tc>
        <w:tc>
          <w:tcPr>
            <w:tcW w:w="0" w:type="dxa"/>
            <w:vAlign w:val="bottom"/>
          </w:tcPr>
          <w:p>
            <w:pPr>
              <w:spacing w:after="0"/>
              <w:rPr>
                <w:sz w:val="1"/>
                <w:szCs w:val="1"/>
                <w:color w:val="auto"/>
              </w:rPr>
            </w:pPr>
          </w:p>
        </w:tc>
      </w:tr>
      <w:tr>
        <w:trPr>
          <w:trHeight w:val="219"/>
        </w:trPr>
        <w:tc>
          <w:tcPr>
            <w:tcW w:w="7740" w:type="dxa"/>
            <w:vAlign w:val="bottom"/>
            <w:gridSpan w:val="2"/>
            <w:shd w:val="clear" w:color="auto" w:fill="DCE2EF"/>
          </w:tcPr>
          <w:p>
            <w:pPr>
              <w:spacing w:after="0"/>
              <w:rPr>
                <w:sz w:val="20"/>
                <w:szCs w:val="20"/>
                <w:color w:val="auto"/>
              </w:rPr>
            </w:pPr>
            <w:r>
              <w:rPr>
                <w:rFonts w:ascii="Arial" w:cs="Arial" w:eastAsia="Arial" w:hAnsi="Arial"/>
                <w:sz w:val="17"/>
                <w:szCs w:val="17"/>
                <w:color w:val="auto"/>
              </w:rPr>
              <w:t>Retained earnings</w:t>
            </w:r>
          </w:p>
        </w:tc>
        <w:tc>
          <w:tcPr>
            <w:tcW w:w="360" w:type="dxa"/>
            <w:vAlign w:val="bottom"/>
            <w:tcBorders>
              <w:bottom w:val="single" w:sz="8" w:color="auto"/>
            </w:tcBorders>
            <w:shd w:val="clear" w:color="auto" w:fill="DCE2EF"/>
          </w:tcPr>
          <w:p>
            <w:pPr>
              <w:spacing w:after="0"/>
              <w:rPr>
                <w:sz w:val="19"/>
                <w:szCs w:val="19"/>
                <w:color w:val="auto"/>
              </w:rPr>
            </w:pPr>
          </w:p>
        </w:tc>
        <w:tc>
          <w:tcPr>
            <w:tcW w:w="126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7"/>
                <w:szCs w:val="17"/>
                <w:color w:val="auto"/>
              </w:rPr>
              <w:t>1,368.1</w:t>
            </w:r>
          </w:p>
        </w:tc>
        <w:tc>
          <w:tcPr>
            <w:tcW w:w="100" w:type="dxa"/>
            <w:vAlign w:val="bottom"/>
            <w:shd w:val="clear" w:color="auto" w:fill="DCE2EF"/>
          </w:tcPr>
          <w:p>
            <w:pPr>
              <w:spacing w:after="0"/>
              <w:rPr>
                <w:sz w:val="19"/>
                <w:szCs w:val="19"/>
                <w:color w:val="auto"/>
              </w:rPr>
            </w:pPr>
          </w:p>
        </w:tc>
        <w:tc>
          <w:tcPr>
            <w:tcW w:w="500" w:type="dxa"/>
            <w:vAlign w:val="bottom"/>
            <w:tcBorders>
              <w:bottom w:val="single" w:sz="8" w:color="auto"/>
            </w:tcBorders>
            <w:shd w:val="clear" w:color="auto" w:fill="DCE2EF"/>
          </w:tcPr>
          <w:p>
            <w:pPr>
              <w:spacing w:after="0"/>
              <w:rPr>
                <w:sz w:val="19"/>
                <w:szCs w:val="19"/>
                <w:color w:val="auto"/>
              </w:rPr>
            </w:pPr>
          </w:p>
        </w:tc>
        <w:tc>
          <w:tcPr>
            <w:tcW w:w="110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7"/>
                <w:szCs w:val="17"/>
                <w:color w:val="auto"/>
              </w:rPr>
              <w:t>1,272.9</w:t>
            </w:r>
          </w:p>
        </w:tc>
        <w:tc>
          <w:tcPr>
            <w:tcW w:w="0" w:type="dxa"/>
            <w:vAlign w:val="bottom"/>
          </w:tcPr>
          <w:p>
            <w:pPr>
              <w:spacing w:after="0"/>
              <w:rPr>
                <w:sz w:val="1"/>
                <w:szCs w:val="1"/>
                <w:color w:val="auto"/>
              </w:rPr>
            </w:pPr>
          </w:p>
        </w:tc>
      </w:tr>
      <w:tr>
        <w:trPr>
          <w:trHeight w:val="212"/>
        </w:trPr>
        <w:tc>
          <w:tcPr>
            <w:tcW w:w="7740" w:type="dxa"/>
            <w:vAlign w:val="bottom"/>
            <w:tcBorders>
              <w:bottom w:val="single" w:sz="8" w:color="DCE2EF"/>
            </w:tcBorders>
            <w:gridSpan w:val="2"/>
          </w:tcPr>
          <w:p>
            <w:pPr>
              <w:ind w:left="320"/>
              <w:spacing w:after="0"/>
              <w:rPr>
                <w:sz w:val="20"/>
                <w:szCs w:val="20"/>
                <w:color w:val="auto"/>
              </w:rPr>
            </w:pPr>
            <w:r>
              <w:rPr>
                <w:rFonts w:ascii="Arial" w:cs="Arial" w:eastAsia="Arial" w:hAnsi="Arial"/>
                <w:sz w:val="17"/>
                <w:szCs w:val="17"/>
                <w:color w:val="auto"/>
              </w:rPr>
              <w:t>Total stockholders’ equity</w:t>
            </w: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1,785.6</w:t>
            </w:r>
          </w:p>
        </w:tc>
        <w:tc>
          <w:tcPr>
            <w:tcW w:w="100" w:type="dxa"/>
            <w:vAlign w:val="bottom"/>
            <w:tcBorders>
              <w:bottom w:val="single" w:sz="8" w:color="DCE2E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1,781.9</w:t>
            </w:r>
          </w:p>
        </w:tc>
        <w:tc>
          <w:tcPr>
            <w:tcW w:w="0" w:type="dxa"/>
            <w:vAlign w:val="bottom"/>
          </w:tcPr>
          <w:p>
            <w:pPr>
              <w:spacing w:after="0"/>
              <w:rPr>
                <w:sz w:val="1"/>
                <w:szCs w:val="1"/>
                <w:color w:val="auto"/>
              </w:rPr>
            </w:pPr>
          </w:p>
        </w:tc>
      </w:tr>
      <w:tr>
        <w:trPr>
          <w:trHeight w:val="237"/>
        </w:trPr>
        <w:tc>
          <w:tcPr>
            <w:tcW w:w="7740" w:type="dxa"/>
            <w:vAlign w:val="bottom"/>
            <w:tcBorders>
              <w:bottom w:val="single" w:sz="8" w:color="DCE2EF"/>
            </w:tcBorders>
            <w:gridSpan w:val="2"/>
            <w:shd w:val="clear" w:color="auto" w:fill="DCE2EF"/>
          </w:tcPr>
          <w:p>
            <w:pPr>
              <w:spacing w:after="0"/>
              <w:rPr>
                <w:sz w:val="20"/>
                <w:szCs w:val="20"/>
                <w:color w:val="auto"/>
              </w:rPr>
            </w:pPr>
            <w:r>
              <w:rPr>
                <w:rFonts w:ascii="Arial" w:cs="Arial" w:eastAsia="Arial" w:hAnsi="Arial"/>
                <w:sz w:val="17"/>
                <w:szCs w:val="17"/>
                <w:color w:val="auto"/>
              </w:rPr>
              <w:t>Total liabilities and stockholders’ equity</w:t>
            </w:r>
          </w:p>
        </w:tc>
        <w:tc>
          <w:tcPr>
            <w:tcW w:w="360" w:type="dxa"/>
            <w:vAlign w:val="bottom"/>
            <w:tcBorders>
              <w:bottom w:val="single" w:sz="8" w:color="auto"/>
            </w:tcBorders>
            <w:shd w:val="clear" w:color="auto" w:fill="DCE2EF"/>
          </w:tcPr>
          <w:p>
            <w:pPr>
              <w:jc w:val="right"/>
              <w:ind w:right="174"/>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7"/>
                <w:szCs w:val="17"/>
                <w:color w:val="auto"/>
              </w:rPr>
              <w:t>5,269.5</w:t>
            </w:r>
          </w:p>
        </w:tc>
        <w:tc>
          <w:tcPr>
            <w:tcW w:w="100" w:type="dxa"/>
            <w:vAlign w:val="bottom"/>
            <w:tcBorders>
              <w:bottom w:val="single" w:sz="8" w:color="DCE2EF"/>
            </w:tcBorders>
            <w:shd w:val="clear" w:color="auto" w:fill="DCE2EF"/>
          </w:tcPr>
          <w:p>
            <w:pPr>
              <w:spacing w:after="0"/>
              <w:rPr>
                <w:sz w:val="20"/>
                <w:szCs w:val="20"/>
                <w:color w:val="auto"/>
              </w:rPr>
            </w:pPr>
          </w:p>
        </w:tc>
        <w:tc>
          <w:tcPr>
            <w:tcW w:w="500" w:type="dxa"/>
            <w:vAlign w:val="bottom"/>
            <w:tcBorders>
              <w:bottom w:val="single" w:sz="8" w:color="auto"/>
            </w:tcBorders>
            <w:shd w:val="clear" w:color="auto" w:fill="DCE2EF"/>
          </w:tcPr>
          <w:p>
            <w:pPr>
              <w:jc w:val="right"/>
              <w:ind w:right="314"/>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7"/>
                <w:szCs w:val="17"/>
                <w:color w:val="auto"/>
              </w:rPr>
              <w:t>5,097.2</w:t>
            </w:r>
          </w:p>
        </w:tc>
        <w:tc>
          <w:tcPr>
            <w:tcW w:w="0" w:type="dxa"/>
            <w:vAlign w:val="bottom"/>
          </w:tcPr>
          <w:p>
            <w:pPr>
              <w:spacing w:after="0"/>
              <w:rPr>
                <w:sz w:val="1"/>
                <w:szCs w:val="1"/>
                <w:color w:val="auto"/>
              </w:rPr>
            </w:pPr>
          </w:p>
        </w:tc>
      </w:tr>
      <w:tr>
        <w:trPr>
          <w:trHeight w:val="20"/>
        </w:trPr>
        <w:tc>
          <w:tcPr>
            <w:tcW w:w="2720" w:type="dxa"/>
            <w:vAlign w:val="bottom"/>
            <w:tcBorders>
              <w:top w:val="single" w:sz="8" w:color="DCE2EF"/>
            </w:tcBorders>
          </w:tcPr>
          <w:p>
            <w:pPr>
              <w:spacing w:after="0" w:line="20" w:lineRule="exact"/>
              <w:rPr>
                <w:sz w:val="1"/>
                <w:szCs w:val="1"/>
                <w:color w:val="auto"/>
              </w:rPr>
            </w:pPr>
          </w:p>
        </w:tc>
        <w:tc>
          <w:tcPr>
            <w:tcW w:w="5020" w:type="dxa"/>
            <w:vAlign w:val="bottom"/>
            <w:tcBorders>
              <w:top w:val="single" w:sz="8" w:color="DCE2EF"/>
            </w:tcBorders>
          </w:tcPr>
          <w:p>
            <w:pPr>
              <w:spacing w:after="0" w:line="20" w:lineRule="exact"/>
              <w:rPr>
                <w:sz w:val="1"/>
                <w:szCs w:val="1"/>
                <w:color w:val="auto"/>
              </w:rPr>
            </w:pPr>
          </w:p>
        </w:tc>
        <w:tc>
          <w:tcPr>
            <w:tcW w:w="360" w:type="dxa"/>
            <w:vAlign w:val="bottom"/>
            <w:tcBorders>
              <w:top w:val="single" w:sz="8" w:color="DCE2EF"/>
              <w:bottom w:val="single" w:sz="8" w:color="auto"/>
            </w:tcBorders>
          </w:tcPr>
          <w:p>
            <w:pPr>
              <w:spacing w:after="0" w:line="20" w:lineRule="exact"/>
              <w:rPr>
                <w:sz w:val="1"/>
                <w:szCs w:val="1"/>
                <w:color w:val="auto"/>
              </w:rPr>
            </w:pPr>
          </w:p>
        </w:tc>
        <w:tc>
          <w:tcPr>
            <w:tcW w:w="1260" w:type="dxa"/>
            <w:vAlign w:val="bottom"/>
            <w:tcBorders>
              <w:top w:val="single" w:sz="8" w:color="DCE2EF"/>
              <w:bottom w:val="single" w:sz="8" w:color="auto"/>
            </w:tcBorders>
          </w:tcPr>
          <w:p>
            <w:pPr>
              <w:spacing w:after="0" w:line="20" w:lineRule="exact"/>
              <w:rPr>
                <w:sz w:val="1"/>
                <w:szCs w:val="1"/>
                <w:color w:val="auto"/>
              </w:rPr>
            </w:pPr>
          </w:p>
        </w:tc>
        <w:tc>
          <w:tcPr>
            <w:tcW w:w="100" w:type="dxa"/>
            <w:vAlign w:val="bottom"/>
            <w:tcBorders>
              <w:top w:val="single" w:sz="8" w:color="DCE2EF"/>
            </w:tcBorders>
          </w:tcPr>
          <w:p>
            <w:pPr>
              <w:spacing w:after="0" w:line="20" w:lineRule="exact"/>
              <w:rPr>
                <w:sz w:val="1"/>
                <w:szCs w:val="1"/>
                <w:color w:val="auto"/>
              </w:rPr>
            </w:pPr>
          </w:p>
        </w:tc>
        <w:tc>
          <w:tcPr>
            <w:tcW w:w="500" w:type="dxa"/>
            <w:vAlign w:val="bottom"/>
            <w:tcBorders>
              <w:top w:val="single" w:sz="8" w:color="DCE2EF"/>
              <w:bottom w:val="single" w:sz="8" w:color="auto"/>
            </w:tcBorders>
          </w:tcPr>
          <w:p>
            <w:pPr>
              <w:spacing w:after="0" w:line="20" w:lineRule="exact"/>
              <w:rPr>
                <w:sz w:val="1"/>
                <w:szCs w:val="1"/>
                <w:color w:val="auto"/>
              </w:rPr>
            </w:pPr>
          </w:p>
        </w:tc>
        <w:tc>
          <w:tcPr>
            <w:tcW w:w="1100" w:type="dxa"/>
            <w:vAlign w:val="bottom"/>
            <w:tcBorders>
              <w:top w:val="single" w:sz="8" w:color="DCE2E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See accompanying Notes to consolidated financial statements.</w:t>
      </w:r>
    </w:p>
    <w:p>
      <w:pPr>
        <w:sectPr>
          <w:pgSz w:w="11900" w:h="16838" w:orient="portrait"/>
          <w:cols w:equalWidth="0" w:num="1">
            <w:col w:w="11160"/>
          </w:cols>
          <w:pgMar w:left="320" w:top="997" w:right="419" w:bottom="1440" w:gutter="0" w:footer="0" w:header="0"/>
        </w:sectPr>
      </w:pPr>
    </w:p>
    <w:p>
      <w:pPr>
        <w:spacing w:after="0" w:line="200" w:lineRule="exact"/>
        <w:rPr>
          <w:sz w:val="20"/>
          <w:szCs w:val="20"/>
          <w:color w:val="auto"/>
        </w:rPr>
      </w:pPr>
    </w:p>
    <w:p>
      <w:pPr>
        <w:spacing w:after="0" w:line="339"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60"/>
          </w:cols>
          <w:pgMar w:left="320" w:top="997" w:right="419" w:bottom="1440" w:gutter="0" w:footer="0" w:header="0"/>
          <w:type w:val="continuous"/>
        </w:sectPr>
      </w:pPr>
    </w:p>
    <w:bookmarkStart w:id="48" w:name="page49"/>
    <w:bookmarkEnd w:id="48"/>
    <w:p>
      <w:pPr>
        <w:jc w:val="center"/>
        <w:ind w:right="20"/>
        <w:spacing w:after="0"/>
        <w:rPr>
          <w:sz w:val="20"/>
          <w:szCs w:val="20"/>
          <w:color w:val="auto"/>
        </w:rPr>
      </w:pPr>
      <w:r>
        <w:rPr>
          <w:rFonts w:ascii="Arial" w:cs="Arial" w:eastAsia="Arial" w:hAnsi="Arial"/>
          <w:sz w:val="17"/>
          <w:szCs w:val="17"/>
          <w:b w:val="1"/>
          <w:bCs w:val="1"/>
          <w:color w:val="0046AD"/>
        </w:rPr>
        <w:t>ABM INDUSTRIES INCORPORATED AND SUBSIDIARIES</w:t>
      </w:r>
    </w:p>
    <w:p>
      <w:pPr>
        <w:spacing w:after="0" w:line="127"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0046AD"/>
        </w:rPr>
        <w:t>CONSOLIDATED STATEMENTS OF COMPREHENSIVE INCOME</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42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3260" w:type="dxa"/>
            <w:vAlign w:val="bottom"/>
            <w:tcBorders>
              <w:bottom w:val="single" w:sz="8" w:color="auto"/>
            </w:tcBorders>
            <w:gridSpan w:val="6"/>
          </w:tcPr>
          <w:p>
            <w:pPr>
              <w:jc w:val="right"/>
              <w:ind w:right="114"/>
              <w:spacing w:after="0"/>
              <w:rPr>
                <w:sz w:val="20"/>
                <w:szCs w:val="20"/>
                <w:color w:val="auto"/>
              </w:rPr>
            </w:pPr>
            <w:r>
              <w:rPr>
                <w:rFonts w:ascii="Arial" w:cs="Arial" w:eastAsia="Arial" w:hAnsi="Arial"/>
                <w:sz w:val="17"/>
                <w:szCs w:val="17"/>
                <w:b w:val="1"/>
                <w:bCs w:val="1"/>
                <w:color w:val="auto"/>
              </w:rPr>
              <w:t>Years Ended October 31,</w:t>
            </w:r>
          </w:p>
        </w:tc>
        <w:tc>
          <w:tcPr>
            <w:tcW w:w="1180" w:type="dxa"/>
            <w:vAlign w:val="bottom"/>
            <w:tcBorders>
              <w:bottom w:val="single" w:sz="8" w:color="auto"/>
            </w:tcBorders>
          </w:tcPr>
          <w:p>
            <w:pPr>
              <w:spacing w:after="0"/>
              <w:rPr>
                <w:sz w:val="19"/>
                <w:szCs w:val="19"/>
                <w:color w:val="auto"/>
              </w:rPr>
            </w:pPr>
          </w:p>
        </w:tc>
      </w:tr>
      <w:tr>
        <w:trPr>
          <w:trHeight w:val="160"/>
        </w:trPr>
        <w:tc>
          <w:tcPr>
            <w:tcW w:w="20" w:type="dxa"/>
            <w:vAlign w:val="bottom"/>
          </w:tcPr>
          <w:p>
            <w:pPr>
              <w:spacing w:after="0"/>
              <w:rPr>
                <w:sz w:val="13"/>
                <w:szCs w:val="13"/>
                <w:color w:val="auto"/>
              </w:rPr>
            </w:pPr>
          </w:p>
        </w:tc>
        <w:tc>
          <w:tcPr>
            <w:tcW w:w="6420" w:type="dxa"/>
            <w:vAlign w:val="bottom"/>
            <w:gridSpan w:val="2"/>
          </w:tcPr>
          <w:p>
            <w:pPr>
              <w:spacing w:after="0" w:line="148" w:lineRule="exact"/>
              <w:rPr>
                <w:sz w:val="20"/>
                <w:szCs w:val="20"/>
                <w:color w:val="auto"/>
              </w:rPr>
            </w:pPr>
            <w:r>
              <w:rPr>
                <w:rFonts w:ascii="Times New Roman" w:cs="Times New Roman" w:eastAsia="Times New Roman" w:hAnsi="Times New Roman"/>
                <w:sz w:val="14"/>
                <w:szCs w:val="14"/>
                <w:i w:val="1"/>
                <w:iCs w:val="1"/>
                <w:color w:val="auto"/>
              </w:rPr>
              <w:t>(in millions, except per share amounts)</w:t>
            </w:r>
          </w:p>
        </w:tc>
        <w:tc>
          <w:tcPr>
            <w:tcW w:w="340" w:type="dxa"/>
            <w:vAlign w:val="bottom"/>
          </w:tcPr>
          <w:p>
            <w:pPr>
              <w:spacing w:after="0"/>
              <w:rPr>
                <w:sz w:val="13"/>
                <w:szCs w:val="13"/>
                <w:color w:val="auto"/>
              </w:rPr>
            </w:pPr>
          </w:p>
        </w:tc>
        <w:tc>
          <w:tcPr>
            <w:tcW w:w="1180" w:type="dxa"/>
            <w:vAlign w:val="bottom"/>
          </w:tcPr>
          <w:p>
            <w:pPr>
              <w:jc w:val="right"/>
              <w:ind w:right="494"/>
              <w:spacing w:after="0" w:line="148" w:lineRule="exact"/>
              <w:rPr>
                <w:sz w:val="20"/>
                <w:szCs w:val="20"/>
                <w:color w:val="auto"/>
              </w:rPr>
            </w:pPr>
            <w:r>
              <w:rPr>
                <w:rFonts w:ascii="Arial" w:cs="Arial" w:eastAsia="Arial" w:hAnsi="Arial"/>
                <w:sz w:val="17"/>
                <w:szCs w:val="17"/>
                <w:b w:val="1"/>
                <w:bCs w:val="1"/>
                <w:color w:val="auto"/>
              </w:rPr>
              <w:t>2025</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80" w:type="dxa"/>
            <w:vAlign w:val="bottom"/>
          </w:tcPr>
          <w:p>
            <w:pPr>
              <w:jc w:val="right"/>
              <w:ind w:right="474"/>
              <w:spacing w:after="0" w:line="148" w:lineRule="exact"/>
              <w:rPr>
                <w:sz w:val="20"/>
                <w:szCs w:val="20"/>
                <w:color w:val="auto"/>
              </w:rPr>
            </w:pPr>
            <w:r>
              <w:rPr>
                <w:rFonts w:ascii="Arial" w:cs="Arial" w:eastAsia="Arial" w:hAnsi="Arial"/>
                <w:sz w:val="17"/>
                <w:szCs w:val="17"/>
                <w:b w:val="1"/>
                <w:bCs w:val="1"/>
                <w:color w:val="auto"/>
              </w:rPr>
              <w:t>2024</w:t>
            </w: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80" w:type="dxa"/>
            <w:vAlign w:val="bottom"/>
          </w:tcPr>
          <w:p>
            <w:pPr>
              <w:jc w:val="right"/>
              <w:ind w:right="494"/>
              <w:spacing w:after="0" w:line="148" w:lineRule="exact"/>
              <w:rPr>
                <w:sz w:val="20"/>
                <w:szCs w:val="20"/>
                <w:color w:val="auto"/>
              </w:rPr>
            </w:pPr>
            <w:r>
              <w:rPr>
                <w:rFonts w:ascii="Arial" w:cs="Arial" w:eastAsia="Arial" w:hAnsi="Arial"/>
                <w:sz w:val="17"/>
                <w:szCs w:val="17"/>
                <w:b w:val="1"/>
                <w:bCs w:val="1"/>
                <w:color w:val="auto"/>
              </w:rPr>
              <w:t>2023</w:t>
            </w:r>
          </w:p>
        </w:tc>
      </w:tr>
      <w:tr>
        <w:trPr>
          <w:trHeight w:val="32"/>
        </w:trPr>
        <w:tc>
          <w:tcPr>
            <w:tcW w:w="20" w:type="dxa"/>
            <w:vAlign w:val="bottom"/>
            <w:tcBorders>
              <w:bottom w:val="single" w:sz="8" w:color="DCE2EF"/>
            </w:tcBorders>
          </w:tcPr>
          <w:p>
            <w:pPr>
              <w:spacing w:after="0"/>
              <w:rPr>
                <w:sz w:val="2"/>
                <w:szCs w:val="2"/>
                <w:color w:val="auto"/>
              </w:rPr>
            </w:pPr>
          </w:p>
        </w:tc>
        <w:tc>
          <w:tcPr>
            <w:tcW w:w="2140" w:type="dxa"/>
            <w:vAlign w:val="bottom"/>
            <w:tcBorders>
              <w:top w:val="single" w:sz="8" w:color="auto"/>
              <w:bottom w:val="single" w:sz="8" w:color="DCE2EF"/>
            </w:tcBorders>
          </w:tcPr>
          <w:p>
            <w:pPr>
              <w:spacing w:after="0"/>
              <w:rPr>
                <w:sz w:val="2"/>
                <w:szCs w:val="2"/>
                <w:color w:val="auto"/>
              </w:rPr>
            </w:pPr>
          </w:p>
        </w:tc>
        <w:tc>
          <w:tcPr>
            <w:tcW w:w="4280" w:type="dxa"/>
            <w:vAlign w:val="bottom"/>
            <w:tcBorders>
              <w:bottom w:val="single" w:sz="8" w:color="DCE2E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DCE2E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12"/>
        </w:trPr>
        <w:tc>
          <w:tcPr>
            <w:tcW w:w="20" w:type="dxa"/>
            <w:vAlign w:val="bottom"/>
            <w:shd w:val="clear" w:color="auto" w:fill="DCE2EF"/>
          </w:tcPr>
          <w:p>
            <w:pPr>
              <w:spacing w:after="0"/>
              <w:rPr>
                <w:sz w:val="18"/>
                <w:szCs w:val="18"/>
                <w:color w:val="auto"/>
              </w:rPr>
            </w:pPr>
          </w:p>
        </w:tc>
        <w:tc>
          <w:tcPr>
            <w:tcW w:w="6420" w:type="dxa"/>
            <w:vAlign w:val="bottom"/>
            <w:gridSpan w:val="2"/>
            <w:shd w:val="clear" w:color="auto" w:fill="DCE2EF"/>
          </w:tcPr>
          <w:p>
            <w:pPr>
              <w:spacing w:after="0"/>
              <w:rPr>
                <w:sz w:val="20"/>
                <w:szCs w:val="20"/>
                <w:color w:val="auto"/>
              </w:rPr>
            </w:pPr>
            <w:r>
              <w:rPr>
                <w:rFonts w:ascii="Arial" w:cs="Arial" w:eastAsia="Arial" w:hAnsi="Arial"/>
                <w:sz w:val="17"/>
                <w:szCs w:val="17"/>
                <w:b w:val="1"/>
                <w:bCs w:val="1"/>
                <w:color w:val="auto"/>
              </w:rPr>
              <w:t>Revenues</w:t>
            </w:r>
          </w:p>
        </w:tc>
        <w:tc>
          <w:tcPr>
            <w:tcW w:w="340" w:type="dxa"/>
            <w:vAlign w:val="bottom"/>
            <w:shd w:val="clear" w:color="auto" w:fill="DCE2EF"/>
          </w:tcPr>
          <w:p>
            <w:pPr>
              <w:jc w:val="right"/>
              <w:ind w:right="154"/>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DCE2EF"/>
          </w:tcPr>
          <w:p>
            <w:pPr>
              <w:jc w:val="right"/>
              <w:spacing w:after="0"/>
              <w:rPr>
                <w:sz w:val="20"/>
                <w:szCs w:val="20"/>
                <w:color w:val="auto"/>
              </w:rPr>
            </w:pPr>
            <w:r>
              <w:rPr>
                <w:rFonts w:ascii="Arial" w:cs="Arial" w:eastAsia="Arial" w:hAnsi="Arial"/>
                <w:sz w:val="17"/>
                <w:szCs w:val="17"/>
                <w:color w:val="auto"/>
              </w:rPr>
              <w:t>8,745.9</w:t>
            </w:r>
          </w:p>
        </w:tc>
        <w:tc>
          <w:tcPr>
            <w:tcW w:w="100" w:type="dxa"/>
            <w:vAlign w:val="bottom"/>
            <w:shd w:val="clear" w:color="auto" w:fill="DCE2EF"/>
          </w:tcPr>
          <w:p>
            <w:pPr>
              <w:spacing w:after="0"/>
              <w:rPr>
                <w:sz w:val="18"/>
                <w:szCs w:val="18"/>
                <w:color w:val="auto"/>
              </w:rPr>
            </w:pPr>
          </w:p>
        </w:tc>
        <w:tc>
          <w:tcPr>
            <w:tcW w:w="340" w:type="dxa"/>
            <w:vAlign w:val="bottom"/>
            <w:shd w:val="clear" w:color="auto" w:fill="DCE2EF"/>
          </w:tcPr>
          <w:p>
            <w:pPr>
              <w:jc w:val="right"/>
              <w:ind w:right="134"/>
              <w:spacing w:after="0"/>
              <w:rPr>
                <w:sz w:val="20"/>
                <w:szCs w:val="20"/>
                <w:color w:val="auto"/>
              </w:rPr>
            </w:pPr>
            <w:r>
              <w:rPr>
                <w:rFonts w:ascii="Arial" w:cs="Arial" w:eastAsia="Arial" w:hAnsi="Arial"/>
                <w:sz w:val="17"/>
                <w:szCs w:val="17"/>
                <w:color w:val="auto"/>
              </w:rPr>
              <w:t>$</w:t>
            </w:r>
          </w:p>
        </w:tc>
        <w:tc>
          <w:tcPr>
            <w:tcW w:w="1180" w:type="dxa"/>
            <w:vAlign w:val="bottom"/>
            <w:shd w:val="clear" w:color="auto" w:fill="DCE2EF"/>
          </w:tcPr>
          <w:p>
            <w:pPr>
              <w:jc w:val="right"/>
              <w:spacing w:after="0"/>
              <w:rPr>
                <w:sz w:val="20"/>
                <w:szCs w:val="20"/>
                <w:color w:val="auto"/>
              </w:rPr>
            </w:pPr>
            <w:r>
              <w:rPr>
                <w:rFonts w:ascii="Arial" w:cs="Arial" w:eastAsia="Arial" w:hAnsi="Arial"/>
                <w:sz w:val="17"/>
                <w:szCs w:val="17"/>
                <w:color w:val="auto"/>
              </w:rPr>
              <w:t>8,359.4</w:t>
            </w:r>
          </w:p>
        </w:tc>
        <w:tc>
          <w:tcPr>
            <w:tcW w:w="120" w:type="dxa"/>
            <w:vAlign w:val="bottom"/>
            <w:shd w:val="clear" w:color="auto" w:fill="DCE2EF"/>
          </w:tcPr>
          <w:p>
            <w:pPr>
              <w:spacing w:after="0"/>
              <w:rPr>
                <w:sz w:val="18"/>
                <w:szCs w:val="18"/>
                <w:color w:val="auto"/>
              </w:rPr>
            </w:pPr>
          </w:p>
        </w:tc>
        <w:tc>
          <w:tcPr>
            <w:tcW w:w="340" w:type="dxa"/>
            <w:vAlign w:val="bottom"/>
            <w:shd w:val="clear" w:color="auto" w:fill="DCE2EF"/>
          </w:tcPr>
          <w:p>
            <w:pPr>
              <w:jc w:val="right"/>
              <w:ind w:right="154"/>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DCE2EF"/>
          </w:tcPr>
          <w:p>
            <w:pPr>
              <w:jc w:val="right"/>
              <w:spacing w:after="0"/>
              <w:rPr>
                <w:sz w:val="20"/>
                <w:szCs w:val="20"/>
                <w:color w:val="auto"/>
              </w:rPr>
            </w:pPr>
            <w:r>
              <w:rPr>
                <w:rFonts w:ascii="Arial" w:cs="Arial" w:eastAsia="Arial" w:hAnsi="Arial"/>
                <w:sz w:val="17"/>
                <w:szCs w:val="17"/>
                <w:color w:val="auto"/>
              </w:rPr>
              <w:t>8,096.4</w:t>
            </w:r>
          </w:p>
        </w:tc>
      </w:tr>
      <w:tr>
        <w:trPr>
          <w:trHeight w:val="219"/>
        </w:trPr>
        <w:tc>
          <w:tcPr>
            <w:tcW w:w="20" w:type="dxa"/>
            <w:vAlign w:val="bottom"/>
          </w:tcPr>
          <w:p>
            <w:pPr>
              <w:spacing w:after="0"/>
              <w:rPr>
                <w:sz w:val="19"/>
                <w:szCs w:val="19"/>
                <w:color w:val="auto"/>
              </w:rPr>
            </w:pPr>
          </w:p>
        </w:tc>
        <w:tc>
          <w:tcPr>
            <w:tcW w:w="6420" w:type="dxa"/>
            <w:vAlign w:val="bottom"/>
            <w:gridSpan w:val="2"/>
          </w:tcPr>
          <w:p>
            <w:pPr>
              <w:spacing w:after="0"/>
              <w:rPr>
                <w:sz w:val="20"/>
                <w:szCs w:val="20"/>
                <w:color w:val="auto"/>
              </w:rPr>
            </w:pPr>
            <w:r>
              <w:rPr>
                <w:rFonts w:ascii="Arial" w:cs="Arial" w:eastAsia="Arial" w:hAnsi="Arial"/>
                <w:sz w:val="17"/>
                <w:szCs w:val="17"/>
                <w:color w:val="auto"/>
              </w:rPr>
              <w:t>Operating expenses</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7,670.8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7,325.9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7,037.6</w:t>
            </w:r>
          </w:p>
        </w:tc>
      </w:tr>
      <w:tr>
        <w:trPr>
          <w:trHeight w:val="219"/>
        </w:trPr>
        <w:tc>
          <w:tcPr>
            <w:tcW w:w="20" w:type="dxa"/>
            <w:vAlign w:val="bottom"/>
            <w:shd w:val="clear" w:color="auto" w:fill="DCE2EF"/>
          </w:tcPr>
          <w:p>
            <w:pPr>
              <w:spacing w:after="0"/>
              <w:rPr>
                <w:sz w:val="19"/>
                <w:szCs w:val="19"/>
                <w:color w:val="auto"/>
              </w:rPr>
            </w:pPr>
          </w:p>
        </w:tc>
        <w:tc>
          <w:tcPr>
            <w:tcW w:w="6420" w:type="dxa"/>
            <w:vAlign w:val="bottom"/>
            <w:gridSpan w:val="2"/>
            <w:shd w:val="clear" w:color="auto" w:fill="DCE2EF"/>
          </w:tcPr>
          <w:p>
            <w:pPr>
              <w:spacing w:after="0"/>
              <w:rPr>
                <w:sz w:val="20"/>
                <w:szCs w:val="20"/>
                <w:color w:val="auto"/>
              </w:rPr>
            </w:pPr>
            <w:r>
              <w:rPr>
                <w:rFonts w:ascii="Arial" w:cs="Arial" w:eastAsia="Arial" w:hAnsi="Arial"/>
                <w:sz w:val="17"/>
                <w:szCs w:val="17"/>
                <w:color w:val="auto"/>
              </w:rPr>
              <w:t>Selling, general and administrative expenses</w:t>
            </w:r>
          </w:p>
        </w:tc>
        <w:tc>
          <w:tcPr>
            <w:tcW w:w="340" w:type="dxa"/>
            <w:vAlign w:val="bottom"/>
            <w:shd w:val="clear" w:color="auto" w:fill="DCE2EF"/>
          </w:tcPr>
          <w:p>
            <w:pPr>
              <w:spacing w:after="0"/>
              <w:rPr>
                <w:sz w:val="19"/>
                <w:szCs w:val="19"/>
                <w:color w:val="auto"/>
              </w:rPr>
            </w:pPr>
          </w:p>
        </w:tc>
        <w:tc>
          <w:tcPr>
            <w:tcW w:w="1180" w:type="dxa"/>
            <w:vAlign w:val="bottom"/>
            <w:shd w:val="clear" w:color="auto" w:fill="DCE2EF"/>
          </w:tcPr>
          <w:p>
            <w:pPr>
              <w:jc w:val="right"/>
              <w:spacing w:after="0"/>
              <w:rPr>
                <w:sz w:val="20"/>
                <w:szCs w:val="20"/>
                <w:color w:val="auto"/>
              </w:rPr>
            </w:pPr>
            <w:r>
              <w:rPr>
                <w:rFonts w:ascii="Arial" w:cs="Arial" w:eastAsia="Arial" w:hAnsi="Arial"/>
                <w:sz w:val="17"/>
                <w:szCs w:val="17"/>
                <w:color w:val="auto"/>
              </w:rPr>
              <w:t>697.4</w:t>
            </w:r>
          </w:p>
        </w:tc>
        <w:tc>
          <w:tcPr>
            <w:tcW w:w="100" w:type="dxa"/>
            <w:vAlign w:val="bottom"/>
            <w:shd w:val="clear" w:color="auto" w:fill="DCE2EF"/>
          </w:tcPr>
          <w:p>
            <w:pPr>
              <w:spacing w:after="0"/>
              <w:rPr>
                <w:sz w:val="19"/>
                <w:szCs w:val="19"/>
                <w:color w:val="auto"/>
              </w:rPr>
            </w:pPr>
          </w:p>
        </w:tc>
        <w:tc>
          <w:tcPr>
            <w:tcW w:w="340" w:type="dxa"/>
            <w:vAlign w:val="bottom"/>
            <w:shd w:val="clear" w:color="auto" w:fill="DCE2EF"/>
          </w:tcPr>
          <w:p>
            <w:pPr>
              <w:spacing w:after="0"/>
              <w:rPr>
                <w:sz w:val="19"/>
                <w:szCs w:val="19"/>
                <w:color w:val="auto"/>
              </w:rPr>
            </w:pPr>
          </w:p>
        </w:tc>
        <w:tc>
          <w:tcPr>
            <w:tcW w:w="1180" w:type="dxa"/>
            <w:vAlign w:val="bottom"/>
            <w:shd w:val="clear" w:color="auto" w:fill="DCE2EF"/>
          </w:tcPr>
          <w:p>
            <w:pPr>
              <w:jc w:val="right"/>
              <w:spacing w:after="0"/>
              <w:rPr>
                <w:sz w:val="20"/>
                <w:szCs w:val="20"/>
                <w:color w:val="auto"/>
              </w:rPr>
            </w:pPr>
            <w:r>
              <w:rPr>
                <w:rFonts w:ascii="Arial" w:cs="Arial" w:eastAsia="Arial" w:hAnsi="Arial"/>
                <w:sz w:val="17"/>
                <w:szCs w:val="17"/>
                <w:color w:val="auto"/>
              </w:rPr>
              <w:t>765.3</w:t>
            </w:r>
          </w:p>
        </w:tc>
        <w:tc>
          <w:tcPr>
            <w:tcW w:w="120" w:type="dxa"/>
            <w:vAlign w:val="bottom"/>
            <w:shd w:val="clear" w:color="auto" w:fill="DCE2EF"/>
          </w:tcPr>
          <w:p>
            <w:pPr>
              <w:spacing w:after="0"/>
              <w:rPr>
                <w:sz w:val="19"/>
                <w:szCs w:val="19"/>
                <w:color w:val="auto"/>
              </w:rPr>
            </w:pPr>
          </w:p>
        </w:tc>
        <w:tc>
          <w:tcPr>
            <w:tcW w:w="340" w:type="dxa"/>
            <w:vAlign w:val="bottom"/>
            <w:shd w:val="clear" w:color="auto" w:fill="DCE2EF"/>
          </w:tcPr>
          <w:p>
            <w:pPr>
              <w:spacing w:after="0"/>
              <w:rPr>
                <w:sz w:val="19"/>
                <w:szCs w:val="19"/>
                <w:color w:val="auto"/>
              </w:rPr>
            </w:pPr>
          </w:p>
        </w:tc>
        <w:tc>
          <w:tcPr>
            <w:tcW w:w="1180" w:type="dxa"/>
            <w:vAlign w:val="bottom"/>
            <w:shd w:val="clear" w:color="auto" w:fill="DCE2EF"/>
          </w:tcPr>
          <w:p>
            <w:pPr>
              <w:jc w:val="right"/>
              <w:spacing w:after="0"/>
              <w:rPr>
                <w:sz w:val="20"/>
                <w:szCs w:val="20"/>
                <w:color w:val="auto"/>
              </w:rPr>
            </w:pPr>
            <w:r>
              <w:rPr>
                <w:rFonts w:ascii="Arial" w:cs="Arial" w:eastAsia="Arial" w:hAnsi="Arial"/>
                <w:sz w:val="17"/>
                <w:szCs w:val="17"/>
                <w:color w:val="auto"/>
              </w:rPr>
              <w:t>572.8</w:t>
            </w:r>
          </w:p>
        </w:tc>
      </w:tr>
      <w:tr>
        <w:trPr>
          <w:trHeight w:val="219"/>
        </w:trPr>
        <w:tc>
          <w:tcPr>
            <w:tcW w:w="20" w:type="dxa"/>
            <w:vAlign w:val="bottom"/>
          </w:tcPr>
          <w:p>
            <w:pPr>
              <w:spacing w:after="0"/>
              <w:rPr>
                <w:sz w:val="19"/>
                <w:szCs w:val="19"/>
                <w:color w:val="auto"/>
              </w:rPr>
            </w:pPr>
          </w:p>
        </w:tc>
        <w:tc>
          <w:tcPr>
            <w:tcW w:w="6420" w:type="dxa"/>
            <w:vAlign w:val="bottom"/>
            <w:gridSpan w:val="2"/>
          </w:tcPr>
          <w:p>
            <w:pPr>
              <w:spacing w:after="0"/>
              <w:rPr>
                <w:sz w:val="20"/>
                <w:szCs w:val="20"/>
                <w:color w:val="auto"/>
              </w:rPr>
            </w:pPr>
            <w:r>
              <w:rPr>
                <w:rFonts w:ascii="Arial" w:cs="Arial" w:eastAsia="Arial" w:hAnsi="Arial"/>
                <w:sz w:val="17"/>
                <w:szCs w:val="17"/>
                <w:color w:val="auto"/>
              </w:rPr>
              <w:t>Restructuring and related expenses</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13.4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19"/>
        </w:trPr>
        <w:tc>
          <w:tcPr>
            <w:tcW w:w="20" w:type="dxa"/>
            <w:vAlign w:val="bottom"/>
            <w:shd w:val="clear" w:color="auto" w:fill="DCE2EF"/>
          </w:tcPr>
          <w:p>
            <w:pPr>
              <w:spacing w:after="0"/>
              <w:rPr>
                <w:sz w:val="19"/>
                <w:szCs w:val="19"/>
                <w:color w:val="auto"/>
              </w:rPr>
            </w:pPr>
          </w:p>
        </w:tc>
        <w:tc>
          <w:tcPr>
            <w:tcW w:w="6420" w:type="dxa"/>
            <w:vAlign w:val="bottom"/>
            <w:gridSpan w:val="2"/>
            <w:shd w:val="clear" w:color="auto" w:fill="DCE2EF"/>
          </w:tcPr>
          <w:p>
            <w:pPr>
              <w:spacing w:after="0"/>
              <w:rPr>
                <w:sz w:val="20"/>
                <w:szCs w:val="20"/>
                <w:color w:val="auto"/>
              </w:rPr>
            </w:pPr>
            <w:r>
              <w:rPr>
                <w:rFonts w:ascii="Arial" w:cs="Arial" w:eastAsia="Arial" w:hAnsi="Arial"/>
                <w:sz w:val="17"/>
                <w:szCs w:val="17"/>
                <w:color w:val="auto"/>
              </w:rPr>
              <w:t>Amortization of intangible assets</w:t>
            </w:r>
          </w:p>
        </w:tc>
        <w:tc>
          <w:tcPr>
            <w:tcW w:w="340" w:type="dxa"/>
            <w:vAlign w:val="bottom"/>
            <w:tcBorders>
              <w:bottom w:val="single" w:sz="8" w:color="auto"/>
            </w:tcBorders>
            <w:shd w:val="clear" w:color="auto" w:fill="DCE2EF"/>
          </w:tcPr>
          <w:p>
            <w:pPr>
              <w:spacing w:after="0"/>
              <w:rPr>
                <w:sz w:val="19"/>
                <w:szCs w:val="19"/>
                <w:color w:val="auto"/>
              </w:rPr>
            </w:pPr>
          </w:p>
        </w:tc>
        <w:tc>
          <w:tcPr>
            <w:tcW w:w="11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7"/>
                <w:szCs w:val="17"/>
                <w:color w:val="auto"/>
              </w:rPr>
              <w:t>52.5</w:t>
            </w:r>
          </w:p>
        </w:tc>
        <w:tc>
          <w:tcPr>
            <w:tcW w:w="100" w:type="dxa"/>
            <w:vAlign w:val="bottom"/>
            <w:shd w:val="clear" w:color="auto" w:fill="DCE2EF"/>
          </w:tcPr>
          <w:p>
            <w:pPr>
              <w:spacing w:after="0"/>
              <w:rPr>
                <w:sz w:val="19"/>
                <w:szCs w:val="19"/>
                <w:color w:val="auto"/>
              </w:rPr>
            </w:pPr>
          </w:p>
        </w:tc>
        <w:tc>
          <w:tcPr>
            <w:tcW w:w="340" w:type="dxa"/>
            <w:vAlign w:val="bottom"/>
            <w:tcBorders>
              <w:bottom w:val="single" w:sz="8" w:color="auto"/>
            </w:tcBorders>
            <w:shd w:val="clear" w:color="auto" w:fill="DCE2EF"/>
          </w:tcPr>
          <w:p>
            <w:pPr>
              <w:spacing w:after="0"/>
              <w:rPr>
                <w:sz w:val="19"/>
                <w:szCs w:val="19"/>
                <w:color w:val="auto"/>
              </w:rPr>
            </w:pPr>
          </w:p>
        </w:tc>
        <w:tc>
          <w:tcPr>
            <w:tcW w:w="11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7"/>
                <w:szCs w:val="17"/>
                <w:color w:val="auto"/>
              </w:rPr>
              <w:t>56.1</w:t>
            </w:r>
          </w:p>
        </w:tc>
        <w:tc>
          <w:tcPr>
            <w:tcW w:w="120" w:type="dxa"/>
            <w:vAlign w:val="bottom"/>
            <w:shd w:val="clear" w:color="auto" w:fill="DCE2EF"/>
          </w:tcPr>
          <w:p>
            <w:pPr>
              <w:spacing w:after="0"/>
              <w:rPr>
                <w:sz w:val="19"/>
                <w:szCs w:val="19"/>
                <w:color w:val="auto"/>
              </w:rPr>
            </w:pPr>
          </w:p>
        </w:tc>
        <w:tc>
          <w:tcPr>
            <w:tcW w:w="340" w:type="dxa"/>
            <w:vAlign w:val="bottom"/>
            <w:tcBorders>
              <w:bottom w:val="single" w:sz="8" w:color="auto"/>
            </w:tcBorders>
            <w:shd w:val="clear" w:color="auto" w:fill="DCE2EF"/>
          </w:tcPr>
          <w:p>
            <w:pPr>
              <w:spacing w:after="0"/>
              <w:rPr>
                <w:sz w:val="19"/>
                <w:szCs w:val="19"/>
                <w:color w:val="auto"/>
              </w:rPr>
            </w:pPr>
          </w:p>
        </w:tc>
        <w:tc>
          <w:tcPr>
            <w:tcW w:w="11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7"/>
                <w:szCs w:val="17"/>
                <w:color w:val="auto"/>
              </w:rPr>
              <w:t>76.5</w:t>
            </w:r>
          </w:p>
        </w:tc>
      </w:tr>
      <w:tr>
        <w:trPr>
          <w:trHeight w:val="212"/>
        </w:trPr>
        <w:tc>
          <w:tcPr>
            <w:tcW w:w="20" w:type="dxa"/>
            <w:vAlign w:val="bottom"/>
          </w:tcPr>
          <w:p>
            <w:pPr>
              <w:spacing w:after="0"/>
              <w:rPr>
                <w:sz w:val="18"/>
                <w:szCs w:val="18"/>
                <w:color w:val="auto"/>
              </w:rPr>
            </w:pPr>
          </w:p>
        </w:tc>
        <w:tc>
          <w:tcPr>
            <w:tcW w:w="6420" w:type="dxa"/>
            <w:vAlign w:val="bottom"/>
            <w:gridSpan w:val="2"/>
          </w:tcPr>
          <w:p>
            <w:pPr>
              <w:spacing w:after="0"/>
              <w:rPr>
                <w:sz w:val="20"/>
                <w:szCs w:val="20"/>
                <w:color w:val="auto"/>
              </w:rPr>
            </w:pPr>
            <w:r>
              <w:rPr>
                <w:rFonts w:ascii="Arial" w:cs="Arial" w:eastAsia="Arial" w:hAnsi="Arial"/>
                <w:sz w:val="17"/>
                <w:szCs w:val="17"/>
                <w:b w:val="1"/>
                <w:bCs w:val="1"/>
                <w:color w:val="auto"/>
              </w:rPr>
              <w:t>Operating profit</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311.7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212.0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409.5</w:t>
            </w:r>
          </w:p>
        </w:tc>
      </w:tr>
      <w:tr>
        <w:trPr>
          <w:trHeight w:val="219"/>
        </w:trPr>
        <w:tc>
          <w:tcPr>
            <w:tcW w:w="20" w:type="dxa"/>
            <w:vAlign w:val="bottom"/>
            <w:shd w:val="clear" w:color="auto" w:fill="DCE2EF"/>
          </w:tcPr>
          <w:p>
            <w:pPr>
              <w:spacing w:after="0"/>
              <w:rPr>
                <w:sz w:val="19"/>
                <w:szCs w:val="19"/>
                <w:color w:val="auto"/>
              </w:rPr>
            </w:pPr>
          </w:p>
        </w:tc>
        <w:tc>
          <w:tcPr>
            <w:tcW w:w="6420" w:type="dxa"/>
            <w:vAlign w:val="bottom"/>
            <w:gridSpan w:val="2"/>
            <w:shd w:val="clear" w:color="auto" w:fill="DCE2EF"/>
          </w:tcPr>
          <w:p>
            <w:pPr>
              <w:spacing w:after="0"/>
              <w:rPr>
                <w:sz w:val="20"/>
                <w:szCs w:val="20"/>
                <w:color w:val="auto"/>
              </w:rPr>
            </w:pPr>
            <w:r>
              <w:rPr>
                <w:rFonts w:ascii="Arial" w:cs="Arial" w:eastAsia="Arial" w:hAnsi="Arial"/>
                <w:sz w:val="17"/>
                <w:szCs w:val="17"/>
                <w:color w:val="auto"/>
              </w:rPr>
              <w:t>Income from unconsolidated affiliates</w:t>
            </w:r>
          </w:p>
        </w:tc>
        <w:tc>
          <w:tcPr>
            <w:tcW w:w="340" w:type="dxa"/>
            <w:vAlign w:val="bottom"/>
            <w:shd w:val="clear" w:color="auto" w:fill="DCE2EF"/>
          </w:tcPr>
          <w:p>
            <w:pPr>
              <w:spacing w:after="0"/>
              <w:rPr>
                <w:sz w:val="19"/>
                <w:szCs w:val="19"/>
                <w:color w:val="auto"/>
              </w:rPr>
            </w:pPr>
          </w:p>
        </w:tc>
        <w:tc>
          <w:tcPr>
            <w:tcW w:w="1180" w:type="dxa"/>
            <w:vAlign w:val="bottom"/>
            <w:shd w:val="clear" w:color="auto" w:fill="DCE2EF"/>
          </w:tcPr>
          <w:p>
            <w:pPr>
              <w:jc w:val="right"/>
              <w:spacing w:after="0"/>
              <w:rPr>
                <w:sz w:val="20"/>
                <w:szCs w:val="20"/>
                <w:color w:val="auto"/>
              </w:rPr>
            </w:pPr>
            <w:r>
              <w:rPr>
                <w:rFonts w:ascii="Arial" w:cs="Arial" w:eastAsia="Arial" w:hAnsi="Arial"/>
                <w:sz w:val="17"/>
                <w:szCs w:val="17"/>
                <w:color w:val="auto"/>
              </w:rPr>
              <w:t>4.6</w:t>
            </w:r>
          </w:p>
        </w:tc>
        <w:tc>
          <w:tcPr>
            <w:tcW w:w="100" w:type="dxa"/>
            <w:vAlign w:val="bottom"/>
            <w:shd w:val="clear" w:color="auto" w:fill="DCE2EF"/>
          </w:tcPr>
          <w:p>
            <w:pPr>
              <w:spacing w:after="0"/>
              <w:rPr>
                <w:sz w:val="19"/>
                <w:szCs w:val="19"/>
                <w:color w:val="auto"/>
              </w:rPr>
            </w:pPr>
          </w:p>
        </w:tc>
        <w:tc>
          <w:tcPr>
            <w:tcW w:w="340" w:type="dxa"/>
            <w:vAlign w:val="bottom"/>
            <w:shd w:val="clear" w:color="auto" w:fill="DCE2EF"/>
          </w:tcPr>
          <w:p>
            <w:pPr>
              <w:spacing w:after="0"/>
              <w:rPr>
                <w:sz w:val="19"/>
                <w:szCs w:val="19"/>
                <w:color w:val="auto"/>
              </w:rPr>
            </w:pPr>
          </w:p>
        </w:tc>
        <w:tc>
          <w:tcPr>
            <w:tcW w:w="1180" w:type="dxa"/>
            <w:vAlign w:val="bottom"/>
            <w:shd w:val="clear" w:color="auto" w:fill="DCE2EF"/>
          </w:tcPr>
          <w:p>
            <w:pPr>
              <w:jc w:val="right"/>
              <w:spacing w:after="0"/>
              <w:rPr>
                <w:sz w:val="20"/>
                <w:szCs w:val="20"/>
                <w:color w:val="auto"/>
              </w:rPr>
            </w:pPr>
            <w:r>
              <w:rPr>
                <w:rFonts w:ascii="Arial" w:cs="Arial" w:eastAsia="Arial" w:hAnsi="Arial"/>
                <w:sz w:val="17"/>
                <w:szCs w:val="17"/>
                <w:color w:val="auto"/>
              </w:rPr>
              <w:t>6.5</w:t>
            </w:r>
          </w:p>
        </w:tc>
        <w:tc>
          <w:tcPr>
            <w:tcW w:w="120" w:type="dxa"/>
            <w:vAlign w:val="bottom"/>
            <w:shd w:val="clear" w:color="auto" w:fill="DCE2EF"/>
          </w:tcPr>
          <w:p>
            <w:pPr>
              <w:spacing w:after="0"/>
              <w:rPr>
                <w:sz w:val="19"/>
                <w:szCs w:val="19"/>
                <w:color w:val="auto"/>
              </w:rPr>
            </w:pPr>
          </w:p>
        </w:tc>
        <w:tc>
          <w:tcPr>
            <w:tcW w:w="340" w:type="dxa"/>
            <w:vAlign w:val="bottom"/>
            <w:shd w:val="clear" w:color="auto" w:fill="DCE2EF"/>
          </w:tcPr>
          <w:p>
            <w:pPr>
              <w:spacing w:after="0"/>
              <w:rPr>
                <w:sz w:val="19"/>
                <w:szCs w:val="19"/>
                <w:color w:val="auto"/>
              </w:rPr>
            </w:pPr>
          </w:p>
        </w:tc>
        <w:tc>
          <w:tcPr>
            <w:tcW w:w="1180" w:type="dxa"/>
            <w:vAlign w:val="bottom"/>
            <w:shd w:val="clear" w:color="auto" w:fill="DCE2EF"/>
          </w:tcPr>
          <w:p>
            <w:pPr>
              <w:jc w:val="right"/>
              <w:spacing w:after="0"/>
              <w:rPr>
                <w:sz w:val="20"/>
                <w:szCs w:val="20"/>
                <w:color w:val="auto"/>
              </w:rPr>
            </w:pPr>
            <w:r>
              <w:rPr>
                <w:rFonts w:ascii="Arial" w:cs="Arial" w:eastAsia="Arial" w:hAnsi="Arial"/>
                <w:sz w:val="17"/>
                <w:szCs w:val="17"/>
                <w:color w:val="auto"/>
              </w:rPr>
              <w:t>3.9</w:t>
            </w:r>
          </w:p>
        </w:tc>
      </w:tr>
      <w:tr>
        <w:trPr>
          <w:trHeight w:val="219"/>
        </w:trPr>
        <w:tc>
          <w:tcPr>
            <w:tcW w:w="20" w:type="dxa"/>
            <w:vAlign w:val="bottom"/>
            <w:tcBorders>
              <w:bottom w:val="single" w:sz="8" w:color="DCE2EF"/>
            </w:tcBorders>
          </w:tcPr>
          <w:p>
            <w:pPr>
              <w:spacing w:after="0"/>
              <w:rPr>
                <w:sz w:val="19"/>
                <w:szCs w:val="19"/>
                <w:color w:val="auto"/>
              </w:rPr>
            </w:pPr>
          </w:p>
        </w:tc>
        <w:tc>
          <w:tcPr>
            <w:tcW w:w="6420" w:type="dxa"/>
            <w:vAlign w:val="bottom"/>
            <w:tcBorders>
              <w:bottom w:val="single" w:sz="8" w:color="DCE2EF"/>
            </w:tcBorders>
            <w:gridSpan w:val="2"/>
          </w:tcPr>
          <w:p>
            <w:pPr>
              <w:spacing w:after="0"/>
              <w:rPr>
                <w:sz w:val="20"/>
                <w:szCs w:val="20"/>
                <w:color w:val="auto"/>
              </w:rPr>
            </w:pPr>
            <w:r>
              <w:rPr>
                <w:rFonts w:ascii="Arial" w:cs="Arial" w:eastAsia="Arial" w:hAnsi="Arial"/>
                <w:sz w:val="17"/>
                <w:szCs w:val="17"/>
                <w:color w:val="auto"/>
              </w:rPr>
              <w:t>Interest expense</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(96.4)</w:t>
            </w:r>
          </w:p>
        </w:tc>
        <w:tc>
          <w:tcPr>
            <w:tcW w:w="100" w:type="dxa"/>
            <w:vAlign w:val="bottom"/>
            <w:tcBorders>
              <w:bottom w:val="single" w:sz="8" w:color="DCE2E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(85.0)</w:t>
            </w:r>
          </w:p>
        </w:tc>
        <w:tc>
          <w:tcPr>
            <w:tcW w:w="120" w:type="dxa"/>
            <w:vAlign w:val="bottom"/>
            <w:tcBorders>
              <w:bottom w:val="single" w:sz="8" w:color="DCE2E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(82.3)</w:t>
            </w:r>
          </w:p>
        </w:tc>
      </w:tr>
      <w:tr>
        <w:trPr>
          <w:trHeight w:val="212"/>
        </w:trPr>
        <w:tc>
          <w:tcPr>
            <w:tcW w:w="20" w:type="dxa"/>
            <w:vAlign w:val="bottom"/>
            <w:shd w:val="clear" w:color="auto" w:fill="DCE2EF"/>
          </w:tcPr>
          <w:p>
            <w:pPr>
              <w:spacing w:after="0"/>
              <w:rPr>
                <w:sz w:val="18"/>
                <w:szCs w:val="18"/>
                <w:color w:val="auto"/>
              </w:rPr>
            </w:pPr>
          </w:p>
        </w:tc>
        <w:tc>
          <w:tcPr>
            <w:tcW w:w="6420" w:type="dxa"/>
            <w:vAlign w:val="bottom"/>
            <w:gridSpan w:val="2"/>
            <w:shd w:val="clear" w:color="auto" w:fill="DCE2EF"/>
          </w:tcPr>
          <w:p>
            <w:pPr>
              <w:spacing w:after="0"/>
              <w:rPr>
                <w:sz w:val="20"/>
                <w:szCs w:val="20"/>
                <w:color w:val="auto"/>
              </w:rPr>
            </w:pPr>
            <w:r>
              <w:rPr>
                <w:rFonts w:ascii="Arial" w:cs="Arial" w:eastAsia="Arial" w:hAnsi="Arial"/>
                <w:sz w:val="17"/>
                <w:szCs w:val="17"/>
                <w:color w:val="auto"/>
              </w:rPr>
              <w:t>Income before income taxes</w:t>
            </w:r>
          </w:p>
        </w:tc>
        <w:tc>
          <w:tcPr>
            <w:tcW w:w="340" w:type="dxa"/>
            <w:vAlign w:val="bottom"/>
            <w:shd w:val="clear" w:color="auto" w:fill="DCE2EF"/>
          </w:tcPr>
          <w:p>
            <w:pPr>
              <w:spacing w:after="0"/>
              <w:rPr>
                <w:sz w:val="18"/>
                <w:szCs w:val="18"/>
                <w:color w:val="auto"/>
              </w:rPr>
            </w:pPr>
          </w:p>
        </w:tc>
        <w:tc>
          <w:tcPr>
            <w:tcW w:w="1180" w:type="dxa"/>
            <w:vAlign w:val="bottom"/>
            <w:shd w:val="clear" w:color="auto" w:fill="DCE2EF"/>
          </w:tcPr>
          <w:p>
            <w:pPr>
              <w:jc w:val="right"/>
              <w:spacing w:after="0"/>
              <w:rPr>
                <w:sz w:val="20"/>
                <w:szCs w:val="20"/>
                <w:color w:val="auto"/>
              </w:rPr>
            </w:pPr>
            <w:r>
              <w:rPr>
                <w:rFonts w:ascii="Arial" w:cs="Arial" w:eastAsia="Arial" w:hAnsi="Arial"/>
                <w:sz w:val="17"/>
                <w:szCs w:val="17"/>
                <w:color w:val="auto"/>
              </w:rPr>
              <w:t>219.9</w:t>
            </w:r>
          </w:p>
        </w:tc>
        <w:tc>
          <w:tcPr>
            <w:tcW w:w="100" w:type="dxa"/>
            <w:vAlign w:val="bottom"/>
            <w:shd w:val="clear" w:color="auto" w:fill="DCE2EF"/>
          </w:tcPr>
          <w:p>
            <w:pPr>
              <w:spacing w:after="0"/>
              <w:rPr>
                <w:sz w:val="18"/>
                <w:szCs w:val="18"/>
                <w:color w:val="auto"/>
              </w:rPr>
            </w:pPr>
          </w:p>
        </w:tc>
        <w:tc>
          <w:tcPr>
            <w:tcW w:w="340" w:type="dxa"/>
            <w:vAlign w:val="bottom"/>
            <w:shd w:val="clear" w:color="auto" w:fill="DCE2EF"/>
          </w:tcPr>
          <w:p>
            <w:pPr>
              <w:spacing w:after="0"/>
              <w:rPr>
                <w:sz w:val="18"/>
                <w:szCs w:val="18"/>
                <w:color w:val="auto"/>
              </w:rPr>
            </w:pPr>
          </w:p>
        </w:tc>
        <w:tc>
          <w:tcPr>
            <w:tcW w:w="1180" w:type="dxa"/>
            <w:vAlign w:val="bottom"/>
            <w:shd w:val="clear" w:color="auto" w:fill="DCE2EF"/>
          </w:tcPr>
          <w:p>
            <w:pPr>
              <w:jc w:val="right"/>
              <w:spacing w:after="0"/>
              <w:rPr>
                <w:sz w:val="20"/>
                <w:szCs w:val="20"/>
                <w:color w:val="auto"/>
              </w:rPr>
            </w:pPr>
            <w:r>
              <w:rPr>
                <w:rFonts w:ascii="Arial" w:cs="Arial" w:eastAsia="Arial" w:hAnsi="Arial"/>
                <w:sz w:val="17"/>
                <w:szCs w:val="17"/>
                <w:color w:val="auto"/>
              </w:rPr>
              <w:t>133.6</w:t>
            </w:r>
          </w:p>
        </w:tc>
        <w:tc>
          <w:tcPr>
            <w:tcW w:w="120" w:type="dxa"/>
            <w:vAlign w:val="bottom"/>
            <w:shd w:val="clear" w:color="auto" w:fill="DCE2EF"/>
          </w:tcPr>
          <w:p>
            <w:pPr>
              <w:spacing w:after="0"/>
              <w:rPr>
                <w:sz w:val="18"/>
                <w:szCs w:val="18"/>
                <w:color w:val="auto"/>
              </w:rPr>
            </w:pPr>
          </w:p>
        </w:tc>
        <w:tc>
          <w:tcPr>
            <w:tcW w:w="340" w:type="dxa"/>
            <w:vAlign w:val="bottom"/>
            <w:shd w:val="clear" w:color="auto" w:fill="DCE2EF"/>
          </w:tcPr>
          <w:p>
            <w:pPr>
              <w:spacing w:after="0"/>
              <w:rPr>
                <w:sz w:val="18"/>
                <w:szCs w:val="18"/>
                <w:color w:val="auto"/>
              </w:rPr>
            </w:pPr>
          </w:p>
        </w:tc>
        <w:tc>
          <w:tcPr>
            <w:tcW w:w="1180" w:type="dxa"/>
            <w:vAlign w:val="bottom"/>
            <w:shd w:val="clear" w:color="auto" w:fill="DCE2EF"/>
          </w:tcPr>
          <w:p>
            <w:pPr>
              <w:jc w:val="right"/>
              <w:spacing w:after="0"/>
              <w:rPr>
                <w:sz w:val="20"/>
                <w:szCs w:val="20"/>
                <w:color w:val="auto"/>
              </w:rPr>
            </w:pPr>
            <w:r>
              <w:rPr>
                <w:rFonts w:ascii="Arial" w:cs="Arial" w:eastAsia="Arial" w:hAnsi="Arial"/>
                <w:sz w:val="17"/>
                <w:szCs w:val="17"/>
                <w:color w:val="auto"/>
              </w:rPr>
              <w:t>331.1</w:t>
            </w:r>
          </w:p>
        </w:tc>
      </w:tr>
      <w:tr>
        <w:trPr>
          <w:trHeight w:val="219"/>
        </w:trPr>
        <w:tc>
          <w:tcPr>
            <w:tcW w:w="20" w:type="dxa"/>
            <w:vAlign w:val="bottom"/>
            <w:tcBorders>
              <w:bottom w:val="single" w:sz="8" w:color="DCE2EF"/>
            </w:tcBorders>
          </w:tcPr>
          <w:p>
            <w:pPr>
              <w:spacing w:after="0"/>
              <w:rPr>
                <w:sz w:val="19"/>
                <w:szCs w:val="19"/>
                <w:color w:val="auto"/>
              </w:rPr>
            </w:pPr>
          </w:p>
        </w:tc>
        <w:tc>
          <w:tcPr>
            <w:tcW w:w="6420" w:type="dxa"/>
            <w:vAlign w:val="bottom"/>
            <w:tcBorders>
              <w:bottom w:val="single" w:sz="8" w:color="DCE2EF"/>
            </w:tcBorders>
            <w:gridSpan w:val="2"/>
          </w:tcPr>
          <w:p>
            <w:pPr>
              <w:spacing w:after="0"/>
              <w:rPr>
                <w:sz w:val="20"/>
                <w:szCs w:val="20"/>
                <w:color w:val="auto"/>
              </w:rPr>
            </w:pPr>
            <w:r>
              <w:rPr>
                <w:rFonts w:ascii="Arial" w:cs="Arial" w:eastAsia="Arial" w:hAnsi="Arial"/>
                <w:sz w:val="17"/>
                <w:szCs w:val="17"/>
                <w:color w:val="auto"/>
              </w:rPr>
              <w:t>Income tax provision</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(57.6)</w:t>
            </w:r>
          </w:p>
        </w:tc>
        <w:tc>
          <w:tcPr>
            <w:tcW w:w="100" w:type="dxa"/>
            <w:vAlign w:val="bottom"/>
            <w:tcBorders>
              <w:bottom w:val="single" w:sz="8" w:color="DCE2EF"/>
            </w:tcBorders>
            <w:shd w:val="clear" w:color="auto" w:fill="DCE2EF"/>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(52.2)</w:t>
            </w:r>
          </w:p>
        </w:tc>
        <w:tc>
          <w:tcPr>
            <w:tcW w:w="120" w:type="dxa"/>
            <w:vAlign w:val="bottom"/>
            <w:tcBorders>
              <w:bottom w:val="single" w:sz="8" w:color="DCE2EF"/>
            </w:tcBorders>
            <w:shd w:val="clear" w:color="auto" w:fill="DCE2EF"/>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(79.7)</w:t>
            </w:r>
          </w:p>
        </w:tc>
      </w:tr>
      <w:tr>
        <w:trPr>
          <w:trHeight w:val="212"/>
        </w:trPr>
        <w:tc>
          <w:tcPr>
            <w:tcW w:w="20" w:type="dxa"/>
            <w:vAlign w:val="bottom"/>
            <w:shd w:val="clear" w:color="auto" w:fill="DCE2EF"/>
          </w:tcPr>
          <w:p>
            <w:pPr>
              <w:spacing w:after="0"/>
              <w:rPr>
                <w:sz w:val="18"/>
                <w:szCs w:val="18"/>
                <w:color w:val="auto"/>
              </w:rPr>
            </w:pPr>
          </w:p>
        </w:tc>
        <w:tc>
          <w:tcPr>
            <w:tcW w:w="6420" w:type="dxa"/>
            <w:vAlign w:val="bottom"/>
            <w:gridSpan w:val="2"/>
            <w:shd w:val="clear" w:color="auto" w:fill="DCE2EF"/>
          </w:tcPr>
          <w:p>
            <w:pPr>
              <w:spacing w:after="0"/>
              <w:rPr>
                <w:sz w:val="20"/>
                <w:szCs w:val="20"/>
                <w:color w:val="auto"/>
              </w:rPr>
            </w:pPr>
            <w:r>
              <w:rPr>
                <w:rFonts w:ascii="Arial" w:cs="Arial" w:eastAsia="Arial" w:hAnsi="Arial"/>
                <w:sz w:val="17"/>
                <w:szCs w:val="17"/>
                <w:b w:val="1"/>
                <w:bCs w:val="1"/>
                <w:color w:val="auto"/>
              </w:rPr>
              <w:t>Net income</w:t>
            </w:r>
          </w:p>
        </w:tc>
        <w:tc>
          <w:tcPr>
            <w:tcW w:w="340" w:type="dxa"/>
            <w:vAlign w:val="bottom"/>
            <w:tcBorders>
              <w:bottom w:val="single" w:sz="8" w:color="auto"/>
            </w:tcBorders>
            <w:shd w:val="clear" w:color="auto" w:fill="DCE2EF"/>
          </w:tcPr>
          <w:p>
            <w:pPr>
              <w:spacing w:after="0"/>
              <w:rPr>
                <w:sz w:val="18"/>
                <w:szCs w:val="18"/>
                <w:color w:val="auto"/>
              </w:rPr>
            </w:pPr>
          </w:p>
        </w:tc>
        <w:tc>
          <w:tcPr>
            <w:tcW w:w="11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7"/>
                <w:szCs w:val="17"/>
                <w:color w:val="auto"/>
              </w:rPr>
              <w:t>162.4</w:t>
            </w:r>
          </w:p>
        </w:tc>
        <w:tc>
          <w:tcPr>
            <w:tcW w:w="100" w:type="dxa"/>
            <w:vAlign w:val="bottom"/>
            <w:shd w:val="clear" w:color="auto" w:fill="DCE2EF"/>
          </w:tcPr>
          <w:p>
            <w:pPr>
              <w:spacing w:after="0"/>
              <w:rPr>
                <w:sz w:val="18"/>
                <w:szCs w:val="18"/>
                <w:color w:val="auto"/>
              </w:rPr>
            </w:pPr>
          </w:p>
        </w:tc>
        <w:tc>
          <w:tcPr>
            <w:tcW w:w="340" w:type="dxa"/>
            <w:vAlign w:val="bottom"/>
            <w:tcBorders>
              <w:bottom w:val="single" w:sz="8" w:color="auto"/>
            </w:tcBorders>
            <w:shd w:val="clear" w:color="auto" w:fill="DCE2EF"/>
          </w:tcPr>
          <w:p>
            <w:pPr>
              <w:spacing w:after="0"/>
              <w:rPr>
                <w:sz w:val="18"/>
                <w:szCs w:val="18"/>
                <w:color w:val="auto"/>
              </w:rPr>
            </w:pPr>
          </w:p>
        </w:tc>
        <w:tc>
          <w:tcPr>
            <w:tcW w:w="11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7"/>
                <w:szCs w:val="17"/>
                <w:color w:val="auto"/>
              </w:rPr>
              <w:t>81.4</w:t>
            </w:r>
          </w:p>
        </w:tc>
        <w:tc>
          <w:tcPr>
            <w:tcW w:w="120" w:type="dxa"/>
            <w:vAlign w:val="bottom"/>
            <w:shd w:val="clear" w:color="auto" w:fill="DCE2EF"/>
          </w:tcPr>
          <w:p>
            <w:pPr>
              <w:spacing w:after="0"/>
              <w:rPr>
                <w:sz w:val="18"/>
                <w:szCs w:val="18"/>
                <w:color w:val="auto"/>
              </w:rPr>
            </w:pPr>
          </w:p>
        </w:tc>
        <w:tc>
          <w:tcPr>
            <w:tcW w:w="340" w:type="dxa"/>
            <w:vAlign w:val="bottom"/>
            <w:tcBorders>
              <w:bottom w:val="single" w:sz="8" w:color="auto"/>
            </w:tcBorders>
            <w:shd w:val="clear" w:color="auto" w:fill="DCE2EF"/>
          </w:tcPr>
          <w:p>
            <w:pPr>
              <w:spacing w:after="0"/>
              <w:rPr>
                <w:sz w:val="18"/>
                <w:szCs w:val="18"/>
                <w:color w:val="auto"/>
              </w:rPr>
            </w:pPr>
          </w:p>
        </w:tc>
        <w:tc>
          <w:tcPr>
            <w:tcW w:w="11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7"/>
                <w:szCs w:val="17"/>
                <w:color w:val="auto"/>
              </w:rPr>
              <w:t>251.3</w:t>
            </w:r>
          </w:p>
        </w:tc>
      </w:tr>
      <w:tr>
        <w:trPr>
          <w:trHeight w:val="199"/>
        </w:trPr>
        <w:tc>
          <w:tcPr>
            <w:tcW w:w="20" w:type="dxa"/>
            <w:vAlign w:val="bottom"/>
          </w:tcPr>
          <w:p>
            <w:pPr>
              <w:spacing w:after="0"/>
              <w:rPr>
                <w:sz w:val="17"/>
                <w:szCs w:val="17"/>
                <w:color w:val="auto"/>
              </w:rPr>
            </w:pPr>
          </w:p>
        </w:tc>
        <w:tc>
          <w:tcPr>
            <w:tcW w:w="6420" w:type="dxa"/>
            <w:vAlign w:val="bottom"/>
            <w:gridSpan w:val="2"/>
          </w:tcPr>
          <w:p>
            <w:pPr>
              <w:spacing w:after="0"/>
              <w:rPr>
                <w:sz w:val="20"/>
                <w:szCs w:val="20"/>
                <w:color w:val="auto"/>
              </w:rPr>
            </w:pPr>
            <w:r>
              <w:rPr>
                <w:rFonts w:ascii="Arial" w:cs="Arial" w:eastAsia="Arial" w:hAnsi="Arial"/>
                <w:sz w:val="17"/>
                <w:szCs w:val="17"/>
                <w:color w:val="auto"/>
              </w:rPr>
              <w:t>Other comprehensive (loss)/income</w:t>
            </w: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19"/>
        </w:trPr>
        <w:tc>
          <w:tcPr>
            <w:tcW w:w="20" w:type="dxa"/>
            <w:vAlign w:val="bottom"/>
            <w:shd w:val="clear" w:color="auto" w:fill="DCE2EF"/>
          </w:tcPr>
          <w:p>
            <w:pPr>
              <w:spacing w:after="0"/>
              <w:rPr>
                <w:sz w:val="19"/>
                <w:szCs w:val="19"/>
                <w:color w:val="auto"/>
              </w:rPr>
            </w:pPr>
          </w:p>
        </w:tc>
        <w:tc>
          <w:tcPr>
            <w:tcW w:w="6420" w:type="dxa"/>
            <w:vAlign w:val="bottom"/>
            <w:gridSpan w:val="2"/>
            <w:shd w:val="clear" w:color="auto" w:fill="DCE2EF"/>
          </w:tcPr>
          <w:p>
            <w:pPr>
              <w:ind w:left="300"/>
              <w:spacing w:after="0"/>
              <w:rPr>
                <w:sz w:val="20"/>
                <w:szCs w:val="20"/>
                <w:color w:val="auto"/>
              </w:rPr>
            </w:pPr>
            <w:r>
              <w:rPr>
                <w:rFonts w:ascii="Arial" w:cs="Arial" w:eastAsia="Arial" w:hAnsi="Arial"/>
                <w:sz w:val="17"/>
                <w:szCs w:val="17"/>
                <w:color w:val="auto"/>
              </w:rPr>
              <w:t>Interest rate swaps</w:t>
            </w:r>
          </w:p>
        </w:tc>
        <w:tc>
          <w:tcPr>
            <w:tcW w:w="340" w:type="dxa"/>
            <w:vAlign w:val="bottom"/>
            <w:shd w:val="clear" w:color="auto" w:fill="DCE2EF"/>
          </w:tcPr>
          <w:p>
            <w:pPr>
              <w:spacing w:after="0"/>
              <w:rPr>
                <w:sz w:val="19"/>
                <w:szCs w:val="19"/>
                <w:color w:val="auto"/>
              </w:rPr>
            </w:pPr>
          </w:p>
        </w:tc>
        <w:tc>
          <w:tcPr>
            <w:tcW w:w="1180" w:type="dxa"/>
            <w:vAlign w:val="bottom"/>
            <w:shd w:val="clear" w:color="auto" w:fill="DCE2EF"/>
          </w:tcPr>
          <w:p>
            <w:pPr>
              <w:jc w:val="right"/>
              <w:spacing w:after="0"/>
              <w:rPr>
                <w:sz w:val="20"/>
                <w:szCs w:val="20"/>
                <w:color w:val="auto"/>
              </w:rPr>
            </w:pPr>
            <w:r>
              <w:rPr>
                <w:rFonts w:ascii="Arial" w:cs="Arial" w:eastAsia="Arial" w:hAnsi="Arial"/>
                <w:sz w:val="17"/>
                <w:szCs w:val="17"/>
                <w:color w:val="auto"/>
              </w:rPr>
              <w:t>(9.3)</w:t>
            </w:r>
          </w:p>
        </w:tc>
        <w:tc>
          <w:tcPr>
            <w:tcW w:w="100" w:type="dxa"/>
            <w:vAlign w:val="bottom"/>
            <w:shd w:val="clear" w:color="auto" w:fill="DCE2EF"/>
          </w:tcPr>
          <w:p>
            <w:pPr>
              <w:spacing w:after="0"/>
              <w:rPr>
                <w:sz w:val="19"/>
                <w:szCs w:val="19"/>
                <w:color w:val="auto"/>
              </w:rPr>
            </w:pPr>
          </w:p>
        </w:tc>
        <w:tc>
          <w:tcPr>
            <w:tcW w:w="340" w:type="dxa"/>
            <w:vAlign w:val="bottom"/>
            <w:shd w:val="clear" w:color="auto" w:fill="DCE2EF"/>
          </w:tcPr>
          <w:p>
            <w:pPr>
              <w:spacing w:after="0"/>
              <w:rPr>
                <w:sz w:val="19"/>
                <w:szCs w:val="19"/>
                <w:color w:val="auto"/>
              </w:rPr>
            </w:pPr>
          </w:p>
        </w:tc>
        <w:tc>
          <w:tcPr>
            <w:tcW w:w="1180" w:type="dxa"/>
            <w:vAlign w:val="bottom"/>
            <w:shd w:val="clear" w:color="auto" w:fill="DCE2EF"/>
          </w:tcPr>
          <w:p>
            <w:pPr>
              <w:jc w:val="right"/>
              <w:spacing w:after="0"/>
              <w:rPr>
                <w:sz w:val="20"/>
                <w:szCs w:val="20"/>
                <w:color w:val="auto"/>
              </w:rPr>
            </w:pPr>
            <w:r>
              <w:rPr>
                <w:rFonts w:ascii="Arial" w:cs="Arial" w:eastAsia="Arial" w:hAnsi="Arial"/>
                <w:sz w:val="17"/>
                <w:szCs w:val="17"/>
                <w:color w:val="auto"/>
              </w:rPr>
              <w:t>(22.9)</w:t>
            </w:r>
          </w:p>
        </w:tc>
        <w:tc>
          <w:tcPr>
            <w:tcW w:w="120" w:type="dxa"/>
            <w:vAlign w:val="bottom"/>
            <w:shd w:val="clear" w:color="auto" w:fill="DCE2EF"/>
          </w:tcPr>
          <w:p>
            <w:pPr>
              <w:spacing w:after="0"/>
              <w:rPr>
                <w:sz w:val="19"/>
                <w:szCs w:val="19"/>
                <w:color w:val="auto"/>
              </w:rPr>
            </w:pPr>
          </w:p>
        </w:tc>
        <w:tc>
          <w:tcPr>
            <w:tcW w:w="340" w:type="dxa"/>
            <w:vAlign w:val="bottom"/>
            <w:shd w:val="clear" w:color="auto" w:fill="DCE2EF"/>
          </w:tcPr>
          <w:p>
            <w:pPr>
              <w:spacing w:after="0"/>
              <w:rPr>
                <w:sz w:val="19"/>
                <w:szCs w:val="19"/>
                <w:color w:val="auto"/>
              </w:rPr>
            </w:pPr>
          </w:p>
        </w:tc>
        <w:tc>
          <w:tcPr>
            <w:tcW w:w="1180" w:type="dxa"/>
            <w:vAlign w:val="bottom"/>
            <w:shd w:val="clear" w:color="auto" w:fill="DCE2EF"/>
          </w:tcPr>
          <w:p>
            <w:pPr>
              <w:jc w:val="right"/>
              <w:spacing w:after="0"/>
              <w:rPr>
                <w:sz w:val="20"/>
                <w:szCs w:val="20"/>
                <w:color w:val="auto"/>
              </w:rPr>
            </w:pPr>
            <w:r>
              <w:rPr>
                <w:rFonts w:ascii="Arial" w:cs="Arial" w:eastAsia="Arial" w:hAnsi="Arial"/>
                <w:sz w:val="17"/>
                <w:szCs w:val="17"/>
                <w:color w:val="auto"/>
              </w:rPr>
              <w:t>(0.5)</w:t>
            </w:r>
          </w:p>
        </w:tc>
      </w:tr>
      <w:tr>
        <w:trPr>
          <w:trHeight w:val="219"/>
        </w:trPr>
        <w:tc>
          <w:tcPr>
            <w:tcW w:w="20" w:type="dxa"/>
            <w:vAlign w:val="bottom"/>
          </w:tcPr>
          <w:p>
            <w:pPr>
              <w:spacing w:after="0"/>
              <w:rPr>
                <w:sz w:val="19"/>
                <w:szCs w:val="19"/>
                <w:color w:val="auto"/>
              </w:rPr>
            </w:pPr>
          </w:p>
        </w:tc>
        <w:tc>
          <w:tcPr>
            <w:tcW w:w="6420" w:type="dxa"/>
            <w:vAlign w:val="bottom"/>
            <w:gridSpan w:val="2"/>
          </w:tcPr>
          <w:p>
            <w:pPr>
              <w:ind w:left="300"/>
              <w:spacing w:after="0"/>
              <w:rPr>
                <w:sz w:val="20"/>
                <w:szCs w:val="20"/>
                <w:color w:val="auto"/>
              </w:rPr>
            </w:pPr>
            <w:r>
              <w:rPr>
                <w:rFonts w:ascii="Arial" w:cs="Arial" w:eastAsia="Arial" w:hAnsi="Arial"/>
                <w:sz w:val="17"/>
                <w:szCs w:val="17"/>
                <w:color w:val="auto"/>
              </w:rPr>
              <w:t>Foreign currency translation and other</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5.5</w:t>
            </w:r>
          </w:p>
        </w:tc>
        <w:tc>
          <w:tcPr>
            <w:tcW w:w="100" w:type="dxa"/>
            <w:vAlign w:val="bottom"/>
            <w:shd w:val="clear" w:color="auto" w:fill="DCE2EF"/>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6.8</w:t>
            </w:r>
          </w:p>
        </w:tc>
        <w:tc>
          <w:tcPr>
            <w:tcW w:w="120" w:type="dxa"/>
            <w:vAlign w:val="bottom"/>
            <w:shd w:val="clear" w:color="auto" w:fill="DCE2EF"/>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7.3</w:t>
            </w:r>
          </w:p>
        </w:tc>
      </w:tr>
      <w:tr>
        <w:trPr>
          <w:trHeight w:val="219"/>
        </w:trPr>
        <w:tc>
          <w:tcPr>
            <w:tcW w:w="20" w:type="dxa"/>
            <w:vAlign w:val="bottom"/>
            <w:shd w:val="clear" w:color="auto" w:fill="DCE2EF"/>
          </w:tcPr>
          <w:p>
            <w:pPr>
              <w:spacing w:after="0"/>
              <w:rPr>
                <w:sz w:val="19"/>
                <w:szCs w:val="19"/>
                <w:color w:val="auto"/>
              </w:rPr>
            </w:pPr>
          </w:p>
        </w:tc>
        <w:tc>
          <w:tcPr>
            <w:tcW w:w="6420" w:type="dxa"/>
            <w:vAlign w:val="bottom"/>
            <w:gridSpan w:val="2"/>
            <w:shd w:val="clear" w:color="auto" w:fill="DCE2EF"/>
          </w:tcPr>
          <w:p>
            <w:pPr>
              <w:ind w:left="300"/>
              <w:spacing w:after="0"/>
              <w:rPr>
                <w:sz w:val="20"/>
                <w:szCs w:val="20"/>
                <w:color w:val="auto"/>
              </w:rPr>
            </w:pPr>
            <w:r>
              <w:rPr>
                <w:rFonts w:ascii="Arial" w:cs="Arial" w:eastAsia="Arial" w:hAnsi="Arial"/>
                <w:sz w:val="17"/>
                <w:szCs w:val="17"/>
                <w:color w:val="auto"/>
              </w:rPr>
              <w:t>Income tax provision</w:t>
            </w:r>
          </w:p>
        </w:tc>
        <w:tc>
          <w:tcPr>
            <w:tcW w:w="340" w:type="dxa"/>
            <w:vAlign w:val="bottom"/>
            <w:tcBorders>
              <w:bottom w:val="single" w:sz="8" w:color="auto"/>
            </w:tcBorders>
            <w:shd w:val="clear" w:color="auto" w:fill="DCE2EF"/>
          </w:tcPr>
          <w:p>
            <w:pPr>
              <w:spacing w:after="0"/>
              <w:rPr>
                <w:sz w:val="19"/>
                <w:szCs w:val="19"/>
                <w:color w:val="auto"/>
              </w:rPr>
            </w:pPr>
          </w:p>
        </w:tc>
        <w:tc>
          <w:tcPr>
            <w:tcW w:w="11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7"/>
                <w:szCs w:val="17"/>
                <w:color w:val="auto"/>
              </w:rPr>
              <w:t>2.4</w:t>
            </w:r>
          </w:p>
        </w:tc>
        <w:tc>
          <w:tcPr>
            <w:tcW w:w="100" w:type="dxa"/>
            <w:vAlign w:val="bottom"/>
            <w:shd w:val="clear" w:color="auto" w:fill="DCE2EF"/>
          </w:tcPr>
          <w:p>
            <w:pPr>
              <w:spacing w:after="0"/>
              <w:rPr>
                <w:sz w:val="19"/>
                <w:szCs w:val="19"/>
                <w:color w:val="auto"/>
              </w:rPr>
            </w:pPr>
          </w:p>
        </w:tc>
        <w:tc>
          <w:tcPr>
            <w:tcW w:w="340" w:type="dxa"/>
            <w:vAlign w:val="bottom"/>
            <w:tcBorders>
              <w:bottom w:val="single" w:sz="8" w:color="auto"/>
            </w:tcBorders>
            <w:shd w:val="clear" w:color="auto" w:fill="DCE2EF"/>
          </w:tcPr>
          <w:p>
            <w:pPr>
              <w:spacing w:after="0"/>
              <w:rPr>
                <w:sz w:val="19"/>
                <w:szCs w:val="19"/>
                <w:color w:val="auto"/>
              </w:rPr>
            </w:pPr>
          </w:p>
        </w:tc>
        <w:tc>
          <w:tcPr>
            <w:tcW w:w="11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7"/>
                <w:szCs w:val="17"/>
                <w:color w:val="auto"/>
              </w:rPr>
              <w:t>6.3</w:t>
            </w:r>
          </w:p>
        </w:tc>
        <w:tc>
          <w:tcPr>
            <w:tcW w:w="120" w:type="dxa"/>
            <w:vAlign w:val="bottom"/>
            <w:shd w:val="clear" w:color="auto" w:fill="DCE2EF"/>
          </w:tcPr>
          <w:p>
            <w:pPr>
              <w:spacing w:after="0"/>
              <w:rPr>
                <w:sz w:val="19"/>
                <w:szCs w:val="19"/>
                <w:color w:val="auto"/>
              </w:rPr>
            </w:pPr>
          </w:p>
        </w:tc>
        <w:tc>
          <w:tcPr>
            <w:tcW w:w="340" w:type="dxa"/>
            <w:vAlign w:val="bottom"/>
            <w:tcBorders>
              <w:bottom w:val="single" w:sz="8" w:color="auto"/>
            </w:tcBorders>
            <w:shd w:val="clear" w:color="auto" w:fill="DCE2EF"/>
          </w:tcPr>
          <w:p>
            <w:pPr>
              <w:spacing w:after="0"/>
              <w:rPr>
                <w:sz w:val="19"/>
                <w:szCs w:val="19"/>
                <w:color w:val="auto"/>
              </w:rPr>
            </w:pPr>
          </w:p>
        </w:tc>
        <w:tc>
          <w:tcPr>
            <w:tcW w:w="11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7"/>
                <w:szCs w:val="17"/>
                <w:color w:val="auto"/>
              </w:rPr>
              <w:t>0.1</w:t>
            </w:r>
          </w:p>
        </w:tc>
      </w:tr>
      <w:tr>
        <w:trPr>
          <w:trHeight w:val="212"/>
        </w:trPr>
        <w:tc>
          <w:tcPr>
            <w:tcW w:w="20" w:type="dxa"/>
            <w:vAlign w:val="bottom"/>
          </w:tcPr>
          <w:p>
            <w:pPr>
              <w:spacing w:after="0"/>
              <w:rPr>
                <w:sz w:val="18"/>
                <w:szCs w:val="18"/>
                <w:color w:val="auto"/>
              </w:rPr>
            </w:pPr>
          </w:p>
        </w:tc>
        <w:tc>
          <w:tcPr>
            <w:tcW w:w="6420" w:type="dxa"/>
            <w:vAlign w:val="bottom"/>
            <w:gridSpan w:val="2"/>
          </w:tcPr>
          <w:p>
            <w:pPr>
              <w:spacing w:after="0"/>
              <w:rPr>
                <w:sz w:val="20"/>
                <w:szCs w:val="20"/>
                <w:color w:val="auto"/>
              </w:rPr>
            </w:pPr>
            <w:r>
              <w:rPr>
                <w:rFonts w:ascii="Arial" w:cs="Arial" w:eastAsia="Arial" w:hAnsi="Arial"/>
                <w:sz w:val="17"/>
                <w:szCs w:val="17"/>
                <w:b w:val="1"/>
                <w:bCs w:val="1"/>
                <w:color w:val="auto"/>
              </w:rPr>
              <w:t>Comprehensive income</w:t>
            </w:r>
          </w:p>
        </w:tc>
        <w:tc>
          <w:tcPr>
            <w:tcW w:w="34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161.0</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71.6</w:t>
            </w:r>
          </w:p>
        </w:tc>
        <w:tc>
          <w:tcPr>
            <w:tcW w:w="120" w:type="dxa"/>
            <w:vAlign w:val="bottom"/>
          </w:tcPr>
          <w:p>
            <w:pPr>
              <w:spacing w:after="0"/>
              <w:rPr>
                <w:sz w:val="18"/>
                <w:szCs w:val="18"/>
                <w:color w:val="auto"/>
              </w:rPr>
            </w:pPr>
          </w:p>
        </w:tc>
        <w:tc>
          <w:tcPr>
            <w:tcW w:w="34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258.1</w:t>
            </w:r>
          </w:p>
        </w:tc>
      </w:tr>
      <w:tr>
        <w:trPr>
          <w:trHeight w:val="20"/>
        </w:trPr>
        <w:tc>
          <w:tcPr>
            <w:tcW w:w="20" w:type="dxa"/>
            <w:vAlign w:val="bottom"/>
            <w:tcBorders>
              <w:bottom w:val="single" w:sz="8" w:color="DCE2EF"/>
            </w:tcBorders>
          </w:tcPr>
          <w:p>
            <w:pPr>
              <w:spacing w:after="0" w:line="20" w:lineRule="exact"/>
              <w:rPr>
                <w:sz w:val="1"/>
                <w:szCs w:val="1"/>
                <w:color w:val="auto"/>
              </w:rPr>
            </w:pPr>
          </w:p>
        </w:tc>
        <w:tc>
          <w:tcPr>
            <w:tcW w:w="2140" w:type="dxa"/>
            <w:vAlign w:val="bottom"/>
            <w:tcBorders>
              <w:bottom w:val="single" w:sz="8" w:color="DCE2EF"/>
            </w:tcBorders>
          </w:tcPr>
          <w:p>
            <w:pPr>
              <w:spacing w:after="0" w:line="20" w:lineRule="exact"/>
              <w:rPr>
                <w:sz w:val="1"/>
                <w:szCs w:val="1"/>
                <w:color w:val="auto"/>
              </w:rPr>
            </w:pPr>
          </w:p>
        </w:tc>
        <w:tc>
          <w:tcPr>
            <w:tcW w:w="4280" w:type="dxa"/>
            <w:vAlign w:val="bottom"/>
            <w:tcBorders>
              <w:bottom w:val="single" w:sz="8" w:color="DCE2E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85"/>
        </w:trPr>
        <w:tc>
          <w:tcPr>
            <w:tcW w:w="20" w:type="dxa"/>
            <w:vAlign w:val="bottom"/>
            <w:shd w:val="clear" w:color="auto" w:fill="DCE2EF"/>
          </w:tcPr>
          <w:p>
            <w:pPr>
              <w:spacing w:after="0"/>
              <w:rPr>
                <w:sz w:val="16"/>
                <w:szCs w:val="16"/>
                <w:color w:val="auto"/>
              </w:rPr>
            </w:pPr>
          </w:p>
        </w:tc>
        <w:tc>
          <w:tcPr>
            <w:tcW w:w="6420" w:type="dxa"/>
            <w:vAlign w:val="bottom"/>
            <w:gridSpan w:val="2"/>
            <w:shd w:val="clear" w:color="auto" w:fill="DCE2EF"/>
          </w:tcPr>
          <w:p>
            <w:pPr>
              <w:spacing w:after="0" w:line="185" w:lineRule="exact"/>
              <w:rPr>
                <w:sz w:val="20"/>
                <w:szCs w:val="20"/>
                <w:color w:val="auto"/>
              </w:rPr>
            </w:pPr>
            <w:r>
              <w:rPr>
                <w:rFonts w:ascii="Arial" w:cs="Arial" w:eastAsia="Arial" w:hAnsi="Arial"/>
                <w:sz w:val="17"/>
                <w:szCs w:val="17"/>
                <w:b w:val="1"/>
                <w:bCs w:val="1"/>
                <w:color w:val="auto"/>
              </w:rPr>
              <w:t>Net income per common share</w:t>
            </w:r>
          </w:p>
        </w:tc>
        <w:tc>
          <w:tcPr>
            <w:tcW w:w="340" w:type="dxa"/>
            <w:vAlign w:val="bottom"/>
            <w:shd w:val="clear" w:color="auto" w:fill="DCE2EF"/>
          </w:tcPr>
          <w:p>
            <w:pPr>
              <w:spacing w:after="0"/>
              <w:rPr>
                <w:sz w:val="16"/>
                <w:szCs w:val="16"/>
                <w:color w:val="auto"/>
              </w:rPr>
            </w:pPr>
          </w:p>
        </w:tc>
        <w:tc>
          <w:tcPr>
            <w:tcW w:w="1180" w:type="dxa"/>
            <w:vAlign w:val="bottom"/>
            <w:shd w:val="clear" w:color="auto" w:fill="DCE2EF"/>
          </w:tcPr>
          <w:p>
            <w:pPr>
              <w:spacing w:after="0"/>
              <w:rPr>
                <w:sz w:val="16"/>
                <w:szCs w:val="16"/>
                <w:color w:val="auto"/>
              </w:rPr>
            </w:pPr>
          </w:p>
        </w:tc>
        <w:tc>
          <w:tcPr>
            <w:tcW w:w="100" w:type="dxa"/>
            <w:vAlign w:val="bottom"/>
            <w:shd w:val="clear" w:color="auto" w:fill="DCE2EF"/>
          </w:tcPr>
          <w:p>
            <w:pPr>
              <w:spacing w:after="0"/>
              <w:rPr>
                <w:sz w:val="16"/>
                <w:szCs w:val="16"/>
                <w:color w:val="auto"/>
              </w:rPr>
            </w:pPr>
          </w:p>
        </w:tc>
        <w:tc>
          <w:tcPr>
            <w:tcW w:w="340" w:type="dxa"/>
            <w:vAlign w:val="bottom"/>
            <w:shd w:val="clear" w:color="auto" w:fill="DCE2EF"/>
          </w:tcPr>
          <w:p>
            <w:pPr>
              <w:spacing w:after="0"/>
              <w:rPr>
                <w:sz w:val="16"/>
                <w:szCs w:val="16"/>
                <w:color w:val="auto"/>
              </w:rPr>
            </w:pPr>
          </w:p>
        </w:tc>
        <w:tc>
          <w:tcPr>
            <w:tcW w:w="1180" w:type="dxa"/>
            <w:vAlign w:val="bottom"/>
            <w:shd w:val="clear" w:color="auto" w:fill="DCE2EF"/>
          </w:tcPr>
          <w:p>
            <w:pPr>
              <w:spacing w:after="0"/>
              <w:rPr>
                <w:sz w:val="16"/>
                <w:szCs w:val="16"/>
                <w:color w:val="auto"/>
              </w:rPr>
            </w:pPr>
          </w:p>
        </w:tc>
        <w:tc>
          <w:tcPr>
            <w:tcW w:w="120" w:type="dxa"/>
            <w:vAlign w:val="bottom"/>
            <w:shd w:val="clear" w:color="auto" w:fill="DCE2EF"/>
          </w:tcPr>
          <w:p>
            <w:pPr>
              <w:spacing w:after="0"/>
              <w:rPr>
                <w:sz w:val="16"/>
                <w:szCs w:val="16"/>
                <w:color w:val="auto"/>
              </w:rPr>
            </w:pPr>
          </w:p>
        </w:tc>
        <w:tc>
          <w:tcPr>
            <w:tcW w:w="340" w:type="dxa"/>
            <w:vAlign w:val="bottom"/>
            <w:shd w:val="clear" w:color="auto" w:fill="DCE2EF"/>
          </w:tcPr>
          <w:p>
            <w:pPr>
              <w:spacing w:after="0"/>
              <w:rPr>
                <w:sz w:val="16"/>
                <w:szCs w:val="16"/>
                <w:color w:val="auto"/>
              </w:rPr>
            </w:pPr>
          </w:p>
        </w:tc>
        <w:tc>
          <w:tcPr>
            <w:tcW w:w="1180" w:type="dxa"/>
            <w:vAlign w:val="bottom"/>
            <w:shd w:val="clear" w:color="auto" w:fill="DCE2EF"/>
          </w:tcPr>
          <w:p>
            <w:pPr>
              <w:spacing w:after="0"/>
              <w:rPr>
                <w:sz w:val="16"/>
                <w:szCs w:val="16"/>
                <w:color w:val="auto"/>
              </w:rPr>
            </w:pPr>
          </w:p>
        </w:tc>
      </w:tr>
      <w:tr>
        <w:trPr>
          <w:trHeight w:val="219"/>
        </w:trPr>
        <w:tc>
          <w:tcPr>
            <w:tcW w:w="20" w:type="dxa"/>
            <w:vAlign w:val="bottom"/>
          </w:tcPr>
          <w:p>
            <w:pPr>
              <w:spacing w:after="0"/>
              <w:rPr>
                <w:sz w:val="19"/>
                <w:szCs w:val="19"/>
                <w:color w:val="auto"/>
              </w:rPr>
            </w:pPr>
          </w:p>
        </w:tc>
        <w:tc>
          <w:tcPr>
            <w:tcW w:w="6420" w:type="dxa"/>
            <w:vAlign w:val="bottom"/>
            <w:gridSpan w:val="2"/>
          </w:tcPr>
          <w:p>
            <w:pPr>
              <w:ind w:left="300"/>
              <w:spacing w:after="0"/>
              <w:rPr>
                <w:sz w:val="20"/>
                <w:szCs w:val="20"/>
                <w:color w:val="auto"/>
              </w:rPr>
            </w:pPr>
            <w:r>
              <w:rPr>
                <w:rFonts w:ascii="Arial" w:cs="Arial" w:eastAsia="Arial" w:hAnsi="Arial"/>
                <w:sz w:val="17"/>
                <w:szCs w:val="17"/>
                <w:color w:val="auto"/>
              </w:rPr>
              <w:t>Basic</w:t>
            </w:r>
          </w:p>
        </w:tc>
        <w:tc>
          <w:tcPr>
            <w:tcW w:w="340" w:type="dxa"/>
            <w:vAlign w:val="bottom"/>
          </w:tcPr>
          <w:p>
            <w:pPr>
              <w:jc w:val="right"/>
              <w:ind w:right="154"/>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2.61</w:t>
            </w:r>
          </w:p>
        </w:tc>
        <w:tc>
          <w:tcPr>
            <w:tcW w:w="440" w:type="dxa"/>
            <w:vAlign w:val="bottom"/>
            <w:gridSpan w:val="2"/>
          </w:tcPr>
          <w:p>
            <w:pPr>
              <w:jc w:val="right"/>
              <w:ind w:right="134"/>
              <w:spacing w:after="0"/>
              <w:rPr>
                <w:sz w:val="20"/>
                <w:szCs w:val="20"/>
                <w:color w:val="auto"/>
              </w:rPr>
            </w:pPr>
            <w:r>
              <w:rPr>
                <w:rFonts w:ascii="Arial" w:cs="Arial" w:eastAsia="Arial" w:hAnsi="Arial"/>
                <w:sz w:val="17"/>
                <w:szCs w:val="17"/>
                <w:color w:val="auto"/>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1.29</w:t>
            </w:r>
          </w:p>
        </w:tc>
        <w:tc>
          <w:tcPr>
            <w:tcW w:w="460" w:type="dxa"/>
            <w:vAlign w:val="bottom"/>
            <w:gridSpan w:val="2"/>
          </w:tcPr>
          <w:p>
            <w:pPr>
              <w:jc w:val="right"/>
              <w:ind w:right="154"/>
              <w:spacing w:after="0"/>
              <w:rPr>
                <w:sz w:val="20"/>
                <w:szCs w:val="20"/>
                <w:color w:val="auto"/>
              </w:rPr>
            </w:pPr>
            <w:r>
              <w:rPr>
                <w:rFonts w:ascii="Arial" w:cs="Arial" w:eastAsia="Arial" w:hAnsi="Arial"/>
                <w:sz w:val="17"/>
                <w:szCs w:val="17"/>
                <w:color w:val="auto"/>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3.81</w:t>
            </w:r>
          </w:p>
        </w:tc>
      </w:tr>
      <w:tr>
        <w:trPr>
          <w:trHeight w:val="219"/>
        </w:trPr>
        <w:tc>
          <w:tcPr>
            <w:tcW w:w="20" w:type="dxa"/>
            <w:vAlign w:val="bottom"/>
            <w:shd w:val="clear" w:color="auto" w:fill="DCE2EF"/>
          </w:tcPr>
          <w:p>
            <w:pPr>
              <w:spacing w:after="0"/>
              <w:rPr>
                <w:sz w:val="19"/>
                <w:szCs w:val="19"/>
                <w:color w:val="auto"/>
              </w:rPr>
            </w:pPr>
          </w:p>
        </w:tc>
        <w:tc>
          <w:tcPr>
            <w:tcW w:w="6420" w:type="dxa"/>
            <w:vAlign w:val="bottom"/>
            <w:gridSpan w:val="2"/>
            <w:shd w:val="clear" w:color="auto" w:fill="DCE2EF"/>
          </w:tcPr>
          <w:p>
            <w:pPr>
              <w:ind w:left="300"/>
              <w:spacing w:after="0"/>
              <w:rPr>
                <w:sz w:val="20"/>
                <w:szCs w:val="20"/>
                <w:color w:val="auto"/>
              </w:rPr>
            </w:pPr>
            <w:r>
              <w:rPr>
                <w:rFonts w:ascii="Arial" w:cs="Arial" w:eastAsia="Arial" w:hAnsi="Arial"/>
                <w:sz w:val="17"/>
                <w:szCs w:val="17"/>
                <w:color w:val="auto"/>
              </w:rPr>
              <w:t>Diluted</w:t>
            </w:r>
          </w:p>
        </w:tc>
        <w:tc>
          <w:tcPr>
            <w:tcW w:w="340" w:type="dxa"/>
            <w:vAlign w:val="bottom"/>
            <w:tcBorders>
              <w:bottom w:val="single" w:sz="8" w:color="auto"/>
            </w:tcBorders>
            <w:shd w:val="clear" w:color="auto" w:fill="DCE2EF"/>
          </w:tcPr>
          <w:p>
            <w:pPr>
              <w:spacing w:after="0"/>
              <w:rPr>
                <w:sz w:val="19"/>
                <w:szCs w:val="19"/>
                <w:color w:val="auto"/>
              </w:rPr>
            </w:pPr>
          </w:p>
        </w:tc>
        <w:tc>
          <w:tcPr>
            <w:tcW w:w="11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7"/>
                <w:szCs w:val="17"/>
                <w:color w:val="auto"/>
              </w:rPr>
              <w:t>2.59</w:t>
            </w:r>
          </w:p>
        </w:tc>
        <w:tc>
          <w:tcPr>
            <w:tcW w:w="100" w:type="dxa"/>
            <w:vAlign w:val="bottom"/>
            <w:shd w:val="clear" w:color="auto" w:fill="DCE2EF"/>
          </w:tcPr>
          <w:p>
            <w:pPr>
              <w:spacing w:after="0"/>
              <w:rPr>
                <w:sz w:val="19"/>
                <w:szCs w:val="19"/>
                <w:color w:val="auto"/>
              </w:rPr>
            </w:pPr>
          </w:p>
        </w:tc>
        <w:tc>
          <w:tcPr>
            <w:tcW w:w="340" w:type="dxa"/>
            <w:vAlign w:val="bottom"/>
            <w:tcBorders>
              <w:bottom w:val="single" w:sz="8" w:color="auto"/>
            </w:tcBorders>
            <w:shd w:val="clear" w:color="auto" w:fill="DCE2EF"/>
          </w:tcPr>
          <w:p>
            <w:pPr>
              <w:spacing w:after="0"/>
              <w:rPr>
                <w:sz w:val="19"/>
                <w:szCs w:val="19"/>
                <w:color w:val="auto"/>
              </w:rPr>
            </w:pPr>
          </w:p>
        </w:tc>
        <w:tc>
          <w:tcPr>
            <w:tcW w:w="11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7"/>
                <w:szCs w:val="17"/>
                <w:color w:val="auto"/>
              </w:rPr>
              <w:t>1.28</w:t>
            </w:r>
          </w:p>
        </w:tc>
        <w:tc>
          <w:tcPr>
            <w:tcW w:w="120" w:type="dxa"/>
            <w:vAlign w:val="bottom"/>
            <w:shd w:val="clear" w:color="auto" w:fill="DCE2EF"/>
          </w:tcPr>
          <w:p>
            <w:pPr>
              <w:spacing w:after="0"/>
              <w:rPr>
                <w:sz w:val="19"/>
                <w:szCs w:val="19"/>
                <w:color w:val="auto"/>
              </w:rPr>
            </w:pPr>
          </w:p>
        </w:tc>
        <w:tc>
          <w:tcPr>
            <w:tcW w:w="340" w:type="dxa"/>
            <w:vAlign w:val="bottom"/>
            <w:tcBorders>
              <w:bottom w:val="single" w:sz="8" w:color="auto"/>
            </w:tcBorders>
            <w:shd w:val="clear" w:color="auto" w:fill="DCE2EF"/>
          </w:tcPr>
          <w:p>
            <w:pPr>
              <w:spacing w:after="0"/>
              <w:rPr>
                <w:sz w:val="19"/>
                <w:szCs w:val="19"/>
                <w:color w:val="auto"/>
              </w:rPr>
            </w:pPr>
          </w:p>
        </w:tc>
        <w:tc>
          <w:tcPr>
            <w:tcW w:w="11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7"/>
                <w:szCs w:val="17"/>
                <w:color w:val="auto"/>
              </w:rPr>
              <w:t>3.79</w:t>
            </w:r>
          </w:p>
        </w:tc>
      </w:tr>
      <w:tr>
        <w:trPr>
          <w:trHeight w:val="199"/>
        </w:trPr>
        <w:tc>
          <w:tcPr>
            <w:tcW w:w="20" w:type="dxa"/>
            <w:vAlign w:val="bottom"/>
          </w:tcPr>
          <w:p>
            <w:pPr>
              <w:spacing w:after="0"/>
              <w:rPr>
                <w:sz w:val="17"/>
                <w:szCs w:val="17"/>
                <w:color w:val="auto"/>
              </w:rPr>
            </w:pPr>
          </w:p>
        </w:tc>
        <w:tc>
          <w:tcPr>
            <w:tcW w:w="6420" w:type="dxa"/>
            <w:vAlign w:val="bottom"/>
            <w:gridSpan w:val="2"/>
          </w:tcPr>
          <w:p>
            <w:pPr>
              <w:spacing w:after="0"/>
              <w:rPr>
                <w:sz w:val="20"/>
                <w:szCs w:val="20"/>
                <w:color w:val="auto"/>
              </w:rPr>
            </w:pPr>
            <w:r>
              <w:rPr>
                <w:rFonts w:ascii="Arial" w:cs="Arial" w:eastAsia="Arial" w:hAnsi="Arial"/>
                <w:sz w:val="17"/>
                <w:szCs w:val="17"/>
                <w:b w:val="1"/>
                <w:bCs w:val="1"/>
                <w:color w:val="auto"/>
              </w:rPr>
              <w:t>Weighted-average common and common equivalent shares outstanding</w:t>
            </w: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19"/>
        </w:trPr>
        <w:tc>
          <w:tcPr>
            <w:tcW w:w="20" w:type="dxa"/>
            <w:vAlign w:val="bottom"/>
            <w:shd w:val="clear" w:color="auto" w:fill="DCE2EF"/>
          </w:tcPr>
          <w:p>
            <w:pPr>
              <w:spacing w:after="0"/>
              <w:rPr>
                <w:sz w:val="19"/>
                <w:szCs w:val="19"/>
                <w:color w:val="auto"/>
              </w:rPr>
            </w:pPr>
          </w:p>
        </w:tc>
        <w:tc>
          <w:tcPr>
            <w:tcW w:w="6420" w:type="dxa"/>
            <w:vAlign w:val="bottom"/>
            <w:gridSpan w:val="2"/>
            <w:shd w:val="clear" w:color="auto" w:fill="DCE2EF"/>
          </w:tcPr>
          <w:p>
            <w:pPr>
              <w:ind w:left="300"/>
              <w:spacing w:after="0"/>
              <w:rPr>
                <w:sz w:val="20"/>
                <w:szCs w:val="20"/>
                <w:color w:val="auto"/>
              </w:rPr>
            </w:pPr>
            <w:r>
              <w:rPr>
                <w:rFonts w:ascii="Arial" w:cs="Arial" w:eastAsia="Arial" w:hAnsi="Arial"/>
                <w:sz w:val="17"/>
                <w:szCs w:val="17"/>
                <w:color w:val="auto"/>
              </w:rPr>
              <w:t>Basic</w:t>
            </w:r>
          </w:p>
        </w:tc>
        <w:tc>
          <w:tcPr>
            <w:tcW w:w="340" w:type="dxa"/>
            <w:vAlign w:val="bottom"/>
            <w:shd w:val="clear" w:color="auto" w:fill="DCE2EF"/>
          </w:tcPr>
          <w:p>
            <w:pPr>
              <w:spacing w:after="0"/>
              <w:rPr>
                <w:sz w:val="19"/>
                <w:szCs w:val="19"/>
                <w:color w:val="auto"/>
              </w:rPr>
            </w:pPr>
          </w:p>
        </w:tc>
        <w:tc>
          <w:tcPr>
            <w:tcW w:w="1180" w:type="dxa"/>
            <w:vAlign w:val="bottom"/>
            <w:shd w:val="clear" w:color="auto" w:fill="DCE2EF"/>
          </w:tcPr>
          <w:p>
            <w:pPr>
              <w:jc w:val="right"/>
              <w:spacing w:after="0"/>
              <w:rPr>
                <w:sz w:val="20"/>
                <w:szCs w:val="20"/>
                <w:color w:val="auto"/>
              </w:rPr>
            </w:pPr>
            <w:r>
              <w:rPr>
                <w:rFonts w:ascii="Arial" w:cs="Arial" w:eastAsia="Arial" w:hAnsi="Arial"/>
                <w:sz w:val="17"/>
                <w:szCs w:val="17"/>
                <w:color w:val="auto"/>
              </w:rPr>
              <w:t>62.3</w:t>
            </w:r>
          </w:p>
        </w:tc>
        <w:tc>
          <w:tcPr>
            <w:tcW w:w="100" w:type="dxa"/>
            <w:vAlign w:val="bottom"/>
            <w:shd w:val="clear" w:color="auto" w:fill="DCE2EF"/>
          </w:tcPr>
          <w:p>
            <w:pPr>
              <w:spacing w:after="0"/>
              <w:rPr>
                <w:sz w:val="19"/>
                <w:szCs w:val="19"/>
                <w:color w:val="auto"/>
              </w:rPr>
            </w:pPr>
          </w:p>
        </w:tc>
        <w:tc>
          <w:tcPr>
            <w:tcW w:w="340" w:type="dxa"/>
            <w:vAlign w:val="bottom"/>
            <w:shd w:val="clear" w:color="auto" w:fill="DCE2EF"/>
          </w:tcPr>
          <w:p>
            <w:pPr>
              <w:spacing w:after="0"/>
              <w:rPr>
                <w:sz w:val="19"/>
                <w:szCs w:val="19"/>
                <w:color w:val="auto"/>
              </w:rPr>
            </w:pPr>
          </w:p>
        </w:tc>
        <w:tc>
          <w:tcPr>
            <w:tcW w:w="1180" w:type="dxa"/>
            <w:vAlign w:val="bottom"/>
            <w:shd w:val="clear" w:color="auto" w:fill="DCE2EF"/>
          </w:tcPr>
          <w:p>
            <w:pPr>
              <w:jc w:val="right"/>
              <w:spacing w:after="0"/>
              <w:rPr>
                <w:sz w:val="20"/>
                <w:szCs w:val="20"/>
                <w:color w:val="auto"/>
              </w:rPr>
            </w:pPr>
            <w:r>
              <w:rPr>
                <w:rFonts w:ascii="Arial" w:cs="Arial" w:eastAsia="Arial" w:hAnsi="Arial"/>
                <w:sz w:val="17"/>
                <w:szCs w:val="17"/>
                <w:color w:val="auto"/>
              </w:rPr>
              <w:t>63.2</w:t>
            </w:r>
          </w:p>
        </w:tc>
        <w:tc>
          <w:tcPr>
            <w:tcW w:w="120" w:type="dxa"/>
            <w:vAlign w:val="bottom"/>
            <w:shd w:val="clear" w:color="auto" w:fill="DCE2EF"/>
          </w:tcPr>
          <w:p>
            <w:pPr>
              <w:spacing w:after="0"/>
              <w:rPr>
                <w:sz w:val="19"/>
                <w:szCs w:val="19"/>
                <w:color w:val="auto"/>
              </w:rPr>
            </w:pPr>
          </w:p>
        </w:tc>
        <w:tc>
          <w:tcPr>
            <w:tcW w:w="340" w:type="dxa"/>
            <w:vAlign w:val="bottom"/>
            <w:shd w:val="clear" w:color="auto" w:fill="DCE2EF"/>
          </w:tcPr>
          <w:p>
            <w:pPr>
              <w:spacing w:after="0"/>
              <w:rPr>
                <w:sz w:val="19"/>
                <w:szCs w:val="19"/>
                <w:color w:val="auto"/>
              </w:rPr>
            </w:pPr>
          </w:p>
        </w:tc>
        <w:tc>
          <w:tcPr>
            <w:tcW w:w="1180" w:type="dxa"/>
            <w:vAlign w:val="bottom"/>
            <w:shd w:val="clear" w:color="auto" w:fill="DCE2EF"/>
          </w:tcPr>
          <w:p>
            <w:pPr>
              <w:jc w:val="right"/>
              <w:spacing w:after="0"/>
              <w:rPr>
                <w:sz w:val="20"/>
                <w:szCs w:val="20"/>
                <w:color w:val="auto"/>
              </w:rPr>
            </w:pPr>
            <w:r>
              <w:rPr>
                <w:rFonts w:ascii="Arial" w:cs="Arial" w:eastAsia="Arial" w:hAnsi="Arial"/>
                <w:sz w:val="17"/>
                <w:szCs w:val="17"/>
                <w:color w:val="auto"/>
              </w:rPr>
              <w:t>66.0</w:t>
            </w:r>
          </w:p>
        </w:tc>
      </w:tr>
      <w:tr>
        <w:trPr>
          <w:trHeight w:val="226"/>
        </w:trPr>
        <w:tc>
          <w:tcPr>
            <w:tcW w:w="20" w:type="dxa"/>
            <w:vAlign w:val="bottom"/>
          </w:tcPr>
          <w:p>
            <w:pPr>
              <w:spacing w:after="0"/>
              <w:rPr>
                <w:sz w:val="19"/>
                <w:szCs w:val="19"/>
                <w:color w:val="auto"/>
              </w:rPr>
            </w:pPr>
          </w:p>
        </w:tc>
        <w:tc>
          <w:tcPr>
            <w:tcW w:w="6420" w:type="dxa"/>
            <w:vAlign w:val="bottom"/>
            <w:gridSpan w:val="2"/>
          </w:tcPr>
          <w:p>
            <w:pPr>
              <w:ind w:left="300"/>
              <w:spacing w:after="0"/>
              <w:rPr>
                <w:sz w:val="20"/>
                <w:szCs w:val="20"/>
                <w:color w:val="auto"/>
              </w:rPr>
            </w:pPr>
            <w:r>
              <w:rPr>
                <w:rFonts w:ascii="Arial" w:cs="Arial" w:eastAsia="Arial" w:hAnsi="Arial"/>
                <w:sz w:val="17"/>
                <w:szCs w:val="17"/>
                <w:color w:val="auto"/>
              </w:rPr>
              <w:t>Diluted</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62.7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63.6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66.3</w:t>
            </w:r>
          </w:p>
        </w:tc>
      </w:tr>
    </w:tbl>
    <w:p>
      <w:pPr>
        <w:spacing w:after="0" w:line="209"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See accompanying Notes to consolidated financial statements.</w:t>
      </w:r>
    </w:p>
    <w:p>
      <w:pPr>
        <w:spacing w:after="0" w:line="200" w:lineRule="exact"/>
        <w:rPr>
          <w:sz w:val="20"/>
          <w:szCs w:val="20"/>
          <w:color w:val="auto"/>
        </w:rPr>
      </w:pPr>
    </w:p>
    <w:p>
      <w:pPr>
        <w:spacing w:after="0" w:line="339"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70485</wp:posOffset>
            </wp:positionV>
            <wp:extent cx="716407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40" w:top="997" w:right="339" w:bottom="1440" w:gutter="0" w:footer="0" w:header="0"/>
        </w:sectPr>
      </w:pPr>
    </w:p>
    <w:bookmarkStart w:id="49" w:name="page50"/>
    <w:bookmarkEnd w:id="49"/>
    <w:p>
      <w:pPr>
        <w:jc w:val="center"/>
        <w:ind w:right="20"/>
        <w:spacing w:after="0"/>
        <w:rPr>
          <w:sz w:val="20"/>
          <w:szCs w:val="20"/>
          <w:color w:val="auto"/>
        </w:rPr>
      </w:pPr>
      <w:r>
        <w:rPr>
          <w:rFonts w:ascii="Arial" w:cs="Arial" w:eastAsia="Arial" w:hAnsi="Arial"/>
          <w:sz w:val="17"/>
          <w:szCs w:val="17"/>
          <w:b w:val="1"/>
          <w:bCs w:val="1"/>
          <w:color w:val="0046AD"/>
        </w:rPr>
        <w:t>ABM INDUSTRIES INCORPORATED AND SUBSIDIARIES</w:t>
      </w:r>
    </w:p>
    <w:p>
      <w:pPr>
        <w:spacing w:after="0" w:line="127"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0046AD"/>
        </w:rPr>
        <w:t>CONSOLIDATED STATEMENTS OF STOCKHOLDERS’ EQUITY</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4"/>
          </w:tcPr>
          <w:p>
            <w:pPr>
              <w:jc w:val="right"/>
              <w:ind w:right="111"/>
              <w:spacing w:after="0"/>
              <w:rPr>
                <w:sz w:val="20"/>
                <w:szCs w:val="20"/>
                <w:color w:val="auto"/>
              </w:rPr>
            </w:pPr>
            <w:r>
              <w:rPr>
                <w:rFonts w:ascii="Arial" w:cs="Arial" w:eastAsia="Arial" w:hAnsi="Arial"/>
                <w:sz w:val="14"/>
                <w:szCs w:val="14"/>
                <w:b w:val="1"/>
                <w:bCs w:val="1"/>
                <w:color w:val="auto"/>
              </w:rPr>
              <w:t>Years Ended October 31,</w:t>
            </w: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1220" w:type="dxa"/>
            <w:vAlign w:val="bottom"/>
            <w:gridSpan w:val="3"/>
          </w:tcPr>
          <w:p>
            <w:pPr>
              <w:jc w:val="right"/>
              <w:spacing w:after="0"/>
              <w:rPr>
                <w:sz w:val="20"/>
                <w:szCs w:val="20"/>
                <w:color w:val="auto"/>
              </w:rPr>
            </w:pPr>
            <w:r>
              <w:rPr>
                <w:rFonts w:ascii="Arial" w:cs="Arial" w:eastAsia="Arial" w:hAnsi="Arial"/>
                <w:sz w:val="14"/>
                <w:szCs w:val="14"/>
                <w:b w:val="1"/>
                <w:bCs w:val="1"/>
                <w:color w:val="auto"/>
              </w:rPr>
              <w:t>2025</w:t>
            </w:r>
          </w:p>
        </w:tc>
        <w:tc>
          <w:tcPr>
            <w:tcW w:w="800" w:type="dxa"/>
            <w:vAlign w:val="bottom"/>
          </w:tcPr>
          <w:p>
            <w:pPr>
              <w:spacing w:after="0"/>
              <w:rPr>
                <w:sz w:val="16"/>
                <w:szCs w:val="16"/>
                <w:color w:val="auto"/>
              </w:rPr>
            </w:pPr>
          </w:p>
        </w:tc>
        <w:tc>
          <w:tcPr>
            <w:tcW w:w="1340" w:type="dxa"/>
            <w:vAlign w:val="bottom"/>
            <w:gridSpan w:val="4"/>
          </w:tcPr>
          <w:p>
            <w:pPr>
              <w:jc w:val="right"/>
              <w:spacing w:after="0"/>
              <w:rPr>
                <w:sz w:val="20"/>
                <w:szCs w:val="20"/>
                <w:color w:val="auto"/>
              </w:rPr>
            </w:pPr>
            <w:r>
              <w:rPr>
                <w:rFonts w:ascii="Arial" w:cs="Arial" w:eastAsia="Arial" w:hAnsi="Arial"/>
                <w:sz w:val="14"/>
                <w:szCs w:val="14"/>
                <w:b w:val="1"/>
                <w:bCs w:val="1"/>
                <w:color w:val="auto"/>
              </w:rPr>
              <w:t>2024</w:t>
            </w:r>
          </w:p>
        </w:tc>
        <w:tc>
          <w:tcPr>
            <w:tcW w:w="800" w:type="dxa"/>
            <w:vAlign w:val="bottom"/>
          </w:tcPr>
          <w:p>
            <w:pPr>
              <w:spacing w:after="0"/>
              <w:rPr>
                <w:sz w:val="16"/>
                <w:szCs w:val="16"/>
                <w:color w:val="auto"/>
              </w:rPr>
            </w:pPr>
          </w:p>
        </w:tc>
        <w:tc>
          <w:tcPr>
            <w:tcW w:w="1360" w:type="dxa"/>
            <w:vAlign w:val="bottom"/>
            <w:gridSpan w:val="4"/>
          </w:tcPr>
          <w:p>
            <w:pPr>
              <w:jc w:val="right"/>
              <w:spacing w:after="0"/>
              <w:rPr>
                <w:sz w:val="20"/>
                <w:szCs w:val="20"/>
                <w:color w:val="auto"/>
              </w:rPr>
            </w:pPr>
            <w:r>
              <w:rPr>
                <w:rFonts w:ascii="Arial" w:cs="Arial" w:eastAsia="Arial" w:hAnsi="Arial"/>
                <w:sz w:val="14"/>
                <w:szCs w:val="14"/>
                <w:b w:val="1"/>
                <w:bCs w:val="1"/>
                <w:color w:val="auto"/>
              </w:rPr>
              <w:t>2023</w:t>
            </w: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860" w:type="dxa"/>
            <w:vAlign w:val="bottom"/>
            <w:gridSpan w:val="2"/>
          </w:tcPr>
          <w:p>
            <w:pPr>
              <w:spacing w:after="0"/>
              <w:rPr>
                <w:sz w:val="20"/>
                <w:szCs w:val="20"/>
                <w:color w:val="auto"/>
              </w:rPr>
            </w:pPr>
            <w:r>
              <w:rPr>
                <w:rFonts w:ascii="Times New Roman" w:cs="Times New Roman" w:eastAsia="Times New Roman" w:hAnsi="Times New Roman"/>
                <w:sz w:val="12"/>
                <w:szCs w:val="12"/>
                <w:i w:val="1"/>
                <w:iCs w:val="1"/>
                <w:color w:val="auto"/>
              </w:rPr>
              <w:t>(in millions, except per share amounts)</w:t>
            </w:r>
          </w:p>
        </w:tc>
        <w:tc>
          <w:tcPr>
            <w:tcW w:w="1080" w:type="dxa"/>
            <w:vAlign w:val="bottom"/>
            <w:tcBorders>
              <w:top w:val="single" w:sz="8" w:color="auto"/>
            </w:tcBorders>
            <w:gridSpan w:val="2"/>
          </w:tcPr>
          <w:p>
            <w:pPr>
              <w:ind w:left="260"/>
              <w:spacing w:after="0" w:line="149" w:lineRule="exact"/>
              <w:rPr>
                <w:sz w:val="20"/>
                <w:szCs w:val="20"/>
                <w:color w:val="auto"/>
              </w:rPr>
            </w:pPr>
            <w:r>
              <w:rPr>
                <w:rFonts w:ascii="Arial" w:cs="Arial" w:eastAsia="Arial" w:hAnsi="Arial"/>
                <w:sz w:val="14"/>
                <w:szCs w:val="14"/>
                <w:b w:val="1"/>
                <w:bCs w:val="1"/>
                <w:color w:val="auto"/>
              </w:rPr>
              <w:t>Shares</w:t>
            </w:r>
          </w:p>
        </w:tc>
        <w:tc>
          <w:tcPr>
            <w:tcW w:w="1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151"/>
              <w:spacing w:after="0" w:line="149" w:lineRule="exact"/>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2"/>
                <w:szCs w:val="12"/>
                <w:color w:val="auto"/>
              </w:rPr>
            </w:pPr>
          </w:p>
        </w:tc>
        <w:tc>
          <w:tcPr>
            <w:tcW w:w="1100" w:type="dxa"/>
            <w:vAlign w:val="bottom"/>
            <w:tcBorders>
              <w:top w:val="single" w:sz="8" w:color="auto"/>
            </w:tcBorders>
            <w:gridSpan w:val="2"/>
          </w:tcPr>
          <w:p>
            <w:pPr>
              <w:ind w:left="280"/>
              <w:spacing w:after="0" w:line="149" w:lineRule="exact"/>
              <w:rPr>
                <w:sz w:val="20"/>
                <w:szCs w:val="20"/>
                <w:color w:val="auto"/>
              </w:rPr>
            </w:pPr>
            <w:r>
              <w:rPr>
                <w:rFonts w:ascii="Arial" w:cs="Arial" w:eastAsia="Arial" w:hAnsi="Arial"/>
                <w:sz w:val="14"/>
                <w:szCs w:val="14"/>
                <w:b w:val="1"/>
                <w:bCs w:val="1"/>
                <w:color w:val="auto"/>
              </w:rPr>
              <w:t>Shares</w:t>
            </w:r>
          </w:p>
        </w:tc>
        <w:tc>
          <w:tcPr>
            <w:tcW w:w="1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151"/>
              <w:spacing w:after="0" w:line="149" w:lineRule="exact"/>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2"/>
                <w:szCs w:val="12"/>
                <w:color w:val="auto"/>
              </w:rPr>
            </w:pPr>
          </w:p>
        </w:tc>
        <w:tc>
          <w:tcPr>
            <w:tcW w:w="1100" w:type="dxa"/>
            <w:vAlign w:val="bottom"/>
            <w:tcBorders>
              <w:top w:val="single" w:sz="8" w:color="auto"/>
            </w:tcBorders>
            <w:gridSpan w:val="2"/>
          </w:tcPr>
          <w:p>
            <w:pPr>
              <w:ind w:left="280"/>
              <w:spacing w:after="0" w:line="149" w:lineRule="exact"/>
              <w:rPr>
                <w:sz w:val="20"/>
                <w:szCs w:val="20"/>
                <w:color w:val="auto"/>
              </w:rPr>
            </w:pPr>
            <w:r>
              <w:rPr>
                <w:rFonts w:ascii="Arial" w:cs="Arial" w:eastAsia="Arial" w:hAnsi="Arial"/>
                <w:sz w:val="14"/>
                <w:szCs w:val="14"/>
                <w:b w:val="1"/>
                <w:bCs w:val="1"/>
                <w:color w:val="auto"/>
              </w:rPr>
              <w:t>Shares</w:t>
            </w:r>
          </w:p>
        </w:tc>
        <w:tc>
          <w:tcPr>
            <w:tcW w:w="16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ind w:right="171"/>
              <w:spacing w:after="0" w:line="149" w:lineRule="exact"/>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0"/>
        </w:trPr>
        <w:tc>
          <w:tcPr>
            <w:tcW w:w="20" w:type="dxa"/>
            <w:vAlign w:val="bottom"/>
            <w:tcBorders>
              <w:bottom w:val="single" w:sz="8" w:color="DCE2EF"/>
            </w:tcBorders>
          </w:tcPr>
          <w:p>
            <w:pPr>
              <w:spacing w:after="0" w:line="20" w:lineRule="exact"/>
              <w:rPr>
                <w:sz w:val="1"/>
                <w:szCs w:val="1"/>
                <w:color w:val="auto"/>
              </w:rPr>
            </w:pPr>
          </w:p>
        </w:tc>
        <w:tc>
          <w:tcPr>
            <w:tcW w:w="1880" w:type="dxa"/>
            <w:vAlign w:val="bottom"/>
            <w:tcBorders>
              <w:top w:val="single" w:sz="8" w:color="auto"/>
              <w:bottom w:val="single" w:sz="8" w:color="DCE2EF"/>
            </w:tcBorders>
          </w:tcPr>
          <w:p>
            <w:pPr>
              <w:spacing w:after="0" w:line="20" w:lineRule="exact"/>
              <w:rPr>
                <w:sz w:val="1"/>
                <w:szCs w:val="1"/>
                <w:color w:val="auto"/>
              </w:rPr>
            </w:pPr>
          </w:p>
        </w:tc>
        <w:tc>
          <w:tcPr>
            <w:tcW w:w="2980" w:type="dxa"/>
            <w:vAlign w:val="bottom"/>
            <w:tcBorders>
              <w:bottom w:val="single" w:sz="8" w:color="DCE2E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20" w:type="dxa"/>
            <w:vAlign w:val="bottom"/>
            <w:shd w:val="clear" w:color="auto" w:fill="DCE2EF"/>
          </w:tcPr>
          <w:p>
            <w:pPr>
              <w:spacing w:after="0"/>
              <w:rPr>
                <w:sz w:val="14"/>
                <w:szCs w:val="14"/>
                <w:color w:val="auto"/>
              </w:rPr>
            </w:pPr>
          </w:p>
        </w:tc>
        <w:tc>
          <w:tcPr>
            <w:tcW w:w="4860" w:type="dxa"/>
            <w:vAlign w:val="bottom"/>
            <w:gridSpan w:val="2"/>
            <w:shd w:val="clear" w:color="auto" w:fill="DCE2EF"/>
          </w:tcPr>
          <w:p>
            <w:pPr>
              <w:spacing w:after="0"/>
              <w:rPr>
                <w:sz w:val="20"/>
                <w:szCs w:val="20"/>
                <w:color w:val="auto"/>
              </w:rPr>
            </w:pPr>
            <w:r>
              <w:rPr>
                <w:rFonts w:ascii="Arial" w:cs="Arial" w:eastAsia="Arial" w:hAnsi="Arial"/>
                <w:sz w:val="14"/>
                <w:szCs w:val="14"/>
                <w:b w:val="1"/>
                <w:bCs w:val="1"/>
                <w:color w:val="auto"/>
              </w:rPr>
              <w:t>Common Stock</w:t>
            </w:r>
          </w:p>
        </w:tc>
        <w:tc>
          <w:tcPr>
            <w:tcW w:w="960" w:type="dxa"/>
            <w:vAlign w:val="bottom"/>
            <w:shd w:val="clear" w:color="auto" w:fill="DCE2EF"/>
          </w:tcPr>
          <w:p>
            <w:pPr>
              <w:spacing w:after="0"/>
              <w:rPr>
                <w:sz w:val="14"/>
                <w:szCs w:val="14"/>
                <w:color w:val="auto"/>
              </w:rPr>
            </w:pPr>
          </w:p>
        </w:tc>
        <w:tc>
          <w:tcPr>
            <w:tcW w:w="120" w:type="dxa"/>
            <w:vAlign w:val="bottom"/>
            <w:shd w:val="clear" w:color="auto" w:fill="DCE2EF"/>
          </w:tcPr>
          <w:p>
            <w:pPr>
              <w:spacing w:after="0"/>
              <w:rPr>
                <w:sz w:val="14"/>
                <w:szCs w:val="14"/>
                <w:color w:val="auto"/>
              </w:rPr>
            </w:pPr>
          </w:p>
        </w:tc>
        <w:tc>
          <w:tcPr>
            <w:tcW w:w="140" w:type="dxa"/>
            <w:vAlign w:val="bottom"/>
            <w:shd w:val="clear" w:color="auto" w:fill="DCE2EF"/>
          </w:tcPr>
          <w:p>
            <w:pPr>
              <w:spacing w:after="0"/>
              <w:rPr>
                <w:sz w:val="14"/>
                <w:szCs w:val="14"/>
                <w:color w:val="auto"/>
              </w:rPr>
            </w:pPr>
          </w:p>
        </w:tc>
        <w:tc>
          <w:tcPr>
            <w:tcW w:w="800" w:type="dxa"/>
            <w:vAlign w:val="bottom"/>
            <w:shd w:val="clear" w:color="auto" w:fill="DCE2EF"/>
          </w:tcPr>
          <w:p>
            <w:pPr>
              <w:spacing w:after="0"/>
              <w:rPr>
                <w:sz w:val="14"/>
                <w:szCs w:val="14"/>
                <w:color w:val="auto"/>
              </w:rPr>
            </w:pPr>
          </w:p>
        </w:tc>
        <w:tc>
          <w:tcPr>
            <w:tcW w:w="100" w:type="dxa"/>
            <w:vAlign w:val="bottom"/>
            <w:shd w:val="clear" w:color="auto" w:fill="DCE2EF"/>
          </w:tcPr>
          <w:p>
            <w:pPr>
              <w:spacing w:after="0"/>
              <w:rPr>
                <w:sz w:val="14"/>
                <w:szCs w:val="14"/>
                <w:color w:val="auto"/>
              </w:rPr>
            </w:pPr>
          </w:p>
        </w:tc>
        <w:tc>
          <w:tcPr>
            <w:tcW w:w="980" w:type="dxa"/>
            <w:vAlign w:val="bottom"/>
            <w:shd w:val="clear" w:color="auto" w:fill="DCE2EF"/>
          </w:tcPr>
          <w:p>
            <w:pPr>
              <w:spacing w:after="0"/>
              <w:rPr>
                <w:sz w:val="14"/>
                <w:szCs w:val="14"/>
                <w:color w:val="auto"/>
              </w:rPr>
            </w:pPr>
          </w:p>
        </w:tc>
        <w:tc>
          <w:tcPr>
            <w:tcW w:w="120" w:type="dxa"/>
            <w:vAlign w:val="bottom"/>
            <w:shd w:val="clear" w:color="auto" w:fill="DCE2EF"/>
          </w:tcPr>
          <w:p>
            <w:pPr>
              <w:spacing w:after="0"/>
              <w:rPr>
                <w:sz w:val="14"/>
                <w:szCs w:val="14"/>
                <w:color w:val="auto"/>
              </w:rPr>
            </w:pPr>
          </w:p>
        </w:tc>
        <w:tc>
          <w:tcPr>
            <w:tcW w:w="140" w:type="dxa"/>
            <w:vAlign w:val="bottom"/>
            <w:shd w:val="clear" w:color="auto" w:fill="DCE2EF"/>
          </w:tcPr>
          <w:p>
            <w:pPr>
              <w:spacing w:after="0"/>
              <w:rPr>
                <w:sz w:val="14"/>
                <w:szCs w:val="14"/>
                <w:color w:val="auto"/>
              </w:rPr>
            </w:pPr>
          </w:p>
        </w:tc>
        <w:tc>
          <w:tcPr>
            <w:tcW w:w="800" w:type="dxa"/>
            <w:vAlign w:val="bottom"/>
            <w:shd w:val="clear" w:color="auto" w:fill="DCE2EF"/>
          </w:tcPr>
          <w:p>
            <w:pPr>
              <w:spacing w:after="0"/>
              <w:rPr>
                <w:sz w:val="14"/>
                <w:szCs w:val="14"/>
                <w:color w:val="auto"/>
              </w:rPr>
            </w:pPr>
          </w:p>
        </w:tc>
        <w:tc>
          <w:tcPr>
            <w:tcW w:w="100" w:type="dxa"/>
            <w:vAlign w:val="bottom"/>
            <w:shd w:val="clear" w:color="auto" w:fill="DCE2EF"/>
          </w:tcPr>
          <w:p>
            <w:pPr>
              <w:spacing w:after="0"/>
              <w:rPr>
                <w:sz w:val="14"/>
                <w:szCs w:val="14"/>
                <w:color w:val="auto"/>
              </w:rPr>
            </w:pPr>
          </w:p>
        </w:tc>
        <w:tc>
          <w:tcPr>
            <w:tcW w:w="980" w:type="dxa"/>
            <w:vAlign w:val="bottom"/>
            <w:shd w:val="clear" w:color="auto" w:fill="DCE2EF"/>
          </w:tcPr>
          <w:p>
            <w:pPr>
              <w:spacing w:after="0"/>
              <w:rPr>
                <w:sz w:val="14"/>
                <w:szCs w:val="14"/>
                <w:color w:val="auto"/>
              </w:rPr>
            </w:pPr>
          </w:p>
        </w:tc>
        <w:tc>
          <w:tcPr>
            <w:tcW w:w="120" w:type="dxa"/>
            <w:vAlign w:val="bottom"/>
            <w:shd w:val="clear" w:color="auto" w:fill="DCE2EF"/>
          </w:tcPr>
          <w:p>
            <w:pPr>
              <w:spacing w:after="0"/>
              <w:rPr>
                <w:sz w:val="14"/>
                <w:szCs w:val="14"/>
                <w:color w:val="auto"/>
              </w:rPr>
            </w:pPr>
          </w:p>
        </w:tc>
        <w:tc>
          <w:tcPr>
            <w:tcW w:w="160" w:type="dxa"/>
            <w:vAlign w:val="bottom"/>
            <w:shd w:val="clear" w:color="auto" w:fill="DCE2EF"/>
          </w:tcPr>
          <w:p>
            <w:pPr>
              <w:spacing w:after="0"/>
              <w:rPr>
                <w:sz w:val="14"/>
                <w:szCs w:val="14"/>
                <w:color w:val="auto"/>
              </w:rPr>
            </w:pPr>
          </w:p>
        </w:tc>
        <w:tc>
          <w:tcPr>
            <w:tcW w:w="820" w:type="dxa"/>
            <w:vAlign w:val="bottom"/>
            <w:shd w:val="clear" w:color="auto" w:fill="DCE2EF"/>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860" w:type="dxa"/>
            <w:vAlign w:val="bottom"/>
            <w:gridSpan w:val="2"/>
          </w:tcPr>
          <w:p>
            <w:pPr>
              <w:ind w:left="100"/>
              <w:spacing w:after="0"/>
              <w:rPr>
                <w:sz w:val="20"/>
                <w:szCs w:val="20"/>
                <w:color w:val="auto"/>
              </w:rPr>
            </w:pPr>
            <w:r>
              <w:rPr>
                <w:rFonts w:ascii="Arial" w:cs="Arial" w:eastAsia="Arial" w:hAnsi="Arial"/>
                <w:sz w:val="14"/>
                <w:szCs w:val="14"/>
                <w:color w:val="auto"/>
              </w:rPr>
              <w:t>Balance, beginning of year</w:t>
            </w:r>
          </w:p>
        </w:tc>
        <w:tc>
          <w:tcPr>
            <w:tcW w:w="960" w:type="dxa"/>
            <w:vAlign w:val="bottom"/>
          </w:tcPr>
          <w:p>
            <w:pPr>
              <w:jc w:val="right"/>
              <w:spacing w:after="0"/>
              <w:rPr>
                <w:sz w:val="20"/>
                <w:szCs w:val="20"/>
                <w:color w:val="auto"/>
              </w:rPr>
            </w:pPr>
            <w:r>
              <w:rPr>
                <w:rFonts w:ascii="Arial" w:cs="Arial" w:eastAsia="Arial" w:hAnsi="Arial"/>
                <w:sz w:val="14"/>
                <w:szCs w:val="14"/>
                <w:color w:val="auto"/>
              </w:rPr>
              <w:t>62.2</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0.6</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62.8</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0.6</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65.5</w:t>
            </w:r>
          </w:p>
        </w:tc>
        <w:tc>
          <w:tcPr>
            <w:tcW w:w="120" w:type="dxa"/>
            <w:vAlign w:val="bottom"/>
          </w:tcPr>
          <w:p>
            <w:pPr>
              <w:spacing w:after="0"/>
              <w:rPr>
                <w:sz w:val="16"/>
                <w:szCs w:val="16"/>
                <w:color w:val="auto"/>
              </w:rPr>
            </w:pPr>
          </w:p>
        </w:tc>
        <w:tc>
          <w:tcPr>
            <w:tcW w:w="160" w:type="dxa"/>
            <w:vAlign w:val="bottom"/>
          </w:tcPr>
          <w:p>
            <w:pPr>
              <w:jc w:val="right"/>
              <w:ind w:right="11"/>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ind w:right="11"/>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146"/>
        </w:trPr>
        <w:tc>
          <w:tcPr>
            <w:tcW w:w="20" w:type="dxa"/>
            <w:vAlign w:val="bottom"/>
            <w:shd w:val="clear" w:color="auto" w:fill="DCE2EF"/>
          </w:tcPr>
          <w:p>
            <w:pPr>
              <w:spacing w:after="0"/>
              <w:rPr>
                <w:sz w:val="12"/>
                <w:szCs w:val="12"/>
                <w:color w:val="auto"/>
              </w:rPr>
            </w:pPr>
          </w:p>
        </w:tc>
        <w:tc>
          <w:tcPr>
            <w:tcW w:w="4860" w:type="dxa"/>
            <w:vAlign w:val="bottom"/>
            <w:gridSpan w:val="2"/>
            <w:shd w:val="clear" w:color="auto" w:fill="DCE2EF"/>
          </w:tcPr>
          <w:p>
            <w:pPr>
              <w:ind w:left="100"/>
              <w:spacing w:after="0" w:line="146" w:lineRule="exact"/>
              <w:rPr>
                <w:sz w:val="20"/>
                <w:szCs w:val="20"/>
                <w:color w:val="auto"/>
              </w:rPr>
            </w:pPr>
            <w:r>
              <w:rPr>
                <w:rFonts w:ascii="Arial" w:cs="Arial" w:eastAsia="Arial" w:hAnsi="Arial"/>
                <w:sz w:val="14"/>
                <w:szCs w:val="14"/>
                <w:color w:val="auto"/>
              </w:rPr>
              <w:t>Stock issued under employee stock purchase and share-based</w:t>
            </w:r>
          </w:p>
        </w:tc>
        <w:tc>
          <w:tcPr>
            <w:tcW w:w="960" w:type="dxa"/>
            <w:vAlign w:val="bottom"/>
            <w:vMerge w:val="restart"/>
            <w:shd w:val="clear" w:color="auto" w:fill="DCE2EF"/>
          </w:tcPr>
          <w:p>
            <w:pPr>
              <w:jc w:val="right"/>
              <w:spacing w:after="0"/>
              <w:rPr>
                <w:sz w:val="20"/>
                <w:szCs w:val="20"/>
                <w:color w:val="auto"/>
              </w:rPr>
            </w:pPr>
            <w:r>
              <w:rPr>
                <w:rFonts w:ascii="Arial" w:cs="Arial" w:eastAsia="Arial" w:hAnsi="Arial"/>
                <w:sz w:val="14"/>
                <w:szCs w:val="14"/>
                <w:color w:val="auto"/>
              </w:rPr>
              <w:t>0.5</w:t>
            </w:r>
          </w:p>
        </w:tc>
        <w:tc>
          <w:tcPr>
            <w:tcW w:w="120" w:type="dxa"/>
            <w:vAlign w:val="bottom"/>
            <w:shd w:val="clear" w:color="auto" w:fill="DCE2EF"/>
          </w:tcPr>
          <w:p>
            <w:pPr>
              <w:spacing w:after="0"/>
              <w:rPr>
                <w:sz w:val="12"/>
                <w:szCs w:val="12"/>
                <w:color w:val="auto"/>
              </w:rPr>
            </w:pPr>
          </w:p>
        </w:tc>
        <w:tc>
          <w:tcPr>
            <w:tcW w:w="140" w:type="dxa"/>
            <w:vAlign w:val="bottom"/>
            <w:shd w:val="clear" w:color="auto" w:fill="DCE2EF"/>
          </w:tcPr>
          <w:p>
            <w:pPr>
              <w:spacing w:after="0"/>
              <w:rPr>
                <w:sz w:val="12"/>
                <w:szCs w:val="12"/>
                <w:color w:val="auto"/>
              </w:rPr>
            </w:pPr>
          </w:p>
        </w:tc>
        <w:tc>
          <w:tcPr>
            <w:tcW w:w="800" w:type="dxa"/>
            <w:vAlign w:val="bottom"/>
            <w:vMerge w:val="restart"/>
            <w:shd w:val="clear" w:color="auto" w:fill="DCE2EF"/>
          </w:tcPr>
          <w:p>
            <w:pPr>
              <w:jc w:val="right"/>
              <w:spacing w:after="0"/>
              <w:rPr>
                <w:sz w:val="20"/>
                <w:szCs w:val="20"/>
                <w:color w:val="auto"/>
              </w:rPr>
            </w:pPr>
            <w:r>
              <w:rPr>
                <w:rFonts w:ascii="Arial" w:cs="Arial" w:eastAsia="Arial" w:hAnsi="Arial"/>
                <w:sz w:val="14"/>
                <w:szCs w:val="14"/>
                <w:color w:val="auto"/>
              </w:rPr>
              <w:t>—</w:t>
            </w:r>
          </w:p>
        </w:tc>
        <w:tc>
          <w:tcPr>
            <w:tcW w:w="1080" w:type="dxa"/>
            <w:vAlign w:val="bottom"/>
            <w:gridSpan w:val="2"/>
            <w:vMerge w:val="restart"/>
            <w:shd w:val="clear" w:color="auto" w:fill="DCE2EF"/>
          </w:tcPr>
          <w:p>
            <w:pPr>
              <w:jc w:val="right"/>
              <w:spacing w:after="0"/>
              <w:rPr>
                <w:sz w:val="20"/>
                <w:szCs w:val="20"/>
                <w:color w:val="auto"/>
              </w:rPr>
            </w:pPr>
            <w:r>
              <w:rPr>
                <w:rFonts w:ascii="Arial" w:cs="Arial" w:eastAsia="Arial" w:hAnsi="Arial"/>
                <w:sz w:val="14"/>
                <w:szCs w:val="14"/>
                <w:color w:val="auto"/>
              </w:rPr>
              <w:t>0.5</w:t>
            </w:r>
          </w:p>
        </w:tc>
        <w:tc>
          <w:tcPr>
            <w:tcW w:w="120" w:type="dxa"/>
            <w:vAlign w:val="bottom"/>
            <w:shd w:val="clear" w:color="auto" w:fill="DCE2EF"/>
          </w:tcPr>
          <w:p>
            <w:pPr>
              <w:spacing w:after="0"/>
              <w:rPr>
                <w:sz w:val="12"/>
                <w:szCs w:val="12"/>
                <w:color w:val="auto"/>
              </w:rPr>
            </w:pPr>
          </w:p>
        </w:tc>
        <w:tc>
          <w:tcPr>
            <w:tcW w:w="140" w:type="dxa"/>
            <w:vAlign w:val="bottom"/>
            <w:shd w:val="clear" w:color="auto" w:fill="DCE2EF"/>
          </w:tcPr>
          <w:p>
            <w:pPr>
              <w:spacing w:after="0"/>
              <w:rPr>
                <w:sz w:val="12"/>
                <w:szCs w:val="12"/>
                <w:color w:val="auto"/>
              </w:rPr>
            </w:pPr>
          </w:p>
        </w:tc>
        <w:tc>
          <w:tcPr>
            <w:tcW w:w="800" w:type="dxa"/>
            <w:vAlign w:val="bottom"/>
            <w:vMerge w:val="restart"/>
            <w:shd w:val="clear" w:color="auto" w:fill="DCE2EF"/>
          </w:tcPr>
          <w:p>
            <w:pPr>
              <w:jc w:val="right"/>
              <w:spacing w:after="0"/>
              <w:rPr>
                <w:sz w:val="20"/>
                <w:szCs w:val="20"/>
                <w:color w:val="auto"/>
              </w:rPr>
            </w:pPr>
            <w:r>
              <w:rPr>
                <w:rFonts w:ascii="Arial" w:cs="Arial" w:eastAsia="Arial" w:hAnsi="Arial"/>
                <w:sz w:val="14"/>
                <w:szCs w:val="14"/>
                <w:color w:val="auto"/>
              </w:rPr>
              <w:t>—</w:t>
            </w:r>
          </w:p>
        </w:tc>
        <w:tc>
          <w:tcPr>
            <w:tcW w:w="1080" w:type="dxa"/>
            <w:vAlign w:val="bottom"/>
            <w:gridSpan w:val="2"/>
            <w:vMerge w:val="restart"/>
            <w:shd w:val="clear" w:color="auto" w:fill="DCE2EF"/>
          </w:tcPr>
          <w:p>
            <w:pPr>
              <w:jc w:val="right"/>
              <w:spacing w:after="0"/>
              <w:rPr>
                <w:sz w:val="20"/>
                <w:szCs w:val="20"/>
                <w:color w:val="auto"/>
              </w:rPr>
            </w:pPr>
            <w:r>
              <w:rPr>
                <w:rFonts w:ascii="Arial" w:cs="Arial" w:eastAsia="Arial" w:hAnsi="Arial"/>
                <w:sz w:val="14"/>
                <w:szCs w:val="14"/>
                <w:color w:val="auto"/>
              </w:rPr>
              <w:t>0.6</w:t>
            </w:r>
          </w:p>
        </w:tc>
        <w:tc>
          <w:tcPr>
            <w:tcW w:w="120" w:type="dxa"/>
            <w:vAlign w:val="bottom"/>
            <w:shd w:val="clear" w:color="auto" w:fill="DCE2EF"/>
          </w:tcPr>
          <w:p>
            <w:pPr>
              <w:spacing w:after="0"/>
              <w:rPr>
                <w:sz w:val="12"/>
                <w:szCs w:val="12"/>
                <w:color w:val="auto"/>
              </w:rPr>
            </w:pPr>
          </w:p>
        </w:tc>
        <w:tc>
          <w:tcPr>
            <w:tcW w:w="160" w:type="dxa"/>
            <w:vAlign w:val="bottom"/>
            <w:shd w:val="clear" w:color="auto" w:fill="DCE2EF"/>
          </w:tcPr>
          <w:p>
            <w:pPr>
              <w:spacing w:after="0"/>
              <w:rPr>
                <w:sz w:val="12"/>
                <w:szCs w:val="12"/>
                <w:color w:val="auto"/>
              </w:rPr>
            </w:pPr>
          </w:p>
        </w:tc>
        <w:tc>
          <w:tcPr>
            <w:tcW w:w="820" w:type="dxa"/>
            <w:vAlign w:val="bottom"/>
            <w:vMerge w:val="restart"/>
            <w:shd w:val="clear" w:color="auto" w:fill="DCE2EF"/>
          </w:tcPr>
          <w:p>
            <w:pPr>
              <w:jc w:val="right"/>
              <w:ind w:right="1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20" w:type="dxa"/>
            <w:vAlign w:val="bottom"/>
            <w:shd w:val="clear" w:color="auto" w:fill="DCE2EF"/>
          </w:tcPr>
          <w:p>
            <w:pPr>
              <w:spacing w:after="0"/>
              <w:rPr>
                <w:sz w:val="15"/>
                <w:szCs w:val="15"/>
                <w:color w:val="auto"/>
              </w:rPr>
            </w:pPr>
          </w:p>
        </w:tc>
        <w:tc>
          <w:tcPr>
            <w:tcW w:w="4860" w:type="dxa"/>
            <w:vAlign w:val="bottom"/>
            <w:gridSpan w:val="2"/>
            <w:shd w:val="clear" w:color="auto" w:fill="DCE2EF"/>
          </w:tcPr>
          <w:p>
            <w:pPr>
              <w:ind w:left="220"/>
              <w:spacing w:after="0"/>
              <w:rPr>
                <w:sz w:val="20"/>
                <w:szCs w:val="20"/>
                <w:color w:val="auto"/>
              </w:rPr>
            </w:pPr>
            <w:r>
              <w:rPr>
                <w:rFonts w:ascii="Arial" w:cs="Arial" w:eastAsia="Arial" w:hAnsi="Arial"/>
                <w:sz w:val="14"/>
                <w:szCs w:val="14"/>
                <w:color w:val="auto"/>
              </w:rPr>
              <w:t>compensation plans</w:t>
            </w:r>
          </w:p>
        </w:tc>
        <w:tc>
          <w:tcPr>
            <w:tcW w:w="960" w:type="dxa"/>
            <w:vAlign w:val="bottom"/>
            <w:vMerge w:val="continue"/>
            <w:shd w:val="clear" w:color="auto" w:fill="DCE2EF"/>
          </w:tcPr>
          <w:p>
            <w:pPr>
              <w:spacing w:after="0"/>
              <w:rPr>
                <w:sz w:val="15"/>
                <w:szCs w:val="15"/>
                <w:color w:val="auto"/>
              </w:rPr>
            </w:pPr>
          </w:p>
        </w:tc>
        <w:tc>
          <w:tcPr>
            <w:tcW w:w="120" w:type="dxa"/>
            <w:vAlign w:val="bottom"/>
            <w:shd w:val="clear" w:color="auto" w:fill="DCE2EF"/>
          </w:tcPr>
          <w:p>
            <w:pPr>
              <w:spacing w:after="0"/>
              <w:rPr>
                <w:sz w:val="15"/>
                <w:szCs w:val="15"/>
                <w:color w:val="auto"/>
              </w:rPr>
            </w:pPr>
          </w:p>
        </w:tc>
        <w:tc>
          <w:tcPr>
            <w:tcW w:w="140" w:type="dxa"/>
            <w:vAlign w:val="bottom"/>
            <w:shd w:val="clear" w:color="auto" w:fill="DCE2EF"/>
          </w:tcPr>
          <w:p>
            <w:pPr>
              <w:spacing w:after="0"/>
              <w:rPr>
                <w:sz w:val="15"/>
                <w:szCs w:val="15"/>
                <w:color w:val="auto"/>
              </w:rPr>
            </w:pPr>
          </w:p>
        </w:tc>
        <w:tc>
          <w:tcPr>
            <w:tcW w:w="800" w:type="dxa"/>
            <w:vAlign w:val="bottom"/>
            <w:vMerge w:val="continue"/>
            <w:shd w:val="clear" w:color="auto" w:fill="DCE2EF"/>
          </w:tcPr>
          <w:p>
            <w:pPr>
              <w:spacing w:after="0"/>
              <w:rPr>
                <w:sz w:val="15"/>
                <w:szCs w:val="15"/>
                <w:color w:val="auto"/>
              </w:rPr>
            </w:pPr>
          </w:p>
        </w:tc>
        <w:tc>
          <w:tcPr>
            <w:tcW w:w="1080" w:type="dxa"/>
            <w:vAlign w:val="bottom"/>
            <w:gridSpan w:val="2"/>
            <w:vMerge w:val="continue"/>
            <w:shd w:val="clear" w:color="auto" w:fill="DCE2EF"/>
          </w:tcPr>
          <w:p>
            <w:pPr>
              <w:spacing w:after="0"/>
              <w:rPr>
                <w:sz w:val="15"/>
                <w:szCs w:val="15"/>
                <w:color w:val="auto"/>
              </w:rPr>
            </w:pPr>
          </w:p>
        </w:tc>
        <w:tc>
          <w:tcPr>
            <w:tcW w:w="120" w:type="dxa"/>
            <w:vAlign w:val="bottom"/>
            <w:shd w:val="clear" w:color="auto" w:fill="DCE2EF"/>
          </w:tcPr>
          <w:p>
            <w:pPr>
              <w:spacing w:after="0"/>
              <w:rPr>
                <w:sz w:val="15"/>
                <w:szCs w:val="15"/>
                <w:color w:val="auto"/>
              </w:rPr>
            </w:pPr>
          </w:p>
        </w:tc>
        <w:tc>
          <w:tcPr>
            <w:tcW w:w="140" w:type="dxa"/>
            <w:vAlign w:val="bottom"/>
            <w:shd w:val="clear" w:color="auto" w:fill="DCE2EF"/>
          </w:tcPr>
          <w:p>
            <w:pPr>
              <w:spacing w:after="0"/>
              <w:rPr>
                <w:sz w:val="15"/>
                <w:szCs w:val="15"/>
                <w:color w:val="auto"/>
              </w:rPr>
            </w:pPr>
          </w:p>
        </w:tc>
        <w:tc>
          <w:tcPr>
            <w:tcW w:w="800" w:type="dxa"/>
            <w:vAlign w:val="bottom"/>
            <w:vMerge w:val="continue"/>
            <w:shd w:val="clear" w:color="auto" w:fill="DCE2EF"/>
          </w:tcPr>
          <w:p>
            <w:pPr>
              <w:spacing w:after="0"/>
              <w:rPr>
                <w:sz w:val="15"/>
                <w:szCs w:val="15"/>
                <w:color w:val="auto"/>
              </w:rPr>
            </w:pPr>
          </w:p>
        </w:tc>
        <w:tc>
          <w:tcPr>
            <w:tcW w:w="1080" w:type="dxa"/>
            <w:vAlign w:val="bottom"/>
            <w:gridSpan w:val="2"/>
            <w:vMerge w:val="continue"/>
            <w:shd w:val="clear" w:color="auto" w:fill="DCE2EF"/>
          </w:tcPr>
          <w:p>
            <w:pPr>
              <w:spacing w:after="0"/>
              <w:rPr>
                <w:sz w:val="15"/>
                <w:szCs w:val="15"/>
                <w:color w:val="auto"/>
              </w:rPr>
            </w:pPr>
          </w:p>
        </w:tc>
        <w:tc>
          <w:tcPr>
            <w:tcW w:w="120" w:type="dxa"/>
            <w:vAlign w:val="bottom"/>
            <w:shd w:val="clear" w:color="auto" w:fill="DCE2EF"/>
          </w:tcPr>
          <w:p>
            <w:pPr>
              <w:spacing w:after="0"/>
              <w:rPr>
                <w:sz w:val="15"/>
                <w:szCs w:val="15"/>
                <w:color w:val="auto"/>
              </w:rPr>
            </w:pPr>
          </w:p>
        </w:tc>
        <w:tc>
          <w:tcPr>
            <w:tcW w:w="160" w:type="dxa"/>
            <w:vAlign w:val="bottom"/>
            <w:shd w:val="clear" w:color="auto" w:fill="DCE2EF"/>
          </w:tcPr>
          <w:p>
            <w:pPr>
              <w:spacing w:after="0"/>
              <w:rPr>
                <w:sz w:val="15"/>
                <w:szCs w:val="15"/>
                <w:color w:val="auto"/>
              </w:rPr>
            </w:pPr>
          </w:p>
        </w:tc>
        <w:tc>
          <w:tcPr>
            <w:tcW w:w="820" w:type="dxa"/>
            <w:vAlign w:val="bottom"/>
            <w:vMerge w:val="continue"/>
            <w:shd w:val="clear" w:color="auto" w:fill="DCE2E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0" w:type="dxa"/>
            <w:vAlign w:val="bottom"/>
            <w:tcBorders>
              <w:bottom w:val="single" w:sz="8" w:color="DCE2EF"/>
            </w:tcBorders>
          </w:tcPr>
          <w:p>
            <w:pPr>
              <w:spacing w:after="0"/>
              <w:rPr>
                <w:sz w:val="16"/>
                <w:szCs w:val="16"/>
                <w:color w:val="auto"/>
              </w:rPr>
            </w:pPr>
          </w:p>
        </w:tc>
        <w:tc>
          <w:tcPr>
            <w:tcW w:w="4860" w:type="dxa"/>
            <w:vAlign w:val="bottom"/>
            <w:tcBorders>
              <w:bottom w:val="single" w:sz="8" w:color="DCE2EF"/>
            </w:tcBorders>
            <w:gridSpan w:val="2"/>
          </w:tcPr>
          <w:p>
            <w:pPr>
              <w:ind w:left="100"/>
              <w:spacing w:after="0"/>
              <w:rPr>
                <w:sz w:val="20"/>
                <w:szCs w:val="20"/>
                <w:color w:val="auto"/>
              </w:rPr>
            </w:pPr>
            <w:r>
              <w:rPr>
                <w:rFonts w:ascii="Arial" w:cs="Arial" w:eastAsia="Arial" w:hAnsi="Arial"/>
                <w:sz w:val="14"/>
                <w:szCs w:val="14"/>
                <w:color w:val="auto"/>
              </w:rPr>
              <w:t>Repurchase of common stock, including excise taxes</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w:t>
            </w:r>
          </w:p>
        </w:tc>
        <w:tc>
          <w:tcPr>
            <w:tcW w:w="120" w:type="dxa"/>
            <w:vAlign w:val="bottom"/>
            <w:tcBorders>
              <w:bottom w:val="single" w:sz="8" w:color="DCE2E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DCE2EF"/>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w:t>
            </w:r>
          </w:p>
        </w:tc>
        <w:tc>
          <w:tcPr>
            <w:tcW w:w="120" w:type="dxa"/>
            <w:vAlign w:val="bottom"/>
            <w:tcBorders>
              <w:bottom w:val="single" w:sz="8" w:color="DCE2E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DCE2EF"/>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w:t>
            </w:r>
          </w:p>
        </w:tc>
        <w:tc>
          <w:tcPr>
            <w:tcW w:w="120" w:type="dxa"/>
            <w:vAlign w:val="bottom"/>
            <w:tcBorders>
              <w:bottom w:val="single" w:sz="8" w:color="DCE2E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90"/>
        </w:trPr>
        <w:tc>
          <w:tcPr>
            <w:tcW w:w="20" w:type="dxa"/>
            <w:vAlign w:val="bottom"/>
            <w:shd w:val="clear" w:color="auto" w:fill="DCE2EF"/>
          </w:tcPr>
          <w:p>
            <w:pPr>
              <w:spacing w:after="0"/>
              <w:rPr>
                <w:sz w:val="16"/>
                <w:szCs w:val="16"/>
                <w:color w:val="auto"/>
              </w:rPr>
            </w:pPr>
          </w:p>
        </w:tc>
        <w:tc>
          <w:tcPr>
            <w:tcW w:w="4860" w:type="dxa"/>
            <w:vAlign w:val="bottom"/>
            <w:gridSpan w:val="2"/>
            <w:shd w:val="clear" w:color="auto" w:fill="DCE2EF"/>
          </w:tcPr>
          <w:p>
            <w:pPr>
              <w:ind w:left="100"/>
              <w:spacing w:after="0"/>
              <w:rPr>
                <w:sz w:val="20"/>
                <w:szCs w:val="20"/>
                <w:color w:val="auto"/>
              </w:rPr>
            </w:pPr>
            <w:r>
              <w:rPr>
                <w:rFonts w:ascii="Arial" w:cs="Arial" w:eastAsia="Arial" w:hAnsi="Arial"/>
                <w:sz w:val="14"/>
                <w:szCs w:val="14"/>
                <w:color w:val="auto"/>
              </w:rPr>
              <w:t>Balance, end of year</w:t>
            </w:r>
          </w:p>
        </w:tc>
        <w:tc>
          <w:tcPr>
            <w:tcW w:w="960" w:type="dxa"/>
            <w:vAlign w:val="bottom"/>
            <w:shd w:val="clear" w:color="auto" w:fill="DCE2EF"/>
          </w:tcPr>
          <w:p>
            <w:pPr>
              <w:jc w:val="right"/>
              <w:spacing w:after="0"/>
              <w:rPr>
                <w:sz w:val="20"/>
                <w:szCs w:val="20"/>
                <w:color w:val="auto"/>
              </w:rPr>
            </w:pPr>
            <w:r>
              <w:rPr>
                <w:rFonts w:ascii="Arial" w:cs="Arial" w:eastAsia="Arial" w:hAnsi="Arial"/>
                <w:sz w:val="14"/>
                <w:szCs w:val="14"/>
                <w:color w:val="auto"/>
              </w:rPr>
              <w:t>60.2</w:t>
            </w:r>
          </w:p>
        </w:tc>
        <w:tc>
          <w:tcPr>
            <w:tcW w:w="120" w:type="dxa"/>
            <w:vAlign w:val="bottom"/>
            <w:shd w:val="clear" w:color="auto" w:fill="DCE2EF"/>
          </w:tcPr>
          <w:p>
            <w:pPr>
              <w:spacing w:after="0"/>
              <w:rPr>
                <w:sz w:val="16"/>
                <w:szCs w:val="16"/>
                <w:color w:val="auto"/>
              </w:rPr>
            </w:pPr>
          </w:p>
        </w:tc>
        <w:tc>
          <w:tcPr>
            <w:tcW w:w="140" w:type="dxa"/>
            <w:vAlign w:val="bottom"/>
            <w:shd w:val="clear" w:color="auto" w:fill="DCE2EF"/>
          </w:tcPr>
          <w:p>
            <w:pPr>
              <w:spacing w:after="0"/>
              <w:rPr>
                <w:sz w:val="16"/>
                <w:szCs w:val="16"/>
                <w:color w:val="auto"/>
              </w:rPr>
            </w:pPr>
          </w:p>
        </w:tc>
        <w:tc>
          <w:tcPr>
            <w:tcW w:w="800" w:type="dxa"/>
            <w:vAlign w:val="bottom"/>
            <w:shd w:val="clear" w:color="auto" w:fill="DCE2EF"/>
          </w:tcPr>
          <w:p>
            <w:pPr>
              <w:jc w:val="right"/>
              <w:spacing w:after="0"/>
              <w:rPr>
                <w:sz w:val="20"/>
                <w:szCs w:val="20"/>
                <w:color w:val="auto"/>
              </w:rPr>
            </w:pPr>
            <w:r>
              <w:rPr>
                <w:rFonts w:ascii="Arial" w:cs="Arial" w:eastAsia="Arial" w:hAnsi="Arial"/>
                <w:sz w:val="14"/>
                <w:szCs w:val="14"/>
                <w:color w:val="auto"/>
              </w:rPr>
              <w:t>0.6</w:t>
            </w:r>
          </w:p>
        </w:tc>
        <w:tc>
          <w:tcPr>
            <w:tcW w:w="1080" w:type="dxa"/>
            <w:vAlign w:val="bottom"/>
            <w:gridSpan w:val="2"/>
            <w:shd w:val="clear" w:color="auto" w:fill="DCE2EF"/>
          </w:tcPr>
          <w:p>
            <w:pPr>
              <w:jc w:val="right"/>
              <w:spacing w:after="0"/>
              <w:rPr>
                <w:sz w:val="20"/>
                <w:szCs w:val="20"/>
                <w:color w:val="auto"/>
              </w:rPr>
            </w:pPr>
            <w:r>
              <w:rPr>
                <w:rFonts w:ascii="Arial" w:cs="Arial" w:eastAsia="Arial" w:hAnsi="Arial"/>
                <w:sz w:val="14"/>
                <w:szCs w:val="14"/>
                <w:color w:val="auto"/>
              </w:rPr>
              <w:t>62.2</w:t>
            </w:r>
          </w:p>
        </w:tc>
        <w:tc>
          <w:tcPr>
            <w:tcW w:w="120" w:type="dxa"/>
            <w:vAlign w:val="bottom"/>
            <w:shd w:val="clear" w:color="auto" w:fill="DCE2EF"/>
          </w:tcPr>
          <w:p>
            <w:pPr>
              <w:spacing w:after="0"/>
              <w:rPr>
                <w:sz w:val="16"/>
                <w:szCs w:val="16"/>
                <w:color w:val="auto"/>
              </w:rPr>
            </w:pPr>
          </w:p>
        </w:tc>
        <w:tc>
          <w:tcPr>
            <w:tcW w:w="140" w:type="dxa"/>
            <w:vAlign w:val="bottom"/>
            <w:shd w:val="clear" w:color="auto" w:fill="DCE2EF"/>
          </w:tcPr>
          <w:p>
            <w:pPr>
              <w:spacing w:after="0"/>
              <w:rPr>
                <w:sz w:val="16"/>
                <w:szCs w:val="16"/>
                <w:color w:val="auto"/>
              </w:rPr>
            </w:pPr>
          </w:p>
        </w:tc>
        <w:tc>
          <w:tcPr>
            <w:tcW w:w="800" w:type="dxa"/>
            <w:vAlign w:val="bottom"/>
            <w:shd w:val="clear" w:color="auto" w:fill="DCE2EF"/>
          </w:tcPr>
          <w:p>
            <w:pPr>
              <w:jc w:val="right"/>
              <w:spacing w:after="0"/>
              <w:rPr>
                <w:sz w:val="20"/>
                <w:szCs w:val="20"/>
                <w:color w:val="auto"/>
              </w:rPr>
            </w:pPr>
            <w:r>
              <w:rPr>
                <w:rFonts w:ascii="Arial" w:cs="Arial" w:eastAsia="Arial" w:hAnsi="Arial"/>
                <w:sz w:val="14"/>
                <w:szCs w:val="14"/>
                <w:color w:val="auto"/>
              </w:rPr>
              <w:t>0.6</w:t>
            </w:r>
          </w:p>
        </w:tc>
        <w:tc>
          <w:tcPr>
            <w:tcW w:w="1080" w:type="dxa"/>
            <w:vAlign w:val="bottom"/>
            <w:gridSpan w:val="2"/>
            <w:shd w:val="clear" w:color="auto" w:fill="DCE2EF"/>
          </w:tcPr>
          <w:p>
            <w:pPr>
              <w:jc w:val="right"/>
              <w:spacing w:after="0"/>
              <w:rPr>
                <w:sz w:val="20"/>
                <w:szCs w:val="20"/>
                <w:color w:val="auto"/>
              </w:rPr>
            </w:pPr>
            <w:r>
              <w:rPr>
                <w:rFonts w:ascii="Arial" w:cs="Arial" w:eastAsia="Arial" w:hAnsi="Arial"/>
                <w:sz w:val="14"/>
                <w:szCs w:val="14"/>
                <w:color w:val="auto"/>
              </w:rPr>
              <w:t>62.8</w:t>
            </w:r>
          </w:p>
        </w:tc>
        <w:tc>
          <w:tcPr>
            <w:tcW w:w="120" w:type="dxa"/>
            <w:vAlign w:val="bottom"/>
            <w:shd w:val="clear" w:color="auto" w:fill="DCE2EF"/>
          </w:tcPr>
          <w:p>
            <w:pPr>
              <w:spacing w:after="0"/>
              <w:rPr>
                <w:sz w:val="16"/>
                <w:szCs w:val="16"/>
                <w:color w:val="auto"/>
              </w:rPr>
            </w:pPr>
          </w:p>
        </w:tc>
        <w:tc>
          <w:tcPr>
            <w:tcW w:w="160" w:type="dxa"/>
            <w:vAlign w:val="bottom"/>
            <w:shd w:val="clear" w:color="auto" w:fill="DCE2EF"/>
          </w:tcPr>
          <w:p>
            <w:pPr>
              <w:spacing w:after="0"/>
              <w:rPr>
                <w:sz w:val="16"/>
                <w:szCs w:val="16"/>
                <w:color w:val="auto"/>
              </w:rPr>
            </w:pPr>
          </w:p>
        </w:tc>
        <w:tc>
          <w:tcPr>
            <w:tcW w:w="820" w:type="dxa"/>
            <w:vAlign w:val="bottom"/>
            <w:shd w:val="clear" w:color="auto" w:fill="DCE2EF"/>
          </w:tcPr>
          <w:p>
            <w:pPr>
              <w:jc w:val="right"/>
              <w:ind w:right="11"/>
              <w:spacing w:after="0"/>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860" w:type="dxa"/>
            <w:vAlign w:val="bottom"/>
            <w:gridSpan w:val="2"/>
          </w:tcPr>
          <w:p>
            <w:pPr>
              <w:spacing w:after="0"/>
              <w:rPr>
                <w:sz w:val="20"/>
                <w:szCs w:val="20"/>
                <w:color w:val="auto"/>
              </w:rPr>
            </w:pPr>
            <w:r>
              <w:rPr>
                <w:rFonts w:ascii="Arial" w:cs="Arial" w:eastAsia="Arial" w:hAnsi="Arial"/>
                <w:sz w:val="14"/>
                <w:szCs w:val="14"/>
                <w:b w:val="1"/>
                <w:bCs w:val="1"/>
                <w:color w:val="auto"/>
              </w:rPr>
              <w:t>Additional Paid-in Capital</w:t>
            </w:r>
          </w:p>
        </w:tc>
        <w:tc>
          <w:tcPr>
            <w:tcW w:w="9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0" w:type="dxa"/>
            <w:vAlign w:val="bottom"/>
            <w:shd w:val="clear" w:color="auto" w:fill="DCE2EF"/>
          </w:tcPr>
          <w:p>
            <w:pPr>
              <w:spacing w:after="0"/>
              <w:rPr>
                <w:sz w:val="16"/>
                <w:szCs w:val="16"/>
                <w:color w:val="auto"/>
              </w:rPr>
            </w:pPr>
          </w:p>
        </w:tc>
        <w:tc>
          <w:tcPr>
            <w:tcW w:w="4860" w:type="dxa"/>
            <w:vAlign w:val="bottom"/>
            <w:gridSpan w:val="2"/>
            <w:shd w:val="clear" w:color="auto" w:fill="DCE2EF"/>
          </w:tcPr>
          <w:p>
            <w:pPr>
              <w:ind w:left="100"/>
              <w:spacing w:after="0"/>
              <w:rPr>
                <w:sz w:val="20"/>
                <w:szCs w:val="20"/>
                <w:color w:val="auto"/>
              </w:rPr>
            </w:pPr>
            <w:r>
              <w:rPr>
                <w:rFonts w:ascii="Arial" w:cs="Arial" w:eastAsia="Arial" w:hAnsi="Arial"/>
                <w:sz w:val="14"/>
                <w:szCs w:val="14"/>
                <w:color w:val="auto"/>
              </w:rPr>
              <w:t>Balance, beginning of year</w:t>
            </w:r>
          </w:p>
        </w:tc>
        <w:tc>
          <w:tcPr>
            <w:tcW w:w="960" w:type="dxa"/>
            <w:vAlign w:val="bottom"/>
            <w:shd w:val="clear" w:color="auto" w:fill="DCE2EF"/>
          </w:tcPr>
          <w:p>
            <w:pPr>
              <w:spacing w:after="0"/>
              <w:rPr>
                <w:sz w:val="16"/>
                <w:szCs w:val="16"/>
                <w:color w:val="auto"/>
              </w:rPr>
            </w:pPr>
          </w:p>
        </w:tc>
        <w:tc>
          <w:tcPr>
            <w:tcW w:w="120" w:type="dxa"/>
            <w:vAlign w:val="bottom"/>
            <w:shd w:val="clear" w:color="auto" w:fill="DCE2EF"/>
          </w:tcPr>
          <w:p>
            <w:pPr>
              <w:spacing w:after="0"/>
              <w:rPr>
                <w:sz w:val="16"/>
                <w:szCs w:val="16"/>
                <w:color w:val="auto"/>
              </w:rPr>
            </w:pPr>
          </w:p>
        </w:tc>
        <w:tc>
          <w:tcPr>
            <w:tcW w:w="140" w:type="dxa"/>
            <w:vAlign w:val="bottom"/>
            <w:shd w:val="clear" w:color="auto" w:fill="DCE2EF"/>
          </w:tcPr>
          <w:p>
            <w:pPr>
              <w:spacing w:after="0"/>
              <w:rPr>
                <w:sz w:val="16"/>
                <w:szCs w:val="16"/>
                <w:color w:val="auto"/>
              </w:rPr>
            </w:pPr>
          </w:p>
        </w:tc>
        <w:tc>
          <w:tcPr>
            <w:tcW w:w="800" w:type="dxa"/>
            <w:vAlign w:val="bottom"/>
            <w:shd w:val="clear" w:color="auto" w:fill="DCE2EF"/>
          </w:tcPr>
          <w:p>
            <w:pPr>
              <w:jc w:val="right"/>
              <w:spacing w:after="0"/>
              <w:rPr>
                <w:sz w:val="20"/>
                <w:szCs w:val="20"/>
                <w:color w:val="auto"/>
              </w:rPr>
            </w:pPr>
            <w:r>
              <w:rPr>
                <w:rFonts w:ascii="Arial" w:cs="Arial" w:eastAsia="Arial" w:hAnsi="Arial"/>
                <w:sz w:val="14"/>
                <w:szCs w:val="14"/>
                <w:color w:val="auto"/>
              </w:rPr>
              <w:t>527.4</w:t>
            </w:r>
          </w:p>
        </w:tc>
        <w:tc>
          <w:tcPr>
            <w:tcW w:w="100" w:type="dxa"/>
            <w:vAlign w:val="bottom"/>
            <w:shd w:val="clear" w:color="auto" w:fill="DCE2EF"/>
          </w:tcPr>
          <w:p>
            <w:pPr>
              <w:spacing w:after="0"/>
              <w:rPr>
                <w:sz w:val="16"/>
                <w:szCs w:val="16"/>
                <w:color w:val="auto"/>
              </w:rPr>
            </w:pPr>
          </w:p>
        </w:tc>
        <w:tc>
          <w:tcPr>
            <w:tcW w:w="980" w:type="dxa"/>
            <w:vAlign w:val="bottom"/>
            <w:shd w:val="clear" w:color="auto" w:fill="DCE2EF"/>
          </w:tcPr>
          <w:p>
            <w:pPr>
              <w:spacing w:after="0"/>
              <w:rPr>
                <w:sz w:val="16"/>
                <w:szCs w:val="16"/>
                <w:color w:val="auto"/>
              </w:rPr>
            </w:pPr>
          </w:p>
        </w:tc>
        <w:tc>
          <w:tcPr>
            <w:tcW w:w="120" w:type="dxa"/>
            <w:vAlign w:val="bottom"/>
            <w:shd w:val="clear" w:color="auto" w:fill="DCE2EF"/>
          </w:tcPr>
          <w:p>
            <w:pPr>
              <w:spacing w:after="0"/>
              <w:rPr>
                <w:sz w:val="16"/>
                <w:szCs w:val="16"/>
                <w:color w:val="auto"/>
              </w:rPr>
            </w:pPr>
          </w:p>
        </w:tc>
        <w:tc>
          <w:tcPr>
            <w:tcW w:w="140" w:type="dxa"/>
            <w:vAlign w:val="bottom"/>
            <w:shd w:val="clear" w:color="auto" w:fill="DCE2EF"/>
          </w:tcPr>
          <w:p>
            <w:pPr>
              <w:spacing w:after="0"/>
              <w:rPr>
                <w:sz w:val="16"/>
                <w:szCs w:val="16"/>
                <w:color w:val="auto"/>
              </w:rPr>
            </w:pPr>
          </w:p>
        </w:tc>
        <w:tc>
          <w:tcPr>
            <w:tcW w:w="800" w:type="dxa"/>
            <w:vAlign w:val="bottom"/>
            <w:shd w:val="clear" w:color="auto" w:fill="DCE2EF"/>
          </w:tcPr>
          <w:p>
            <w:pPr>
              <w:jc w:val="right"/>
              <w:spacing w:after="0"/>
              <w:rPr>
                <w:sz w:val="20"/>
                <w:szCs w:val="20"/>
                <w:color w:val="auto"/>
              </w:rPr>
            </w:pPr>
            <w:r>
              <w:rPr>
                <w:rFonts w:ascii="Arial" w:cs="Arial" w:eastAsia="Arial" w:hAnsi="Arial"/>
                <w:sz w:val="14"/>
                <w:szCs w:val="14"/>
                <w:color w:val="auto"/>
              </w:rPr>
              <w:t>558.9</w:t>
            </w:r>
          </w:p>
        </w:tc>
        <w:tc>
          <w:tcPr>
            <w:tcW w:w="100" w:type="dxa"/>
            <w:vAlign w:val="bottom"/>
            <w:shd w:val="clear" w:color="auto" w:fill="DCE2EF"/>
          </w:tcPr>
          <w:p>
            <w:pPr>
              <w:spacing w:after="0"/>
              <w:rPr>
                <w:sz w:val="16"/>
                <w:szCs w:val="16"/>
                <w:color w:val="auto"/>
              </w:rPr>
            </w:pPr>
          </w:p>
        </w:tc>
        <w:tc>
          <w:tcPr>
            <w:tcW w:w="980" w:type="dxa"/>
            <w:vAlign w:val="bottom"/>
            <w:shd w:val="clear" w:color="auto" w:fill="DCE2EF"/>
          </w:tcPr>
          <w:p>
            <w:pPr>
              <w:spacing w:after="0"/>
              <w:rPr>
                <w:sz w:val="16"/>
                <w:szCs w:val="16"/>
                <w:color w:val="auto"/>
              </w:rPr>
            </w:pPr>
          </w:p>
        </w:tc>
        <w:tc>
          <w:tcPr>
            <w:tcW w:w="120" w:type="dxa"/>
            <w:vAlign w:val="bottom"/>
            <w:shd w:val="clear" w:color="auto" w:fill="DCE2EF"/>
          </w:tcPr>
          <w:p>
            <w:pPr>
              <w:spacing w:after="0"/>
              <w:rPr>
                <w:sz w:val="16"/>
                <w:szCs w:val="16"/>
                <w:color w:val="auto"/>
              </w:rPr>
            </w:pPr>
          </w:p>
        </w:tc>
        <w:tc>
          <w:tcPr>
            <w:tcW w:w="160" w:type="dxa"/>
            <w:vAlign w:val="bottom"/>
            <w:shd w:val="clear" w:color="auto" w:fill="DCE2EF"/>
          </w:tcPr>
          <w:p>
            <w:pPr>
              <w:spacing w:after="0"/>
              <w:rPr>
                <w:sz w:val="16"/>
                <w:szCs w:val="16"/>
                <w:color w:val="auto"/>
              </w:rPr>
            </w:pPr>
          </w:p>
        </w:tc>
        <w:tc>
          <w:tcPr>
            <w:tcW w:w="820" w:type="dxa"/>
            <w:vAlign w:val="bottom"/>
            <w:shd w:val="clear" w:color="auto" w:fill="DCE2EF"/>
          </w:tcPr>
          <w:p>
            <w:pPr>
              <w:jc w:val="right"/>
              <w:ind w:right="11"/>
              <w:spacing w:after="0"/>
              <w:rPr>
                <w:sz w:val="20"/>
                <w:szCs w:val="20"/>
                <w:color w:val="auto"/>
              </w:rPr>
            </w:pPr>
            <w:r>
              <w:rPr>
                <w:rFonts w:ascii="Arial" w:cs="Arial" w:eastAsia="Arial" w:hAnsi="Arial"/>
                <w:sz w:val="14"/>
                <w:szCs w:val="14"/>
                <w:color w:val="auto"/>
              </w:rPr>
              <w:t>675.5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60" w:type="dxa"/>
            <w:vAlign w:val="bottom"/>
            <w:gridSpan w:val="2"/>
          </w:tcPr>
          <w:p>
            <w:pPr>
              <w:ind w:left="100"/>
              <w:spacing w:after="0" w:line="142" w:lineRule="exact"/>
              <w:rPr>
                <w:sz w:val="20"/>
                <w:szCs w:val="20"/>
                <w:color w:val="auto"/>
              </w:rPr>
            </w:pPr>
            <w:r>
              <w:rPr>
                <w:rFonts w:ascii="Arial" w:cs="Arial" w:eastAsia="Arial" w:hAnsi="Arial"/>
                <w:sz w:val="14"/>
                <w:szCs w:val="14"/>
                <w:color w:val="auto"/>
              </w:rPr>
              <w:t>Taxes withheld under employee stock purchase and share-based</w:t>
            </w: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(5.8)</w:t>
            </w: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(5.5)</w:t>
            </w: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(9.0)</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860" w:type="dxa"/>
            <w:vAlign w:val="bottom"/>
            <w:gridSpan w:val="2"/>
          </w:tcPr>
          <w:p>
            <w:pPr>
              <w:ind w:left="340"/>
              <w:spacing w:after="0"/>
              <w:rPr>
                <w:sz w:val="20"/>
                <w:szCs w:val="20"/>
                <w:color w:val="auto"/>
              </w:rPr>
            </w:pPr>
            <w:r>
              <w:rPr>
                <w:rFonts w:ascii="Arial" w:cs="Arial" w:eastAsia="Arial" w:hAnsi="Arial"/>
                <w:sz w:val="14"/>
                <w:szCs w:val="14"/>
                <w:color w:val="auto"/>
              </w:rPr>
              <w:t>compensation plans, net</w:t>
            </w: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shd w:val="clear" w:color="auto" w:fill="DCE2EF"/>
          </w:tcPr>
          <w:p>
            <w:pPr>
              <w:spacing w:after="0"/>
              <w:rPr>
                <w:sz w:val="16"/>
                <w:szCs w:val="16"/>
                <w:color w:val="auto"/>
              </w:rPr>
            </w:pPr>
          </w:p>
        </w:tc>
        <w:tc>
          <w:tcPr>
            <w:tcW w:w="4860" w:type="dxa"/>
            <w:vAlign w:val="bottom"/>
            <w:gridSpan w:val="2"/>
            <w:shd w:val="clear" w:color="auto" w:fill="DCE2EF"/>
          </w:tcPr>
          <w:p>
            <w:pPr>
              <w:ind w:left="100"/>
              <w:spacing w:after="0"/>
              <w:rPr>
                <w:sz w:val="20"/>
                <w:szCs w:val="20"/>
                <w:color w:val="auto"/>
              </w:rPr>
            </w:pPr>
            <w:r>
              <w:rPr>
                <w:rFonts w:ascii="Arial" w:cs="Arial" w:eastAsia="Arial" w:hAnsi="Arial"/>
                <w:sz w:val="14"/>
                <w:szCs w:val="14"/>
                <w:color w:val="auto"/>
              </w:rPr>
              <w:t>Share-based compensation expense</w:t>
            </w:r>
          </w:p>
        </w:tc>
        <w:tc>
          <w:tcPr>
            <w:tcW w:w="960" w:type="dxa"/>
            <w:vAlign w:val="bottom"/>
            <w:shd w:val="clear" w:color="auto" w:fill="DCE2EF"/>
          </w:tcPr>
          <w:p>
            <w:pPr>
              <w:spacing w:after="0"/>
              <w:rPr>
                <w:sz w:val="16"/>
                <w:szCs w:val="16"/>
                <w:color w:val="auto"/>
              </w:rPr>
            </w:pPr>
          </w:p>
        </w:tc>
        <w:tc>
          <w:tcPr>
            <w:tcW w:w="120" w:type="dxa"/>
            <w:vAlign w:val="bottom"/>
            <w:shd w:val="clear" w:color="auto" w:fill="DCE2EF"/>
          </w:tcPr>
          <w:p>
            <w:pPr>
              <w:spacing w:after="0"/>
              <w:rPr>
                <w:sz w:val="16"/>
                <w:szCs w:val="16"/>
                <w:color w:val="auto"/>
              </w:rPr>
            </w:pPr>
          </w:p>
        </w:tc>
        <w:tc>
          <w:tcPr>
            <w:tcW w:w="140" w:type="dxa"/>
            <w:vAlign w:val="bottom"/>
            <w:shd w:val="clear" w:color="auto" w:fill="DCE2EF"/>
          </w:tcPr>
          <w:p>
            <w:pPr>
              <w:spacing w:after="0"/>
              <w:rPr>
                <w:sz w:val="16"/>
                <w:szCs w:val="16"/>
                <w:color w:val="auto"/>
              </w:rPr>
            </w:pPr>
          </w:p>
        </w:tc>
        <w:tc>
          <w:tcPr>
            <w:tcW w:w="800" w:type="dxa"/>
            <w:vAlign w:val="bottom"/>
            <w:shd w:val="clear" w:color="auto" w:fill="DCE2EF"/>
          </w:tcPr>
          <w:p>
            <w:pPr>
              <w:jc w:val="right"/>
              <w:spacing w:after="0"/>
              <w:rPr>
                <w:sz w:val="20"/>
                <w:szCs w:val="20"/>
                <w:color w:val="auto"/>
              </w:rPr>
            </w:pPr>
            <w:r>
              <w:rPr>
                <w:rFonts w:ascii="Arial" w:cs="Arial" w:eastAsia="Arial" w:hAnsi="Arial"/>
                <w:sz w:val="14"/>
                <w:szCs w:val="14"/>
                <w:color w:val="auto"/>
              </w:rPr>
              <w:t>38.0</w:t>
            </w:r>
          </w:p>
        </w:tc>
        <w:tc>
          <w:tcPr>
            <w:tcW w:w="100" w:type="dxa"/>
            <w:vAlign w:val="bottom"/>
            <w:shd w:val="clear" w:color="auto" w:fill="DCE2EF"/>
          </w:tcPr>
          <w:p>
            <w:pPr>
              <w:spacing w:after="0"/>
              <w:rPr>
                <w:sz w:val="16"/>
                <w:szCs w:val="16"/>
                <w:color w:val="auto"/>
              </w:rPr>
            </w:pPr>
          </w:p>
        </w:tc>
        <w:tc>
          <w:tcPr>
            <w:tcW w:w="980" w:type="dxa"/>
            <w:vAlign w:val="bottom"/>
            <w:shd w:val="clear" w:color="auto" w:fill="DCE2EF"/>
          </w:tcPr>
          <w:p>
            <w:pPr>
              <w:spacing w:after="0"/>
              <w:rPr>
                <w:sz w:val="16"/>
                <w:szCs w:val="16"/>
                <w:color w:val="auto"/>
              </w:rPr>
            </w:pPr>
          </w:p>
        </w:tc>
        <w:tc>
          <w:tcPr>
            <w:tcW w:w="120" w:type="dxa"/>
            <w:vAlign w:val="bottom"/>
            <w:shd w:val="clear" w:color="auto" w:fill="DCE2EF"/>
          </w:tcPr>
          <w:p>
            <w:pPr>
              <w:spacing w:after="0"/>
              <w:rPr>
                <w:sz w:val="16"/>
                <w:szCs w:val="16"/>
                <w:color w:val="auto"/>
              </w:rPr>
            </w:pPr>
          </w:p>
        </w:tc>
        <w:tc>
          <w:tcPr>
            <w:tcW w:w="140" w:type="dxa"/>
            <w:vAlign w:val="bottom"/>
            <w:shd w:val="clear" w:color="auto" w:fill="DCE2EF"/>
          </w:tcPr>
          <w:p>
            <w:pPr>
              <w:spacing w:after="0"/>
              <w:rPr>
                <w:sz w:val="16"/>
                <w:szCs w:val="16"/>
                <w:color w:val="auto"/>
              </w:rPr>
            </w:pPr>
          </w:p>
        </w:tc>
        <w:tc>
          <w:tcPr>
            <w:tcW w:w="800" w:type="dxa"/>
            <w:vAlign w:val="bottom"/>
            <w:shd w:val="clear" w:color="auto" w:fill="DCE2EF"/>
          </w:tcPr>
          <w:p>
            <w:pPr>
              <w:jc w:val="right"/>
              <w:spacing w:after="0"/>
              <w:rPr>
                <w:sz w:val="20"/>
                <w:szCs w:val="20"/>
                <w:color w:val="auto"/>
              </w:rPr>
            </w:pPr>
            <w:r>
              <w:rPr>
                <w:rFonts w:ascii="Arial" w:cs="Arial" w:eastAsia="Arial" w:hAnsi="Arial"/>
                <w:sz w:val="14"/>
                <w:szCs w:val="14"/>
                <w:color w:val="auto"/>
              </w:rPr>
              <w:t>30.0</w:t>
            </w:r>
          </w:p>
        </w:tc>
        <w:tc>
          <w:tcPr>
            <w:tcW w:w="100" w:type="dxa"/>
            <w:vAlign w:val="bottom"/>
            <w:shd w:val="clear" w:color="auto" w:fill="DCE2EF"/>
          </w:tcPr>
          <w:p>
            <w:pPr>
              <w:spacing w:after="0"/>
              <w:rPr>
                <w:sz w:val="16"/>
                <w:szCs w:val="16"/>
                <w:color w:val="auto"/>
              </w:rPr>
            </w:pPr>
          </w:p>
        </w:tc>
        <w:tc>
          <w:tcPr>
            <w:tcW w:w="980" w:type="dxa"/>
            <w:vAlign w:val="bottom"/>
            <w:shd w:val="clear" w:color="auto" w:fill="DCE2EF"/>
          </w:tcPr>
          <w:p>
            <w:pPr>
              <w:spacing w:after="0"/>
              <w:rPr>
                <w:sz w:val="16"/>
                <w:szCs w:val="16"/>
                <w:color w:val="auto"/>
              </w:rPr>
            </w:pPr>
          </w:p>
        </w:tc>
        <w:tc>
          <w:tcPr>
            <w:tcW w:w="120" w:type="dxa"/>
            <w:vAlign w:val="bottom"/>
            <w:shd w:val="clear" w:color="auto" w:fill="DCE2EF"/>
          </w:tcPr>
          <w:p>
            <w:pPr>
              <w:spacing w:after="0"/>
              <w:rPr>
                <w:sz w:val="16"/>
                <w:szCs w:val="16"/>
                <w:color w:val="auto"/>
              </w:rPr>
            </w:pPr>
          </w:p>
        </w:tc>
        <w:tc>
          <w:tcPr>
            <w:tcW w:w="160" w:type="dxa"/>
            <w:vAlign w:val="bottom"/>
            <w:shd w:val="clear" w:color="auto" w:fill="DCE2EF"/>
          </w:tcPr>
          <w:p>
            <w:pPr>
              <w:spacing w:after="0"/>
              <w:rPr>
                <w:sz w:val="16"/>
                <w:szCs w:val="16"/>
                <w:color w:val="auto"/>
              </w:rPr>
            </w:pPr>
          </w:p>
        </w:tc>
        <w:tc>
          <w:tcPr>
            <w:tcW w:w="820" w:type="dxa"/>
            <w:vAlign w:val="bottom"/>
            <w:shd w:val="clear" w:color="auto" w:fill="DCE2EF"/>
          </w:tcPr>
          <w:p>
            <w:pPr>
              <w:jc w:val="right"/>
              <w:ind w:right="11"/>
              <w:spacing w:after="0"/>
              <w:rPr>
                <w:sz w:val="20"/>
                <w:szCs w:val="20"/>
                <w:color w:val="auto"/>
              </w:rPr>
            </w:pPr>
            <w:r>
              <w:rPr>
                <w:rFonts w:ascii="Arial" w:cs="Arial" w:eastAsia="Arial" w:hAnsi="Arial"/>
                <w:sz w:val="14"/>
                <w:szCs w:val="14"/>
                <w:color w:val="auto"/>
              </w:rPr>
              <w:t>30.5</w:t>
            </w:r>
          </w:p>
        </w:tc>
        <w:tc>
          <w:tcPr>
            <w:tcW w:w="0" w:type="dxa"/>
            <w:vAlign w:val="bottom"/>
          </w:tcPr>
          <w:p>
            <w:pPr>
              <w:spacing w:after="0"/>
              <w:rPr>
                <w:sz w:val="1"/>
                <w:szCs w:val="1"/>
                <w:color w:val="auto"/>
              </w:rPr>
            </w:pPr>
          </w:p>
        </w:tc>
      </w:tr>
      <w:tr>
        <w:trPr>
          <w:trHeight w:val="190"/>
        </w:trPr>
        <w:tc>
          <w:tcPr>
            <w:tcW w:w="20" w:type="dxa"/>
            <w:vAlign w:val="bottom"/>
            <w:tcBorders>
              <w:bottom w:val="single" w:sz="8" w:color="DCE2EF"/>
            </w:tcBorders>
          </w:tcPr>
          <w:p>
            <w:pPr>
              <w:spacing w:after="0"/>
              <w:rPr>
                <w:sz w:val="16"/>
                <w:szCs w:val="16"/>
                <w:color w:val="auto"/>
              </w:rPr>
            </w:pPr>
          </w:p>
        </w:tc>
        <w:tc>
          <w:tcPr>
            <w:tcW w:w="4860" w:type="dxa"/>
            <w:vAlign w:val="bottom"/>
            <w:tcBorders>
              <w:bottom w:val="single" w:sz="8" w:color="DCE2EF"/>
            </w:tcBorders>
            <w:gridSpan w:val="2"/>
          </w:tcPr>
          <w:p>
            <w:pPr>
              <w:ind w:left="100"/>
              <w:spacing w:after="0"/>
              <w:rPr>
                <w:sz w:val="20"/>
                <w:szCs w:val="20"/>
                <w:color w:val="auto"/>
              </w:rPr>
            </w:pPr>
            <w:r>
              <w:rPr>
                <w:rFonts w:ascii="Arial" w:cs="Arial" w:eastAsia="Arial" w:hAnsi="Arial"/>
                <w:sz w:val="14"/>
                <w:szCs w:val="14"/>
                <w:color w:val="auto"/>
              </w:rPr>
              <w:t>Repurchase of common stock, including excise taxes</w:t>
            </w:r>
          </w:p>
        </w:tc>
        <w:tc>
          <w:tcPr>
            <w:tcW w:w="960" w:type="dxa"/>
            <w:vAlign w:val="bottom"/>
            <w:tcBorders>
              <w:bottom w:val="single" w:sz="8" w:color="DCE2EF"/>
            </w:tcBorders>
          </w:tcPr>
          <w:p>
            <w:pPr>
              <w:spacing w:after="0"/>
              <w:rPr>
                <w:sz w:val="16"/>
                <w:szCs w:val="16"/>
                <w:color w:val="auto"/>
              </w:rPr>
            </w:pPr>
          </w:p>
        </w:tc>
        <w:tc>
          <w:tcPr>
            <w:tcW w:w="120" w:type="dxa"/>
            <w:vAlign w:val="bottom"/>
            <w:tcBorders>
              <w:bottom w:val="single" w:sz="8" w:color="DCE2E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(122.2)</w:t>
            </w:r>
          </w:p>
        </w:tc>
        <w:tc>
          <w:tcPr>
            <w:tcW w:w="100" w:type="dxa"/>
            <w:vAlign w:val="bottom"/>
            <w:tcBorders>
              <w:bottom w:val="single" w:sz="8" w:color="DCE2EF"/>
            </w:tcBorders>
          </w:tcPr>
          <w:p>
            <w:pPr>
              <w:spacing w:after="0"/>
              <w:rPr>
                <w:sz w:val="16"/>
                <w:szCs w:val="16"/>
                <w:color w:val="auto"/>
              </w:rPr>
            </w:pPr>
          </w:p>
        </w:tc>
        <w:tc>
          <w:tcPr>
            <w:tcW w:w="980" w:type="dxa"/>
            <w:vAlign w:val="bottom"/>
            <w:tcBorders>
              <w:bottom w:val="single" w:sz="8" w:color="DCE2EF"/>
            </w:tcBorders>
          </w:tcPr>
          <w:p>
            <w:pPr>
              <w:spacing w:after="0"/>
              <w:rPr>
                <w:sz w:val="16"/>
                <w:szCs w:val="16"/>
                <w:color w:val="auto"/>
              </w:rPr>
            </w:pPr>
          </w:p>
        </w:tc>
        <w:tc>
          <w:tcPr>
            <w:tcW w:w="120" w:type="dxa"/>
            <w:vAlign w:val="bottom"/>
            <w:tcBorders>
              <w:bottom w:val="single" w:sz="8" w:color="DCE2E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(56.1)</w:t>
            </w:r>
          </w:p>
        </w:tc>
        <w:tc>
          <w:tcPr>
            <w:tcW w:w="100" w:type="dxa"/>
            <w:vAlign w:val="bottom"/>
            <w:tcBorders>
              <w:bottom w:val="single" w:sz="8" w:color="DCE2EF"/>
            </w:tcBorders>
          </w:tcPr>
          <w:p>
            <w:pPr>
              <w:spacing w:after="0"/>
              <w:rPr>
                <w:sz w:val="16"/>
                <w:szCs w:val="16"/>
                <w:color w:val="auto"/>
              </w:rPr>
            </w:pPr>
          </w:p>
        </w:tc>
        <w:tc>
          <w:tcPr>
            <w:tcW w:w="980" w:type="dxa"/>
            <w:vAlign w:val="bottom"/>
            <w:tcBorders>
              <w:bottom w:val="single" w:sz="8" w:color="DCE2EF"/>
            </w:tcBorders>
          </w:tcPr>
          <w:p>
            <w:pPr>
              <w:spacing w:after="0"/>
              <w:rPr>
                <w:sz w:val="16"/>
                <w:szCs w:val="16"/>
                <w:color w:val="auto"/>
              </w:rPr>
            </w:pPr>
          </w:p>
        </w:tc>
        <w:tc>
          <w:tcPr>
            <w:tcW w:w="120" w:type="dxa"/>
            <w:vAlign w:val="bottom"/>
            <w:tcBorders>
              <w:bottom w:val="single" w:sz="8" w:color="DCE2E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(138.1)</w:t>
            </w:r>
          </w:p>
        </w:tc>
        <w:tc>
          <w:tcPr>
            <w:tcW w:w="0" w:type="dxa"/>
            <w:vAlign w:val="bottom"/>
          </w:tcPr>
          <w:p>
            <w:pPr>
              <w:spacing w:after="0"/>
              <w:rPr>
                <w:sz w:val="1"/>
                <w:szCs w:val="1"/>
                <w:color w:val="auto"/>
              </w:rPr>
            </w:pPr>
          </w:p>
        </w:tc>
      </w:tr>
      <w:tr>
        <w:trPr>
          <w:trHeight w:val="190"/>
        </w:trPr>
        <w:tc>
          <w:tcPr>
            <w:tcW w:w="20" w:type="dxa"/>
            <w:vAlign w:val="bottom"/>
            <w:shd w:val="clear" w:color="auto" w:fill="DCE2EF"/>
          </w:tcPr>
          <w:p>
            <w:pPr>
              <w:spacing w:after="0"/>
              <w:rPr>
                <w:sz w:val="16"/>
                <w:szCs w:val="16"/>
                <w:color w:val="auto"/>
              </w:rPr>
            </w:pPr>
          </w:p>
        </w:tc>
        <w:tc>
          <w:tcPr>
            <w:tcW w:w="4860" w:type="dxa"/>
            <w:vAlign w:val="bottom"/>
            <w:gridSpan w:val="2"/>
            <w:shd w:val="clear" w:color="auto" w:fill="DCE2EF"/>
          </w:tcPr>
          <w:p>
            <w:pPr>
              <w:ind w:left="100"/>
              <w:spacing w:after="0"/>
              <w:rPr>
                <w:sz w:val="20"/>
                <w:szCs w:val="20"/>
                <w:color w:val="auto"/>
              </w:rPr>
            </w:pPr>
            <w:r>
              <w:rPr>
                <w:rFonts w:ascii="Arial" w:cs="Arial" w:eastAsia="Arial" w:hAnsi="Arial"/>
                <w:sz w:val="14"/>
                <w:szCs w:val="14"/>
                <w:color w:val="auto"/>
              </w:rPr>
              <w:t>Balance, end of year</w:t>
            </w:r>
          </w:p>
        </w:tc>
        <w:tc>
          <w:tcPr>
            <w:tcW w:w="960" w:type="dxa"/>
            <w:vAlign w:val="bottom"/>
            <w:shd w:val="clear" w:color="auto" w:fill="DCE2EF"/>
          </w:tcPr>
          <w:p>
            <w:pPr>
              <w:spacing w:after="0"/>
              <w:rPr>
                <w:sz w:val="16"/>
                <w:szCs w:val="16"/>
                <w:color w:val="auto"/>
              </w:rPr>
            </w:pPr>
          </w:p>
        </w:tc>
        <w:tc>
          <w:tcPr>
            <w:tcW w:w="120" w:type="dxa"/>
            <w:vAlign w:val="bottom"/>
            <w:shd w:val="clear" w:color="auto" w:fill="DCE2EF"/>
          </w:tcPr>
          <w:p>
            <w:pPr>
              <w:spacing w:after="0"/>
              <w:rPr>
                <w:sz w:val="16"/>
                <w:szCs w:val="16"/>
                <w:color w:val="auto"/>
              </w:rPr>
            </w:pPr>
          </w:p>
        </w:tc>
        <w:tc>
          <w:tcPr>
            <w:tcW w:w="140" w:type="dxa"/>
            <w:vAlign w:val="bottom"/>
            <w:tcBorders>
              <w:bottom w:val="single" w:sz="8" w:color="auto"/>
            </w:tcBorders>
            <w:shd w:val="clear" w:color="auto" w:fill="DCE2EF"/>
          </w:tcPr>
          <w:p>
            <w:pPr>
              <w:spacing w:after="0"/>
              <w:rPr>
                <w:sz w:val="16"/>
                <w:szCs w:val="16"/>
                <w:color w:val="auto"/>
              </w:rPr>
            </w:pPr>
          </w:p>
        </w:tc>
        <w:tc>
          <w:tcPr>
            <w:tcW w:w="80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4"/>
                <w:szCs w:val="14"/>
                <w:color w:val="auto"/>
              </w:rPr>
              <w:t>437.4</w:t>
            </w:r>
          </w:p>
        </w:tc>
        <w:tc>
          <w:tcPr>
            <w:tcW w:w="100" w:type="dxa"/>
            <w:vAlign w:val="bottom"/>
            <w:shd w:val="clear" w:color="auto" w:fill="DCE2EF"/>
          </w:tcPr>
          <w:p>
            <w:pPr>
              <w:spacing w:after="0"/>
              <w:rPr>
                <w:sz w:val="16"/>
                <w:szCs w:val="16"/>
                <w:color w:val="auto"/>
              </w:rPr>
            </w:pPr>
          </w:p>
        </w:tc>
        <w:tc>
          <w:tcPr>
            <w:tcW w:w="980" w:type="dxa"/>
            <w:vAlign w:val="bottom"/>
            <w:shd w:val="clear" w:color="auto" w:fill="DCE2EF"/>
          </w:tcPr>
          <w:p>
            <w:pPr>
              <w:spacing w:after="0"/>
              <w:rPr>
                <w:sz w:val="16"/>
                <w:szCs w:val="16"/>
                <w:color w:val="auto"/>
              </w:rPr>
            </w:pPr>
          </w:p>
        </w:tc>
        <w:tc>
          <w:tcPr>
            <w:tcW w:w="120" w:type="dxa"/>
            <w:vAlign w:val="bottom"/>
            <w:shd w:val="clear" w:color="auto" w:fill="DCE2EF"/>
          </w:tcPr>
          <w:p>
            <w:pPr>
              <w:spacing w:after="0"/>
              <w:rPr>
                <w:sz w:val="16"/>
                <w:szCs w:val="16"/>
                <w:color w:val="auto"/>
              </w:rPr>
            </w:pPr>
          </w:p>
        </w:tc>
        <w:tc>
          <w:tcPr>
            <w:tcW w:w="140" w:type="dxa"/>
            <w:vAlign w:val="bottom"/>
            <w:tcBorders>
              <w:bottom w:val="single" w:sz="8" w:color="auto"/>
            </w:tcBorders>
            <w:shd w:val="clear" w:color="auto" w:fill="DCE2EF"/>
          </w:tcPr>
          <w:p>
            <w:pPr>
              <w:spacing w:after="0"/>
              <w:rPr>
                <w:sz w:val="16"/>
                <w:szCs w:val="16"/>
                <w:color w:val="auto"/>
              </w:rPr>
            </w:pPr>
          </w:p>
        </w:tc>
        <w:tc>
          <w:tcPr>
            <w:tcW w:w="80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4"/>
                <w:szCs w:val="14"/>
                <w:color w:val="auto"/>
              </w:rPr>
              <w:t>527.4</w:t>
            </w:r>
          </w:p>
        </w:tc>
        <w:tc>
          <w:tcPr>
            <w:tcW w:w="100" w:type="dxa"/>
            <w:vAlign w:val="bottom"/>
            <w:shd w:val="clear" w:color="auto" w:fill="DCE2EF"/>
          </w:tcPr>
          <w:p>
            <w:pPr>
              <w:spacing w:after="0"/>
              <w:rPr>
                <w:sz w:val="16"/>
                <w:szCs w:val="16"/>
                <w:color w:val="auto"/>
              </w:rPr>
            </w:pPr>
          </w:p>
        </w:tc>
        <w:tc>
          <w:tcPr>
            <w:tcW w:w="980" w:type="dxa"/>
            <w:vAlign w:val="bottom"/>
            <w:shd w:val="clear" w:color="auto" w:fill="DCE2EF"/>
          </w:tcPr>
          <w:p>
            <w:pPr>
              <w:spacing w:after="0"/>
              <w:rPr>
                <w:sz w:val="16"/>
                <w:szCs w:val="16"/>
                <w:color w:val="auto"/>
              </w:rPr>
            </w:pPr>
          </w:p>
        </w:tc>
        <w:tc>
          <w:tcPr>
            <w:tcW w:w="120" w:type="dxa"/>
            <w:vAlign w:val="bottom"/>
            <w:shd w:val="clear" w:color="auto" w:fill="DCE2EF"/>
          </w:tcPr>
          <w:p>
            <w:pPr>
              <w:spacing w:after="0"/>
              <w:rPr>
                <w:sz w:val="16"/>
                <w:szCs w:val="16"/>
                <w:color w:val="auto"/>
              </w:rPr>
            </w:pPr>
          </w:p>
        </w:tc>
        <w:tc>
          <w:tcPr>
            <w:tcW w:w="160" w:type="dxa"/>
            <w:vAlign w:val="bottom"/>
            <w:tcBorders>
              <w:bottom w:val="single" w:sz="8" w:color="auto"/>
            </w:tcBorders>
            <w:shd w:val="clear" w:color="auto" w:fill="DCE2EF"/>
          </w:tcPr>
          <w:p>
            <w:pPr>
              <w:spacing w:after="0"/>
              <w:rPr>
                <w:sz w:val="16"/>
                <w:szCs w:val="16"/>
                <w:color w:val="auto"/>
              </w:rPr>
            </w:pPr>
          </w:p>
        </w:tc>
        <w:tc>
          <w:tcPr>
            <w:tcW w:w="820" w:type="dxa"/>
            <w:vAlign w:val="bottom"/>
            <w:tcBorders>
              <w:bottom w:val="single" w:sz="8" w:color="auto"/>
            </w:tcBorders>
            <w:shd w:val="clear" w:color="auto" w:fill="DCE2EF"/>
          </w:tcPr>
          <w:p>
            <w:pPr>
              <w:jc w:val="right"/>
              <w:ind w:right="11"/>
              <w:spacing w:after="0"/>
              <w:rPr>
                <w:sz w:val="20"/>
                <w:szCs w:val="20"/>
                <w:color w:val="auto"/>
              </w:rPr>
            </w:pPr>
            <w:r>
              <w:rPr>
                <w:rFonts w:ascii="Arial" w:cs="Arial" w:eastAsia="Arial" w:hAnsi="Arial"/>
                <w:sz w:val="14"/>
                <w:szCs w:val="14"/>
                <w:color w:val="auto"/>
              </w:rPr>
              <w:t>558.9</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860" w:type="dxa"/>
            <w:vAlign w:val="bottom"/>
            <w:gridSpan w:val="2"/>
          </w:tcPr>
          <w:p>
            <w:pPr>
              <w:spacing w:after="0"/>
              <w:rPr>
                <w:sz w:val="20"/>
                <w:szCs w:val="20"/>
                <w:color w:val="auto"/>
              </w:rPr>
            </w:pPr>
            <w:r>
              <w:rPr>
                <w:rFonts w:ascii="Arial" w:cs="Arial" w:eastAsia="Arial" w:hAnsi="Arial"/>
                <w:sz w:val="14"/>
                <w:szCs w:val="14"/>
                <w:b w:val="1"/>
                <w:bCs w:val="1"/>
                <w:color w:val="auto"/>
              </w:rPr>
              <w:t>Accumulated Other Comprehensive Loss, Net of Taxes</w:t>
            </w: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0" w:type="dxa"/>
            <w:vAlign w:val="bottom"/>
            <w:shd w:val="clear" w:color="auto" w:fill="DCE2EF"/>
          </w:tcPr>
          <w:p>
            <w:pPr>
              <w:spacing w:after="0"/>
              <w:rPr>
                <w:sz w:val="16"/>
                <w:szCs w:val="16"/>
                <w:color w:val="auto"/>
              </w:rPr>
            </w:pPr>
          </w:p>
        </w:tc>
        <w:tc>
          <w:tcPr>
            <w:tcW w:w="4860" w:type="dxa"/>
            <w:vAlign w:val="bottom"/>
            <w:gridSpan w:val="2"/>
            <w:shd w:val="clear" w:color="auto" w:fill="DCE2EF"/>
          </w:tcPr>
          <w:p>
            <w:pPr>
              <w:ind w:left="100"/>
              <w:spacing w:after="0"/>
              <w:rPr>
                <w:sz w:val="20"/>
                <w:szCs w:val="20"/>
                <w:color w:val="auto"/>
              </w:rPr>
            </w:pPr>
            <w:r>
              <w:rPr>
                <w:rFonts w:ascii="Arial" w:cs="Arial" w:eastAsia="Arial" w:hAnsi="Arial"/>
                <w:sz w:val="14"/>
                <w:szCs w:val="14"/>
                <w:color w:val="auto"/>
              </w:rPr>
              <w:t>Balance, beginning of year</w:t>
            </w:r>
          </w:p>
        </w:tc>
        <w:tc>
          <w:tcPr>
            <w:tcW w:w="960" w:type="dxa"/>
            <w:vAlign w:val="bottom"/>
            <w:shd w:val="clear" w:color="auto" w:fill="DCE2EF"/>
          </w:tcPr>
          <w:p>
            <w:pPr>
              <w:spacing w:after="0"/>
              <w:rPr>
                <w:sz w:val="16"/>
                <w:szCs w:val="16"/>
                <w:color w:val="auto"/>
              </w:rPr>
            </w:pPr>
          </w:p>
        </w:tc>
        <w:tc>
          <w:tcPr>
            <w:tcW w:w="120" w:type="dxa"/>
            <w:vAlign w:val="bottom"/>
            <w:shd w:val="clear" w:color="auto" w:fill="DCE2EF"/>
          </w:tcPr>
          <w:p>
            <w:pPr>
              <w:spacing w:after="0"/>
              <w:rPr>
                <w:sz w:val="16"/>
                <w:szCs w:val="16"/>
                <w:color w:val="auto"/>
              </w:rPr>
            </w:pPr>
          </w:p>
        </w:tc>
        <w:tc>
          <w:tcPr>
            <w:tcW w:w="140" w:type="dxa"/>
            <w:vAlign w:val="bottom"/>
            <w:shd w:val="clear" w:color="auto" w:fill="DCE2EF"/>
          </w:tcPr>
          <w:p>
            <w:pPr>
              <w:spacing w:after="0"/>
              <w:rPr>
                <w:sz w:val="16"/>
                <w:szCs w:val="16"/>
                <w:color w:val="auto"/>
              </w:rPr>
            </w:pPr>
          </w:p>
        </w:tc>
        <w:tc>
          <w:tcPr>
            <w:tcW w:w="800" w:type="dxa"/>
            <w:vAlign w:val="bottom"/>
            <w:shd w:val="clear" w:color="auto" w:fill="DCE2EF"/>
          </w:tcPr>
          <w:p>
            <w:pPr>
              <w:jc w:val="right"/>
              <w:spacing w:after="0"/>
              <w:rPr>
                <w:sz w:val="20"/>
                <w:szCs w:val="20"/>
                <w:color w:val="auto"/>
              </w:rPr>
            </w:pPr>
            <w:r>
              <w:rPr>
                <w:rFonts w:ascii="Arial" w:cs="Arial" w:eastAsia="Arial" w:hAnsi="Arial"/>
                <w:sz w:val="14"/>
                <w:szCs w:val="14"/>
                <w:color w:val="auto"/>
              </w:rPr>
              <w:t>(19.1)</w:t>
            </w:r>
          </w:p>
        </w:tc>
        <w:tc>
          <w:tcPr>
            <w:tcW w:w="100" w:type="dxa"/>
            <w:vAlign w:val="bottom"/>
            <w:shd w:val="clear" w:color="auto" w:fill="DCE2EF"/>
          </w:tcPr>
          <w:p>
            <w:pPr>
              <w:spacing w:after="0"/>
              <w:rPr>
                <w:sz w:val="16"/>
                <w:szCs w:val="16"/>
                <w:color w:val="auto"/>
              </w:rPr>
            </w:pPr>
          </w:p>
        </w:tc>
        <w:tc>
          <w:tcPr>
            <w:tcW w:w="980" w:type="dxa"/>
            <w:vAlign w:val="bottom"/>
            <w:shd w:val="clear" w:color="auto" w:fill="DCE2EF"/>
          </w:tcPr>
          <w:p>
            <w:pPr>
              <w:spacing w:after="0"/>
              <w:rPr>
                <w:sz w:val="16"/>
                <w:szCs w:val="16"/>
                <w:color w:val="auto"/>
              </w:rPr>
            </w:pPr>
          </w:p>
        </w:tc>
        <w:tc>
          <w:tcPr>
            <w:tcW w:w="120" w:type="dxa"/>
            <w:vAlign w:val="bottom"/>
            <w:shd w:val="clear" w:color="auto" w:fill="DCE2EF"/>
          </w:tcPr>
          <w:p>
            <w:pPr>
              <w:spacing w:after="0"/>
              <w:rPr>
                <w:sz w:val="16"/>
                <w:szCs w:val="16"/>
                <w:color w:val="auto"/>
              </w:rPr>
            </w:pPr>
          </w:p>
        </w:tc>
        <w:tc>
          <w:tcPr>
            <w:tcW w:w="140" w:type="dxa"/>
            <w:vAlign w:val="bottom"/>
            <w:shd w:val="clear" w:color="auto" w:fill="DCE2EF"/>
          </w:tcPr>
          <w:p>
            <w:pPr>
              <w:spacing w:after="0"/>
              <w:rPr>
                <w:sz w:val="16"/>
                <w:szCs w:val="16"/>
                <w:color w:val="auto"/>
              </w:rPr>
            </w:pPr>
          </w:p>
        </w:tc>
        <w:tc>
          <w:tcPr>
            <w:tcW w:w="800" w:type="dxa"/>
            <w:vAlign w:val="bottom"/>
            <w:shd w:val="clear" w:color="auto" w:fill="DCE2EF"/>
          </w:tcPr>
          <w:p>
            <w:pPr>
              <w:jc w:val="right"/>
              <w:spacing w:after="0"/>
              <w:rPr>
                <w:sz w:val="20"/>
                <w:szCs w:val="20"/>
                <w:color w:val="auto"/>
              </w:rPr>
            </w:pPr>
            <w:r>
              <w:rPr>
                <w:rFonts w:ascii="Arial" w:cs="Arial" w:eastAsia="Arial" w:hAnsi="Arial"/>
                <w:sz w:val="14"/>
                <w:szCs w:val="14"/>
                <w:color w:val="auto"/>
              </w:rPr>
              <w:t>(9.2)</w:t>
            </w:r>
          </w:p>
        </w:tc>
        <w:tc>
          <w:tcPr>
            <w:tcW w:w="100" w:type="dxa"/>
            <w:vAlign w:val="bottom"/>
            <w:shd w:val="clear" w:color="auto" w:fill="DCE2EF"/>
          </w:tcPr>
          <w:p>
            <w:pPr>
              <w:spacing w:after="0"/>
              <w:rPr>
                <w:sz w:val="16"/>
                <w:szCs w:val="16"/>
                <w:color w:val="auto"/>
              </w:rPr>
            </w:pPr>
          </w:p>
        </w:tc>
        <w:tc>
          <w:tcPr>
            <w:tcW w:w="980" w:type="dxa"/>
            <w:vAlign w:val="bottom"/>
            <w:shd w:val="clear" w:color="auto" w:fill="DCE2EF"/>
          </w:tcPr>
          <w:p>
            <w:pPr>
              <w:spacing w:after="0"/>
              <w:rPr>
                <w:sz w:val="16"/>
                <w:szCs w:val="16"/>
                <w:color w:val="auto"/>
              </w:rPr>
            </w:pPr>
          </w:p>
        </w:tc>
        <w:tc>
          <w:tcPr>
            <w:tcW w:w="120" w:type="dxa"/>
            <w:vAlign w:val="bottom"/>
            <w:shd w:val="clear" w:color="auto" w:fill="DCE2EF"/>
          </w:tcPr>
          <w:p>
            <w:pPr>
              <w:spacing w:after="0"/>
              <w:rPr>
                <w:sz w:val="16"/>
                <w:szCs w:val="16"/>
                <w:color w:val="auto"/>
              </w:rPr>
            </w:pPr>
          </w:p>
        </w:tc>
        <w:tc>
          <w:tcPr>
            <w:tcW w:w="160" w:type="dxa"/>
            <w:vAlign w:val="bottom"/>
            <w:shd w:val="clear" w:color="auto" w:fill="DCE2EF"/>
          </w:tcPr>
          <w:p>
            <w:pPr>
              <w:spacing w:after="0"/>
              <w:rPr>
                <w:sz w:val="16"/>
                <w:szCs w:val="16"/>
                <w:color w:val="auto"/>
              </w:rPr>
            </w:pPr>
          </w:p>
        </w:tc>
        <w:tc>
          <w:tcPr>
            <w:tcW w:w="820" w:type="dxa"/>
            <w:vAlign w:val="bottom"/>
            <w:shd w:val="clear" w:color="auto" w:fill="DCE2EF"/>
          </w:tcPr>
          <w:p>
            <w:pPr>
              <w:jc w:val="right"/>
              <w:spacing w:after="0"/>
              <w:rPr>
                <w:sz w:val="20"/>
                <w:szCs w:val="20"/>
                <w:color w:val="auto"/>
              </w:rPr>
            </w:pPr>
            <w:r>
              <w:rPr>
                <w:rFonts w:ascii="Arial" w:cs="Arial" w:eastAsia="Arial" w:hAnsi="Arial"/>
                <w:sz w:val="14"/>
                <w:szCs w:val="14"/>
                <w:color w:val="auto"/>
              </w:rPr>
              <w:t>(16.2)</w:t>
            </w:r>
          </w:p>
        </w:tc>
        <w:tc>
          <w:tcPr>
            <w:tcW w:w="0" w:type="dxa"/>
            <w:vAlign w:val="bottom"/>
          </w:tcPr>
          <w:p>
            <w:pPr>
              <w:spacing w:after="0"/>
              <w:rPr>
                <w:sz w:val="1"/>
                <w:szCs w:val="1"/>
                <w:color w:val="auto"/>
              </w:rPr>
            </w:pPr>
          </w:p>
        </w:tc>
      </w:tr>
      <w:tr>
        <w:trPr>
          <w:trHeight w:val="190"/>
        </w:trPr>
        <w:tc>
          <w:tcPr>
            <w:tcW w:w="20" w:type="dxa"/>
            <w:vAlign w:val="bottom"/>
            <w:tcBorders>
              <w:bottom w:val="single" w:sz="8" w:color="DCE2EF"/>
            </w:tcBorders>
          </w:tcPr>
          <w:p>
            <w:pPr>
              <w:spacing w:after="0"/>
              <w:rPr>
                <w:sz w:val="16"/>
                <w:szCs w:val="16"/>
                <w:color w:val="auto"/>
              </w:rPr>
            </w:pPr>
          </w:p>
        </w:tc>
        <w:tc>
          <w:tcPr>
            <w:tcW w:w="4860" w:type="dxa"/>
            <w:vAlign w:val="bottom"/>
            <w:tcBorders>
              <w:bottom w:val="single" w:sz="8" w:color="DCE2EF"/>
            </w:tcBorders>
            <w:gridSpan w:val="2"/>
          </w:tcPr>
          <w:p>
            <w:pPr>
              <w:ind w:left="100"/>
              <w:spacing w:after="0"/>
              <w:rPr>
                <w:sz w:val="20"/>
                <w:szCs w:val="20"/>
                <w:color w:val="auto"/>
              </w:rPr>
            </w:pPr>
            <w:r>
              <w:rPr>
                <w:rFonts w:ascii="Arial" w:cs="Arial" w:eastAsia="Arial" w:hAnsi="Arial"/>
                <w:sz w:val="14"/>
                <w:szCs w:val="14"/>
                <w:color w:val="auto"/>
              </w:rPr>
              <w:t>Other comprehensive (loss)/income</w:t>
            </w:r>
          </w:p>
        </w:tc>
        <w:tc>
          <w:tcPr>
            <w:tcW w:w="960" w:type="dxa"/>
            <w:vAlign w:val="bottom"/>
            <w:tcBorders>
              <w:bottom w:val="single" w:sz="8" w:color="DCE2EF"/>
            </w:tcBorders>
          </w:tcPr>
          <w:p>
            <w:pPr>
              <w:spacing w:after="0"/>
              <w:rPr>
                <w:sz w:val="16"/>
                <w:szCs w:val="16"/>
                <w:color w:val="auto"/>
              </w:rPr>
            </w:pPr>
          </w:p>
        </w:tc>
        <w:tc>
          <w:tcPr>
            <w:tcW w:w="120" w:type="dxa"/>
            <w:vAlign w:val="bottom"/>
            <w:tcBorders>
              <w:bottom w:val="single" w:sz="8" w:color="DCE2E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w:t>
            </w:r>
          </w:p>
        </w:tc>
        <w:tc>
          <w:tcPr>
            <w:tcW w:w="100" w:type="dxa"/>
            <w:vAlign w:val="bottom"/>
            <w:tcBorders>
              <w:bottom w:val="single" w:sz="8" w:color="DCE2EF"/>
            </w:tcBorders>
          </w:tcPr>
          <w:p>
            <w:pPr>
              <w:spacing w:after="0"/>
              <w:rPr>
                <w:sz w:val="16"/>
                <w:szCs w:val="16"/>
                <w:color w:val="auto"/>
              </w:rPr>
            </w:pPr>
          </w:p>
        </w:tc>
        <w:tc>
          <w:tcPr>
            <w:tcW w:w="980" w:type="dxa"/>
            <w:vAlign w:val="bottom"/>
            <w:tcBorders>
              <w:bottom w:val="single" w:sz="8" w:color="DCE2EF"/>
            </w:tcBorders>
          </w:tcPr>
          <w:p>
            <w:pPr>
              <w:spacing w:after="0"/>
              <w:rPr>
                <w:sz w:val="16"/>
                <w:szCs w:val="16"/>
                <w:color w:val="auto"/>
              </w:rPr>
            </w:pPr>
          </w:p>
        </w:tc>
        <w:tc>
          <w:tcPr>
            <w:tcW w:w="120" w:type="dxa"/>
            <w:vAlign w:val="bottom"/>
            <w:tcBorders>
              <w:bottom w:val="single" w:sz="8" w:color="DCE2E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(9.8)</w:t>
            </w:r>
          </w:p>
        </w:tc>
        <w:tc>
          <w:tcPr>
            <w:tcW w:w="100" w:type="dxa"/>
            <w:vAlign w:val="bottom"/>
            <w:tcBorders>
              <w:bottom w:val="single" w:sz="8" w:color="DCE2EF"/>
            </w:tcBorders>
          </w:tcPr>
          <w:p>
            <w:pPr>
              <w:spacing w:after="0"/>
              <w:rPr>
                <w:sz w:val="16"/>
                <w:szCs w:val="16"/>
                <w:color w:val="auto"/>
              </w:rPr>
            </w:pPr>
          </w:p>
        </w:tc>
        <w:tc>
          <w:tcPr>
            <w:tcW w:w="980" w:type="dxa"/>
            <w:vAlign w:val="bottom"/>
            <w:tcBorders>
              <w:bottom w:val="single" w:sz="8" w:color="DCE2EF"/>
            </w:tcBorders>
          </w:tcPr>
          <w:p>
            <w:pPr>
              <w:spacing w:after="0"/>
              <w:rPr>
                <w:sz w:val="16"/>
                <w:szCs w:val="16"/>
                <w:color w:val="auto"/>
              </w:rPr>
            </w:pPr>
          </w:p>
        </w:tc>
        <w:tc>
          <w:tcPr>
            <w:tcW w:w="120" w:type="dxa"/>
            <w:vAlign w:val="bottom"/>
            <w:tcBorders>
              <w:bottom w:val="single" w:sz="8" w:color="DCE2E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6.9</w:t>
            </w:r>
          </w:p>
        </w:tc>
        <w:tc>
          <w:tcPr>
            <w:tcW w:w="0" w:type="dxa"/>
            <w:vAlign w:val="bottom"/>
          </w:tcPr>
          <w:p>
            <w:pPr>
              <w:spacing w:after="0"/>
              <w:rPr>
                <w:sz w:val="1"/>
                <w:szCs w:val="1"/>
                <w:color w:val="auto"/>
              </w:rPr>
            </w:pPr>
          </w:p>
        </w:tc>
      </w:tr>
      <w:tr>
        <w:trPr>
          <w:trHeight w:val="190"/>
        </w:trPr>
        <w:tc>
          <w:tcPr>
            <w:tcW w:w="20" w:type="dxa"/>
            <w:vAlign w:val="bottom"/>
            <w:shd w:val="clear" w:color="auto" w:fill="DCE2EF"/>
          </w:tcPr>
          <w:p>
            <w:pPr>
              <w:spacing w:after="0"/>
              <w:rPr>
                <w:sz w:val="16"/>
                <w:szCs w:val="16"/>
                <w:color w:val="auto"/>
              </w:rPr>
            </w:pPr>
          </w:p>
        </w:tc>
        <w:tc>
          <w:tcPr>
            <w:tcW w:w="4860" w:type="dxa"/>
            <w:vAlign w:val="bottom"/>
            <w:gridSpan w:val="2"/>
            <w:shd w:val="clear" w:color="auto" w:fill="DCE2EF"/>
          </w:tcPr>
          <w:p>
            <w:pPr>
              <w:ind w:left="100"/>
              <w:spacing w:after="0"/>
              <w:rPr>
                <w:sz w:val="20"/>
                <w:szCs w:val="20"/>
                <w:color w:val="auto"/>
              </w:rPr>
            </w:pPr>
            <w:r>
              <w:rPr>
                <w:rFonts w:ascii="Arial" w:cs="Arial" w:eastAsia="Arial" w:hAnsi="Arial"/>
                <w:sz w:val="14"/>
                <w:szCs w:val="14"/>
                <w:color w:val="auto"/>
              </w:rPr>
              <w:t>Balance, end of year</w:t>
            </w:r>
          </w:p>
        </w:tc>
        <w:tc>
          <w:tcPr>
            <w:tcW w:w="960" w:type="dxa"/>
            <w:vAlign w:val="bottom"/>
            <w:shd w:val="clear" w:color="auto" w:fill="DCE2EF"/>
          </w:tcPr>
          <w:p>
            <w:pPr>
              <w:spacing w:after="0"/>
              <w:rPr>
                <w:sz w:val="16"/>
                <w:szCs w:val="16"/>
                <w:color w:val="auto"/>
              </w:rPr>
            </w:pPr>
          </w:p>
        </w:tc>
        <w:tc>
          <w:tcPr>
            <w:tcW w:w="120" w:type="dxa"/>
            <w:vAlign w:val="bottom"/>
            <w:shd w:val="clear" w:color="auto" w:fill="DCE2EF"/>
          </w:tcPr>
          <w:p>
            <w:pPr>
              <w:spacing w:after="0"/>
              <w:rPr>
                <w:sz w:val="16"/>
                <w:szCs w:val="16"/>
                <w:color w:val="auto"/>
              </w:rPr>
            </w:pPr>
          </w:p>
        </w:tc>
        <w:tc>
          <w:tcPr>
            <w:tcW w:w="140" w:type="dxa"/>
            <w:vAlign w:val="bottom"/>
            <w:tcBorders>
              <w:bottom w:val="single" w:sz="8" w:color="auto"/>
            </w:tcBorders>
            <w:shd w:val="clear" w:color="auto" w:fill="DCE2EF"/>
          </w:tcPr>
          <w:p>
            <w:pPr>
              <w:spacing w:after="0"/>
              <w:rPr>
                <w:sz w:val="16"/>
                <w:szCs w:val="16"/>
                <w:color w:val="auto"/>
              </w:rPr>
            </w:pPr>
          </w:p>
        </w:tc>
        <w:tc>
          <w:tcPr>
            <w:tcW w:w="80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4"/>
                <w:szCs w:val="14"/>
                <w:color w:val="auto"/>
              </w:rPr>
              <w:t>(20.5)</w:t>
            </w:r>
          </w:p>
        </w:tc>
        <w:tc>
          <w:tcPr>
            <w:tcW w:w="100" w:type="dxa"/>
            <w:vAlign w:val="bottom"/>
            <w:shd w:val="clear" w:color="auto" w:fill="DCE2EF"/>
          </w:tcPr>
          <w:p>
            <w:pPr>
              <w:spacing w:after="0"/>
              <w:rPr>
                <w:sz w:val="16"/>
                <w:szCs w:val="16"/>
                <w:color w:val="auto"/>
              </w:rPr>
            </w:pPr>
          </w:p>
        </w:tc>
        <w:tc>
          <w:tcPr>
            <w:tcW w:w="980" w:type="dxa"/>
            <w:vAlign w:val="bottom"/>
            <w:shd w:val="clear" w:color="auto" w:fill="DCE2EF"/>
          </w:tcPr>
          <w:p>
            <w:pPr>
              <w:spacing w:after="0"/>
              <w:rPr>
                <w:sz w:val="16"/>
                <w:szCs w:val="16"/>
                <w:color w:val="auto"/>
              </w:rPr>
            </w:pPr>
          </w:p>
        </w:tc>
        <w:tc>
          <w:tcPr>
            <w:tcW w:w="120" w:type="dxa"/>
            <w:vAlign w:val="bottom"/>
            <w:shd w:val="clear" w:color="auto" w:fill="DCE2EF"/>
          </w:tcPr>
          <w:p>
            <w:pPr>
              <w:spacing w:after="0"/>
              <w:rPr>
                <w:sz w:val="16"/>
                <w:szCs w:val="16"/>
                <w:color w:val="auto"/>
              </w:rPr>
            </w:pPr>
          </w:p>
        </w:tc>
        <w:tc>
          <w:tcPr>
            <w:tcW w:w="140" w:type="dxa"/>
            <w:vAlign w:val="bottom"/>
            <w:tcBorders>
              <w:bottom w:val="single" w:sz="8" w:color="auto"/>
            </w:tcBorders>
            <w:shd w:val="clear" w:color="auto" w:fill="DCE2EF"/>
          </w:tcPr>
          <w:p>
            <w:pPr>
              <w:spacing w:after="0"/>
              <w:rPr>
                <w:sz w:val="16"/>
                <w:szCs w:val="16"/>
                <w:color w:val="auto"/>
              </w:rPr>
            </w:pPr>
          </w:p>
        </w:tc>
        <w:tc>
          <w:tcPr>
            <w:tcW w:w="80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4"/>
                <w:szCs w:val="14"/>
                <w:color w:val="auto"/>
              </w:rPr>
              <w:t>(19.1)</w:t>
            </w:r>
          </w:p>
        </w:tc>
        <w:tc>
          <w:tcPr>
            <w:tcW w:w="100" w:type="dxa"/>
            <w:vAlign w:val="bottom"/>
            <w:shd w:val="clear" w:color="auto" w:fill="DCE2EF"/>
          </w:tcPr>
          <w:p>
            <w:pPr>
              <w:spacing w:after="0"/>
              <w:rPr>
                <w:sz w:val="16"/>
                <w:szCs w:val="16"/>
                <w:color w:val="auto"/>
              </w:rPr>
            </w:pPr>
          </w:p>
        </w:tc>
        <w:tc>
          <w:tcPr>
            <w:tcW w:w="980" w:type="dxa"/>
            <w:vAlign w:val="bottom"/>
            <w:shd w:val="clear" w:color="auto" w:fill="DCE2EF"/>
          </w:tcPr>
          <w:p>
            <w:pPr>
              <w:spacing w:after="0"/>
              <w:rPr>
                <w:sz w:val="16"/>
                <w:szCs w:val="16"/>
                <w:color w:val="auto"/>
              </w:rPr>
            </w:pPr>
          </w:p>
        </w:tc>
        <w:tc>
          <w:tcPr>
            <w:tcW w:w="120" w:type="dxa"/>
            <w:vAlign w:val="bottom"/>
            <w:shd w:val="clear" w:color="auto" w:fill="DCE2EF"/>
          </w:tcPr>
          <w:p>
            <w:pPr>
              <w:spacing w:after="0"/>
              <w:rPr>
                <w:sz w:val="16"/>
                <w:szCs w:val="16"/>
                <w:color w:val="auto"/>
              </w:rPr>
            </w:pPr>
          </w:p>
        </w:tc>
        <w:tc>
          <w:tcPr>
            <w:tcW w:w="160" w:type="dxa"/>
            <w:vAlign w:val="bottom"/>
            <w:tcBorders>
              <w:bottom w:val="single" w:sz="8" w:color="auto"/>
            </w:tcBorders>
            <w:shd w:val="clear" w:color="auto" w:fill="DCE2EF"/>
          </w:tcPr>
          <w:p>
            <w:pPr>
              <w:spacing w:after="0"/>
              <w:rPr>
                <w:sz w:val="16"/>
                <w:szCs w:val="16"/>
                <w:color w:val="auto"/>
              </w:rPr>
            </w:pPr>
          </w:p>
        </w:tc>
        <w:tc>
          <w:tcPr>
            <w:tcW w:w="82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4"/>
                <w:szCs w:val="14"/>
                <w:color w:val="auto"/>
              </w:rPr>
              <w:t>(9.2)</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860" w:type="dxa"/>
            <w:vAlign w:val="bottom"/>
            <w:gridSpan w:val="2"/>
          </w:tcPr>
          <w:p>
            <w:pPr>
              <w:spacing w:after="0"/>
              <w:rPr>
                <w:sz w:val="20"/>
                <w:szCs w:val="20"/>
                <w:color w:val="auto"/>
              </w:rPr>
            </w:pPr>
            <w:r>
              <w:rPr>
                <w:rFonts w:ascii="Arial" w:cs="Arial" w:eastAsia="Arial" w:hAnsi="Arial"/>
                <w:sz w:val="14"/>
                <w:szCs w:val="14"/>
                <w:b w:val="1"/>
                <w:bCs w:val="1"/>
                <w:color w:val="auto"/>
              </w:rPr>
              <w:t>Retained Earnings</w:t>
            </w: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0" w:type="dxa"/>
            <w:vAlign w:val="bottom"/>
            <w:shd w:val="clear" w:color="auto" w:fill="DCE2EF"/>
          </w:tcPr>
          <w:p>
            <w:pPr>
              <w:spacing w:after="0"/>
              <w:rPr>
                <w:sz w:val="16"/>
                <w:szCs w:val="16"/>
                <w:color w:val="auto"/>
              </w:rPr>
            </w:pPr>
          </w:p>
        </w:tc>
        <w:tc>
          <w:tcPr>
            <w:tcW w:w="4860" w:type="dxa"/>
            <w:vAlign w:val="bottom"/>
            <w:gridSpan w:val="2"/>
            <w:shd w:val="clear" w:color="auto" w:fill="DCE2EF"/>
          </w:tcPr>
          <w:p>
            <w:pPr>
              <w:ind w:left="100"/>
              <w:spacing w:after="0"/>
              <w:rPr>
                <w:sz w:val="20"/>
                <w:szCs w:val="20"/>
                <w:color w:val="auto"/>
              </w:rPr>
            </w:pPr>
            <w:r>
              <w:rPr>
                <w:rFonts w:ascii="Arial" w:cs="Arial" w:eastAsia="Arial" w:hAnsi="Arial"/>
                <w:sz w:val="14"/>
                <w:szCs w:val="14"/>
                <w:color w:val="auto"/>
              </w:rPr>
              <w:t>Balance, beginning of year</w:t>
            </w:r>
          </w:p>
        </w:tc>
        <w:tc>
          <w:tcPr>
            <w:tcW w:w="960" w:type="dxa"/>
            <w:vAlign w:val="bottom"/>
            <w:shd w:val="clear" w:color="auto" w:fill="DCE2EF"/>
          </w:tcPr>
          <w:p>
            <w:pPr>
              <w:spacing w:after="0"/>
              <w:rPr>
                <w:sz w:val="16"/>
                <w:szCs w:val="16"/>
                <w:color w:val="auto"/>
              </w:rPr>
            </w:pPr>
          </w:p>
        </w:tc>
        <w:tc>
          <w:tcPr>
            <w:tcW w:w="120" w:type="dxa"/>
            <w:vAlign w:val="bottom"/>
            <w:shd w:val="clear" w:color="auto" w:fill="DCE2EF"/>
          </w:tcPr>
          <w:p>
            <w:pPr>
              <w:spacing w:after="0"/>
              <w:rPr>
                <w:sz w:val="16"/>
                <w:szCs w:val="16"/>
                <w:color w:val="auto"/>
              </w:rPr>
            </w:pPr>
          </w:p>
        </w:tc>
        <w:tc>
          <w:tcPr>
            <w:tcW w:w="140" w:type="dxa"/>
            <w:vAlign w:val="bottom"/>
            <w:shd w:val="clear" w:color="auto" w:fill="DCE2EF"/>
          </w:tcPr>
          <w:p>
            <w:pPr>
              <w:spacing w:after="0"/>
              <w:rPr>
                <w:sz w:val="16"/>
                <w:szCs w:val="16"/>
                <w:color w:val="auto"/>
              </w:rPr>
            </w:pPr>
          </w:p>
        </w:tc>
        <w:tc>
          <w:tcPr>
            <w:tcW w:w="800" w:type="dxa"/>
            <w:vAlign w:val="bottom"/>
            <w:shd w:val="clear" w:color="auto" w:fill="DCE2EF"/>
          </w:tcPr>
          <w:p>
            <w:pPr>
              <w:jc w:val="right"/>
              <w:spacing w:after="0"/>
              <w:rPr>
                <w:sz w:val="20"/>
                <w:szCs w:val="20"/>
                <w:color w:val="auto"/>
              </w:rPr>
            </w:pPr>
            <w:r>
              <w:rPr>
                <w:rFonts w:ascii="Arial" w:cs="Arial" w:eastAsia="Arial" w:hAnsi="Arial"/>
                <w:sz w:val="14"/>
                <w:szCs w:val="14"/>
                <w:color w:val="auto"/>
              </w:rPr>
              <w:t>1,272.9</w:t>
            </w:r>
          </w:p>
        </w:tc>
        <w:tc>
          <w:tcPr>
            <w:tcW w:w="100" w:type="dxa"/>
            <w:vAlign w:val="bottom"/>
            <w:shd w:val="clear" w:color="auto" w:fill="DCE2EF"/>
          </w:tcPr>
          <w:p>
            <w:pPr>
              <w:spacing w:after="0"/>
              <w:rPr>
                <w:sz w:val="16"/>
                <w:szCs w:val="16"/>
                <w:color w:val="auto"/>
              </w:rPr>
            </w:pPr>
          </w:p>
        </w:tc>
        <w:tc>
          <w:tcPr>
            <w:tcW w:w="980" w:type="dxa"/>
            <w:vAlign w:val="bottom"/>
            <w:shd w:val="clear" w:color="auto" w:fill="DCE2EF"/>
          </w:tcPr>
          <w:p>
            <w:pPr>
              <w:spacing w:after="0"/>
              <w:rPr>
                <w:sz w:val="16"/>
                <w:szCs w:val="16"/>
                <w:color w:val="auto"/>
              </w:rPr>
            </w:pPr>
          </w:p>
        </w:tc>
        <w:tc>
          <w:tcPr>
            <w:tcW w:w="120" w:type="dxa"/>
            <w:vAlign w:val="bottom"/>
            <w:shd w:val="clear" w:color="auto" w:fill="DCE2EF"/>
          </w:tcPr>
          <w:p>
            <w:pPr>
              <w:spacing w:after="0"/>
              <w:rPr>
                <w:sz w:val="16"/>
                <w:szCs w:val="16"/>
                <w:color w:val="auto"/>
              </w:rPr>
            </w:pPr>
          </w:p>
        </w:tc>
        <w:tc>
          <w:tcPr>
            <w:tcW w:w="140" w:type="dxa"/>
            <w:vAlign w:val="bottom"/>
            <w:shd w:val="clear" w:color="auto" w:fill="DCE2EF"/>
          </w:tcPr>
          <w:p>
            <w:pPr>
              <w:spacing w:after="0"/>
              <w:rPr>
                <w:sz w:val="16"/>
                <w:szCs w:val="16"/>
                <w:color w:val="auto"/>
              </w:rPr>
            </w:pPr>
          </w:p>
        </w:tc>
        <w:tc>
          <w:tcPr>
            <w:tcW w:w="800" w:type="dxa"/>
            <w:vAlign w:val="bottom"/>
            <w:shd w:val="clear" w:color="auto" w:fill="DCE2EF"/>
          </w:tcPr>
          <w:p>
            <w:pPr>
              <w:jc w:val="right"/>
              <w:spacing w:after="0"/>
              <w:rPr>
                <w:sz w:val="20"/>
                <w:szCs w:val="20"/>
                <w:color w:val="auto"/>
              </w:rPr>
            </w:pPr>
            <w:r>
              <w:rPr>
                <w:rFonts w:ascii="Arial" w:cs="Arial" w:eastAsia="Arial" w:hAnsi="Arial"/>
                <w:sz w:val="14"/>
                <w:szCs w:val="14"/>
                <w:color w:val="auto"/>
              </w:rPr>
              <w:t>1,249.6</w:t>
            </w:r>
          </w:p>
        </w:tc>
        <w:tc>
          <w:tcPr>
            <w:tcW w:w="100" w:type="dxa"/>
            <w:vAlign w:val="bottom"/>
            <w:shd w:val="clear" w:color="auto" w:fill="DCE2EF"/>
          </w:tcPr>
          <w:p>
            <w:pPr>
              <w:spacing w:after="0"/>
              <w:rPr>
                <w:sz w:val="16"/>
                <w:szCs w:val="16"/>
                <w:color w:val="auto"/>
              </w:rPr>
            </w:pPr>
          </w:p>
        </w:tc>
        <w:tc>
          <w:tcPr>
            <w:tcW w:w="980" w:type="dxa"/>
            <w:vAlign w:val="bottom"/>
            <w:shd w:val="clear" w:color="auto" w:fill="DCE2EF"/>
          </w:tcPr>
          <w:p>
            <w:pPr>
              <w:spacing w:after="0"/>
              <w:rPr>
                <w:sz w:val="16"/>
                <w:szCs w:val="16"/>
                <w:color w:val="auto"/>
              </w:rPr>
            </w:pPr>
          </w:p>
        </w:tc>
        <w:tc>
          <w:tcPr>
            <w:tcW w:w="120" w:type="dxa"/>
            <w:vAlign w:val="bottom"/>
            <w:shd w:val="clear" w:color="auto" w:fill="DCE2EF"/>
          </w:tcPr>
          <w:p>
            <w:pPr>
              <w:spacing w:after="0"/>
              <w:rPr>
                <w:sz w:val="16"/>
                <w:szCs w:val="16"/>
                <w:color w:val="auto"/>
              </w:rPr>
            </w:pPr>
          </w:p>
        </w:tc>
        <w:tc>
          <w:tcPr>
            <w:tcW w:w="160" w:type="dxa"/>
            <w:vAlign w:val="bottom"/>
            <w:shd w:val="clear" w:color="auto" w:fill="DCE2EF"/>
          </w:tcPr>
          <w:p>
            <w:pPr>
              <w:spacing w:after="0"/>
              <w:rPr>
                <w:sz w:val="16"/>
                <w:szCs w:val="16"/>
                <w:color w:val="auto"/>
              </w:rPr>
            </w:pPr>
          </w:p>
        </w:tc>
        <w:tc>
          <w:tcPr>
            <w:tcW w:w="820" w:type="dxa"/>
            <w:vAlign w:val="bottom"/>
            <w:shd w:val="clear" w:color="auto" w:fill="DCE2EF"/>
          </w:tcPr>
          <w:p>
            <w:pPr>
              <w:jc w:val="right"/>
              <w:ind w:right="11"/>
              <w:spacing w:after="0"/>
              <w:rPr>
                <w:sz w:val="20"/>
                <w:szCs w:val="20"/>
                <w:color w:val="auto"/>
              </w:rPr>
            </w:pPr>
            <w:r>
              <w:rPr>
                <w:rFonts w:ascii="Arial" w:cs="Arial" w:eastAsia="Arial" w:hAnsi="Arial"/>
                <w:sz w:val="14"/>
                <w:szCs w:val="14"/>
                <w:color w:val="auto"/>
              </w:rPr>
              <w:t>1,057.2</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860" w:type="dxa"/>
            <w:vAlign w:val="bottom"/>
            <w:gridSpan w:val="2"/>
          </w:tcPr>
          <w:p>
            <w:pPr>
              <w:ind w:left="100"/>
              <w:spacing w:after="0"/>
              <w:rPr>
                <w:sz w:val="20"/>
                <w:szCs w:val="20"/>
                <w:color w:val="auto"/>
              </w:rPr>
            </w:pPr>
            <w:r>
              <w:rPr>
                <w:rFonts w:ascii="Arial" w:cs="Arial" w:eastAsia="Arial" w:hAnsi="Arial"/>
                <w:sz w:val="14"/>
                <w:szCs w:val="14"/>
                <w:color w:val="auto"/>
              </w:rPr>
              <w:t>Net income</w:t>
            </w: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162.4</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81.4</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ind w:right="11"/>
              <w:spacing w:after="0"/>
              <w:rPr>
                <w:sz w:val="20"/>
                <w:szCs w:val="20"/>
                <w:color w:val="auto"/>
              </w:rPr>
            </w:pPr>
            <w:r>
              <w:rPr>
                <w:rFonts w:ascii="Arial" w:cs="Arial" w:eastAsia="Arial" w:hAnsi="Arial"/>
                <w:sz w:val="14"/>
                <w:szCs w:val="14"/>
                <w:color w:val="auto"/>
              </w:rPr>
              <w:t>251.3</w:t>
            </w:r>
          </w:p>
        </w:tc>
        <w:tc>
          <w:tcPr>
            <w:tcW w:w="0" w:type="dxa"/>
            <w:vAlign w:val="bottom"/>
          </w:tcPr>
          <w:p>
            <w:pPr>
              <w:spacing w:after="0"/>
              <w:rPr>
                <w:sz w:val="1"/>
                <w:szCs w:val="1"/>
                <w:color w:val="auto"/>
              </w:rPr>
            </w:pPr>
          </w:p>
        </w:tc>
      </w:tr>
      <w:tr>
        <w:trPr>
          <w:trHeight w:val="197"/>
        </w:trPr>
        <w:tc>
          <w:tcPr>
            <w:tcW w:w="20" w:type="dxa"/>
            <w:vAlign w:val="bottom"/>
            <w:shd w:val="clear" w:color="auto" w:fill="DCE2EF"/>
          </w:tcPr>
          <w:p>
            <w:pPr>
              <w:spacing w:after="0"/>
              <w:rPr>
                <w:sz w:val="17"/>
                <w:szCs w:val="17"/>
                <w:color w:val="auto"/>
              </w:rPr>
            </w:pPr>
          </w:p>
        </w:tc>
        <w:tc>
          <w:tcPr>
            <w:tcW w:w="4860" w:type="dxa"/>
            <w:vAlign w:val="bottom"/>
            <w:gridSpan w:val="2"/>
            <w:shd w:val="clear" w:color="auto" w:fill="DCE2EF"/>
          </w:tcPr>
          <w:p>
            <w:pPr>
              <w:ind w:left="100"/>
              <w:spacing w:after="0"/>
              <w:rPr>
                <w:sz w:val="20"/>
                <w:szCs w:val="20"/>
                <w:color w:val="auto"/>
              </w:rPr>
            </w:pPr>
            <w:r>
              <w:rPr>
                <w:rFonts w:ascii="Arial" w:cs="Arial" w:eastAsia="Arial" w:hAnsi="Arial"/>
                <w:sz w:val="14"/>
                <w:szCs w:val="14"/>
                <w:color w:val="auto"/>
              </w:rPr>
              <w:t>Dividends</w:t>
            </w:r>
          </w:p>
        </w:tc>
        <w:tc>
          <w:tcPr>
            <w:tcW w:w="960" w:type="dxa"/>
            <w:vAlign w:val="bottom"/>
            <w:shd w:val="clear" w:color="auto" w:fill="DCE2EF"/>
          </w:tcPr>
          <w:p>
            <w:pPr>
              <w:spacing w:after="0"/>
              <w:rPr>
                <w:sz w:val="17"/>
                <w:szCs w:val="17"/>
                <w:color w:val="auto"/>
              </w:rPr>
            </w:pPr>
          </w:p>
        </w:tc>
        <w:tc>
          <w:tcPr>
            <w:tcW w:w="120" w:type="dxa"/>
            <w:vAlign w:val="bottom"/>
            <w:shd w:val="clear" w:color="auto" w:fill="DCE2EF"/>
          </w:tcPr>
          <w:p>
            <w:pPr>
              <w:spacing w:after="0"/>
              <w:rPr>
                <w:sz w:val="17"/>
                <w:szCs w:val="17"/>
                <w:color w:val="auto"/>
              </w:rPr>
            </w:pPr>
          </w:p>
        </w:tc>
        <w:tc>
          <w:tcPr>
            <w:tcW w:w="140" w:type="dxa"/>
            <w:vAlign w:val="bottom"/>
            <w:shd w:val="clear" w:color="auto" w:fill="DCE2EF"/>
          </w:tcPr>
          <w:p>
            <w:pPr>
              <w:spacing w:after="0"/>
              <w:rPr>
                <w:sz w:val="17"/>
                <w:szCs w:val="17"/>
                <w:color w:val="auto"/>
              </w:rPr>
            </w:pPr>
          </w:p>
        </w:tc>
        <w:tc>
          <w:tcPr>
            <w:tcW w:w="800" w:type="dxa"/>
            <w:vAlign w:val="bottom"/>
            <w:shd w:val="clear" w:color="auto" w:fill="DCE2EF"/>
          </w:tcPr>
          <w:p>
            <w:pPr>
              <w:spacing w:after="0"/>
              <w:rPr>
                <w:sz w:val="17"/>
                <w:szCs w:val="17"/>
                <w:color w:val="auto"/>
              </w:rPr>
            </w:pPr>
          </w:p>
        </w:tc>
        <w:tc>
          <w:tcPr>
            <w:tcW w:w="100" w:type="dxa"/>
            <w:vAlign w:val="bottom"/>
            <w:shd w:val="clear" w:color="auto" w:fill="DCE2EF"/>
          </w:tcPr>
          <w:p>
            <w:pPr>
              <w:spacing w:after="0"/>
              <w:rPr>
                <w:sz w:val="17"/>
                <w:szCs w:val="17"/>
                <w:color w:val="auto"/>
              </w:rPr>
            </w:pPr>
          </w:p>
        </w:tc>
        <w:tc>
          <w:tcPr>
            <w:tcW w:w="980" w:type="dxa"/>
            <w:vAlign w:val="bottom"/>
            <w:shd w:val="clear" w:color="auto" w:fill="DCE2EF"/>
          </w:tcPr>
          <w:p>
            <w:pPr>
              <w:spacing w:after="0"/>
              <w:rPr>
                <w:sz w:val="17"/>
                <w:szCs w:val="17"/>
                <w:color w:val="auto"/>
              </w:rPr>
            </w:pPr>
          </w:p>
        </w:tc>
        <w:tc>
          <w:tcPr>
            <w:tcW w:w="120" w:type="dxa"/>
            <w:vAlign w:val="bottom"/>
            <w:shd w:val="clear" w:color="auto" w:fill="DCE2EF"/>
          </w:tcPr>
          <w:p>
            <w:pPr>
              <w:spacing w:after="0"/>
              <w:rPr>
                <w:sz w:val="17"/>
                <w:szCs w:val="17"/>
                <w:color w:val="auto"/>
              </w:rPr>
            </w:pPr>
          </w:p>
        </w:tc>
        <w:tc>
          <w:tcPr>
            <w:tcW w:w="140" w:type="dxa"/>
            <w:vAlign w:val="bottom"/>
            <w:shd w:val="clear" w:color="auto" w:fill="DCE2EF"/>
          </w:tcPr>
          <w:p>
            <w:pPr>
              <w:spacing w:after="0"/>
              <w:rPr>
                <w:sz w:val="17"/>
                <w:szCs w:val="17"/>
                <w:color w:val="auto"/>
              </w:rPr>
            </w:pPr>
          </w:p>
        </w:tc>
        <w:tc>
          <w:tcPr>
            <w:tcW w:w="800" w:type="dxa"/>
            <w:vAlign w:val="bottom"/>
            <w:shd w:val="clear" w:color="auto" w:fill="DCE2EF"/>
          </w:tcPr>
          <w:p>
            <w:pPr>
              <w:spacing w:after="0"/>
              <w:rPr>
                <w:sz w:val="17"/>
                <w:szCs w:val="17"/>
                <w:color w:val="auto"/>
              </w:rPr>
            </w:pPr>
          </w:p>
        </w:tc>
        <w:tc>
          <w:tcPr>
            <w:tcW w:w="100" w:type="dxa"/>
            <w:vAlign w:val="bottom"/>
            <w:shd w:val="clear" w:color="auto" w:fill="DCE2EF"/>
          </w:tcPr>
          <w:p>
            <w:pPr>
              <w:spacing w:after="0"/>
              <w:rPr>
                <w:sz w:val="17"/>
                <w:szCs w:val="17"/>
                <w:color w:val="auto"/>
              </w:rPr>
            </w:pPr>
          </w:p>
        </w:tc>
        <w:tc>
          <w:tcPr>
            <w:tcW w:w="980" w:type="dxa"/>
            <w:vAlign w:val="bottom"/>
            <w:shd w:val="clear" w:color="auto" w:fill="DCE2EF"/>
          </w:tcPr>
          <w:p>
            <w:pPr>
              <w:spacing w:after="0"/>
              <w:rPr>
                <w:sz w:val="17"/>
                <w:szCs w:val="17"/>
                <w:color w:val="auto"/>
              </w:rPr>
            </w:pPr>
          </w:p>
        </w:tc>
        <w:tc>
          <w:tcPr>
            <w:tcW w:w="120" w:type="dxa"/>
            <w:vAlign w:val="bottom"/>
            <w:shd w:val="clear" w:color="auto" w:fill="DCE2EF"/>
          </w:tcPr>
          <w:p>
            <w:pPr>
              <w:spacing w:after="0"/>
              <w:rPr>
                <w:sz w:val="17"/>
                <w:szCs w:val="17"/>
                <w:color w:val="auto"/>
              </w:rPr>
            </w:pPr>
          </w:p>
        </w:tc>
        <w:tc>
          <w:tcPr>
            <w:tcW w:w="160" w:type="dxa"/>
            <w:vAlign w:val="bottom"/>
            <w:shd w:val="clear" w:color="auto" w:fill="DCE2EF"/>
          </w:tcPr>
          <w:p>
            <w:pPr>
              <w:spacing w:after="0"/>
              <w:rPr>
                <w:sz w:val="17"/>
                <w:szCs w:val="17"/>
                <w:color w:val="auto"/>
              </w:rPr>
            </w:pPr>
          </w:p>
        </w:tc>
        <w:tc>
          <w:tcPr>
            <w:tcW w:w="820" w:type="dxa"/>
            <w:vAlign w:val="bottom"/>
            <w:shd w:val="clear" w:color="auto" w:fill="DCE2E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860" w:type="dxa"/>
            <w:vAlign w:val="bottom"/>
            <w:gridSpan w:val="2"/>
          </w:tcPr>
          <w:p>
            <w:pPr>
              <w:ind w:left="220"/>
              <w:spacing w:after="0"/>
              <w:rPr>
                <w:sz w:val="20"/>
                <w:szCs w:val="20"/>
                <w:color w:val="auto"/>
              </w:rPr>
            </w:pPr>
            <w:r>
              <w:rPr>
                <w:rFonts w:ascii="Arial" w:cs="Arial" w:eastAsia="Arial" w:hAnsi="Arial"/>
                <w:sz w:val="14"/>
                <w:szCs w:val="14"/>
                <w:color w:val="auto"/>
              </w:rPr>
              <w:t>Common stock ($1.06, $0.90, and $0.88 per share)</w:t>
            </w: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(65.6)</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(56.5)</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(57.5)</w:t>
            </w:r>
          </w:p>
        </w:tc>
        <w:tc>
          <w:tcPr>
            <w:tcW w:w="0" w:type="dxa"/>
            <w:vAlign w:val="bottom"/>
          </w:tcPr>
          <w:p>
            <w:pPr>
              <w:spacing w:after="0"/>
              <w:rPr>
                <w:sz w:val="1"/>
                <w:szCs w:val="1"/>
                <w:color w:val="auto"/>
              </w:rPr>
            </w:pPr>
          </w:p>
        </w:tc>
      </w:tr>
      <w:tr>
        <w:trPr>
          <w:trHeight w:val="197"/>
        </w:trPr>
        <w:tc>
          <w:tcPr>
            <w:tcW w:w="20" w:type="dxa"/>
            <w:vAlign w:val="bottom"/>
            <w:shd w:val="clear" w:color="auto" w:fill="DCE2EF"/>
          </w:tcPr>
          <w:p>
            <w:pPr>
              <w:spacing w:after="0"/>
              <w:rPr>
                <w:sz w:val="17"/>
                <w:szCs w:val="17"/>
                <w:color w:val="auto"/>
              </w:rPr>
            </w:pPr>
          </w:p>
        </w:tc>
        <w:tc>
          <w:tcPr>
            <w:tcW w:w="4860" w:type="dxa"/>
            <w:vAlign w:val="bottom"/>
            <w:gridSpan w:val="2"/>
            <w:shd w:val="clear" w:color="auto" w:fill="DCE2EF"/>
          </w:tcPr>
          <w:p>
            <w:pPr>
              <w:ind w:left="120"/>
              <w:spacing w:after="0"/>
              <w:rPr>
                <w:sz w:val="20"/>
                <w:szCs w:val="20"/>
                <w:color w:val="auto"/>
              </w:rPr>
            </w:pPr>
            <w:r>
              <w:rPr>
                <w:rFonts w:ascii="Arial" w:cs="Arial" w:eastAsia="Arial" w:hAnsi="Arial"/>
                <w:sz w:val="14"/>
                <w:szCs w:val="14"/>
                <w:color w:val="auto"/>
              </w:rPr>
              <w:t>Stock issued under share-based compensation plans</w:t>
            </w:r>
          </w:p>
        </w:tc>
        <w:tc>
          <w:tcPr>
            <w:tcW w:w="960" w:type="dxa"/>
            <w:vAlign w:val="bottom"/>
            <w:shd w:val="clear" w:color="auto" w:fill="DCE2EF"/>
          </w:tcPr>
          <w:p>
            <w:pPr>
              <w:spacing w:after="0"/>
              <w:rPr>
                <w:sz w:val="17"/>
                <w:szCs w:val="17"/>
                <w:color w:val="auto"/>
              </w:rPr>
            </w:pPr>
          </w:p>
        </w:tc>
        <w:tc>
          <w:tcPr>
            <w:tcW w:w="120" w:type="dxa"/>
            <w:vAlign w:val="bottom"/>
            <w:shd w:val="clear" w:color="auto" w:fill="DCE2EF"/>
          </w:tcPr>
          <w:p>
            <w:pPr>
              <w:spacing w:after="0"/>
              <w:rPr>
                <w:sz w:val="17"/>
                <w:szCs w:val="17"/>
                <w:color w:val="auto"/>
              </w:rPr>
            </w:pPr>
          </w:p>
        </w:tc>
        <w:tc>
          <w:tcPr>
            <w:tcW w:w="140" w:type="dxa"/>
            <w:vAlign w:val="bottom"/>
            <w:tcBorders>
              <w:bottom w:val="single" w:sz="8" w:color="auto"/>
            </w:tcBorders>
            <w:shd w:val="clear" w:color="auto" w:fill="DCE2EF"/>
          </w:tcPr>
          <w:p>
            <w:pPr>
              <w:spacing w:after="0"/>
              <w:rPr>
                <w:sz w:val="17"/>
                <w:szCs w:val="17"/>
                <w:color w:val="auto"/>
              </w:rPr>
            </w:pPr>
          </w:p>
        </w:tc>
        <w:tc>
          <w:tcPr>
            <w:tcW w:w="80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4"/>
                <w:szCs w:val="14"/>
                <w:color w:val="auto"/>
              </w:rPr>
              <w:t>(1.6)</w:t>
            </w:r>
          </w:p>
        </w:tc>
        <w:tc>
          <w:tcPr>
            <w:tcW w:w="100" w:type="dxa"/>
            <w:vAlign w:val="bottom"/>
            <w:shd w:val="clear" w:color="auto" w:fill="DCE2EF"/>
          </w:tcPr>
          <w:p>
            <w:pPr>
              <w:spacing w:after="0"/>
              <w:rPr>
                <w:sz w:val="17"/>
                <w:szCs w:val="17"/>
                <w:color w:val="auto"/>
              </w:rPr>
            </w:pPr>
          </w:p>
        </w:tc>
        <w:tc>
          <w:tcPr>
            <w:tcW w:w="980" w:type="dxa"/>
            <w:vAlign w:val="bottom"/>
            <w:shd w:val="clear" w:color="auto" w:fill="DCE2EF"/>
          </w:tcPr>
          <w:p>
            <w:pPr>
              <w:spacing w:after="0"/>
              <w:rPr>
                <w:sz w:val="17"/>
                <w:szCs w:val="17"/>
                <w:color w:val="auto"/>
              </w:rPr>
            </w:pPr>
          </w:p>
        </w:tc>
        <w:tc>
          <w:tcPr>
            <w:tcW w:w="120" w:type="dxa"/>
            <w:vAlign w:val="bottom"/>
            <w:shd w:val="clear" w:color="auto" w:fill="DCE2EF"/>
          </w:tcPr>
          <w:p>
            <w:pPr>
              <w:spacing w:after="0"/>
              <w:rPr>
                <w:sz w:val="17"/>
                <w:szCs w:val="17"/>
                <w:color w:val="auto"/>
              </w:rPr>
            </w:pPr>
          </w:p>
        </w:tc>
        <w:tc>
          <w:tcPr>
            <w:tcW w:w="140" w:type="dxa"/>
            <w:vAlign w:val="bottom"/>
            <w:tcBorders>
              <w:bottom w:val="single" w:sz="8" w:color="auto"/>
            </w:tcBorders>
            <w:shd w:val="clear" w:color="auto" w:fill="DCE2EF"/>
          </w:tcPr>
          <w:p>
            <w:pPr>
              <w:spacing w:after="0"/>
              <w:rPr>
                <w:sz w:val="17"/>
                <w:szCs w:val="17"/>
                <w:color w:val="auto"/>
              </w:rPr>
            </w:pPr>
          </w:p>
        </w:tc>
        <w:tc>
          <w:tcPr>
            <w:tcW w:w="80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4"/>
                <w:szCs w:val="14"/>
                <w:color w:val="auto"/>
              </w:rPr>
              <w:t>(1.5)</w:t>
            </w:r>
          </w:p>
        </w:tc>
        <w:tc>
          <w:tcPr>
            <w:tcW w:w="100" w:type="dxa"/>
            <w:vAlign w:val="bottom"/>
            <w:shd w:val="clear" w:color="auto" w:fill="DCE2EF"/>
          </w:tcPr>
          <w:p>
            <w:pPr>
              <w:spacing w:after="0"/>
              <w:rPr>
                <w:sz w:val="17"/>
                <w:szCs w:val="17"/>
                <w:color w:val="auto"/>
              </w:rPr>
            </w:pPr>
          </w:p>
        </w:tc>
        <w:tc>
          <w:tcPr>
            <w:tcW w:w="980" w:type="dxa"/>
            <w:vAlign w:val="bottom"/>
            <w:shd w:val="clear" w:color="auto" w:fill="DCE2EF"/>
          </w:tcPr>
          <w:p>
            <w:pPr>
              <w:spacing w:after="0"/>
              <w:rPr>
                <w:sz w:val="17"/>
                <w:szCs w:val="17"/>
                <w:color w:val="auto"/>
              </w:rPr>
            </w:pPr>
          </w:p>
        </w:tc>
        <w:tc>
          <w:tcPr>
            <w:tcW w:w="120" w:type="dxa"/>
            <w:vAlign w:val="bottom"/>
            <w:shd w:val="clear" w:color="auto" w:fill="DCE2EF"/>
          </w:tcPr>
          <w:p>
            <w:pPr>
              <w:spacing w:after="0"/>
              <w:rPr>
                <w:sz w:val="17"/>
                <w:szCs w:val="17"/>
                <w:color w:val="auto"/>
              </w:rPr>
            </w:pPr>
          </w:p>
        </w:tc>
        <w:tc>
          <w:tcPr>
            <w:tcW w:w="160" w:type="dxa"/>
            <w:vAlign w:val="bottom"/>
            <w:tcBorders>
              <w:bottom w:val="single" w:sz="8" w:color="auto"/>
            </w:tcBorders>
            <w:shd w:val="clear" w:color="auto" w:fill="DCE2EF"/>
          </w:tcPr>
          <w:p>
            <w:pPr>
              <w:spacing w:after="0"/>
              <w:rPr>
                <w:sz w:val="17"/>
                <w:szCs w:val="17"/>
                <w:color w:val="auto"/>
              </w:rPr>
            </w:pPr>
          </w:p>
        </w:tc>
        <w:tc>
          <w:tcPr>
            <w:tcW w:w="82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82"/>
        </w:trPr>
        <w:tc>
          <w:tcPr>
            <w:tcW w:w="20" w:type="dxa"/>
            <w:vAlign w:val="bottom"/>
            <w:tcBorders>
              <w:bottom w:val="single" w:sz="8" w:color="DCE2EF"/>
            </w:tcBorders>
          </w:tcPr>
          <w:p>
            <w:pPr>
              <w:spacing w:after="0"/>
              <w:rPr>
                <w:sz w:val="15"/>
                <w:szCs w:val="15"/>
                <w:color w:val="auto"/>
              </w:rPr>
            </w:pPr>
          </w:p>
        </w:tc>
        <w:tc>
          <w:tcPr>
            <w:tcW w:w="4860" w:type="dxa"/>
            <w:vAlign w:val="bottom"/>
            <w:tcBorders>
              <w:bottom w:val="single" w:sz="8" w:color="DCE2EF"/>
            </w:tcBorders>
            <w:gridSpan w:val="2"/>
          </w:tcPr>
          <w:p>
            <w:pPr>
              <w:ind w:left="100"/>
              <w:spacing w:after="0"/>
              <w:rPr>
                <w:sz w:val="20"/>
                <w:szCs w:val="20"/>
                <w:color w:val="auto"/>
              </w:rPr>
            </w:pPr>
            <w:r>
              <w:rPr>
                <w:rFonts w:ascii="Arial" w:cs="Arial" w:eastAsia="Arial" w:hAnsi="Arial"/>
                <w:sz w:val="14"/>
                <w:szCs w:val="14"/>
                <w:color w:val="auto"/>
              </w:rPr>
              <w:t>Balance, end of year</w:t>
            </w:r>
          </w:p>
        </w:tc>
        <w:tc>
          <w:tcPr>
            <w:tcW w:w="960" w:type="dxa"/>
            <w:vAlign w:val="bottom"/>
            <w:tcBorders>
              <w:bottom w:val="single" w:sz="8" w:color="DCE2EF"/>
            </w:tcBorders>
          </w:tcPr>
          <w:p>
            <w:pPr>
              <w:spacing w:after="0"/>
              <w:rPr>
                <w:sz w:val="15"/>
                <w:szCs w:val="15"/>
                <w:color w:val="auto"/>
              </w:rPr>
            </w:pPr>
          </w:p>
        </w:tc>
        <w:tc>
          <w:tcPr>
            <w:tcW w:w="120" w:type="dxa"/>
            <w:vAlign w:val="bottom"/>
            <w:tcBorders>
              <w:bottom w:val="single" w:sz="8" w:color="DCE2E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1,368.1</w:t>
            </w:r>
          </w:p>
        </w:tc>
        <w:tc>
          <w:tcPr>
            <w:tcW w:w="100" w:type="dxa"/>
            <w:vAlign w:val="bottom"/>
            <w:tcBorders>
              <w:bottom w:val="single" w:sz="8" w:color="DCE2EF"/>
            </w:tcBorders>
          </w:tcPr>
          <w:p>
            <w:pPr>
              <w:spacing w:after="0"/>
              <w:rPr>
                <w:sz w:val="15"/>
                <w:szCs w:val="15"/>
                <w:color w:val="auto"/>
              </w:rPr>
            </w:pPr>
          </w:p>
        </w:tc>
        <w:tc>
          <w:tcPr>
            <w:tcW w:w="980" w:type="dxa"/>
            <w:vAlign w:val="bottom"/>
            <w:tcBorders>
              <w:bottom w:val="single" w:sz="8" w:color="DCE2EF"/>
            </w:tcBorders>
          </w:tcPr>
          <w:p>
            <w:pPr>
              <w:spacing w:after="0"/>
              <w:rPr>
                <w:sz w:val="15"/>
                <w:szCs w:val="15"/>
                <w:color w:val="auto"/>
              </w:rPr>
            </w:pPr>
          </w:p>
        </w:tc>
        <w:tc>
          <w:tcPr>
            <w:tcW w:w="120" w:type="dxa"/>
            <w:vAlign w:val="bottom"/>
            <w:tcBorders>
              <w:bottom w:val="single" w:sz="8" w:color="DCE2E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1,272.9</w:t>
            </w:r>
          </w:p>
        </w:tc>
        <w:tc>
          <w:tcPr>
            <w:tcW w:w="100" w:type="dxa"/>
            <w:vAlign w:val="bottom"/>
            <w:tcBorders>
              <w:bottom w:val="single" w:sz="8" w:color="DCE2EF"/>
            </w:tcBorders>
          </w:tcPr>
          <w:p>
            <w:pPr>
              <w:spacing w:after="0"/>
              <w:rPr>
                <w:sz w:val="15"/>
                <w:szCs w:val="15"/>
                <w:color w:val="auto"/>
              </w:rPr>
            </w:pPr>
          </w:p>
        </w:tc>
        <w:tc>
          <w:tcPr>
            <w:tcW w:w="980" w:type="dxa"/>
            <w:vAlign w:val="bottom"/>
            <w:tcBorders>
              <w:bottom w:val="single" w:sz="8" w:color="DCE2EF"/>
            </w:tcBorders>
          </w:tcPr>
          <w:p>
            <w:pPr>
              <w:spacing w:after="0"/>
              <w:rPr>
                <w:sz w:val="15"/>
                <w:szCs w:val="15"/>
                <w:color w:val="auto"/>
              </w:rPr>
            </w:pPr>
          </w:p>
        </w:tc>
        <w:tc>
          <w:tcPr>
            <w:tcW w:w="120" w:type="dxa"/>
            <w:vAlign w:val="bottom"/>
            <w:tcBorders>
              <w:bottom w:val="single" w:sz="8" w:color="DCE2E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1,249.6</w:t>
            </w:r>
          </w:p>
        </w:tc>
        <w:tc>
          <w:tcPr>
            <w:tcW w:w="0" w:type="dxa"/>
            <w:vAlign w:val="bottom"/>
          </w:tcPr>
          <w:p>
            <w:pPr>
              <w:spacing w:after="0"/>
              <w:rPr>
                <w:sz w:val="1"/>
                <w:szCs w:val="1"/>
                <w:color w:val="auto"/>
              </w:rPr>
            </w:pPr>
          </w:p>
        </w:tc>
      </w:tr>
      <w:tr>
        <w:trPr>
          <w:trHeight w:val="215"/>
        </w:trPr>
        <w:tc>
          <w:tcPr>
            <w:tcW w:w="20" w:type="dxa"/>
            <w:vAlign w:val="bottom"/>
            <w:tcBorders>
              <w:bottom w:val="single" w:sz="8" w:color="DCE2EF"/>
            </w:tcBorders>
            <w:shd w:val="clear" w:color="auto" w:fill="DCE2EF"/>
          </w:tcPr>
          <w:p>
            <w:pPr>
              <w:spacing w:after="0"/>
              <w:rPr>
                <w:sz w:val="18"/>
                <w:szCs w:val="18"/>
                <w:color w:val="auto"/>
              </w:rPr>
            </w:pPr>
          </w:p>
        </w:tc>
        <w:tc>
          <w:tcPr>
            <w:tcW w:w="4860" w:type="dxa"/>
            <w:vAlign w:val="bottom"/>
            <w:tcBorders>
              <w:bottom w:val="single" w:sz="8" w:color="DCE2EF"/>
            </w:tcBorders>
            <w:gridSpan w:val="2"/>
            <w:shd w:val="clear" w:color="auto" w:fill="DCE2EF"/>
          </w:tcPr>
          <w:p>
            <w:pPr>
              <w:spacing w:after="0"/>
              <w:rPr>
                <w:sz w:val="20"/>
                <w:szCs w:val="20"/>
                <w:color w:val="auto"/>
              </w:rPr>
            </w:pPr>
            <w:r>
              <w:rPr>
                <w:rFonts w:ascii="Arial" w:cs="Arial" w:eastAsia="Arial" w:hAnsi="Arial"/>
                <w:sz w:val="14"/>
                <w:szCs w:val="14"/>
                <w:b w:val="1"/>
                <w:bCs w:val="1"/>
                <w:color w:val="auto"/>
              </w:rPr>
              <w:t>Total Stockholders’ Equity</w:t>
            </w:r>
          </w:p>
        </w:tc>
        <w:tc>
          <w:tcPr>
            <w:tcW w:w="960" w:type="dxa"/>
            <w:vAlign w:val="bottom"/>
            <w:tcBorders>
              <w:bottom w:val="single" w:sz="8" w:color="DCE2EF"/>
            </w:tcBorders>
            <w:shd w:val="clear" w:color="auto" w:fill="DCE2EF"/>
          </w:tcPr>
          <w:p>
            <w:pPr>
              <w:spacing w:after="0"/>
              <w:rPr>
                <w:sz w:val="18"/>
                <w:szCs w:val="18"/>
                <w:color w:val="auto"/>
              </w:rPr>
            </w:pPr>
          </w:p>
        </w:tc>
        <w:tc>
          <w:tcPr>
            <w:tcW w:w="120" w:type="dxa"/>
            <w:vAlign w:val="bottom"/>
            <w:tcBorders>
              <w:bottom w:val="single" w:sz="8" w:color="DCE2EF"/>
            </w:tcBorders>
            <w:shd w:val="clear" w:color="auto" w:fill="DCE2EF"/>
          </w:tcPr>
          <w:p>
            <w:pPr>
              <w:spacing w:after="0"/>
              <w:rPr>
                <w:sz w:val="18"/>
                <w:szCs w:val="18"/>
                <w:color w:val="auto"/>
              </w:rPr>
            </w:pPr>
          </w:p>
        </w:tc>
        <w:tc>
          <w:tcPr>
            <w:tcW w:w="14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4"/>
                <w:szCs w:val="14"/>
                <w:color w:val="auto"/>
              </w:rPr>
              <w:t>1,785.6</w:t>
            </w:r>
          </w:p>
        </w:tc>
        <w:tc>
          <w:tcPr>
            <w:tcW w:w="100" w:type="dxa"/>
            <w:vAlign w:val="bottom"/>
            <w:tcBorders>
              <w:bottom w:val="single" w:sz="8" w:color="DCE2EF"/>
            </w:tcBorders>
            <w:shd w:val="clear" w:color="auto" w:fill="DCE2EF"/>
          </w:tcPr>
          <w:p>
            <w:pPr>
              <w:spacing w:after="0"/>
              <w:rPr>
                <w:sz w:val="18"/>
                <w:szCs w:val="18"/>
                <w:color w:val="auto"/>
              </w:rPr>
            </w:pPr>
          </w:p>
        </w:tc>
        <w:tc>
          <w:tcPr>
            <w:tcW w:w="980" w:type="dxa"/>
            <w:vAlign w:val="bottom"/>
            <w:tcBorders>
              <w:bottom w:val="single" w:sz="8" w:color="DCE2EF"/>
            </w:tcBorders>
            <w:shd w:val="clear" w:color="auto" w:fill="DCE2EF"/>
          </w:tcPr>
          <w:p>
            <w:pPr>
              <w:spacing w:after="0"/>
              <w:rPr>
                <w:sz w:val="18"/>
                <w:szCs w:val="18"/>
                <w:color w:val="auto"/>
              </w:rPr>
            </w:pPr>
          </w:p>
        </w:tc>
        <w:tc>
          <w:tcPr>
            <w:tcW w:w="120" w:type="dxa"/>
            <w:vAlign w:val="bottom"/>
            <w:tcBorders>
              <w:bottom w:val="single" w:sz="8" w:color="DCE2EF"/>
            </w:tcBorders>
            <w:shd w:val="clear" w:color="auto" w:fill="DCE2EF"/>
          </w:tcPr>
          <w:p>
            <w:pPr>
              <w:spacing w:after="0"/>
              <w:rPr>
                <w:sz w:val="18"/>
                <w:szCs w:val="18"/>
                <w:color w:val="auto"/>
              </w:rPr>
            </w:pPr>
          </w:p>
        </w:tc>
        <w:tc>
          <w:tcPr>
            <w:tcW w:w="14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4"/>
                <w:szCs w:val="14"/>
                <w:color w:val="auto"/>
              </w:rPr>
              <w:t>1,781.9</w:t>
            </w:r>
          </w:p>
        </w:tc>
        <w:tc>
          <w:tcPr>
            <w:tcW w:w="100" w:type="dxa"/>
            <w:vAlign w:val="bottom"/>
            <w:tcBorders>
              <w:bottom w:val="single" w:sz="8" w:color="DCE2EF"/>
            </w:tcBorders>
            <w:shd w:val="clear" w:color="auto" w:fill="DCE2EF"/>
          </w:tcPr>
          <w:p>
            <w:pPr>
              <w:spacing w:after="0"/>
              <w:rPr>
                <w:sz w:val="18"/>
                <w:szCs w:val="18"/>
                <w:color w:val="auto"/>
              </w:rPr>
            </w:pPr>
          </w:p>
        </w:tc>
        <w:tc>
          <w:tcPr>
            <w:tcW w:w="980" w:type="dxa"/>
            <w:vAlign w:val="bottom"/>
            <w:tcBorders>
              <w:bottom w:val="single" w:sz="8" w:color="DCE2EF"/>
            </w:tcBorders>
            <w:shd w:val="clear" w:color="auto" w:fill="DCE2EF"/>
          </w:tcPr>
          <w:p>
            <w:pPr>
              <w:spacing w:after="0"/>
              <w:rPr>
                <w:sz w:val="18"/>
                <w:szCs w:val="18"/>
                <w:color w:val="auto"/>
              </w:rPr>
            </w:pPr>
          </w:p>
        </w:tc>
        <w:tc>
          <w:tcPr>
            <w:tcW w:w="120" w:type="dxa"/>
            <w:vAlign w:val="bottom"/>
            <w:tcBorders>
              <w:bottom w:val="single" w:sz="8" w:color="DCE2EF"/>
            </w:tcBorders>
            <w:shd w:val="clear" w:color="auto" w:fill="DCE2EF"/>
          </w:tcPr>
          <w:p>
            <w:pPr>
              <w:spacing w:after="0"/>
              <w:rPr>
                <w:sz w:val="18"/>
                <w:szCs w:val="18"/>
                <w:color w:val="auto"/>
              </w:rPr>
            </w:pPr>
          </w:p>
        </w:tc>
        <w:tc>
          <w:tcPr>
            <w:tcW w:w="160" w:type="dxa"/>
            <w:vAlign w:val="bottom"/>
            <w:tcBorders>
              <w:bottom w:val="single" w:sz="8" w:color="auto"/>
            </w:tcBorders>
            <w:shd w:val="clear" w:color="auto" w:fill="DCE2EF"/>
          </w:tcPr>
          <w:p>
            <w:pPr>
              <w:jc w:val="right"/>
              <w:ind w:right="11"/>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DCE2EF"/>
          </w:tcPr>
          <w:p>
            <w:pPr>
              <w:jc w:val="right"/>
              <w:ind w:right="11"/>
              <w:spacing w:after="0"/>
              <w:rPr>
                <w:sz w:val="20"/>
                <w:szCs w:val="20"/>
                <w:color w:val="auto"/>
              </w:rPr>
            </w:pPr>
            <w:r>
              <w:rPr>
                <w:rFonts w:ascii="Arial" w:cs="Arial" w:eastAsia="Arial" w:hAnsi="Arial"/>
                <w:sz w:val="14"/>
                <w:szCs w:val="14"/>
                <w:color w:val="auto"/>
              </w:rPr>
              <w:t>1,799.9</w:t>
            </w:r>
          </w:p>
        </w:tc>
        <w:tc>
          <w:tcPr>
            <w:tcW w:w="0" w:type="dxa"/>
            <w:vAlign w:val="bottom"/>
          </w:tcPr>
          <w:p>
            <w:pPr>
              <w:spacing w:after="0"/>
              <w:rPr>
                <w:sz w:val="1"/>
                <w:szCs w:val="1"/>
                <w:color w:val="auto"/>
              </w:rPr>
            </w:pPr>
          </w:p>
        </w:tc>
      </w:tr>
      <w:tr>
        <w:trPr>
          <w:trHeight w:val="20"/>
        </w:trPr>
        <w:tc>
          <w:tcPr>
            <w:tcW w:w="20" w:type="dxa"/>
            <w:vAlign w:val="bottom"/>
            <w:tcBorders>
              <w:top w:val="single" w:sz="8" w:color="DCE2EF"/>
            </w:tcBorders>
          </w:tcPr>
          <w:p>
            <w:pPr>
              <w:spacing w:after="0" w:line="20" w:lineRule="exact"/>
              <w:rPr>
                <w:sz w:val="1"/>
                <w:szCs w:val="1"/>
                <w:color w:val="auto"/>
              </w:rPr>
            </w:pPr>
          </w:p>
        </w:tc>
        <w:tc>
          <w:tcPr>
            <w:tcW w:w="1880" w:type="dxa"/>
            <w:vAlign w:val="bottom"/>
            <w:tcBorders>
              <w:top w:val="single" w:sz="8" w:color="DCE2EF"/>
            </w:tcBorders>
          </w:tcPr>
          <w:p>
            <w:pPr>
              <w:spacing w:after="0" w:line="20" w:lineRule="exact"/>
              <w:rPr>
                <w:sz w:val="1"/>
                <w:szCs w:val="1"/>
                <w:color w:val="auto"/>
              </w:rPr>
            </w:pPr>
          </w:p>
        </w:tc>
        <w:tc>
          <w:tcPr>
            <w:tcW w:w="2980" w:type="dxa"/>
            <w:vAlign w:val="bottom"/>
            <w:tcBorders>
              <w:top w:val="single" w:sz="8" w:color="DCE2EF"/>
            </w:tcBorders>
          </w:tcPr>
          <w:p>
            <w:pPr>
              <w:spacing w:after="0" w:line="20" w:lineRule="exact"/>
              <w:rPr>
                <w:sz w:val="1"/>
                <w:szCs w:val="1"/>
                <w:color w:val="auto"/>
              </w:rPr>
            </w:pPr>
          </w:p>
        </w:tc>
        <w:tc>
          <w:tcPr>
            <w:tcW w:w="960" w:type="dxa"/>
            <w:vAlign w:val="bottom"/>
            <w:tcBorders>
              <w:top w:val="single" w:sz="8" w:color="DCE2EF"/>
            </w:tcBorders>
          </w:tcPr>
          <w:p>
            <w:pPr>
              <w:spacing w:after="0" w:line="20" w:lineRule="exact"/>
              <w:rPr>
                <w:sz w:val="1"/>
                <w:szCs w:val="1"/>
                <w:color w:val="auto"/>
              </w:rPr>
            </w:pPr>
          </w:p>
        </w:tc>
        <w:tc>
          <w:tcPr>
            <w:tcW w:w="120" w:type="dxa"/>
            <w:vAlign w:val="bottom"/>
            <w:tcBorders>
              <w:top w:val="single" w:sz="8" w:color="DCE2EF"/>
            </w:tcBorders>
          </w:tcPr>
          <w:p>
            <w:pPr>
              <w:spacing w:after="0" w:line="20" w:lineRule="exact"/>
              <w:rPr>
                <w:sz w:val="1"/>
                <w:szCs w:val="1"/>
                <w:color w:val="auto"/>
              </w:rPr>
            </w:pPr>
          </w:p>
        </w:tc>
        <w:tc>
          <w:tcPr>
            <w:tcW w:w="140" w:type="dxa"/>
            <w:vAlign w:val="bottom"/>
            <w:tcBorders>
              <w:top w:val="single" w:sz="8" w:color="DCE2EF"/>
              <w:bottom w:val="single" w:sz="8" w:color="auto"/>
            </w:tcBorders>
          </w:tcPr>
          <w:p>
            <w:pPr>
              <w:spacing w:after="0" w:line="20" w:lineRule="exact"/>
              <w:rPr>
                <w:sz w:val="1"/>
                <w:szCs w:val="1"/>
                <w:color w:val="auto"/>
              </w:rPr>
            </w:pPr>
          </w:p>
        </w:tc>
        <w:tc>
          <w:tcPr>
            <w:tcW w:w="800" w:type="dxa"/>
            <w:vAlign w:val="bottom"/>
            <w:tcBorders>
              <w:top w:val="single" w:sz="8" w:color="DCE2EF"/>
              <w:bottom w:val="single" w:sz="8" w:color="auto"/>
            </w:tcBorders>
          </w:tcPr>
          <w:p>
            <w:pPr>
              <w:spacing w:after="0" w:line="20" w:lineRule="exact"/>
              <w:rPr>
                <w:sz w:val="1"/>
                <w:szCs w:val="1"/>
                <w:color w:val="auto"/>
              </w:rPr>
            </w:pPr>
          </w:p>
        </w:tc>
        <w:tc>
          <w:tcPr>
            <w:tcW w:w="100" w:type="dxa"/>
            <w:vAlign w:val="bottom"/>
            <w:tcBorders>
              <w:top w:val="single" w:sz="8" w:color="DCE2EF"/>
            </w:tcBorders>
          </w:tcPr>
          <w:p>
            <w:pPr>
              <w:spacing w:after="0" w:line="20" w:lineRule="exact"/>
              <w:rPr>
                <w:sz w:val="1"/>
                <w:szCs w:val="1"/>
                <w:color w:val="auto"/>
              </w:rPr>
            </w:pPr>
          </w:p>
        </w:tc>
        <w:tc>
          <w:tcPr>
            <w:tcW w:w="980" w:type="dxa"/>
            <w:vAlign w:val="bottom"/>
            <w:tcBorders>
              <w:top w:val="single" w:sz="8" w:color="DCE2EF"/>
            </w:tcBorders>
          </w:tcPr>
          <w:p>
            <w:pPr>
              <w:spacing w:after="0" w:line="20" w:lineRule="exact"/>
              <w:rPr>
                <w:sz w:val="1"/>
                <w:szCs w:val="1"/>
                <w:color w:val="auto"/>
              </w:rPr>
            </w:pPr>
          </w:p>
        </w:tc>
        <w:tc>
          <w:tcPr>
            <w:tcW w:w="120" w:type="dxa"/>
            <w:vAlign w:val="bottom"/>
            <w:tcBorders>
              <w:top w:val="single" w:sz="8" w:color="DCE2EF"/>
            </w:tcBorders>
          </w:tcPr>
          <w:p>
            <w:pPr>
              <w:spacing w:after="0" w:line="20" w:lineRule="exact"/>
              <w:rPr>
                <w:sz w:val="1"/>
                <w:szCs w:val="1"/>
                <w:color w:val="auto"/>
              </w:rPr>
            </w:pPr>
          </w:p>
        </w:tc>
        <w:tc>
          <w:tcPr>
            <w:tcW w:w="140" w:type="dxa"/>
            <w:vAlign w:val="bottom"/>
            <w:tcBorders>
              <w:top w:val="single" w:sz="8" w:color="DCE2EF"/>
              <w:bottom w:val="single" w:sz="8" w:color="auto"/>
            </w:tcBorders>
          </w:tcPr>
          <w:p>
            <w:pPr>
              <w:spacing w:after="0" w:line="20" w:lineRule="exact"/>
              <w:rPr>
                <w:sz w:val="1"/>
                <w:szCs w:val="1"/>
                <w:color w:val="auto"/>
              </w:rPr>
            </w:pPr>
          </w:p>
        </w:tc>
        <w:tc>
          <w:tcPr>
            <w:tcW w:w="800" w:type="dxa"/>
            <w:vAlign w:val="bottom"/>
            <w:tcBorders>
              <w:top w:val="single" w:sz="8" w:color="DCE2EF"/>
              <w:bottom w:val="single" w:sz="8" w:color="auto"/>
            </w:tcBorders>
          </w:tcPr>
          <w:p>
            <w:pPr>
              <w:spacing w:after="0" w:line="20" w:lineRule="exact"/>
              <w:rPr>
                <w:sz w:val="1"/>
                <w:szCs w:val="1"/>
                <w:color w:val="auto"/>
              </w:rPr>
            </w:pPr>
          </w:p>
        </w:tc>
        <w:tc>
          <w:tcPr>
            <w:tcW w:w="100" w:type="dxa"/>
            <w:vAlign w:val="bottom"/>
            <w:tcBorders>
              <w:top w:val="single" w:sz="8" w:color="DCE2EF"/>
            </w:tcBorders>
          </w:tcPr>
          <w:p>
            <w:pPr>
              <w:spacing w:after="0" w:line="20" w:lineRule="exact"/>
              <w:rPr>
                <w:sz w:val="1"/>
                <w:szCs w:val="1"/>
                <w:color w:val="auto"/>
              </w:rPr>
            </w:pPr>
          </w:p>
        </w:tc>
        <w:tc>
          <w:tcPr>
            <w:tcW w:w="980" w:type="dxa"/>
            <w:vAlign w:val="bottom"/>
            <w:tcBorders>
              <w:top w:val="single" w:sz="8" w:color="DCE2EF"/>
            </w:tcBorders>
          </w:tcPr>
          <w:p>
            <w:pPr>
              <w:spacing w:after="0" w:line="20" w:lineRule="exact"/>
              <w:rPr>
                <w:sz w:val="1"/>
                <w:szCs w:val="1"/>
                <w:color w:val="auto"/>
              </w:rPr>
            </w:pPr>
          </w:p>
        </w:tc>
        <w:tc>
          <w:tcPr>
            <w:tcW w:w="120" w:type="dxa"/>
            <w:vAlign w:val="bottom"/>
            <w:tcBorders>
              <w:top w:val="single" w:sz="8" w:color="DCE2EF"/>
            </w:tcBorders>
          </w:tcPr>
          <w:p>
            <w:pPr>
              <w:spacing w:after="0" w:line="20" w:lineRule="exact"/>
              <w:rPr>
                <w:sz w:val="1"/>
                <w:szCs w:val="1"/>
                <w:color w:val="auto"/>
              </w:rPr>
            </w:pPr>
          </w:p>
        </w:tc>
        <w:tc>
          <w:tcPr>
            <w:tcW w:w="160" w:type="dxa"/>
            <w:vAlign w:val="bottom"/>
            <w:tcBorders>
              <w:top w:val="single" w:sz="8" w:color="DCE2EF"/>
              <w:bottom w:val="single" w:sz="8" w:color="auto"/>
            </w:tcBorders>
          </w:tcPr>
          <w:p>
            <w:pPr>
              <w:spacing w:after="0" w:line="20" w:lineRule="exact"/>
              <w:rPr>
                <w:sz w:val="1"/>
                <w:szCs w:val="1"/>
                <w:color w:val="auto"/>
              </w:rPr>
            </w:pPr>
          </w:p>
        </w:tc>
        <w:tc>
          <w:tcPr>
            <w:tcW w:w="820" w:type="dxa"/>
            <w:vAlign w:val="bottom"/>
            <w:tcBorders>
              <w:top w:val="single" w:sz="8" w:color="DCE2E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70485</wp:posOffset>
            </wp:positionV>
            <wp:extent cx="716407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40" w:top="997" w:right="339" w:bottom="1440" w:gutter="0" w:footer="0" w:header="0"/>
        </w:sectPr>
      </w:pPr>
    </w:p>
    <w:bookmarkStart w:id="50" w:name="page51"/>
    <w:bookmarkEnd w:id="50"/>
    <w:p>
      <w:pPr>
        <w:jc w:val="center"/>
        <w:ind w:right="20"/>
        <w:spacing w:after="0"/>
        <w:rPr>
          <w:sz w:val="20"/>
          <w:szCs w:val="20"/>
          <w:color w:val="auto"/>
        </w:rPr>
      </w:pPr>
      <w:r>
        <w:rPr>
          <w:rFonts w:ascii="Arial" w:cs="Arial" w:eastAsia="Arial" w:hAnsi="Arial"/>
          <w:sz w:val="17"/>
          <w:szCs w:val="17"/>
          <w:b w:val="1"/>
          <w:bCs w:val="1"/>
          <w:color w:val="0046AD"/>
        </w:rPr>
        <w:t>ABM INDUSTRIES INCORPORATED AND SUBSIDIARIES</w:t>
      </w:r>
    </w:p>
    <w:p>
      <w:pPr>
        <w:spacing w:after="0" w:line="127"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0046AD"/>
        </w:rPr>
        <w:t>CONSOLIDATED STATEMENTS OF CASH FLOWS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4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6"/>
          </w:tcPr>
          <w:p>
            <w:pPr>
              <w:jc w:val="right"/>
              <w:ind w:right="191"/>
              <w:spacing w:after="0"/>
              <w:rPr>
                <w:sz w:val="20"/>
                <w:szCs w:val="20"/>
                <w:color w:val="auto"/>
              </w:rPr>
            </w:pPr>
            <w:r>
              <w:rPr>
                <w:rFonts w:ascii="Arial" w:cs="Arial" w:eastAsia="Arial" w:hAnsi="Arial"/>
                <w:sz w:val="14"/>
                <w:szCs w:val="14"/>
                <w:b w:val="1"/>
                <w:bCs w:val="1"/>
                <w:color w:val="auto"/>
              </w:rPr>
              <w:t>Years Ended October 31,</w:t>
            </w:r>
          </w:p>
        </w:tc>
        <w:tc>
          <w:tcPr>
            <w:tcW w:w="1020" w:type="dxa"/>
            <w:vAlign w:val="bottom"/>
            <w:tcBorders>
              <w:bottom w:val="single" w:sz="8" w:color="auto"/>
            </w:tcBorders>
          </w:tcPr>
          <w:p>
            <w:pPr>
              <w:spacing w:after="0"/>
              <w:rPr>
                <w:sz w:val="16"/>
                <w:szCs w:val="16"/>
                <w:color w:val="auto"/>
              </w:rPr>
            </w:pPr>
          </w:p>
        </w:tc>
      </w:tr>
      <w:tr>
        <w:trPr>
          <w:trHeight w:val="148"/>
        </w:trPr>
        <w:tc>
          <w:tcPr>
            <w:tcW w:w="20" w:type="dxa"/>
            <w:vAlign w:val="bottom"/>
          </w:tcPr>
          <w:p>
            <w:pPr>
              <w:spacing w:after="0"/>
              <w:rPr>
                <w:sz w:val="12"/>
                <w:szCs w:val="12"/>
                <w:color w:val="auto"/>
              </w:rPr>
            </w:pPr>
          </w:p>
        </w:tc>
        <w:tc>
          <w:tcPr>
            <w:tcW w:w="7040" w:type="dxa"/>
            <w:vAlign w:val="bottom"/>
            <w:gridSpan w:val="2"/>
          </w:tcPr>
          <w:p>
            <w:pPr>
              <w:spacing w:after="0"/>
              <w:rPr>
                <w:sz w:val="20"/>
                <w:szCs w:val="20"/>
                <w:color w:val="auto"/>
              </w:rPr>
            </w:pPr>
            <w:r>
              <w:rPr>
                <w:rFonts w:ascii="Times New Roman" w:cs="Times New Roman" w:eastAsia="Times New Roman" w:hAnsi="Times New Roman"/>
                <w:sz w:val="12"/>
                <w:szCs w:val="12"/>
                <w:i w:val="1"/>
                <w:iCs w:val="1"/>
                <w:color w:val="auto"/>
              </w:rPr>
              <w:t>(in millions)</w:t>
            </w:r>
          </w:p>
        </w:tc>
        <w:tc>
          <w:tcPr>
            <w:tcW w:w="300" w:type="dxa"/>
            <w:vAlign w:val="bottom"/>
          </w:tcPr>
          <w:p>
            <w:pPr>
              <w:spacing w:after="0"/>
              <w:rPr>
                <w:sz w:val="12"/>
                <w:szCs w:val="12"/>
                <w:color w:val="auto"/>
              </w:rPr>
            </w:pPr>
          </w:p>
        </w:tc>
        <w:tc>
          <w:tcPr>
            <w:tcW w:w="1020" w:type="dxa"/>
            <w:vAlign w:val="bottom"/>
          </w:tcPr>
          <w:p>
            <w:pPr>
              <w:jc w:val="right"/>
              <w:ind w:right="431"/>
              <w:spacing w:after="0" w:line="149" w:lineRule="exact"/>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jc w:val="right"/>
              <w:ind w:right="451"/>
              <w:spacing w:after="0" w:line="149" w:lineRule="exact"/>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jc w:val="right"/>
              <w:ind w:right="451"/>
              <w:spacing w:after="0" w:line="149" w:lineRule="exact"/>
              <w:rPr>
                <w:sz w:val="20"/>
                <w:szCs w:val="20"/>
                <w:color w:val="auto"/>
              </w:rPr>
            </w:pPr>
            <w:r>
              <w:rPr>
                <w:rFonts w:ascii="Arial" w:cs="Arial" w:eastAsia="Arial" w:hAnsi="Arial"/>
                <w:sz w:val="14"/>
                <w:szCs w:val="14"/>
                <w:b w:val="1"/>
                <w:bCs w:val="1"/>
                <w:color w:val="auto"/>
              </w:rPr>
              <w:t>2023</w:t>
            </w:r>
          </w:p>
        </w:tc>
      </w:tr>
      <w:tr>
        <w:trPr>
          <w:trHeight w:val="20"/>
        </w:trPr>
        <w:tc>
          <w:tcPr>
            <w:tcW w:w="20" w:type="dxa"/>
            <w:vAlign w:val="bottom"/>
            <w:tcBorders>
              <w:bottom w:val="single" w:sz="8" w:color="DCE2EF"/>
            </w:tcBorders>
          </w:tcPr>
          <w:p>
            <w:pPr>
              <w:spacing w:after="0" w:line="20" w:lineRule="exact"/>
              <w:rPr>
                <w:sz w:val="1"/>
                <w:szCs w:val="1"/>
                <w:color w:val="auto"/>
              </w:rPr>
            </w:pPr>
          </w:p>
        </w:tc>
        <w:tc>
          <w:tcPr>
            <w:tcW w:w="580" w:type="dxa"/>
            <w:vAlign w:val="bottom"/>
            <w:tcBorders>
              <w:top w:val="single" w:sz="8" w:color="auto"/>
              <w:bottom w:val="single" w:sz="8" w:color="DCE2EF"/>
            </w:tcBorders>
          </w:tcPr>
          <w:p>
            <w:pPr>
              <w:spacing w:after="0" w:line="20" w:lineRule="exact"/>
              <w:rPr>
                <w:sz w:val="1"/>
                <w:szCs w:val="1"/>
                <w:color w:val="auto"/>
              </w:rPr>
            </w:pPr>
          </w:p>
        </w:tc>
        <w:tc>
          <w:tcPr>
            <w:tcW w:w="6460" w:type="dxa"/>
            <w:vAlign w:val="bottom"/>
            <w:tcBorders>
              <w:bottom w:val="single" w:sz="8" w:color="DCE2E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72"/>
        </w:trPr>
        <w:tc>
          <w:tcPr>
            <w:tcW w:w="20" w:type="dxa"/>
            <w:vAlign w:val="bottom"/>
            <w:shd w:val="clear" w:color="auto" w:fill="DCE2EF"/>
          </w:tcPr>
          <w:p>
            <w:pPr>
              <w:spacing w:after="0"/>
              <w:rPr>
                <w:sz w:val="14"/>
                <w:szCs w:val="14"/>
                <w:color w:val="auto"/>
              </w:rPr>
            </w:pPr>
          </w:p>
        </w:tc>
        <w:tc>
          <w:tcPr>
            <w:tcW w:w="7040" w:type="dxa"/>
            <w:vAlign w:val="bottom"/>
            <w:gridSpan w:val="2"/>
            <w:shd w:val="clear" w:color="auto" w:fill="DCE2EF"/>
          </w:tcPr>
          <w:p>
            <w:pPr>
              <w:spacing w:after="0"/>
              <w:rPr>
                <w:sz w:val="20"/>
                <w:szCs w:val="20"/>
                <w:color w:val="auto"/>
              </w:rPr>
            </w:pPr>
            <w:r>
              <w:rPr>
                <w:rFonts w:ascii="Arial" w:cs="Arial" w:eastAsia="Arial" w:hAnsi="Arial"/>
                <w:sz w:val="14"/>
                <w:szCs w:val="14"/>
                <w:b w:val="1"/>
                <w:bCs w:val="1"/>
                <w:color w:val="auto"/>
              </w:rPr>
              <w:t>Cash flows from operating activities</w:t>
            </w:r>
          </w:p>
        </w:tc>
        <w:tc>
          <w:tcPr>
            <w:tcW w:w="300" w:type="dxa"/>
            <w:vAlign w:val="bottom"/>
            <w:shd w:val="clear" w:color="auto" w:fill="DCE2EF"/>
          </w:tcPr>
          <w:p>
            <w:pPr>
              <w:spacing w:after="0"/>
              <w:rPr>
                <w:sz w:val="14"/>
                <w:szCs w:val="14"/>
                <w:color w:val="auto"/>
              </w:rPr>
            </w:pPr>
          </w:p>
        </w:tc>
        <w:tc>
          <w:tcPr>
            <w:tcW w:w="1020" w:type="dxa"/>
            <w:vAlign w:val="bottom"/>
            <w:shd w:val="clear" w:color="auto" w:fill="DCE2EF"/>
          </w:tcPr>
          <w:p>
            <w:pPr>
              <w:spacing w:after="0"/>
              <w:rPr>
                <w:sz w:val="14"/>
                <w:szCs w:val="14"/>
                <w:color w:val="auto"/>
              </w:rPr>
            </w:pPr>
          </w:p>
        </w:tc>
        <w:tc>
          <w:tcPr>
            <w:tcW w:w="100" w:type="dxa"/>
            <w:vAlign w:val="bottom"/>
            <w:shd w:val="clear" w:color="auto" w:fill="DCE2EF"/>
          </w:tcPr>
          <w:p>
            <w:pPr>
              <w:spacing w:after="0"/>
              <w:rPr>
                <w:sz w:val="14"/>
                <w:szCs w:val="14"/>
                <w:color w:val="auto"/>
              </w:rPr>
            </w:pPr>
          </w:p>
        </w:tc>
        <w:tc>
          <w:tcPr>
            <w:tcW w:w="300" w:type="dxa"/>
            <w:vAlign w:val="bottom"/>
            <w:shd w:val="clear" w:color="auto" w:fill="DCE2EF"/>
          </w:tcPr>
          <w:p>
            <w:pPr>
              <w:spacing w:after="0"/>
              <w:rPr>
                <w:sz w:val="14"/>
                <w:szCs w:val="14"/>
                <w:color w:val="auto"/>
              </w:rPr>
            </w:pPr>
          </w:p>
        </w:tc>
        <w:tc>
          <w:tcPr>
            <w:tcW w:w="1020" w:type="dxa"/>
            <w:vAlign w:val="bottom"/>
            <w:shd w:val="clear" w:color="auto" w:fill="DCE2EF"/>
          </w:tcPr>
          <w:p>
            <w:pPr>
              <w:spacing w:after="0"/>
              <w:rPr>
                <w:sz w:val="14"/>
                <w:szCs w:val="14"/>
                <w:color w:val="auto"/>
              </w:rPr>
            </w:pPr>
          </w:p>
        </w:tc>
        <w:tc>
          <w:tcPr>
            <w:tcW w:w="100" w:type="dxa"/>
            <w:vAlign w:val="bottom"/>
            <w:shd w:val="clear" w:color="auto" w:fill="DCE2EF"/>
          </w:tcPr>
          <w:p>
            <w:pPr>
              <w:spacing w:after="0"/>
              <w:rPr>
                <w:sz w:val="14"/>
                <w:szCs w:val="14"/>
                <w:color w:val="auto"/>
              </w:rPr>
            </w:pPr>
          </w:p>
        </w:tc>
        <w:tc>
          <w:tcPr>
            <w:tcW w:w="300" w:type="dxa"/>
            <w:vAlign w:val="bottom"/>
            <w:shd w:val="clear" w:color="auto" w:fill="DCE2EF"/>
          </w:tcPr>
          <w:p>
            <w:pPr>
              <w:spacing w:after="0"/>
              <w:rPr>
                <w:sz w:val="14"/>
                <w:szCs w:val="14"/>
                <w:color w:val="auto"/>
              </w:rPr>
            </w:pPr>
          </w:p>
        </w:tc>
        <w:tc>
          <w:tcPr>
            <w:tcW w:w="1020" w:type="dxa"/>
            <w:vAlign w:val="bottom"/>
            <w:shd w:val="clear" w:color="auto" w:fill="DCE2EF"/>
          </w:tcPr>
          <w:p>
            <w:pPr>
              <w:spacing w:after="0"/>
              <w:rPr>
                <w:sz w:val="14"/>
                <w:szCs w:val="14"/>
                <w:color w:val="auto"/>
              </w:rPr>
            </w:pPr>
          </w:p>
        </w:tc>
      </w:tr>
      <w:tr>
        <w:trPr>
          <w:trHeight w:val="190"/>
        </w:trPr>
        <w:tc>
          <w:tcPr>
            <w:tcW w:w="20" w:type="dxa"/>
            <w:vAlign w:val="bottom"/>
          </w:tcPr>
          <w:p>
            <w:pPr>
              <w:spacing w:after="0"/>
              <w:rPr>
                <w:sz w:val="16"/>
                <w:szCs w:val="16"/>
                <w:color w:val="auto"/>
              </w:rPr>
            </w:pPr>
          </w:p>
        </w:tc>
        <w:tc>
          <w:tcPr>
            <w:tcW w:w="7040" w:type="dxa"/>
            <w:vAlign w:val="bottom"/>
            <w:gridSpan w:val="2"/>
          </w:tcPr>
          <w:p>
            <w:pPr>
              <w:spacing w:after="0"/>
              <w:rPr>
                <w:sz w:val="20"/>
                <w:szCs w:val="20"/>
                <w:color w:val="auto"/>
              </w:rPr>
            </w:pPr>
            <w:r>
              <w:rPr>
                <w:rFonts w:ascii="Arial" w:cs="Arial" w:eastAsia="Arial" w:hAnsi="Arial"/>
                <w:sz w:val="14"/>
                <w:szCs w:val="14"/>
                <w:color w:val="auto"/>
              </w:rPr>
              <w:t>Net income</w:t>
            </w:r>
          </w:p>
        </w:tc>
        <w:tc>
          <w:tcPr>
            <w:tcW w:w="300" w:type="dxa"/>
            <w:vAlign w:val="bottom"/>
          </w:tcPr>
          <w:p>
            <w:pPr>
              <w:jc w:val="right"/>
              <w:ind w:right="131"/>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162.4</w:t>
            </w:r>
          </w:p>
        </w:tc>
        <w:tc>
          <w:tcPr>
            <w:tcW w:w="100" w:type="dxa"/>
            <w:vAlign w:val="bottom"/>
          </w:tcPr>
          <w:p>
            <w:pPr>
              <w:spacing w:after="0"/>
              <w:rPr>
                <w:sz w:val="16"/>
                <w:szCs w:val="16"/>
                <w:color w:val="auto"/>
              </w:rPr>
            </w:pPr>
          </w:p>
        </w:tc>
        <w:tc>
          <w:tcPr>
            <w:tcW w:w="300" w:type="dxa"/>
            <w:vAlign w:val="bottom"/>
          </w:tcPr>
          <w:p>
            <w:pPr>
              <w:jc w:val="right"/>
              <w:ind w:right="131"/>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81.4</w:t>
            </w:r>
          </w:p>
        </w:tc>
        <w:tc>
          <w:tcPr>
            <w:tcW w:w="100" w:type="dxa"/>
            <w:vAlign w:val="bottom"/>
          </w:tcPr>
          <w:p>
            <w:pPr>
              <w:spacing w:after="0"/>
              <w:rPr>
                <w:sz w:val="16"/>
                <w:szCs w:val="16"/>
                <w:color w:val="auto"/>
              </w:rPr>
            </w:pPr>
          </w:p>
        </w:tc>
        <w:tc>
          <w:tcPr>
            <w:tcW w:w="300" w:type="dxa"/>
            <w:vAlign w:val="bottom"/>
          </w:tcPr>
          <w:p>
            <w:pPr>
              <w:jc w:val="right"/>
              <w:ind w:right="131"/>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1"/>
              <w:spacing w:after="0"/>
              <w:rPr>
                <w:sz w:val="20"/>
                <w:szCs w:val="20"/>
                <w:color w:val="auto"/>
              </w:rPr>
            </w:pPr>
            <w:r>
              <w:rPr>
                <w:rFonts w:ascii="Arial" w:cs="Arial" w:eastAsia="Arial" w:hAnsi="Arial"/>
                <w:sz w:val="14"/>
                <w:szCs w:val="14"/>
                <w:color w:val="auto"/>
              </w:rPr>
              <w:t>251.3</w:t>
            </w:r>
          </w:p>
        </w:tc>
      </w:tr>
      <w:tr>
        <w:trPr>
          <w:trHeight w:val="146"/>
        </w:trPr>
        <w:tc>
          <w:tcPr>
            <w:tcW w:w="20" w:type="dxa"/>
            <w:vAlign w:val="bottom"/>
            <w:shd w:val="clear" w:color="auto" w:fill="DCE2EF"/>
          </w:tcPr>
          <w:p>
            <w:pPr>
              <w:spacing w:after="0"/>
              <w:rPr>
                <w:sz w:val="12"/>
                <w:szCs w:val="12"/>
                <w:color w:val="auto"/>
              </w:rPr>
            </w:pPr>
          </w:p>
        </w:tc>
        <w:tc>
          <w:tcPr>
            <w:tcW w:w="7040" w:type="dxa"/>
            <w:vAlign w:val="bottom"/>
            <w:gridSpan w:val="2"/>
            <w:shd w:val="clear" w:color="auto" w:fill="DCE2EF"/>
          </w:tcPr>
          <w:p>
            <w:pPr>
              <w:spacing w:after="0" w:line="146" w:lineRule="exact"/>
              <w:rPr>
                <w:sz w:val="20"/>
                <w:szCs w:val="20"/>
                <w:color w:val="auto"/>
              </w:rPr>
            </w:pPr>
            <w:r>
              <w:rPr>
                <w:rFonts w:ascii="Arial" w:cs="Arial" w:eastAsia="Arial" w:hAnsi="Arial"/>
                <w:sz w:val="14"/>
                <w:szCs w:val="14"/>
                <w:b w:val="1"/>
                <w:bCs w:val="1"/>
                <w:color w:val="auto"/>
              </w:rPr>
              <w:t>Adjustments to reconcile net income to net cash provided</w:t>
            </w:r>
          </w:p>
        </w:tc>
        <w:tc>
          <w:tcPr>
            <w:tcW w:w="300" w:type="dxa"/>
            <w:vAlign w:val="bottom"/>
            <w:shd w:val="clear" w:color="auto" w:fill="DCE2EF"/>
          </w:tcPr>
          <w:p>
            <w:pPr>
              <w:spacing w:after="0"/>
              <w:rPr>
                <w:sz w:val="12"/>
                <w:szCs w:val="12"/>
                <w:color w:val="auto"/>
              </w:rPr>
            </w:pPr>
          </w:p>
        </w:tc>
        <w:tc>
          <w:tcPr>
            <w:tcW w:w="1020" w:type="dxa"/>
            <w:vAlign w:val="bottom"/>
            <w:shd w:val="clear" w:color="auto" w:fill="DCE2EF"/>
          </w:tcPr>
          <w:p>
            <w:pPr>
              <w:spacing w:after="0"/>
              <w:rPr>
                <w:sz w:val="12"/>
                <w:szCs w:val="12"/>
                <w:color w:val="auto"/>
              </w:rPr>
            </w:pPr>
          </w:p>
        </w:tc>
        <w:tc>
          <w:tcPr>
            <w:tcW w:w="100" w:type="dxa"/>
            <w:vAlign w:val="bottom"/>
            <w:shd w:val="clear" w:color="auto" w:fill="DCE2EF"/>
          </w:tcPr>
          <w:p>
            <w:pPr>
              <w:spacing w:after="0"/>
              <w:rPr>
                <w:sz w:val="12"/>
                <w:szCs w:val="12"/>
                <w:color w:val="auto"/>
              </w:rPr>
            </w:pPr>
          </w:p>
        </w:tc>
        <w:tc>
          <w:tcPr>
            <w:tcW w:w="300" w:type="dxa"/>
            <w:vAlign w:val="bottom"/>
            <w:shd w:val="clear" w:color="auto" w:fill="DCE2EF"/>
          </w:tcPr>
          <w:p>
            <w:pPr>
              <w:spacing w:after="0"/>
              <w:rPr>
                <w:sz w:val="12"/>
                <w:szCs w:val="12"/>
                <w:color w:val="auto"/>
              </w:rPr>
            </w:pPr>
          </w:p>
        </w:tc>
        <w:tc>
          <w:tcPr>
            <w:tcW w:w="1020" w:type="dxa"/>
            <w:vAlign w:val="bottom"/>
            <w:shd w:val="clear" w:color="auto" w:fill="DCE2EF"/>
          </w:tcPr>
          <w:p>
            <w:pPr>
              <w:spacing w:after="0"/>
              <w:rPr>
                <w:sz w:val="12"/>
                <w:szCs w:val="12"/>
                <w:color w:val="auto"/>
              </w:rPr>
            </w:pPr>
          </w:p>
        </w:tc>
        <w:tc>
          <w:tcPr>
            <w:tcW w:w="100" w:type="dxa"/>
            <w:vAlign w:val="bottom"/>
            <w:shd w:val="clear" w:color="auto" w:fill="DCE2EF"/>
          </w:tcPr>
          <w:p>
            <w:pPr>
              <w:spacing w:after="0"/>
              <w:rPr>
                <w:sz w:val="12"/>
                <w:szCs w:val="12"/>
                <w:color w:val="auto"/>
              </w:rPr>
            </w:pPr>
          </w:p>
        </w:tc>
        <w:tc>
          <w:tcPr>
            <w:tcW w:w="300" w:type="dxa"/>
            <w:vAlign w:val="bottom"/>
            <w:shd w:val="clear" w:color="auto" w:fill="DCE2EF"/>
          </w:tcPr>
          <w:p>
            <w:pPr>
              <w:spacing w:after="0"/>
              <w:rPr>
                <w:sz w:val="12"/>
                <w:szCs w:val="12"/>
                <w:color w:val="auto"/>
              </w:rPr>
            </w:pPr>
          </w:p>
        </w:tc>
        <w:tc>
          <w:tcPr>
            <w:tcW w:w="1020" w:type="dxa"/>
            <w:vAlign w:val="bottom"/>
            <w:shd w:val="clear" w:color="auto" w:fill="DCE2EF"/>
          </w:tcPr>
          <w:p>
            <w:pPr>
              <w:spacing w:after="0"/>
              <w:rPr>
                <w:sz w:val="12"/>
                <w:szCs w:val="12"/>
                <w:color w:val="auto"/>
              </w:rPr>
            </w:pPr>
          </w:p>
        </w:tc>
      </w:tr>
      <w:tr>
        <w:trPr>
          <w:trHeight w:val="180"/>
        </w:trPr>
        <w:tc>
          <w:tcPr>
            <w:tcW w:w="20" w:type="dxa"/>
            <w:vAlign w:val="bottom"/>
            <w:shd w:val="clear" w:color="auto" w:fill="DCE2EF"/>
          </w:tcPr>
          <w:p>
            <w:pPr>
              <w:spacing w:after="0"/>
              <w:rPr>
                <w:sz w:val="15"/>
                <w:szCs w:val="15"/>
                <w:color w:val="auto"/>
              </w:rPr>
            </w:pPr>
          </w:p>
        </w:tc>
        <w:tc>
          <w:tcPr>
            <w:tcW w:w="7040" w:type="dxa"/>
            <w:vAlign w:val="bottom"/>
            <w:gridSpan w:val="2"/>
            <w:shd w:val="clear" w:color="auto" w:fill="DCE2EF"/>
          </w:tcPr>
          <w:p>
            <w:pPr>
              <w:spacing w:after="0"/>
              <w:rPr>
                <w:sz w:val="20"/>
                <w:szCs w:val="20"/>
                <w:color w:val="auto"/>
              </w:rPr>
            </w:pPr>
            <w:r>
              <w:rPr>
                <w:rFonts w:ascii="Arial" w:cs="Arial" w:eastAsia="Arial" w:hAnsi="Arial"/>
                <w:sz w:val="14"/>
                <w:szCs w:val="14"/>
                <w:b w:val="1"/>
                <w:bCs w:val="1"/>
                <w:color w:val="auto"/>
              </w:rPr>
              <w:t>by operating activities</w:t>
            </w:r>
          </w:p>
        </w:tc>
        <w:tc>
          <w:tcPr>
            <w:tcW w:w="300" w:type="dxa"/>
            <w:vAlign w:val="bottom"/>
            <w:shd w:val="clear" w:color="auto" w:fill="DCE2EF"/>
          </w:tcPr>
          <w:p>
            <w:pPr>
              <w:spacing w:after="0"/>
              <w:rPr>
                <w:sz w:val="15"/>
                <w:szCs w:val="15"/>
                <w:color w:val="auto"/>
              </w:rPr>
            </w:pPr>
          </w:p>
        </w:tc>
        <w:tc>
          <w:tcPr>
            <w:tcW w:w="1020" w:type="dxa"/>
            <w:vAlign w:val="bottom"/>
            <w:shd w:val="clear" w:color="auto" w:fill="DCE2EF"/>
          </w:tcPr>
          <w:p>
            <w:pPr>
              <w:spacing w:after="0"/>
              <w:rPr>
                <w:sz w:val="15"/>
                <w:szCs w:val="15"/>
                <w:color w:val="auto"/>
              </w:rPr>
            </w:pPr>
          </w:p>
        </w:tc>
        <w:tc>
          <w:tcPr>
            <w:tcW w:w="100" w:type="dxa"/>
            <w:vAlign w:val="bottom"/>
            <w:shd w:val="clear" w:color="auto" w:fill="DCE2EF"/>
          </w:tcPr>
          <w:p>
            <w:pPr>
              <w:spacing w:after="0"/>
              <w:rPr>
                <w:sz w:val="15"/>
                <w:szCs w:val="15"/>
                <w:color w:val="auto"/>
              </w:rPr>
            </w:pPr>
          </w:p>
        </w:tc>
        <w:tc>
          <w:tcPr>
            <w:tcW w:w="300" w:type="dxa"/>
            <w:vAlign w:val="bottom"/>
            <w:shd w:val="clear" w:color="auto" w:fill="DCE2EF"/>
          </w:tcPr>
          <w:p>
            <w:pPr>
              <w:spacing w:after="0"/>
              <w:rPr>
                <w:sz w:val="15"/>
                <w:szCs w:val="15"/>
                <w:color w:val="auto"/>
              </w:rPr>
            </w:pPr>
          </w:p>
        </w:tc>
        <w:tc>
          <w:tcPr>
            <w:tcW w:w="1020" w:type="dxa"/>
            <w:vAlign w:val="bottom"/>
            <w:shd w:val="clear" w:color="auto" w:fill="DCE2EF"/>
          </w:tcPr>
          <w:p>
            <w:pPr>
              <w:spacing w:after="0"/>
              <w:rPr>
                <w:sz w:val="15"/>
                <w:szCs w:val="15"/>
                <w:color w:val="auto"/>
              </w:rPr>
            </w:pPr>
          </w:p>
        </w:tc>
        <w:tc>
          <w:tcPr>
            <w:tcW w:w="100" w:type="dxa"/>
            <w:vAlign w:val="bottom"/>
            <w:shd w:val="clear" w:color="auto" w:fill="DCE2EF"/>
          </w:tcPr>
          <w:p>
            <w:pPr>
              <w:spacing w:after="0"/>
              <w:rPr>
                <w:sz w:val="15"/>
                <w:szCs w:val="15"/>
                <w:color w:val="auto"/>
              </w:rPr>
            </w:pPr>
          </w:p>
        </w:tc>
        <w:tc>
          <w:tcPr>
            <w:tcW w:w="300" w:type="dxa"/>
            <w:vAlign w:val="bottom"/>
            <w:shd w:val="clear" w:color="auto" w:fill="DCE2EF"/>
          </w:tcPr>
          <w:p>
            <w:pPr>
              <w:spacing w:after="0"/>
              <w:rPr>
                <w:sz w:val="15"/>
                <w:szCs w:val="15"/>
                <w:color w:val="auto"/>
              </w:rPr>
            </w:pPr>
          </w:p>
        </w:tc>
        <w:tc>
          <w:tcPr>
            <w:tcW w:w="1020" w:type="dxa"/>
            <w:vAlign w:val="bottom"/>
            <w:shd w:val="clear" w:color="auto" w:fill="DCE2EF"/>
          </w:tcPr>
          <w:p>
            <w:pPr>
              <w:spacing w:after="0"/>
              <w:rPr>
                <w:sz w:val="15"/>
                <w:szCs w:val="15"/>
                <w:color w:val="auto"/>
              </w:rPr>
            </w:pPr>
          </w:p>
        </w:tc>
      </w:tr>
      <w:tr>
        <w:trPr>
          <w:trHeight w:val="190"/>
        </w:trPr>
        <w:tc>
          <w:tcPr>
            <w:tcW w:w="20" w:type="dxa"/>
            <w:vAlign w:val="bottom"/>
          </w:tcPr>
          <w:p>
            <w:pPr>
              <w:spacing w:after="0"/>
              <w:rPr>
                <w:sz w:val="16"/>
                <w:szCs w:val="16"/>
                <w:color w:val="auto"/>
              </w:rPr>
            </w:pPr>
          </w:p>
        </w:tc>
        <w:tc>
          <w:tcPr>
            <w:tcW w:w="7040" w:type="dxa"/>
            <w:vAlign w:val="bottom"/>
            <w:gridSpan w:val="2"/>
          </w:tcPr>
          <w:p>
            <w:pPr>
              <w:spacing w:after="0"/>
              <w:rPr>
                <w:sz w:val="20"/>
                <w:szCs w:val="20"/>
                <w:color w:val="auto"/>
              </w:rPr>
            </w:pPr>
            <w:r>
              <w:rPr>
                <w:rFonts w:ascii="Arial" w:cs="Arial" w:eastAsia="Arial" w:hAnsi="Arial"/>
                <w:sz w:val="14"/>
                <w:szCs w:val="14"/>
                <w:color w:val="auto"/>
              </w:rPr>
              <w:t>Depreciation and amortization</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105.6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106.6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11"/>
              <w:spacing w:after="0"/>
              <w:rPr>
                <w:sz w:val="20"/>
                <w:szCs w:val="20"/>
                <w:color w:val="auto"/>
              </w:rPr>
            </w:pPr>
            <w:r>
              <w:rPr>
                <w:rFonts w:ascii="Arial" w:cs="Arial" w:eastAsia="Arial" w:hAnsi="Arial"/>
                <w:sz w:val="14"/>
                <w:szCs w:val="14"/>
                <w:color w:val="auto"/>
              </w:rPr>
              <w:t>120.7</w:t>
            </w:r>
          </w:p>
        </w:tc>
      </w:tr>
      <w:tr>
        <w:trPr>
          <w:trHeight w:val="197"/>
        </w:trPr>
        <w:tc>
          <w:tcPr>
            <w:tcW w:w="20" w:type="dxa"/>
            <w:vAlign w:val="bottom"/>
            <w:shd w:val="clear" w:color="auto" w:fill="DCE2EF"/>
          </w:tcPr>
          <w:p>
            <w:pPr>
              <w:spacing w:after="0"/>
              <w:rPr>
                <w:sz w:val="17"/>
                <w:szCs w:val="17"/>
                <w:color w:val="auto"/>
              </w:rPr>
            </w:pPr>
          </w:p>
        </w:tc>
        <w:tc>
          <w:tcPr>
            <w:tcW w:w="7040" w:type="dxa"/>
            <w:vAlign w:val="bottom"/>
            <w:gridSpan w:val="2"/>
            <w:shd w:val="clear" w:color="auto" w:fill="DCE2EF"/>
          </w:tcPr>
          <w:p>
            <w:pPr>
              <w:spacing w:after="0"/>
              <w:rPr>
                <w:sz w:val="20"/>
                <w:szCs w:val="20"/>
                <w:color w:val="auto"/>
              </w:rPr>
            </w:pPr>
            <w:r>
              <w:rPr>
                <w:rFonts w:ascii="Arial" w:cs="Arial" w:eastAsia="Arial" w:hAnsi="Arial"/>
                <w:sz w:val="14"/>
                <w:szCs w:val="14"/>
                <w:color w:val="auto"/>
              </w:rPr>
              <w:t>Deferred income taxes</w:t>
            </w:r>
          </w:p>
        </w:tc>
        <w:tc>
          <w:tcPr>
            <w:tcW w:w="300" w:type="dxa"/>
            <w:vAlign w:val="bottom"/>
            <w:shd w:val="clear" w:color="auto" w:fill="DCE2EF"/>
          </w:tcPr>
          <w:p>
            <w:pPr>
              <w:spacing w:after="0"/>
              <w:rPr>
                <w:sz w:val="17"/>
                <w:szCs w:val="17"/>
                <w:color w:val="auto"/>
              </w:rPr>
            </w:pPr>
          </w:p>
        </w:tc>
        <w:tc>
          <w:tcPr>
            <w:tcW w:w="1020" w:type="dxa"/>
            <w:vAlign w:val="bottom"/>
            <w:shd w:val="clear" w:color="auto" w:fill="DCE2EF"/>
          </w:tcPr>
          <w:p>
            <w:pPr>
              <w:jc w:val="right"/>
              <w:spacing w:after="0"/>
              <w:rPr>
                <w:sz w:val="20"/>
                <w:szCs w:val="20"/>
                <w:color w:val="auto"/>
              </w:rPr>
            </w:pPr>
            <w:r>
              <w:rPr>
                <w:rFonts w:ascii="Arial" w:cs="Arial" w:eastAsia="Arial" w:hAnsi="Arial"/>
                <w:sz w:val="14"/>
                <w:szCs w:val="14"/>
                <w:color w:val="auto"/>
              </w:rPr>
              <w:t>(21.9)</w:t>
            </w:r>
          </w:p>
        </w:tc>
        <w:tc>
          <w:tcPr>
            <w:tcW w:w="100" w:type="dxa"/>
            <w:vAlign w:val="bottom"/>
            <w:shd w:val="clear" w:color="auto" w:fill="DCE2EF"/>
          </w:tcPr>
          <w:p>
            <w:pPr>
              <w:spacing w:after="0"/>
              <w:rPr>
                <w:sz w:val="17"/>
                <w:szCs w:val="17"/>
                <w:color w:val="auto"/>
              </w:rPr>
            </w:pPr>
          </w:p>
        </w:tc>
        <w:tc>
          <w:tcPr>
            <w:tcW w:w="300" w:type="dxa"/>
            <w:vAlign w:val="bottom"/>
            <w:shd w:val="clear" w:color="auto" w:fill="DCE2EF"/>
          </w:tcPr>
          <w:p>
            <w:pPr>
              <w:spacing w:after="0"/>
              <w:rPr>
                <w:sz w:val="17"/>
                <w:szCs w:val="17"/>
                <w:color w:val="auto"/>
              </w:rPr>
            </w:pPr>
          </w:p>
        </w:tc>
        <w:tc>
          <w:tcPr>
            <w:tcW w:w="1020" w:type="dxa"/>
            <w:vAlign w:val="bottom"/>
            <w:shd w:val="clear" w:color="auto" w:fill="DCE2EF"/>
          </w:tcPr>
          <w:p>
            <w:pPr>
              <w:jc w:val="right"/>
              <w:spacing w:after="0"/>
              <w:rPr>
                <w:sz w:val="20"/>
                <w:szCs w:val="20"/>
                <w:color w:val="auto"/>
              </w:rPr>
            </w:pPr>
            <w:r>
              <w:rPr>
                <w:rFonts w:ascii="Arial" w:cs="Arial" w:eastAsia="Arial" w:hAnsi="Arial"/>
                <w:sz w:val="14"/>
                <w:szCs w:val="14"/>
                <w:color w:val="auto"/>
              </w:rPr>
              <w:t>(24.7)</w:t>
            </w:r>
          </w:p>
        </w:tc>
        <w:tc>
          <w:tcPr>
            <w:tcW w:w="100" w:type="dxa"/>
            <w:vAlign w:val="bottom"/>
            <w:shd w:val="clear" w:color="auto" w:fill="DCE2EF"/>
          </w:tcPr>
          <w:p>
            <w:pPr>
              <w:spacing w:after="0"/>
              <w:rPr>
                <w:sz w:val="17"/>
                <w:szCs w:val="17"/>
                <w:color w:val="auto"/>
              </w:rPr>
            </w:pPr>
          </w:p>
        </w:tc>
        <w:tc>
          <w:tcPr>
            <w:tcW w:w="300" w:type="dxa"/>
            <w:vAlign w:val="bottom"/>
            <w:shd w:val="clear" w:color="auto" w:fill="DCE2EF"/>
          </w:tcPr>
          <w:p>
            <w:pPr>
              <w:spacing w:after="0"/>
              <w:rPr>
                <w:sz w:val="17"/>
                <w:szCs w:val="17"/>
                <w:color w:val="auto"/>
              </w:rPr>
            </w:pPr>
          </w:p>
        </w:tc>
        <w:tc>
          <w:tcPr>
            <w:tcW w:w="1020" w:type="dxa"/>
            <w:vAlign w:val="bottom"/>
            <w:shd w:val="clear" w:color="auto" w:fill="DCE2EF"/>
          </w:tcPr>
          <w:p>
            <w:pPr>
              <w:jc w:val="right"/>
              <w:spacing w:after="0"/>
              <w:rPr>
                <w:sz w:val="20"/>
                <w:szCs w:val="20"/>
                <w:color w:val="auto"/>
              </w:rPr>
            </w:pPr>
            <w:r>
              <w:rPr>
                <w:rFonts w:ascii="Arial" w:cs="Arial" w:eastAsia="Arial" w:hAnsi="Arial"/>
                <w:sz w:val="14"/>
                <w:szCs w:val="14"/>
                <w:color w:val="auto"/>
              </w:rPr>
              <w:t>(4.9)</w:t>
            </w:r>
          </w:p>
        </w:tc>
      </w:tr>
      <w:tr>
        <w:trPr>
          <w:trHeight w:val="190"/>
        </w:trPr>
        <w:tc>
          <w:tcPr>
            <w:tcW w:w="20" w:type="dxa"/>
            <w:vAlign w:val="bottom"/>
          </w:tcPr>
          <w:p>
            <w:pPr>
              <w:spacing w:after="0"/>
              <w:rPr>
                <w:sz w:val="16"/>
                <w:szCs w:val="16"/>
                <w:color w:val="auto"/>
              </w:rPr>
            </w:pPr>
          </w:p>
        </w:tc>
        <w:tc>
          <w:tcPr>
            <w:tcW w:w="7040" w:type="dxa"/>
            <w:vAlign w:val="bottom"/>
            <w:gridSpan w:val="2"/>
          </w:tcPr>
          <w:p>
            <w:pPr>
              <w:spacing w:after="0"/>
              <w:rPr>
                <w:sz w:val="20"/>
                <w:szCs w:val="20"/>
                <w:color w:val="auto"/>
              </w:rPr>
            </w:pPr>
            <w:r>
              <w:rPr>
                <w:rFonts w:ascii="Arial" w:cs="Arial" w:eastAsia="Arial" w:hAnsi="Arial"/>
                <w:sz w:val="14"/>
                <w:szCs w:val="14"/>
                <w:color w:val="auto"/>
              </w:rPr>
              <w:t>Share-based compensation expense</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38.0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30.0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11"/>
              <w:spacing w:after="0"/>
              <w:rPr>
                <w:sz w:val="20"/>
                <w:szCs w:val="20"/>
                <w:color w:val="auto"/>
              </w:rPr>
            </w:pPr>
            <w:r>
              <w:rPr>
                <w:rFonts w:ascii="Arial" w:cs="Arial" w:eastAsia="Arial" w:hAnsi="Arial"/>
                <w:sz w:val="14"/>
                <w:szCs w:val="14"/>
                <w:color w:val="auto"/>
              </w:rPr>
              <w:t>30.5</w:t>
            </w:r>
          </w:p>
        </w:tc>
      </w:tr>
      <w:tr>
        <w:trPr>
          <w:trHeight w:val="197"/>
        </w:trPr>
        <w:tc>
          <w:tcPr>
            <w:tcW w:w="20" w:type="dxa"/>
            <w:vAlign w:val="bottom"/>
            <w:shd w:val="clear" w:color="auto" w:fill="DCE2EF"/>
          </w:tcPr>
          <w:p>
            <w:pPr>
              <w:spacing w:after="0"/>
              <w:rPr>
                <w:sz w:val="17"/>
                <w:szCs w:val="17"/>
                <w:color w:val="auto"/>
              </w:rPr>
            </w:pPr>
          </w:p>
        </w:tc>
        <w:tc>
          <w:tcPr>
            <w:tcW w:w="7040" w:type="dxa"/>
            <w:vAlign w:val="bottom"/>
            <w:gridSpan w:val="2"/>
            <w:shd w:val="clear" w:color="auto" w:fill="DCE2EF"/>
          </w:tcPr>
          <w:p>
            <w:pPr>
              <w:spacing w:after="0"/>
              <w:rPr>
                <w:sz w:val="20"/>
                <w:szCs w:val="20"/>
                <w:color w:val="auto"/>
              </w:rPr>
            </w:pPr>
            <w:r>
              <w:rPr>
                <w:rFonts w:ascii="Arial" w:cs="Arial" w:eastAsia="Arial" w:hAnsi="Arial"/>
                <w:sz w:val="14"/>
                <w:szCs w:val="14"/>
                <w:color w:val="auto"/>
              </w:rPr>
              <w:t>Provision for bad debt</w:t>
            </w:r>
          </w:p>
        </w:tc>
        <w:tc>
          <w:tcPr>
            <w:tcW w:w="300" w:type="dxa"/>
            <w:vAlign w:val="bottom"/>
            <w:shd w:val="clear" w:color="auto" w:fill="DCE2EF"/>
          </w:tcPr>
          <w:p>
            <w:pPr>
              <w:spacing w:after="0"/>
              <w:rPr>
                <w:sz w:val="17"/>
                <w:szCs w:val="17"/>
                <w:color w:val="auto"/>
              </w:rPr>
            </w:pPr>
          </w:p>
        </w:tc>
        <w:tc>
          <w:tcPr>
            <w:tcW w:w="1020" w:type="dxa"/>
            <w:vAlign w:val="bottom"/>
            <w:shd w:val="clear" w:color="auto" w:fill="DCE2EF"/>
          </w:tcPr>
          <w:p>
            <w:pPr>
              <w:jc w:val="right"/>
              <w:spacing w:after="0"/>
              <w:rPr>
                <w:sz w:val="20"/>
                <w:szCs w:val="20"/>
                <w:color w:val="auto"/>
              </w:rPr>
            </w:pPr>
            <w:r>
              <w:rPr>
                <w:rFonts w:ascii="Arial" w:cs="Arial" w:eastAsia="Arial" w:hAnsi="Arial"/>
                <w:sz w:val="14"/>
                <w:szCs w:val="14"/>
                <w:color w:val="auto"/>
              </w:rPr>
              <w:t>6.7</w:t>
            </w:r>
          </w:p>
        </w:tc>
        <w:tc>
          <w:tcPr>
            <w:tcW w:w="100" w:type="dxa"/>
            <w:vAlign w:val="bottom"/>
            <w:shd w:val="clear" w:color="auto" w:fill="DCE2EF"/>
          </w:tcPr>
          <w:p>
            <w:pPr>
              <w:spacing w:after="0"/>
              <w:rPr>
                <w:sz w:val="17"/>
                <w:szCs w:val="17"/>
                <w:color w:val="auto"/>
              </w:rPr>
            </w:pPr>
          </w:p>
        </w:tc>
        <w:tc>
          <w:tcPr>
            <w:tcW w:w="300" w:type="dxa"/>
            <w:vAlign w:val="bottom"/>
            <w:shd w:val="clear" w:color="auto" w:fill="DCE2EF"/>
          </w:tcPr>
          <w:p>
            <w:pPr>
              <w:spacing w:after="0"/>
              <w:rPr>
                <w:sz w:val="17"/>
                <w:szCs w:val="17"/>
                <w:color w:val="auto"/>
              </w:rPr>
            </w:pPr>
          </w:p>
        </w:tc>
        <w:tc>
          <w:tcPr>
            <w:tcW w:w="1020" w:type="dxa"/>
            <w:vAlign w:val="bottom"/>
            <w:shd w:val="clear" w:color="auto" w:fill="DCE2EF"/>
          </w:tcPr>
          <w:p>
            <w:pPr>
              <w:jc w:val="right"/>
              <w:spacing w:after="0"/>
              <w:rPr>
                <w:sz w:val="20"/>
                <w:szCs w:val="20"/>
                <w:color w:val="auto"/>
              </w:rPr>
            </w:pPr>
            <w:r>
              <w:rPr>
                <w:rFonts w:ascii="Arial" w:cs="Arial" w:eastAsia="Arial" w:hAnsi="Arial"/>
                <w:sz w:val="14"/>
                <w:szCs w:val="14"/>
                <w:color w:val="auto"/>
              </w:rPr>
              <w:t>8.8</w:t>
            </w:r>
          </w:p>
        </w:tc>
        <w:tc>
          <w:tcPr>
            <w:tcW w:w="100" w:type="dxa"/>
            <w:vAlign w:val="bottom"/>
            <w:shd w:val="clear" w:color="auto" w:fill="DCE2EF"/>
          </w:tcPr>
          <w:p>
            <w:pPr>
              <w:spacing w:after="0"/>
              <w:rPr>
                <w:sz w:val="17"/>
                <w:szCs w:val="17"/>
                <w:color w:val="auto"/>
              </w:rPr>
            </w:pPr>
          </w:p>
        </w:tc>
        <w:tc>
          <w:tcPr>
            <w:tcW w:w="300" w:type="dxa"/>
            <w:vAlign w:val="bottom"/>
            <w:shd w:val="clear" w:color="auto" w:fill="DCE2EF"/>
          </w:tcPr>
          <w:p>
            <w:pPr>
              <w:spacing w:after="0"/>
              <w:rPr>
                <w:sz w:val="17"/>
                <w:szCs w:val="17"/>
                <w:color w:val="auto"/>
              </w:rPr>
            </w:pPr>
          </w:p>
        </w:tc>
        <w:tc>
          <w:tcPr>
            <w:tcW w:w="1020" w:type="dxa"/>
            <w:vAlign w:val="bottom"/>
            <w:shd w:val="clear" w:color="auto" w:fill="DCE2EF"/>
          </w:tcPr>
          <w:p>
            <w:pPr>
              <w:jc w:val="right"/>
              <w:ind w:right="11"/>
              <w:spacing w:after="0"/>
              <w:rPr>
                <w:sz w:val="20"/>
                <w:szCs w:val="20"/>
                <w:color w:val="auto"/>
              </w:rPr>
            </w:pPr>
            <w:r>
              <w:rPr>
                <w:rFonts w:ascii="Arial" w:cs="Arial" w:eastAsia="Arial" w:hAnsi="Arial"/>
                <w:sz w:val="14"/>
                <w:szCs w:val="14"/>
                <w:color w:val="auto"/>
              </w:rPr>
              <w:t>3.0</w:t>
            </w:r>
          </w:p>
        </w:tc>
      </w:tr>
      <w:tr>
        <w:trPr>
          <w:trHeight w:val="190"/>
        </w:trPr>
        <w:tc>
          <w:tcPr>
            <w:tcW w:w="20" w:type="dxa"/>
            <w:vAlign w:val="bottom"/>
          </w:tcPr>
          <w:p>
            <w:pPr>
              <w:spacing w:after="0"/>
              <w:rPr>
                <w:sz w:val="16"/>
                <w:szCs w:val="16"/>
                <w:color w:val="auto"/>
              </w:rPr>
            </w:pPr>
          </w:p>
        </w:tc>
        <w:tc>
          <w:tcPr>
            <w:tcW w:w="7040" w:type="dxa"/>
            <w:vAlign w:val="bottom"/>
            <w:gridSpan w:val="2"/>
          </w:tcPr>
          <w:p>
            <w:pPr>
              <w:spacing w:after="0"/>
              <w:rPr>
                <w:sz w:val="20"/>
                <w:szCs w:val="20"/>
                <w:color w:val="auto"/>
              </w:rPr>
            </w:pPr>
            <w:r>
              <w:rPr>
                <w:rFonts w:ascii="Arial" w:cs="Arial" w:eastAsia="Arial" w:hAnsi="Arial"/>
                <w:sz w:val="14"/>
                <w:szCs w:val="14"/>
                <w:color w:val="auto"/>
              </w:rPr>
              <w:t>Discount accretion on insurance claims</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0.7</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0.6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11"/>
              <w:spacing w:after="0"/>
              <w:rPr>
                <w:sz w:val="20"/>
                <w:szCs w:val="20"/>
                <w:color w:val="auto"/>
              </w:rPr>
            </w:pPr>
            <w:r>
              <w:rPr>
                <w:rFonts w:ascii="Arial" w:cs="Arial" w:eastAsia="Arial" w:hAnsi="Arial"/>
                <w:sz w:val="14"/>
                <w:szCs w:val="14"/>
                <w:color w:val="auto"/>
              </w:rPr>
              <w:t>0.4</w:t>
            </w:r>
          </w:p>
        </w:tc>
      </w:tr>
      <w:tr>
        <w:trPr>
          <w:trHeight w:val="197"/>
        </w:trPr>
        <w:tc>
          <w:tcPr>
            <w:tcW w:w="20" w:type="dxa"/>
            <w:vAlign w:val="bottom"/>
            <w:shd w:val="clear" w:color="auto" w:fill="DCE2EF"/>
          </w:tcPr>
          <w:p>
            <w:pPr>
              <w:spacing w:after="0"/>
              <w:rPr>
                <w:sz w:val="17"/>
                <w:szCs w:val="17"/>
                <w:color w:val="auto"/>
              </w:rPr>
            </w:pPr>
          </w:p>
        </w:tc>
        <w:tc>
          <w:tcPr>
            <w:tcW w:w="7040" w:type="dxa"/>
            <w:vAlign w:val="bottom"/>
            <w:gridSpan w:val="2"/>
            <w:shd w:val="clear" w:color="auto" w:fill="DCE2EF"/>
          </w:tcPr>
          <w:p>
            <w:pPr>
              <w:spacing w:after="0"/>
              <w:rPr>
                <w:sz w:val="20"/>
                <w:szCs w:val="20"/>
                <w:color w:val="auto"/>
              </w:rPr>
            </w:pPr>
            <w:r>
              <w:rPr>
                <w:rFonts w:ascii="Arial" w:cs="Arial" w:eastAsia="Arial" w:hAnsi="Arial"/>
                <w:sz w:val="14"/>
                <w:szCs w:val="14"/>
                <w:color w:val="auto"/>
              </w:rPr>
              <w:t>Impairment of assets</w:t>
            </w:r>
          </w:p>
        </w:tc>
        <w:tc>
          <w:tcPr>
            <w:tcW w:w="300" w:type="dxa"/>
            <w:vAlign w:val="bottom"/>
            <w:shd w:val="clear" w:color="auto" w:fill="DCE2EF"/>
          </w:tcPr>
          <w:p>
            <w:pPr>
              <w:spacing w:after="0"/>
              <w:rPr>
                <w:sz w:val="17"/>
                <w:szCs w:val="17"/>
                <w:color w:val="auto"/>
              </w:rPr>
            </w:pPr>
          </w:p>
        </w:tc>
        <w:tc>
          <w:tcPr>
            <w:tcW w:w="1020" w:type="dxa"/>
            <w:vAlign w:val="bottom"/>
            <w:shd w:val="clear" w:color="auto" w:fill="DCE2EF"/>
          </w:tcPr>
          <w:p>
            <w:pPr>
              <w:jc w:val="right"/>
              <w:spacing w:after="0"/>
              <w:rPr>
                <w:sz w:val="20"/>
                <w:szCs w:val="20"/>
                <w:color w:val="auto"/>
              </w:rPr>
            </w:pPr>
            <w:r>
              <w:rPr>
                <w:rFonts w:ascii="Arial" w:cs="Arial" w:eastAsia="Arial" w:hAnsi="Arial"/>
                <w:sz w:val="14"/>
                <w:szCs w:val="14"/>
                <w:color w:val="auto"/>
              </w:rPr>
              <w:t>4.0</w:t>
            </w:r>
          </w:p>
        </w:tc>
        <w:tc>
          <w:tcPr>
            <w:tcW w:w="100" w:type="dxa"/>
            <w:vAlign w:val="bottom"/>
            <w:shd w:val="clear" w:color="auto" w:fill="DCE2EF"/>
          </w:tcPr>
          <w:p>
            <w:pPr>
              <w:spacing w:after="0"/>
              <w:rPr>
                <w:sz w:val="17"/>
                <w:szCs w:val="17"/>
                <w:color w:val="auto"/>
              </w:rPr>
            </w:pPr>
          </w:p>
        </w:tc>
        <w:tc>
          <w:tcPr>
            <w:tcW w:w="300" w:type="dxa"/>
            <w:vAlign w:val="bottom"/>
            <w:shd w:val="clear" w:color="auto" w:fill="DCE2EF"/>
          </w:tcPr>
          <w:p>
            <w:pPr>
              <w:spacing w:after="0"/>
              <w:rPr>
                <w:sz w:val="17"/>
                <w:szCs w:val="17"/>
                <w:color w:val="auto"/>
              </w:rPr>
            </w:pPr>
          </w:p>
        </w:tc>
        <w:tc>
          <w:tcPr>
            <w:tcW w:w="1120" w:type="dxa"/>
            <w:vAlign w:val="bottom"/>
            <w:gridSpan w:val="2"/>
            <w:shd w:val="clear" w:color="auto" w:fill="DCE2E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DCE2EF"/>
          </w:tcPr>
          <w:p>
            <w:pPr>
              <w:spacing w:after="0"/>
              <w:rPr>
                <w:sz w:val="17"/>
                <w:szCs w:val="17"/>
                <w:color w:val="auto"/>
              </w:rPr>
            </w:pPr>
          </w:p>
        </w:tc>
        <w:tc>
          <w:tcPr>
            <w:tcW w:w="1020" w:type="dxa"/>
            <w:vAlign w:val="bottom"/>
            <w:shd w:val="clear" w:color="auto" w:fill="DCE2EF"/>
          </w:tcPr>
          <w:p>
            <w:pPr>
              <w:jc w:val="right"/>
              <w:ind w:right="11"/>
              <w:spacing w:after="0"/>
              <w:rPr>
                <w:sz w:val="20"/>
                <w:szCs w:val="20"/>
                <w:color w:val="auto"/>
              </w:rPr>
            </w:pPr>
            <w:r>
              <w:rPr>
                <w:rFonts w:ascii="Arial" w:cs="Arial" w:eastAsia="Arial" w:hAnsi="Arial"/>
                <w:sz w:val="14"/>
                <w:szCs w:val="14"/>
                <w:color w:val="auto"/>
              </w:rPr>
              <w:t>—</w:t>
            </w:r>
          </w:p>
        </w:tc>
      </w:tr>
      <w:tr>
        <w:trPr>
          <w:trHeight w:val="190"/>
        </w:trPr>
        <w:tc>
          <w:tcPr>
            <w:tcW w:w="20" w:type="dxa"/>
            <w:vAlign w:val="bottom"/>
          </w:tcPr>
          <w:p>
            <w:pPr>
              <w:spacing w:after="0"/>
              <w:rPr>
                <w:sz w:val="16"/>
                <w:szCs w:val="16"/>
                <w:color w:val="auto"/>
              </w:rPr>
            </w:pPr>
          </w:p>
        </w:tc>
        <w:tc>
          <w:tcPr>
            <w:tcW w:w="7040" w:type="dxa"/>
            <w:vAlign w:val="bottom"/>
            <w:gridSpan w:val="2"/>
          </w:tcPr>
          <w:p>
            <w:pPr>
              <w:spacing w:after="0"/>
              <w:rPr>
                <w:sz w:val="20"/>
                <w:szCs w:val="20"/>
                <w:color w:val="auto"/>
              </w:rPr>
            </w:pPr>
            <w:r>
              <w:rPr>
                <w:rFonts w:ascii="Arial" w:cs="Arial" w:eastAsia="Arial" w:hAnsi="Arial"/>
                <w:sz w:val="14"/>
                <w:szCs w:val="14"/>
                <w:color w:val="auto"/>
              </w:rPr>
              <w:t>Loss on sale of assets</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(0.2)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(0.6)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(0.1)</w:t>
            </w:r>
          </w:p>
        </w:tc>
      </w:tr>
      <w:tr>
        <w:trPr>
          <w:trHeight w:val="197"/>
        </w:trPr>
        <w:tc>
          <w:tcPr>
            <w:tcW w:w="20" w:type="dxa"/>
            <w:vAlign w:val="bottom"/>
            <w:shd w:val="clear" w:color="auto" w:fill="DCE2EF"/>
          </w:tcPr>
          <w:p>
            <w:pPr>
              <w:spacing w:after="0"/>
              <w:rPr>
                <w:sz w:val="17"/>
                <w:szCs w:val="17"/>
                <w:color w:val="auto"/>
              </w:rPr>
            </w:pPr>
          </w:p>
        </w:tc>
        <w:tc>
          <w:tcPr>
            <w:tcW w:w="7040" w:type="dxa"/>
            <w:vAlign w:val="bottom"/>
            <w:gridSpan w:val="2"/>
            <w:shd w:val="clear" w:color="auto" w:fill="DCE2EF"/>
          </w:tcPr>
          <w:p>
            <w:pPr>
              <w:spacing w:after="0"/>
              <w:rPr>
                <w:sz w:val="20"/>
                <w:szCs w:val="20"/>
                <w:color w:val="auto"/>
              </w:rPr>
            </w:pPr>
            <w:r>
              <w:rPr>
                <w:rFonts w:ascii="Arial" w:cs="Arial" w:eastAsia="Arial" w:hAnsi="Arial"/>
                <w:sz w:val="14"/>
                <w:szCs w:val="14"/>
                <w:color w:val="auto"/>
              </w:rPr>
              <w:t>Income from unconsolidated affiliates</w:t>
            </w:r>
          </w:p>
        </w:tc>
        <w:tc>
          <w:tcPr>
            <w:tcW w:w="300" w:type="dxa"/>
            <w:vAlign w:val="bottom"/>
            <w:shd w:val="clear" w:color="auto" w:fill="DCE2EF"/>
          </w:tcPr>
          <w:p>
            <w:pPr>
              <w:spacing w:after="0"/>
              <w:rPr>
                <w:sz w:val="17"/>
                <w:szCs w:val="17"/>
                <w:color w:val="auto"/>
              </w:rPr>
            </w:pPr>
          </w:p>
        </w:tc>
        <w:tc>
          <w:tcPr>
            <w:tcW w:w="1020" w:type="dxa"/>
            <w:vAlign w:val="bottom"/>
            <w:shd w:val="clear" w:color="auto" w:fill="DCE2EF"/>
          </w:tcPr>
          <w:p>
            <w:pPr>
              <w:jc w:val="right"/>
              <w:spacing w:after="0"/>
              <w:rPr>
                <w:sz w:val="20"/>
                <w:szCs w:val="20"/>
                <w:color w:val="auto"/>
              </w:rPr>
            </w:pPr>
            <w:r>
              <w:rPr>
                <w:rFonts w:ascii="Arial" w:cs="Arial" w:eastAsia="Arial" w:hAnsi="Arial"/>
                <w:sz w:val="14"/>
                <w:szCs w:val="14"/>
                <w:color w:val="auto"/>
              </w:rPr>
              <w:t>(4.6)</w:t>
            </w:r>
          </w:p>
        </w:tc>
        <w:tc>
          <w:tcPr>
            <w:tcW w:w="100" w:type="dxa"/>
            <w:vAlign w:val="bottom"/>
            <w:shd w:val="clear" w:color="auto" w:fill="DCE2EF"/>
          </w:tcPr>
          <w:p>
            <w:pPr>
              <w:spacing w:after="0"/>
              <w:rPr>
                <w:sz w:val="17"/>
                <w:szCs w:val="17"/>
                <w:color w:val="auto"/>
              </w:rPr>
            </w:pPr>
          </w:p>
        </w:tc>
        <w:tc>
          <w:tcPr>
            <w:tcW w:w="300" w:type="dxa"/>
            <w:vAlign w:val="bottom"/>
            <w:shd w:val="clear" w:color="auto" w:fill="DCE2EF"/>
          </w:tcPr>
          <w:p>
            <w:pPr>
              <w:spacing w:after="0"/>
              <w:rPr>
                <w:sz w:val="17"/>
                <w:szCs w:val="17"/>
                <w:color w:val="auto"/>
              </w:rPr>
            </w:pPr>
          </w:p>
        </w:tc>
        <w:tc>
          <w:tcPr>
            <w:tcW w:w="1020" w:type="dxa"/>
            <w:vAlign w:val="bottom"/>
            <w:shd w:val="clear" w:color="auto" w:fill="DCE2EF"/>
          </w:tcPr>
          <w:p>
            <w:pPr>
              <w:jc w:val="right"/>
              <w:spacing w:after="0"/>
              <w:rPr>
                <w:sz w:val="20"/>
                <w:szCs w:val="20"/>
                <w:color w:val="auto"/>
              </w:rPr>
            </w:pPr>
            <w:r>
              <w:rPr>
                <w:rFonts w:ascii="Arial" w:cs="Arial" w:eastAsia="Arial" w:hAnsi="Arial"/>
                <w:sz w:val="14"/>
                <w:szCs w:val="14"/>
                <w:color w:val="auto"/>
              </w:rPr>
              <w:t>(6.5)</w:t>
            </w:r>
          </w:p>
        </w:tc>
        <w:tc>
          <w:tcPr>
            <w:tcW w:w="100" w:type="dxa"/>
            <w:vAlign w:val="bottom"/>
            <w:shd w:val="clear" w:color="auto" w:fill="DCE2EF"/>
          </w:tcPr>
          <w:p>
            <w:pPr>
              <w:spacing w:after="0"/>
              <w:rPr>
                <w:sz w:val="17"/>
                <w:szCs w:val="17"/>
                <w:color w:val="auto"/>
              </w:rPr>
            </w:pPr>
          </w:p>
        </w:tc>
        <w:tc>
          <w:tcPr>
            <w:tcW w:w="300" w:type="dxa"/>
            <w:vAlign w:val="bottom"/>
            <w:shd w:val="clear" w:color="auto" w:fill="DCE2EF"/>
          </w:tcPr>
          <w:p>
            <w:pPr>
              <w:spacing w:after="0"/>
              <w:rPr>
                <w:sz w:val="17"/>
                <w:szCs w:val="17"/>
                <w:color w:val="auto"/>
              </w:rPr>
            </w:pPr>
          </w:p>
        </w:tc>
        <w:tc>
          <w:tcPr>
            <w:tcW w:w="1020" w:type="dxa"/>
            <w:vAlign w:val="bottom"/>
            <w:shd w:val="clear" w:color="auto" w:fill="DCE2EF"/>
          </w:tcPr>
          <w:p>
            <w:pPr>
              <w:jc w:val="right"/>
              <w:spacing w:after="0"/>
              <w:rPr>
                <w:sz w:val="20"/>
                <w:szCs w:val="20"/>
                <w:color w:val="auto"/>
              </w:rPr>
            </w:pPr>
            <w:r>
              <w:rPr>
                <w:rFonts w:ascii="Arial" w:cs="Arial" w:eastAsia="Arial" w:hAnsi="Arial"/>
                <w:sz w:val="14"/>
                <w:szCs w:val="14"/>
                <w:color w:val="auto"/>
              </w:rPr>
              <w:t>(3.9)</w:t>
            </w:r>
          </w:p>
        </w:tc>
      </w:tr>
      <w:tr>
        <w:trPr>
          <w:trHeight w:val="190"/>
        </w:trPr>
        <w:tc>
          <w:tcPr>
            <w:tcW w:w="20" w:type="dxa"/>
            <w:vAlign w:val="bottom"/>
          </w:tcPr>
          <w:p>
            <w:pPr>
              <w:spacing w:after="0"/>
              <w:rPr>
                <w:sz w:val="16"/>
                <w:szCs w:val="16"/>
                <w:color w:val="auto"/>
              </w:rPr>
            </w:pPr>
          </w:p>
        </w:tc>
        <w:tc>
          <w:tcPr>
            <w:tcW w:w="7040" w:type="dxa"/>
            <w:vAlign w:val="bottom"/>
            <w:gridSpan w:val="2"/>
          </w:tcPr>
          <w:p>
            <w:pPr>
              <w:spacing w:after="0"/>
              <w:rPr>
                <w:sz w:val="20"/>
                <w:szCs w:val="20"/>
                <w:color w:val="auto"/>
              </w:rPr>
            </w:pPr>
            <w:r>
              <w:rPr>
                <w:rFonts w:ascii="Arial" w:cs="Arial" w:eastAsia="Arial" w:hAnsi="Arial"/>
                <w:sz w:val="14"/>
                <w:szCs w:val="14"/>
                <w:color w:val="auto"/>
              </w:rPr>
              <w:t>Distributions from unconsolidated affiliates</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11"/>
              <w:spacing w:after="0"/>
              <w:rPr>
                <w:sz w:val="20"/>
                <w:szCs w:val="20"/>
                <w:color w:val="auto"/>
              </w:rPr>
            </w:pPr>
            <w:r>
              <w:rPr>
                <w:rFonts w:ascii="Arial" w:cs="Arial" w:eastAsia="Arial" w:hAnsi="Arial"/>
                <w:sz w:val="14"/>
                <w:szCs w:val="14"/>
                <w:color w:val="auto"/>
              </w:rPr>
              <w:t>1.9</w:t>
            </w:r>
          </w:p>
        </w:tc>
      </w:tr>
      <w:tr>
        <w:trPr>
          <w:trHeight w:val="197"/>
        </w:trPr>
        <w:tc>
          <w:tcPr>
            <w:tcW w:w="20" w:type="dxa"/>
            <w:vAlign w:val="bottom"/>
            <w:shd w:val="clear" w:color="auto" w:fill="DCE2EF"/>
          </w:tcPr>
          <w:p>
            <w:pPr>
              <w:spacing w:after="0"/>
              <w:rPr>
                <w:sz w:val="17"/>
                <w:szCs w:val="17"/>
                <w:color w:val="auto"/>
              </w:rPr>
            </w:pPr>
          </w:p>
        </w:tc>
        <w:tc>
          <w:tcPr>
            <w:tcW w:w="7040" w:type="dxa"/>
            <w:vAlign w:val="bottom"/>
            <w:gridSpan w:val="2"/>
            <w:shd w:val="clear" w:color="auto" w:fill="DCE2EF"/>
          </w:tcPr>
          <w:p>
            <w:pPr>
              <w:spacing w:after="0"/>
              <w:rPr>
                <w:sz w:val="20"/>
                <w:szCs w:val="20"/>
                <w:color w:val="auto"/>
              </w:rPr>
            </w:pPr>
            <w:r>
              <w:rPr>
                <w:rFonts w:ascii="Arial" w:cs="Arial" w:eastAsia="Arial" w:hAnsi="Arial"/>
                <w:sz w:val="14"/>
                <w:szCs w:val="14"/>
                <w:color w:val="auto"/>
              </w:rPr>
              <w:t>Change in fair value of contingent consideration</w:t>
            </w:r>
          </w:p>
        </w:tc>
        <w:tc>
          <w:tcPr>
            <w:tcW w:w="300" w:type="dxa"/>
            <w:vAlign w:val="bottom"/>
            <w:shd w:val="clear" w:color="auto" w:fill="DCE2EF"/>
          </w:tcPr>
          <w:p>
            <w:pPr>
              <w:spacing w:after="0"/>
              <w:rPr>
                <w:sz w:val="17"/>
                <w:szCs w:val="17"/>
                <w:color w:val="auto"/>
              </w:rPr>
            </w:pPr>
          </w:p>
        </w:tc>
        <w:tc>
          <w:tcPr>
            <w:tcW w:w="1020" w:type="dxa"/>
            <w:vAlign w:val="bottom"/>
            <w:shd w:val="clear" w:color="auto" w:fill="DCE2EF"/>
          </w:tcPr>
          <w:p>
            <w:pPr>
              <w:jc w:val="right"/>
              <w:spacing w:after="0"/>
              <w:rPr>
                <w:sz w:val="20"/>
                <w:szCs w:val="20"/>
                <w:color w:val="auto"/>
              </w:rPr>
            </w:pPr>
            <w:r>
              <w:rPr>
                <w:rFonts w:ascii="Arial" w:cs="Arial" w:eastAsia="Arial" w:hAnsi="Arial"/>
                <w:sz w:val="14"/>
                <w:szCs w:val="14"/>
                <w:color w:val="auto"/>
              </w:rPr>
              <w:t>(1.6)</w:t>
            </w:r>
          </w:p>
        </w:tc>
        <w:tc>
          <w:tcPr>
            <w:tcW w:w="100" w:type="dxa"/>
            <w:vAlign w:val="bottom"/>
            <w:shd w:val="clear" w:color="auto" w:fill="DCE2EF"/>
          </w:tcPr>
          <w:p>
            <w:pPr>
              <w:spacing w:after="0"/>
              <w:rPr>
                <w:sz w:val="17"/>
                <w:szCs w:val="17"/>
                <w:color w:val="auto"/>
              </w:rPr>
            </w:pPr>
          </w:p>
        </w:tc>
        <w:tc>
          <w:tcPr>
            <w:tcW w:w="300" w:type="dxa"/>
            <w:vAlign w:val="bottom"/>
            <w:shd w:val="clear" w:color="auto" w:fill="DCE2EF"/>
          </w:tcPr>
          <w:p>
            <w:pPr>
              <w:spacing w:after="0"/>
              <w:rPr>
                <w:sz w:val="17"/>
                <w:szCs w:val="17"/>
                <w:color w:val="auto"/>
              </w:rPr>
            </w:pPr>
          </w:p>
        </w:tc>
        <w:tc>
          <w:tcPr>
            <w:tcW w:w="1020" w:type="dxa"/>
            <w:vAlign w:val="bottom"/>
            <w:shd w:val="clear" w:color="auto" w:fill="DCE2EF"/>
          </w:tcPr>
          <w:p>
            <w:pPr>
              <w:jc w:val="right"/>
              <w:spacing w:after="0"/>
              <w:rPr>
                <w:sz w:val="20"/>
                <w:szCs w:val="20"/>
                <w:color w:val="auto"/>
              </w:rPr>
            </w:pPr>
            <w:r>
              <w:rPr>
                <w:rFonts w:ascii="Arial" w:cs="Arial" w:eastAsia="Arial" w:hAnsi="Arial"/>
                <w:sz w:val="14"/>
                <w:szCs w:val="14"/>
                <w:color w:val="auto"/>
              </w:rPr>
              <w:t>95.7</w:t>
            </w:r>
          </w:p>
        </w:tc>
        <w:tc>
          <w:tcPr>
            <w:tcW w:w="100" w:type="dxa"/>
            <w:vAlign w:val="bottom"/>
            <w:shd w:val="clear" w:color="auto" w:fill="DCE2EF"/>
          </w:tcPr>
          <w:p>
            <w:pPr>
              <w:spacing w:after="0"/>
              <w:rPr>
                <w:sz w:val="17"/>
                <w:szCs w:val="17"/>
                <w:color w:val="auto"/>
              </w:rPr>
            </w:pPr>
          </w:p>
        </w:tc>
        <w:tc>
          <w:tcPr>
            <w:tcW w:w="300" w:type="dxa"/>
            <w:vAlign w:val="bottom"/>
            <w:shd w:val="clear" w:color="auto" w:fill="DCE2EF"/>
          </w:tcPr>
          <w:p>
            <w:pPr>
              <w:spacing w:after="0"/>
              <w:rPr>
                <w:sz w:val="17"/>
                <w:szCs w:val="17"/>
                <w:color w:val="auto"/>
              </w:rPr>
            </w:pPr>
          </w:p>
        </w:tc>
        <w:tc>
          <w:tcPr>
            <w:tcW w:w="1020" w:type="dxa"/>
            <w:vAlign w:val="bottom"/>
            <w:shd w:val="clear" w:color="auto" w:fill="DCE2EF"/>
          </w:tcPr>
          <w:p>
            <w:pPr>
              <w:jc w:val="right"/>
              <w:spacing w:after="0"/>
              <w:rPr>
                <w:sz w:val="20"/>
                <w:szCs w:val="20"/>
                <w:color w:val="auto"/>
              </w:rPr>
            </w:pPr>
            <w:r>
              <w:rPr>
                <w:rFonts w:ascii="Arial" w:cs="Arial" w:eastAsia="Arial" w:hAnsi="Arial"/>
                <w:sz w:val="14"/>
                <w:szCs w:val="14"/>
                <w:color w:val="auto"/>
              </w:rPr>
              <w:t>(45.6)</w:t>
            </w:r>
          </w:p>
        </w:tc>
      </w:tr>
      <w:tr>
        <w:trPr>
          <w:trHeight w:val="190"/>
        </w:trPr>
        <w:tc>
          <w:tcPr>
            <w:tcW w:w="20" w:type="dxa"/>
            <w:vAlign w:val="bottom"/>
          </w:tcPr>
          <w:p>
            <w:pPr>
              <w:spacing w:after="0"/>
              <w:rPr>
                <w:sz w:val="16"/>
                <w:szCs w:val="16"/>
                <w:color w:val="auto"/>
              </w:rPr>
            </w:pPr>
          </w:p>
        </w:tc>
        <w:tc>
          <w:tcPr>
            <w:tcW w:w="7040" w:type="dxa"/>
            <w:vAlign w:val="bottom"/>
            <w:gridSpan w:val="2"/>
          </w:tcPr>
          <w:p>
            <w:pPr>
              <w:spacing w:after="0"/>
              <w:rPr>
                <w:sz w:val="20"/>
                <w:szCs w:val="20"/>
                <w:color w:val="auto"/>
              </w:rPr>
            </w:pPr>
            <w:r>
              <w:rPr>
                <w:rFonts w:ascii="Arial" w:cs="Arial" w:eastAsia="Arial" w:hAnsi="Arial"/>
                <w:sz w:val="14"/>
                <w:szCs w:val="14"/>
                <w:color w:val="auto"/>
              </w:rPr>
              <w:t>Changes in operating assets and liabilities, net of effects of acquisitions</w:t>
            </w: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97"/>
        </w:trPr>
        <w:tc>
          <w:tcPr>
            <w:tcW w:w="20" w:type="dxa"/>
            <w:vAlign w:val="bottom"/>
            <w:shd w:val="clear" w:color="auto" w:fill="DCE2EF"/>
          </w:tcPr>
          <w:p>
            <w:pPr>
              <w:spacing w:after="0"/>
              <w:rPr>
                <w:sz w:val="17"/>
                <w:szCs w:val="17"/>
                <w:color w:val="auto"/>
              </w:rPr>
            </w:pPr>
          </w:p>
        </w:tc>
        <w:tc>
          <w:tcPr>
            <w:tcW w:w="7040" w:type="dxa"/>
            <w:vAlign w:val="bottom"/>
            <w:gridSpan w:val="2"/>
            <w:shd w:val="clear" w:color="auto" w:fill="DCE2EF"/>
          </w:tcPr>
          <w:p>
            <w:pPr>
              <w:ind w:left="300"/>
              <w:spacing w:after="0"/>
              <w:rPr>
                <w:sz w:val="20"/>
                <w:szCs w:val="20"/>
                <w:color w:val="auto"/>
              </w:rPr>
            </w:pPr>
            <w:r>
              <w:rPr>
                <w:rFonts w:ascii="Arial" w:cs="Arial" w:eastAsia="Arial" w:hAnsi="Arial"/>
                <w:sz w:val="14"/>
                <w:szCs w:val="14"/>
                <w:color w:val="auto"/>
              </w:rPr>
              <w:t>Trade accounts receivable and costs incurred in excess of amounts billed</w:t>
            </w:r>
          </w:p>
        </w:tc>
        <w:tc>
          <w:tcPr>
            <w:tcW w:w="300" w:type="dxa"/>
            <w:vAlign w:val="bottom"/>
            <w:shd w:val="clear" w:color="auto" w:fill="DCE2EF"/>
          </w:tcPr>
          <w:p>
            <w:pPr>
              <w:spacing w:after="0"/>
              <w:rPr>
                <w:sz w:val="17"/>
                <w:szCs w:val="17"/>
                <w:color w:val="auto"/>
              </w:rPr>
            </w:pPr>
          </w:p>
        </w:tc>
        <w:tc>
          <w:tcPr>
            <w:tcW w:w="1020" w:type="dxa"/>
            <w:vAlign w:val="bottom"/>
            <w:shd w:val="clear" w:color="auto" w:fill="DCE2EF"/>
          </w:tcPr>
          <w:p>
            <w:pPr>
              <w:jc w:val="right"/>
              <w:spacing w:after="0"/>
              <w:rPr>
                <w:sz w:val="20"/>
                <w:szCs w:val="20"/>
                <w:color w:val="auto"/>
              </w:rPr>
            </w:pPr>
            <w:r>
              <w:rPr>
                <w:rFonts w:ascii="Arial" w:cs="Arial" w:eastAsia="Arial" w:hAnsi="Arial"/>
                <w:sz w:val="14"/>
                <w:szCs w:val="14"/>
                <w:color w:val="auto"/>
              </w:rPr>
              <w:t>(109.8)</w:t>
            </w:r>
          </w:p>
        </w:tc>
        <w:tc>
          <w:tcPr>
            <w:tcW w:w="100" w:type="dxa"/>
            <w:vAlign w:val="bottom"/>
            <w:shd w:val="clear" w:color="auto" w:fill="DCE2EF"/>
          </w:tcPr>
          <w:p>
            <w:pPr>
              <w:spacing w:after="0"/>
              <w:rPr>
                <w:sz w:val="17"/>
                <w:szCs w:val="17"/>
                <w:color w:val="auto"/>
              </w:rPr>
            </w:pPr>
          </w:p>
        </w:tc>
        <w:tc>
          <w:tcPr>
            <w:tcW w:w="300" w:type="dxa"/>
            <w:vAlign w:val="bottom"/>
            <w:shd w:val="clear" w:color="auto" w:fill="DCE2EF"/>
          </w:tcPr>
          <w:p>
            <w:pPr>
              <w:spacing w:after="0"/>
              <w:rPr>
                <w:sz w:val="17"/>
                <w:szCs w:val="17"/>
                <w:color w:val="auto"/>
              </w:rPr>
            </w:pPr>
          </w:p>
        </w:tc>
        <w:tc>
          <w:tcPr>
            <w:tcW w:w="1020" w:type="dxa"/>
            <w:vAlign w:val="bottom"/>
            <w:shd w:val="clear" w:color="auto" w:fill="DCE2EF"/>
          </w:tcPr>
          <w:p>
            <w:pPr>
              <w:jc w:val="right"/>
              <w:spacing w:after="0"/>
              <w:rPr>
                <w:sz w:val="20"/>
                <w:szCs w:val="20"/>
                <w:color w:val="auto"/>
              </w:rPr>
            </w:pPr>
            <w:r>
              <w:rPr>
                <w:rFonts w:ascii="Arial" w:cs="Arial" w:eastAsia="Arial" w:hAnsi="Arial"/>
                <w:sz w:val="14"/>
                <w:szCs w:val="14"/>
                <w:color w:val="auto"/>
              </w:rPr>
              <w:t>(32.6)</w:t>
            </w:r>
          </w:p>
        </w:tc>
        <w:tc>
          <w:tcPr>
            <w:tcW w:w="100" w:type="dxa"/>
            <w:vAlign w:val="bottom"/>
            <w:shd w:val="clear" w:color="auto" w:fill="DCE2EF"/>
          </w:tcPr>
          <w:p>
            <w:pPr>
              <w:spacing w:after="0"/>
              <w:rPr>
                <w:sz w:val="17"/>
                <w:szCs w:val="17"/>
                <w:color w:val="auto"/>
              </w:rPr>
            </w:pPr>
          </w:p>
        </w:tc>
        <w:tc>
          <w:tcPr>
            <w:tcW w:w="300" w:type="dxa"/>
            <w:vAlign w:val="bottom"/>
            <w:shd w:val="clear" w:color="auto" w:fill="DCE2EF"/>
          </w:tcPr>
          <w:p>
            <w:pPr>
              <w:spacing w:after="0"/>
              <w:rPr>
                <w:sz w:val="17"/>
                <w:szCs w:val="17"/>
                <w:color w:val="auto"/>
              </w:rPr>
            </w:pPr>
          </w:p>
        </w:tc>
        <w:tc>
          <w:tcPr>
            <w:tcW w:w="1020" w:type="dxa"/>
            <w:vAlign w:val="bottom"/>
            <w:shd w:val="clear" w:color="auto" w:fill="DCE2EF"/>
          </w:tcPr>
          <w:p>
            <w:pPr>
              <w:jc w:val="right"/>
              <w:spacing w:after="0"/>
              <w:rPr>
                <w:sz w:val="20"/>
                <w:szCs w:val="20"/>
                <w:color w:val="auto"/>
              </w:rPr>
            </w:pPr>
            <w:r>
              <w:rPr>
                <w:rFonts w:ascii="Arial" w:cs="Arial" w:eastAsia="Arial" w:hAnsi="Arial"/>
                <w:sz w:val="14"/>
                <w:szCs w:val="14"/>
                <w:color w:val="auto"/>
              </w:rPr>
              <w:t>(152.7)</w:t>
            </w:r>
          </w:p>
        </w:tc>
      </w:tr>
      <w:tr>
        <w:trPr>
          <w:trHeight w:val="190"/>
        </w:trPr>
        <w:tc>
          <w:tcPr>
            <w:tcW w:w="20" w:type="dxa"/>
            <w:vAlign w:val="bottom"/>
          </w:tcPr>
          <w:p>
            <w:pPr>
              <w:spacing w:after="0"/>
              <w:rPr>
                <w:sz w:val="16"/>
                <w:szCs w:val="16"/>
                <w:color w:val="auto"/>
              </w:rPr>
            </w:pPr>
          </w:p>
        </w:tc>
        <w:tc>
          <w:tcPr>
            <w:tcW w:w="7040" w:type="dxa"/>
            <w:vAlign w:val="bottom"/>
            <w:gridSpan w:val="2"/>
          </w:tcPr>
          <w:p>
            <w:pPr>
              <w:ind w:left="300"/>
              <w:spacing w:after="0"/>
              <w:rPr>
                <w:sz w:val="20"/>
                <w:szCs w:val="20"/>
                <w:color w:val="auto"/>
              </w:rPr>
            </w:pPr>
            <w:r>
              <w:rPr>
                <w:rFonts w:ascii="Arial" w:cs="Arial" w:eastAsia="Arial" w:hAnsi="Arial"/>
                <w:sz w:val="14"/>
                <w:szCs w:val="14"/>
                <w:color w:val="auto"/>
              </w:rPr>
              <w:t>Prepaid expenses and other current assets</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23.8</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(40.4)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(7.4)</w:t>
            </w:r>
          </w:p>
        </w:tc>
      </w:tr>
      <w:tr>
        <w:trPr>
          <w:trHeight w:val="197"/>
        </w:trPr>
        <w:tc>
          <w:tcPr>
            <w:tcW w:w="20" w:type="dxa"/>
            <w:vAlign w:val="bottom"/>
            <w:shd w:val="clear" w:color="auto" w:fill="DCE2EF"/>
          </w:tcPr>
          <w:p>
            <w:pPr>
              <w:spacing w:after="0"/>
              <w:rPr>
                <w:sz w:val="17"/>
                <w:szCs w:val="17"/>
                <w:color w:val="auto"/>
              </w:rPr>
            </w:pPr>
          </w:p>
        </w:tc>
        <w:tc>
          <w:tcPr>
            <w:tcW w:w="7040" w:type="dxa"/>
            <w:vAlign w:val="bottom"/>
            <w:gridSpan w:val="2"/>
            <w:shd w:val="clear" w:color="auto" w:fill="DCE2EF"/>
          </w:tcPr>
          <w:p>
            <w:pPr>
              <w:ind w:left="300"/>
              <w:spacing w:after="0"/>
              <w:rPr>
                <w:sz w:val="20"/>
                <w:szCs w:val="20"/>
                <w:color w:val="auto"/>
              </w:rPr>
            </w:pPr>
            <w:r>
              <w:rPr>
                <w:rFonts w:ascii="Arial" w:cs="Arial" w:eastAsia="Arial" w:hAnsi="Arial"/>
                <w:sz w:val="14"/>
                <w:szCs w:val="14"/>
                <w:color w:val="auto"/>
              </w:rPr>
              <w:t>Right-of-use assets</w:t>
            </w:r>
          </w:p>
        </w:tc>
        <w:tc>
          <w:tcPr>
            <w:tcW w:w="300" w:type="dxa"/>
            <w:vAlign w:val="bottom"/>
            <w:shd w:val="clear" w:color="auto" w:fill="DCE2EF"/>
          </w:tcPr>
          <w:p>
            <w:pPr>
              <w:spacing w:after="0"/>
              <w:rPr>
                <w:sz w:val="17"/>
                <w:szCs w:val="17"/>
                <w:color w:val="auto"/>
              </w:rPr>
            </w:pPr>
          </w:p>
        </w:tc>
        <w:tc>
          <w:tcPr>
            <w:tcW w:w="1020" w:type="dxa"/>
            <w:vAlign w:val="bottom"/>
            <w:shd w:val="clear" w:color="auto" w:fill="DCE2EF"/>
          </w:tcPr>
          <w:p>
            <w:pPr>
              <w:jc w:val="right"/>
              <w:spacing w:after="0"/>
              <w:rPr>
                <w:sz w:val="20"/>
                <w:szCs w:val="20"/>
                <w:color w:val="auto"/>
              </w:rPr>
            </w:pPr>
            <w:r>
              <w:rPr>
                <w:rFonts w:ascii="Arial" w:cs="Arial" w:eastAsia="Arial" w:hAnsi="Arial"/>
                <w:sz w:val="14"/>
                <w:szCs w:val="14"/>
                <w:color w:val="auto"/>
              </w:rPr>
              <w:t>5.7</w:t>
            </w:r>
          </w:p>
        </w:tc>
        <w:tc>
          <w:tcPr>
            <w:tcW w:w="100" w:type="dxa"/>
            <w:vAlign w:val="bottom"/>
            <w:shd w:val="clear" w:color="auto" w:fill="DCE2EF"/>
          </w:tcPr>
          <w:p>
            <w:pPr>
              <w:spacing w:after="0"/>
              <w:rPr>
                <w:sz w:val="17"/>
                <w:szCs w:val="17"/>
                <w:color w:val="auto"/>
              </w:rPr>
            </w:pPr>
          </w:p>
        </w:tc>
        <w:tc>
          <w:tcPr>
            <w:tcW w:w="300" w:type="dxa"/>
            <w:vAlign w:val="bottom"/>
            <w:shd w:val="clear" w:color="auto" w:fill="DCE2EF"/>
          </w:tcPr>
          <w:p>
            <w:pPr>
              <w:spacing w:after="0"/>
              <w:rPr>
                <w:sz w:val="17"/>
                <w:szCs w:val="17"/>
                <w:color w:val="auto"/>
              </w:rPr>
            </w:pPr>
          </w:p>
        </w:tc>
        <w:tc>
          <w:tcPr>
            <w:tcW w:w="1020" w:type="dxa"/>
            <w:vAlign w:val="bottom"/>
            <w:shd w:val="clear" w:color="auto" w:fill="DCE2EF"/>
          </w:tcPr>
          <w:p>
            <w:pPr>
              <w:jc w:val="right"/>
              <w:spacing w:after="0"/>
              <w:rPr>
                <w:sz w:val="20"/>
                <w:szCs w:val="20"/>
                <w:color w:val="auto"/>
              </w:rPr>
            </w:pPr>
            <w:r>
              <w:rPr>
                <w:rFonts w:ascii="Arial" w:cs="Arial" w:eastAsia="Arial" w:hAnsi="Arial"/>
                <w:sz w:val="14"/>
                <w:szCs w:val="14"/>
                <w:color w:val="auto"/>
              </w:rPr>
              <w:t>12.7</w:t>
            </w:r>
          </w:p>
        </w:tc>
        <w:tc>
          <w:tcPr>
            <w:tcW w:w="100" w:type="dxa"/>
            <w:vAlign w:val="bottom"/>
            <w:shd w:val="clear" w:color="auto" w:fill="DCE2EF"/>
          </w:tcPr>
          <w:p>
            <w:pPr>
              <w:spacing w:after="0"/>
              <w:rPr>
                <w:sz w:val="17"/>
                <w:szCs w:val="17"/>
                <w:color w:val="auto"/>
              </w:rPr>
            </w:pPr>
          </w:p>
        </w:tc>
        <w:tc>
          <w:tcPr>
            <w:tcW w:w="300" w:type="dxa"/>
            <w:vAlign w:val="bottom"/>
            <w:shd w:val="clear" w:color="auto" w:fill="DCE2EF"/>
          </w:tcPr>
          <w:p>
            <w:pPr>
              <w:spacing w:after="0"/>
              <w:rPr>
                <w:sz w:val="17"/>
                <w:szCs w:val="17"/>
                <w:color w:val="auto"/>
              </w:rPr>
            </w:pPr>
          </w:p>
        </w:tc>
        <w:tc>
          <w:tcPr>
            <w:tcW w:w="1020" w:type="dxa"/>
            <w:vAlign w:val="bottom"/>
            <w:shd w:val="clear" w:color="auto" w:fill="DCE2EF"/>
          </w:tcPr>
          <w:p>
            <w:pPr>
              <w:jc w:val="right"/>
              <w:ind w:right="11"/>
              <w:spacing w:after="0"/>
              <w:rPr>
                <w:sz w:val="20"/>
                <w:szCs w:val="20"/>
                <w:color w:val="auto"/>
              </w:rPr>
            </w:pPr>
            <w:r>
              <w:rPr>
                <w:rFonts w:ascii="Arial" w:cs="Arial" w:eastAsia="Arial" w:hAnsi="Arial"/>
                <w:sz w:val="14"/>
                <w:szCs w:val="14"/>
                <w:color w:val="auto"/>
              </w:rPr>
              <w:t>1.8</w:t>
            </w:r>
          </w:p>
        </w:tc>
      </w:tr>
      <w:tr>
        <w:trPr>
          <w:trHeight w:val="190"/>
        </w:trPr>
        <w:tc>
          <w:tcPr>
            <w:tcW w:w="20" w:type="dxa"/>
            <w:vAlign w:val="bottom"/>
          </w:tcPr>
          <w:p>
            <w:pPr>
              <w:spacing w:after="0"/>
              <w:rPr>
                <w:sz w:val="16"/>
                <w:szCs w:val="16"/>
                <w:color w:val="auto"/>
              </w:rPr>
            </w:pPr>
          </w:p>
        </w:tc>
        <w:tc>
          <w:tcPr>
            <w:tcW w:w="7040" w:type="dxa"/>
            <w:vAlign w:val="bottom"/>
            <w:gridSpan w:val="2"/>
          </w:tcPr>
          <w:p>
            <w:pPr>
              <w:ind w:left="300"/>
              <w:spacing w:after="0"/>
              <w:rPr>
                <w:sz w:val="20"/>
                <w:szCs w:val="20"/>
                <w:color w:val="auto"/>
              </w:rPr>
            </w:pPr>
            <w:r>
              <w:rPr>
                <w:rFonts w:ascii="Arial" w:cs="Arial" w:eastAsia="Arial" w:hAnsi="Arial"/>
                <w:sz w:val="14"/>
                <w:szCs w:val="14"/>
                <w:color w:val="auto"/>
              </w:rPr>
              <w:t>Other noncurrent assets</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(17.4)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(34.0)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11"/>
              <w:spacing w:after="0"/>
              <w:rPr>
                <w:sz w:val="20"/>
                <w:szCs w:val="20"/>
                <w:color w:val="auto"/>
              </w:rPr>
            </w:pPr>
            <w:r>
              <w:rPr>
                <w:rFonts w:ascii="Arial" w:cs="Arial" w:eastAsia="Arial" w:hAnsi="Arial"/>
                <w:sz w:val="14"/>
                <w:szCs w:val="14"/>
                <w:color w:val="auto"/>
              </w:rPr>
              <w:t>33.8</w:t>
            </w:r>
          </w:p>
        </w:tc>
      </w:tr>
      <w:tr>
        <w:trPr>
          <w:trHeight w:val="197"/>
        </w:trPr>
        <w:tc>
          <w:tcPr>
            <w:tcW w:w="20" w:type="dxa"/>
            <w:vAlign w:val="bottom"/>
            <w:shd w:val="clear" w:color="auto" w:fill="DCE2EF"/>
          </w:tcPr>
          <w:p>
            <w:pPr>
              <w:spacing w:after="0"/>
              <w:rPr>
                <w:sz w:val="17"/>
                <w:szCs w:val="17"/>
                <w:color w:val="auto"/>
              </w:rPr>
            </w:pPr>
          </w:p>
        </w:tc>
        <w:tc>
          <w:tcPr>
            <w:tcW w:w="7040" w:type="dxa"/>
            <w:vAlign w:val="bottom"/>
            <w:gridSpan w:val="2"/>
            <w:shd w:val="clear" w:color="auto" w:fill="DCE2EF"/>
          </w:tcPr>
          <w:p>
            <w:pPr>
              <w:ind w:left="300"/>
              <w:spacing w:after="0"/>
              <w:rPr>
                <w:sz w:val="20"/>
                <w:szCs w:val="20"/>
                <w:color w:val="auto"/>
              </w:rPr>
            </w:pPr>
            <w:r>
              <w:rPr>
                <w:rFonts w:ascii="Arial" w:cs="Arial" w:eastAsia="Arial" w:hAnsi="Arial"/>
                <w:sz w:val="14"/>
                <w:szCs w:val="14"/>
                <w:color w:val="auto"/>
              </w:rPr>
              <w:t>Trade accounts payable and other accrued liabilities</w:t>
            </w:r>
          </w:p>
        </w:tc>
        <w:tc>
          <w:tcPr>
            <w:tcW w:w="300" w:type="dxa"/>
            <w:vAlign w:val="bottom"/>
            <w:shd w:val="clear" w:color="auto" w:fill="DCE2EF"/>
          </w:tcPr>
          <w:p>
            <w:pPr>
              <w:spacing w:after="0"/>
              <w:rPr>
                <w:sz w:val="17"/>
                <w:szCs w:val="17"/>
                <w:color w:val="auto"/>
              </w:rPr>
            </w:pPr>
          </w:p>
        </w:tc>
        <w:tc>
          <w:tcPr>
            <w:tcW w:w="1020" w:type="dxa"/>
            <w:vAlign w:val="bottom"/>
            <w:shd w:val="clear" w:color="auto" w:fill="DCE2EF"/>
          </w:tcPr>
          <w:p>
            <w:pPr>
              <w:jc w:val="right"/>
              <w:spacing w:after="0"/>
              <w:rPr>
                <w:sz w:val="20"/>
                <w:szCs w:val="20"/>
                <w:color w:val="auto"/>
              </w:rPr>
            </w:pPr>
            <w:r>
              <w:rPr>
                <w:rFonts w:ascii="Arial" w:cs="Arial" w:eastAsia="Arial" w:hAnsi="Arial"/>
                <w:sz w:val="14"/>
                <w:szCs w:val="14"/>
                <w:color w:val="auto"/>
              </w:rPr>
              <w:t>53.1</w:t>
            </w:r>
          </w:p>
        </w:tc>
        <w:tc>
          <w:tcPr>
            <w:tcW w:w="100" w:type="dxa"/>
            <w:vAlign w:val="bottom"/>
            <w:shd w:val="clear" w:color="auto" w:fill="DCE2EF"/>
          </w:tcPr>
          <w:p>
            <w:pPr>
              <w:spacing w:after="0"/>
              <w:rPr>
                <w:sz w:val="17"/>
                <w:szCs w:val="17"/>
                <w:color w:val="auto"/>
              </w:rPr>
            </w:pPr>
          </w:p>
        </w:tc>
        <w:tc>
          <w:tcPr>
            <w:tcW w:w="300" w:type="dxa"/>
            <w:vAlign w:val="bottom"/>
            <w:shd w:val="clear" w:color="auto" w:fill="DCE2EF"/>
          </w:tcPr>
          <w:p>
            <w:pPr>
              <w:spacing w:after="0"/>
              <w:rPr>
                <w:sz w:val="17"/>
                <w:szCs w:val="17"/>
                <w:color w:val="auto"/>
              </w:rPr>
            </w:pPr>
          </w:p>
        </w:tc>
        <w:tc>
          <w:tcPr>
            <w:tcW w:w="1020" w:type="dxa"/>
            <w:vAlign w:val="bottom"/>
            <w:shd w:val="clear" w:color="auto" w:fill="DCE2EF"/>
          </w:tcPr>
          <w:p>
            <w:pPr>
              <w:jc w:val="right"/>
              <w:spacing w:after="0"/>
              <w:rPr>
                <w:sz w:val="20"/>
                <w:szCs w:val="20"/>
                <w:color w:val="auto"/>
              </w:rPr>
            </w:pPr>
            <w:r>
              <w:rPr>
                <w:rFonts w:ascii="Arial" w:cs="Arial" w:eastAsia="Arial" w:hAnsi="Arial"/>
                <w:sz w:val="14"/>
                <w:szCs w:val="14"/>
                <w:color w:val="auto"/>
              </w:rPr>
              <w:t>(10.9)</w:t>
            </w:r>
          </w:p>
        </w:tc>
        <w:tc>
          <w:tcPr>
            <w:tcW w:w="100" w:type="dxa"/>
            <w:vAlign w:val="bottom"/>
            <w:shd w:val="clear" w:color="auto" w:fill="DCE2EF"/>
          </w:tcPr>
          <w:p>
            <w:pPr>
              <w:spacing w:after="0"/>
              <w:rPr>
                <w:sz w:val="17"/>
                <w:szCs w:val="17"/>
                <w:color w:val="auto"/>
              </w:rPr>
            </w:pPr>
          </w:p>
        </w:tc>
        <w:tc>
          <w:tcPr>
            <w:tcW w:w="300" w:type="dxa"/>
            <w:vAlign w:val="bottom"/>
            <w:shd w:val="clear" w:color="auto" w:fill="DCE2EF"/>
          </w:tcPr>
          <w:p>
            <w:pPr>
              <w:spacing w:after="0"/>
              <w:rPr>
                <w:sz w:val="17"/>
                <w:szCs w:val="17"/>
                <w:color w:val="auto"/>
              </w:rPr>
            </w:pPr>
          </w:p>
        </w:tc>
        <w:tc>
          <w:tcPr>
            <w:tcW w:w="1020" w:type="dxa"/>
            <w:vAlign w:val="bottom"/>
            <w:shd w:val="clear" w:color="auto" w:fill="DCE2EF"/>
          </w:tcPr>
          <w:p>
            <w:pPr>
              <w:jc w:val="right"/>
              <w:spacing w:after="0"/>
              <w:rPr>
                <w:sz w:val="20"/>
                <w:szCs w:val="20"/>
                <w:color w:val="auto"/>
              </w:rPr>
            </w:pPr>
            <w:r>
              <w:rPr>
                <w:rFonts w:ascii="Arial" w:cs="Arial" w:eastAsia="Arial" w:hAnsi="Arial"/>
                <w:sz w:val="14"/>
                <w:szCs w:val="14"/>
                <w:color w:val="auto"/>
              </w:rPr>
              <w:t>(3.8)</w:t>
            </w:r>
          </w:p>
        </w:tc>
      </w:tr>
      <w:tr>
        <w:trPr>
          <w:trHeight w:val="190"/>
        </w:trPr>
        <w:tc>
          <w:tcPr>
            <w:tcW w:w="20" w:type="dxa"/>
            <w:vAlign w:val="bottom"/>
          </w:tcPr>
          <w:p>
            <w:pPr>
              <w:spacing w:after="0"/>
              <w:rPr>
                <w:sz w:val="16"/>
                <w:szCs w:val="16"/>
                <w:color w:val="auto"/>
              </w:rPr>
            </w:pPr>
          </w:p>
        </w:tc>
        <w:tc>
          <w:tcPr>
            <w:tcW w:w="7040" w:type="dxa"/>
            <w:vAlign w:val="bottom"/>
            <w:gridSpan w:val="2"/>
          </w:tcPr>
          <w:p>
            <w:pPr>
              <w:ind w:left="300"/>
              <w:spacing w:after="0"/>
              <w:rPr>
                <w:sz w:val="20"/>
                <w:szCs w:val="20"/>
                <w:color w:val="auto"/>
              </w:rPr>
            </w:pPr>
            <w:r>
              <w:rPr>
                <w:rFonts w:ascii="Arial" w:cs="Arial" w:eastAsia="Arial" w:hAnsi="Arial"/>
                <w:sz w:val="14"/>
                <w:szCs w:val="14"/>
                <w:color w:val="auto"/>
              </w:rPr>
              <w:t>Long-term lease liabilities</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(8.3)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(7.3)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(5.7)</w:t>
            </w:r>
          </w:p>
        </w:tc>
      </w:tr>
      <w:tr>
        <w:trPr>
          <w:trHeight w:val="197"/>
        </w:trPr>
        <w:tc>
          <w:tcPr>
            <w:tcW w:w="20" w:type="dxa"/>
            <w:vAlign w:val="bottom"/>
            <w:shd w:val="clear" w:color="auto" w:fill="DCE2EF"/>
          </w:tcPr>
          <w:p>
            <w:pPr>
              <w:spacing w:after="0"/>
              <w:rPr>
                <w:sz w:val="17"/>
                <w:szCs w:val="17"/>
                <w:color w:val="auto"/>
              </w:rPr>
            </w:pPr>
          </w:p>
        </w:tc>
        <w:tc>
          <w:tcPr>
            <w:tcW w:w="7040" w:type="dxa"/>
            <w:vAlign w:val="bottom"/>
            <w:gridSpan w:val="2"/>
            <w:shd w:val="clear" w:color="auto" w:fill="DCE2EF"/>
          </w:tcPr>
          <w:p>
            <w:pPr>
              <w:ind w:left="300"/>
              <w:spacing w:after="0"/>
              <w:rPr>
                <w:sz w:val="20"/>
                <w:szCs w:val="20"/>
                <w:color w:val="auto"/>
              </w:rPr>
            </w:pPr>
            <w:r>
              <w:rPr>
                <w:rFonts w:ascii="Arial" w:cs="Arial" w:eastAsia="Arial" w:hAnsi="Arial"/>
                <w:sz w:val="14"/>
                <w:szCs w:val="14"/>
                <w:color w:val="auto"/>
              </w:rPr>
              <w:t>Insurance claims</w:t>
            </w:r>
          </w:p>
        </w:tc>
        <w:tc>
          <w:tcPr>
            <w:tcW w:w="300" w:type="dxa"/>
            <w:vAlign w:val="bottom"/>
            <w:shd w:val="clear" w:color="auto" w:fill="DCE2EF"/>
          </w:tcPr>
          <w:p>
            <w:pPr>
              <w:spacing w:after="0"/>
              <w:rPr>
                <w:sz w:val="17"/>
                <w:szCs w:val="17"/>
                <w:color w:val="auto"/>
              </w:rPr>
            </w:pPr>
          </w:p>
        </w:tc>
        <w:tc>
          <w:tcPr>
            <w:tcW w:w="1020" w:type="dxa"/>
            <w:vAlign w:val="bottom"/>
            <w:shd w:val="clear" w:color="auto" w:fill="DCE2EF"/>
          </w:tcPr>
          <w:p>
            <w:pPr>
              <w:jc w:val="right"/>
              <w:spacing w:after="0"/>
              <w:rPr>
                <w:sz w:val="20"/>
                <w:szCs w:val="20"/>
                <w:color w:val="auto"/>
              </w:rPr>
            </w:pPr>
            <w:r>
              <w:rPr>
                <w:rFonts w:ascii="Arial" w:cs="Arial" w:eastAsia="Arial" w:hAnsi="Arial"/>
                <w:sz w:val="14"/>
                <w:szCs w:val="14"/>
                <w:color w:val="auto"/>
              </w:rPr>
              <w:t>40.0</w:t>
            </w:r>
          </w:p>
        </w:tc>
        <w:tc>
          <w:tcPr>
            <w:tcW w:w="100" w:type="dxa"/>
            <w:vAlign w:val="bottom"/>
            <w:shd w:val="clear" w:color="auto" w:fill="DCE2EF"/>
          </w:tcPr>
          <w:p>
            <w:pPr>
              <w:spacing w:after="0"/>
              <w:rPr>
                <w:sz w:val="17"/>
                <w:szCs w:val="17"/>
                <w:color w:val="auto"/>
              </w:rPr>
            </w:pPr>
          </w:p>
        </w:tc>
        <w:tc>
          <w:tcPr>
            <w:tcW w:w="300" w:type="dxa"/>
            <w:vAlign w:val="bottom"/>
            <w:shd w:val="clear" w:color="auto" w:fill="DCE2EF"/>
          </w:tcPr>
          <w:p>
            <w:pPr>
              <w:spacing w:after="0"/>
              <w:rPr>
                <w:sz w:val="17"/>
                <w:szCs w:val="17"/>
                <w:color w:val="auto"/>
              </w:rPr>
            </w:pPr>
          </w:p>
        </w:tc>
        <w:tc>
          <w:tcPr>
            <w:tcW w:w="1020" w:type="dxa"/>
            <w:vAlign w:val="bottom"/>
            <w:shd w:val="clear" w:color="auto" w:fill="DCE2EF"/>
          </w:tcPr>
          <w:p>
            <w:pPr>
              <w:jc w:val="right"/>
              <w:spacing w:after="0"/>
              <w:rPr>
                <w:sz w:val="20"/>
                <w:szCs w:val="20"/>
                <w:color w:val="auto"/>
              </w:rPr>
            </w:pPr>
            <w:r>
              <w:rPr>
                <w:rFonts w:ascii="Arial" w:cs="Arial" w:eastAsia="Arial" w:hAnsi="Arial"/>
                <w:sz w:val="14"/>
                <w:szCs w:val="14"/>
                <w:color w:val="auto"/>
              </w:rPr>
              <w:t>54.3</w:t>
            </w:r>
          </w:p>
        </w:tc>
        <w:tc>
          <w:tcPr>
            <w:tcW w:w="100" w:type="dxa"/>
            <w:vAlign w:val="bottom"/>
            <w:shd w:val="clear" w:color="auto" w:fill="DCE2EF"/>
          </w:tcPr>
          <w:p>
            <w:pPr>
              <w:spacing w:after="0"/>
              <w:rPr>
                <w:sz w:val="17"/>
                <w:szCs w:val="17"/>
                <w:color w:val="auto"/>
              </w:rPr>
            </w:pPr>
          </w:p>
        </w:tc>
        <w:tc>
          <w:tcPr>
            <w:tcW w:w="300" w:type="dxa"/>
            <w:vAlign w:val="bottom"/>
            <w:shd w:val="clear" w:color="auto" w:fill="DCE2EF"/>
          </w:tcPr>
          <w:p>
            <w:pPr>
              <w:spacing w:after="0"/>
              <w:rPr>
                <w:sz w:val="17"/>
                <w:szCs w:val="17"/>
                <w:color w:val="auto"/>
              </w:rPr>
            </w:pPr>
          </w:p>
        </w:tc>
        <w:tc>
          <w:tcPr>
            <w:tcW w:w="1020" w:type="dxa"/>
            <w:vAlign w:val="bottom"/>
            <w:shd w:val="clear" w:color="auto" w:fill="DCE2EF"/>
          </w:tcPr>
          <w:p>
            <w:pPr>
              <w:jc w:val="right"/>
              <w:ind w:right="11"/>
              <w:spacing w:after="0"/>
              <w:rPr>
                <w:sz w:val="20"/>
                <w:szCs w:val="20"/>
                <w:color w:val="auto"/>
              </w:rPr>
            </w:pPr>
            <w:r>
              <w:rPr>
                <w:rFonts w:ascii="Arial" w:cs="Arial" w:eastAsia="Arial" w:hAnsi="Arial"/>
                <w:sz w:val="14"/>
                <w:szCs w:val="14"/>
                <w:color w:val="auto"/>
              </w:rPr>
              <w:t>5.0</w:t>
            </w:r>
          </w:p>
        </w:tc>
      </w:tr>
      <w:tr>
        <w:trPr>
          <w:trHeight w:val="190"/>
        </w:trPr>
        <w:tc>
          <w:tcPr>
            <w:tcW w:w="20" w:type="dxa"/>
            <w:vAlign w:val="bottom"/>
          </w:tcPr>
          <w:p>
            <w:pPr>
              <w:spacing w:after="0"/>
              <w:rPr>
                <w:sz w:val="16"/>
                <w:szCs w:val="16"/>
                <w:color w:val="auto"/>
              </w:rPr>
            </w:pPr>
          </w:p>
        </w:tc>
        <w:tc>
          <w:tcPr>
            <w:tcW w:w="7040" w:type="dxa"/>
            <w:vAlign w:val="bottom"/>
            <w:gridSpan w:val="2"/>
          </w:tcPr>
          <w:p>
            <w:pPr>
              <w:ind w:left="300"/>
              <w:spacing w:after="0"/>
              <w:rPr>
                <w:sz w:val="20"/>
                <w:szCs w:val="20"/>
                <w:color w:val="auto"/>
              </w:rPr>
            </w:pPr>
            <w:r>
              <w:rPr>
                <w:rFonts w:ascii="Arial" w:cs="Arial" w:eastAsia="Arial" w:hAnsi="Arial"/>
                <w:sz w:val="14"/>
                <w:szCs w:val="14"/>
                <w:color w:val="auto"/>
              </w:rPr>
              <w:t>Income taxes payable</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(9.2)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(6.8)</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11"/>
              <w:spacing w:after="0"/>
              <w:rPr>
                <w:sz w:val="20"/>
                <w:szCs w:val="20"/>
                <w:color w:val="auto"/>
              </w:rPr>
            </w:pPr>
            <w:r>
              <w:rPr>
                <w:rFonts w:ascii="Arial" w:cs="Arial" w:eastAsia="Arial" w:hAnsi="Arial"/>
                <w:sz w:val="14"/>
                <w:szCs w:val="14"/>
                <w:color w:val="auto"/>
              </w:rPr>
              <w:t>15.1</w:t>
            </w:r>
          </w:p>
        </w:tc>
      </w:tr>
      <w:tr>
        <w:trPr>
          <w:trHeight w:val="197"/>
        </w:trPr>
        <w:tc>
          <w:tcPr>
            <w:tcW w:w="20" w:type="dxa"/>
            <w:vAlign w:val="bottom"/>
            <w:shd w:val="clear" w:color="auto" w:fill="DCE2EF"/>
          </w:tcPr>
          <w:p>
            <w:pPr>
              <w:spacing w:after="0"/>
              <w:rPr>
                <w:sz w:val="17"/>
                <w:szCs w:val="17"/>
                <w:color w:val="auto"/>
              </w:rPr>
            </w:pPr>
          </w:p>
        </w:tc>
        <w:tc>
          <w:tcPr>
            <w:tcW w:w="7040" w:type="dxa"/>
            <w:vAlign w:val="bottom"/>
            <w:gridSpan w:val="2"/>
            <w:shd w:val="clear" w:color="auto" w:fill="DCE2EF"/>
          </w:tcPr>
          <w:p>
            <w:pPr>
              <w:ind w:left="300"/>
              <w:spacing w:after="0"/>
              <w:rPr>
                <w:sz w:val="20"/>
                <w:szCs w:val="20"/>
                <w:color w:val="auto"/>
              </w:rPr>
            </w:pPr>
            <w:r>
              <w:rPr>
                <w:rFonts w:ascii="Arial" w:cs="Arial" w:eastAsia="Arial" w:hAnsi="Arial"/>
                <w:sz w:val="14"/>
                <w:szCs w:val="14"/>
                <w:color w:val="auto"/>
              </w:rPr>
              <w:t>Other noncurrent liabilities</w:t>
            </w:r>
          </w:p>
        </w:tc>
        <w:tc>
          <w:tcPr>
            <w:tcW w:w="300" w:type="dxa"/>
            <w:vAlign w:val="bottom"/>
            <w:tcBorders>
              <w:bottom w:val="single" w:sz="8" w:color="auto"/>
            </w:tcBorders>
            <w:shd w:val="clear" w:color="auto" w:fill="DCE2EF"/>
          </w:tcPr>
          <w:p>
            <w:pPr>
              <w:spacing w:after="0"/>
              <w:rPr>
                <w:sz w:val="17"/>
                <w:szCs w:val="17"/>
                <w:color w:val="auto"/>
              </w:rPr>
            </w:pPr>
          </w:p>
        </w:tc>
        <w:tc>
          <w:tcPr>
            <w:tcW w:w="102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4"/>
                <w:szCs w:val="14"/>
                <w:color w:val="auto"/>
              </w:rPr>
              <w:t>(38.1)</w:t>
            </w:r>
          </w:p>
        </w:tc>
        <w:tc>
          <w:tcPr>
            <w:tcW w:w="100" w:type="dxa"/>
            <w:vAlign w:val="bottom"/>
            <w:shd w:val="clear" w:color="auto" w:fill="DCE2EF"/>
          </w:tcPr>
          <w:p>
            <w:pPr>
              <w:spacing w:after="0"/>
              <w:rPr>
                <w:sz w:val="17"/>
                <w:szCs w:val="17"/>
                <w:color w:val="auto"/>
              </w:rPr>
            </w:pPr>
          </w:p>
        </w:tc>
        <w:tc>
          <w:tcPr>
            <w:tcW w:w="300" w:type="dxa"/>
            <w:vAlign w:val="bottom"/>
            <w:tcBorders>
              <w:bottom w:val="single" w:sz="8" w:color="auto"/>
            </w:tcBorders>
            <w:shd w:val="clear" w:color="auto" w:fill="DCE2EF"/>
          </w:tcPr>
          <w:p>
            <w:pPr>
              <w:spacing w:after="0"/>
              <w:rPr>
                <w:sz w:val="17"/>
                <w:szCs w:val="17"/>
                <w:color w:val="auto"/>
              </w:rPr>
            </w:pPr>
          </w:p>
        </w:tc>
        <w:tc>
          <w:tcPr>
            <w:tcW w:w="102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4"/>
                <w:szCs w:val="14"/>
                <w:color w:val="auto"/>
              </w:rPr>
              <w:t>(4.2)</w:t>
            </w:r>
          </w:p>
        </w:tc>
        <w:tc>
          <w:tcPr>
            <w:tcW w:w="100" w:type="dxa"/>
            <w:vAlign w:val="bottom"/>
            <w:shd w:val="clear" w:color="auto" w:fill="DCE2EF"/>
          </w:tcPr>
          <w:p>
            <w:pPr>
              <w:spacing w:after="0"/>
              <w:rPr>
                <w:sz w:val="17"/>
                <w:szCs w:val="17"/>
                <w:color w:val="auto"/>
              </w:rPr>
            </w:pPr>
          </w:p>
        </w:tc>
        <w:tc>
          <w:tcPr>
            <w:tcW w:w="300" w:type="dxa"/>
            <w:vAlign w:val="bottom"/>
            <w:tcBorders>
              <w:bottom w:val="single" w:sz="8" w:color="auto"/>
            </w:tcBorders>
            <w:shd w:val="clear" w:color="auto" w:fill="DCE2EF"/>
          </w:tcPr>
          <w:p>
            <w:pPr>
              <w:spacing w:after="0"/>
              <w:rPr>
                <w:sz w:val="17"/>
                <w:szCs w:val="17"/>
                <w:color w:val="auto"/>
              </w:rPr>
            </w:pPr>
          </w:p>
        </w:tc>
        <w:tc>
          <w:tcPr>
            <w:tcW w:w="1020" w:type="dxa"/>
            <w:vAlign w:val="bottom"/>
            <w:tcBorders>
              <w:bottom w:val="single" w:sz="8" w:color="auto"/>
            </w:tcBorders>
            <w:shd w:val="clear" w:color="auto" w:fill="DCE2EF"/>
          </w:tcPr>
          <w:p>
            <w:pPr>
              <w:jc w:val="right"/>
              <w:ind w:right="11"/>
              <w:spacing w:after="0"/>
              <w:rPr>
                <w:sz w:val="20"/>
                <w:szCs w:val="20"/>
                <w:color w:val="auto"/>
              </w:rPr>
            </w:pPr>
            <w:r>
              <w:rPr>
                <w:rFonts w:ascii="Arial" w:cs="Arial" w:eastAsia="Arial" w:hAnsi="Arial"/>
                <w:sz w:val="14"/>
                <w:szCs w:val="14"/>
                <w:color w:val="auto"/>
              </w:rPr>
              <w:t>3.8</w:t>
            </w:r>
          </w:p>
        </w:tc>
      </w:tr>
      <w:tr>
        <w:trPr>
          <w:trHeight w:val="182"/>
        </w:trPr>
        <w:tc>
          <w:tcPr>
            <w:tcW w:w="20" w:type="dxa"/>
            <w:vAlign w:val="bottom"/>
            <w:tcBorders>
              <w:bottom w:val="single" w:sz="8" w:color="DCE2EF"/>
            </w:tcBorders>
          </w:tcPr>
          <w:p>
            <w:pPr>
              <w:spacing w:after="0"/>
              <w:rPr>
                <w:sz w:val="15"/>
                <w:szCs w:val="15"/>
                <w:color w:val="auto"/>
              </w:rPr>
            </w:pPr>
          </w:p>
        </w:tc>
        <w:tc>
          <w:tcPr>
            <w:tcW w:w="7040" w:type="dxa"/>
            <w:vAlign w:val="bottom"/>
            <w:tcBorders>
              <w:bottom w:val="single" w:sz="8" w:color="DCE2EF"/>
            </w:tcBorders>
            <w:gridSpan w:val="2"/>
          </w:tcPr>
          <w:p>
            <w:pPr>
              <w:ind w:left="300"/>
              <w:spacing w:after="0"/>
              <w:rPr>
                <w:sz w:val="20"/>
                <w:szCs w:val="20"/>
                <w:color w:val="auto"/>
              </w:rPr>
            </w:pPr>
            <w:r>
              <w:rPr>
                <w:rFonts w:ascii="Arial" w:cs="Arial" w:eastAsia="Arial" w:hAnsi="Arial"/>
                <w:sz w:val="14"/>
                <w:szCs w:val="14"/>
                <w:color w:val="auto"/>
              </w:rPr>
              <w:t>Total adjustments</w:t>
            </w: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72.0</w:t>
            </w:r>
          </w:p>
        </w:tc>
        <w:tc>
          <w:tcPr>
            <w:tcW w:w="100" w:type="dxa"/>
            <w:vAlign w:val="bottom"/>
            <w:tcBorders>
              <w:bottom w:val="single" w:sz="8" w:color="DCE2E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145.3</w:t>
            </w:r>
          </w:p>
        </w:tc>
        <w:tc>
          <w:tcPr>
            <w:tcW w:w="100" w:type="dxa"/>
            <w:vAlign w:val="bottom"/>
            <w:tcBorders>
              <w:bottom w:val="single" w:sz="8" w:color="DCE2E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w:t>
            </w:r>
          </w:p>
        </w:tc>
      </w:tr>
      <w:tr>
        <w:trPr>
          <w:trHeight w:val="190"/>
        </w:trPr>
        <w:tc>
          <w:tcPr>
            <w:tcW w:w="20" w:type="dxa"/>
            <w:vAlign w:val="bottom"/>
            <w:shd w:val="clear" w:color="auto" w:fill="DCE2EF"/>
          </w:tcPr>
          <w:p>
            <w:pPr>
              <w:spacing w:after="0"/>
              <w:rPr>
                <w:sz w:val="16"/>
                <w:szCs w:val="16"/>
                <w:color w:val="auto"/>
              </w:rPr>
            </w:pPr>
          </w:p>
        </w:tc>
        <w:tc>
          <w:tcPr>
            <w:tcW w:w="7040" w:type="dxa"/>
            <w:vAlign w:val="bottom"/>
            <w:gridSpan w:val="2"/>
            <w:shd w:val="clear" w:color="auto" w:fill="DCE2EF"/>
          </w:tcPr>
          <w:p>
            <w:pPr>
              <w:spacing w:after="0"/>
              <w:rPr>
                <w:sz w:val="20"/>
                <w:szCs w:val="20"/>
                <w:color w:val="auto"/>
              </w:rPr>
            </w:pPr>
            <w:r>
              <w:rPr>
                <w:rFonts w:ascii="Arial" w:cs="Arial" w:eastAsia="Arial" w:hAnsi="Arial"/>
                <w:sz w:val="14"/>
                <w:szCs w:val="14"/>
                <w:b w:val="1"/>
                <w:bCs w:val="1"/>
                <w:color w:val="auto"/>
              </w:rPr>
              <w:t>Net cash provided by operating activities</w:t>
            </w:r>
          </w:p>
        </w:tc>
        <w:tc>
          <w:tcPr>
            <w:tcW w:w="300" w:type="dxa"/>
            <w:vAlign w:val="bottom"/>
            <w:tcBorders>
              <w:bottom w:val="single" w:sz="8" w:color="auto"/>
            </w:tcBorders>
            <w:shd w:val="clear" w:color="auto" w:fill="DCE2EF"/>
          </w:tcPr>
          <w:p>
            <w:pPr>
              <w:spacing w:after="0"/>
              <w:rPr>
                <w:sz w:val="16"/>
                <w:szCs w:val="16"/>
                <w:color w:val="auto"/>
              </w:rPr>
            </w:pPr>
          </w:p>
        </w:tc>
        <w:tc>
          <w:tcPr>
            <w:tcW w:w="102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4"/>
                <w:szCs w:val="14"/>
                <w:color w:val="auto"/>
              </w:rPr>
              <w:t>234.4</w:t>
            </w:r>
          </w:p>
        </w:tc>
        <w:tc>
          <w:tcPr>
            <w:tcW w:w="100" w:type="dxa"/>
            <w:vAlign w:val="bottom"/>
            <w:shd w:val="clear" w:color="auto" w:fill="DCE2EF"/>
          </w:tcPr>
          <w:p>
            <w:pPr>
              <w:spacing w:after="0"/>
              <w:rPr>
                <w:sz w:val="16"/>
                <w:szCs w:val="16"/>
                <w:color w:val="auto"/>
              </w:rPr>
            </w:pPr>
          </w:p>
        </w:tc>
        <w:tc>
          <w:tcPr>
            <w:tcW w:w="300" w:type="dxa"/>
            <w:vAlign w:val="bottom"/>
            <w:tcBorders>
              <w:bottom w:val="single" w:sz="8" w:color="auto"/>
            </w:tcBorders>
            <w:shd w:val="clear" w:color="auto" w:fill="DCE2EF"/>
          </w:tcPr>
          <w:p>
            <w:pPr>
              <w:spacing w:after="0"/>
              <w:rPr>
                <w:sz w:val="16"/>
                <w:szCs w:val="16"/>
                <w:color w:val="auto"/>
              </w:rPr>
            </w:pPr>
          </w:p>
        </w:tc>
        <w:tc>
          <w:tcPr>
            <w:tcW w:w="102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4"/>
                <w:szCs w:val="14"/>
                <w:color w:val="auto"/>
              </w:rPr>
              <w:t>226.7</w:t>
            </w:r>
          </w:p>
        </w:tc>
        <w:tc>
          <w:tcPr>
            <w:tcW w:w="100" w:type="dxa"/>
            <w:vAlign w:val="bottom"/>
            <w:shd w:val="clear" w:color="auto" w:fill="DCE2EF"/>
          </w:tcPr>
          <w:p>
            <w:pPr>
              <w:spacing w:after="0"/>
              <w:rPr>
                <w:sz w:val="16"/>
                <w:szCs w:val="16"/>
                <w:color w:val="auto"/>
              </w:rPr>
            </w:pPr>
          </w:p>
        </w:tc>
        <w:tc>
          <w:tcPr>
            <w:tcW w:w="300" w:type="dxa"/>
            <w:vAlign w:val="bottom"/>
            <w:tcBorders>
              <w:bottom w:val="single" w:sz="8" w:color="auto"/>
            </w:tcBorders>
            <w:shd w:val="clear" w:color="auto" w:fill="DCE2EF"/>
          </w:tcPr>
          <w:p>
            <w:pPr>
              <w:spacing w:after="0"/>
              <w:rPr>
                <w:sz w:val="16"/>
                <w:szCs w:val="16"/>
                <w:color w:val="auto"/>
              </w:rPr>
            </w:pPr>
          </w:p>
        </w:tc>
        <w:tc>
          <w:tcPr>
            <w:tcW w:w="1020" w:type="dxa"/>
            <w:vAlign w:val="bottom"/>
            <w:tcBorders>
              <w:bottom w:val="single" w:sz="8" w:color="auto"/>
            </w:tcBorders>
            <w:shd w:val="clear" w:color="auto" w:fill="DCE2EF"/>
          </w:tcPr>
          <w:p>
            <w:pPr>
              <w:jc w:val="right"/>
              <w:ind w:right="11"/>
              <w:spacing w:after="0"/>
              <w:rPr>
                <w:sz w:val="20"/>
                <w:szCs w:val="20"/>
                <w:color w:val="auto"/>
              </w:rPr>
            </w:pPr>
            <w:r>
              <w:rPr>
                <w:rFonts w:ascii="Arial" w:cs="Arial" w:eastAsia="Arial" w:hAnsi="Arial"/>
                <w:sz w:val="14"/>
                <w:szCs w:val="14"/>
                <w:color w:val="auto"/>
              </w:rPr>
              <w:t>243.3</w:t>
            </w:r>
          </w:p>
        </w:tc>
      </w:tr>
      <w:tr>
        <w:trPr>
          <w:trHeight w:val="173"/>
        </w:trPr>
        <w:tc>
          <w:tcPr>
            <w:tcW w:w="20" w:type="dxa"/>
            <w:vAlign w:val="bottom"/>
          </w:tcPr>
          <w:p>
            <w:pPr>
              <w:spacing w:after="0"/>
              <w:rPr>
                <w:sz w:val="15"/>
                <w:szCs w:val="15"/>
                <w:color w:val="auto"/>
              </w:rPr>
            </w:pPr>
          </w:p>
        </w:tc>
        <w:tc>
          <w:tcPr>
            <w:tcW w:w="7040" w:type="dxa"/>
            <w:vAlign w:val="bottom"/>
            <w:gridSpan w:val="2"/>
          </w:tcPr>
          <w:p>
            <w:pPr>
              <w:spacing w:after="0"/>
              <w:rPr>
                <w:sz w:val="20"/>
                <w:szCs w:val="20"/>
                <w:color w:val="auto"/>
              </w:rPr>
            </w:pPr>
            <w:r>
              <w:rPr>
                <w:rFonts w:ascii="Arial" w:cs="Arial" w:eastAsia="Arial" w:hAnsi="Arial"/>
                <w:sz w:val="14"/>
                <w:szCs w:val="14"/>
                <w:b w:val="1"/>
                <w:bCs w:val="1"/>
                <w:color w:val="auto"/>
              </w:rPr>
              <w:t>Cash flows from investing activities</w:t>
            </w: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94"/>
        </w:trPr>
        <w:tc>
          <w:tcPr>
            <w:tcW w:w="20" w:type="dxa"/>
            <w:vAlign w:val="bottom"/>
            <w:shd w:val="clear" w:color="auto" w:fill="DCE2EF"/>
          </w:tcPr>
          <w:p>
            <w:pPr>
              <w:spacing w:after="0"/>
              <w:rPr>
                <w:sz w:val="16"/>
                <w:szCs w:val="16"/>
                <w:color w:val="auto"/>
              </w:rPr>
            </w:pPr>
          </w:p>
        </w:tc>
        <w:tc>
          <w:tcPr>
            <w:tcW w:w="7040" w:type="dxa"/>
            <w:vAlign w:val="bottom"/>
            <w:gridSpan w:val="2"/>
            <w:shd w:val="clear" w:color="auto" w:fill="DCE2EF"/>
          </w:tcPr>
          <w:p>
            <w:pPr>
              <w:spacing w:after="0"/>
              <w:rPr>
                <w:sz w:val="20"/>
                <w:szCs w:val="20"/>
                <w:color w:val="auto"/>
              </w:rPr>
            </w:pPr>
            <w:r>
              <w:rPr>
                <w:rFonts w:ascii="Arial" w:cs="Arial" w:eastAsia="Arial" w:hAnsi="Arial"/>
                <w:sz w:val="14"/>
                <w:szCs w:val="14"/>
                <w:color w:val="auto"/>
              </w:rPr>
              <w:t>Additions to property, plant and equipment</w:t>
            </w:r>
          </w:p>
        </w:tc>
        <w:tc>
          <w:tcPr>
            <w:tcW w:w="300" w:type="dxa"/>
            <w:vAlign w:val="bottom"/>
            <w:shd w:val="clear" w:color="auto" w:fill="DCE2EF"/>
          </w:tcPr>
          <w:p>
            <w:pPr>
              <w:spacing w:after="0"/>
              <w:rPr>
                <w:sz w:val="16"/>
                <w:szCs w:val="16"/>
                <w:color w:val="auto"/>
              </w:rPr>
            </w:pPr>
          </w:p>
        </w:tc>
        <w:tc>
          <w:tcPr>
            <w:tcW w:w="1020" w:type="dxa"/>
            <w:vAlign w:val="bottom"/>
            <w:shd w:val="clear" w:color="auto" w:fill="DCE2EF"/>
          </w:tcPr>
          <w:p>
            <w:pPr>
              <w:jc w:val="right"/>
              <w:spacing w:after="0"/>
              <w:rPr>
                <w:sz w:val="20"/>
                <w:szCs w:val="20"/>
                <w:color w:val="auto"/>
              </w:rPr>
            </w:pPr>
            <w:r>
              <w:rPr>
                <w:rFonts w:ascii="Arial" w:cs="Arial" w:eastAsia="Arial" w:hAnsi="Arial"/>
                <w:sz w:val="14"/>
                <w:szCs w:val="14"/>
                <w:color w:val="auto"/>
              </w:rPr>
              <w:t>(79.3)</w:t>
            </w:r>
          </w:p>
        </w:tc>
        <w:tc>
          <w:tcPr>
            <w:tcW w:w="100" w:type="dxa"/>
            <w:vAlign w:val="bottom"/>
            <w:shd w:val="clear" w:color="auto" w:fill="DCE2EF"/>
          </w:tcPr>
          <w:p>
            <w:pPr>
              <w:spacing w:after="0"/>
              <w:rPr>
                <w:sz w:val="16"/>
                <w:szCs w:val="16"/>
                <w:color w:val="auto"/>
              </w:rPr>
            </w:pPr>
          </w:p>
        </w:tc>
        <w:tc>
          <w:tcPr>
            <w:tcW w:w="300" w:type="dxa"/>
            <w:vAlign w:val="bottom"/>
            <w:shd w:val="clear" w:color="auto" w:fill="DCE2EF"/>
          </w:tcPr>
          <w:p>
            <w:pPr>
              <w:spacing w:after="0"/>
              <w:rPr>
                <w:sz w:val="16"/>
                <w:szCs w:val="16"/>
                <w:color w:val="auto"/>
              </w:rPr>
            </w:pPr>
          </w:p>
        </w:tc>
        <w:tc>
          <w:tcPr>
            <w:tcW w:w="1020" w:type="dxa"/>
            <w:vAlign w:val="bottom"/>
            <w:shd w:val="clear" w:color="auto" w:fill="DCE2EF"/>
          </w:tcPr>
          <w:p>
            <w:pPr>
              <w:jc w:val="right"/>
              <w:spacing w:after="0"/>
              <w:rPr>
                <w:sz w:val="20"/>
                <w:szCs w:val="20"/>
                <w:color w:val="auto"/>
              </w:rPr>
            </w:pPr>
            <w:r>
              <w:rPr>
                <w:rFonts w:ascii="Arial" w:cs="Arial" w:eastAsia="Arial" w:hAnsi="Arial"/>
                <w:sz w:val="14"/>
                <w:szCs w:val="14"/>
                <w:color w:val="auto"/>
              </w:rPr>
              <w:t>(59.4)</w:t>
            </w:r>
          </w:p>
        </w:tc>
        <w:tc>
          <w:tcPr>
            <w:tcW w:w="100" w:type="dxa"/>
            <w:vAlign w:val="bottom"/>
            <w:shd w:val="clear" w:color="auto" w:fill="DCE2EF"/>
          </w:tcPr>
          <w:p>
            <w:pPr>
              <w:spacing w:after="0"/>
              <w:rPr>
                <w:sz w:val="16"/>
                <w:szCs w:val="16"/>
                <w:color w:val="auto"/>
              </w:rPr>
            </w:pPr>
          </w:p>
        </w:tc>
        <w:tc>
          <w:tcPr>
            <w:tcW w:w="300" w:type="dxa"/>
            <w:vAlign w:val="bottom"/>
            <w:shd w:val="clear" w:color="auto" w:fill="DCE2EF"/>
          </w:tcPr>
          <w:p>
            <w:pPr>
              <w:spacing w:after="0"/>
              <w:rPr>
                <w:sz w:val="16"/>
                <w:szCs w:val="16"/>
                <w:color w:val="auto"/>
              </w:rPr>
            </w:pPr>
          </w:p>
        </w:tc>
        <w:tc>
          <w:tcPr>
            <w:tcW w:w="1020" w:type="dxa"/>
            <w:vAlign w:val="bottom"/>
            <w:shd w:val="clear" w:color="auto" w:fill="DCE2EF"/>
          </w:tcPr>
          <w:p>
            <w:pPr>
              <w:jc w:val="right"/>
              <w:spacing w:after="0"/>
              <w:rPr>
                <w:sz w:val="20"/>
                <w:szCs w:val="20"/>
                <w:color w:val="auto"/>
              </w:rPr>
            </w:pPr>
            <w:r>
              <w:rPr>
                <w:rFonts w:ascii="Arial" w:cs="Arial" w:eastAsia="Arial" w:hAnsi="Arial"/>
                <w:sz w:val="14"/>
                <w:szCs w:val="14"/>
                <w:color w:val="auto"/>
              </w:rPr>
              <w:t>(52.6)</w:t>
            </w:r>
          </w:p>
        </w:tc>
      </w:tr>
      <w:tr>
        <w:trPr>
          <w:trHeight w:val="190"/>
        </w:trPr>
        <w:tc>
          <w:tcPr>
            <w:tcW w:w="20" w:type="dxa"/>
            <w:vAlign w:val="bottom"/>
          </w:tcPr>
          <w:p>
            <w:pPr>
              <w:spacing w:after="0"/>
              <w:rPr>
                <w:sz w:val="16"/>
                <w:szCs w:val="16"/>
                <w:color w:val="auto"/>
              </w:rPr>
            </w:pPr>
          </w:p>
        </w:tc>
        <w:tc>
          <w:tcPr>
            <w:tcW w:w="7040" w:type="dxa"/>
            <w:vAlign w:val="bottom"/>
            <w:gridSpan w:val="2"/>
          </w:tcPr>
          <w:p>
            <w:pPr>
              <w:spacing w:after="0"/>
              <w:rPr>
                <w:sz w:val="20"/>
                <w:szCs w:val="20"/>
                <w:color w:val="auto"/>
              </w:rPr>
            </w:pPr>
            <w:r>
              <w:rPr>
                <w:rFonts w:ascii="Arial" w:cs="Arial" w:eastAsia="Arial" w:hAnsi="Arial"/>
                <w:sz w:val="14"/>
                <w:szCs w:val="14"/>
                <w:color w:val="auto"/>
              </w:rPr>
              <w:t>Proceeds from sale of assets</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0.4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11"/>
              <w:spacing w:after="0"/>
              <w:rPr>
                <w:sz w:val="20"/>
                <w:szCs w:val="20"/>
                <w:color w:val="auto"/>
              </w:rPr>
            </w:pPr>
            <w:r>
              <w:rPr>
                <w:rFonts w:ascii="Arial" w:cs="Arial" w:eastAsia="Arial" w:hAnsi="Arial"/>
                <w:sz w:val="14"/>
                <w:szCs w:val="14"/>
                <w:color w:val="auto"/>
              </w:rPr>
              <w:t>2.9</w:t>
            </w:r>
          </w:p>
        </w:tc>
      </w:tr>
      <w:tr>
        <w:trPr>
          <w:trHeight w:val="197"/>
        </w:trPr>
        <w:tc>
          <w:tcPr>
            <w:tcW w:w="20" w:type="dxa"/>
            <w:vAlign w:val="bottom"/>
            <w:shd w:val="clear" w:color="auto" w:fill="DCE2EF"/>
          </w:tcPr>
          <w:p>
            <w:pPr>
              <w:spacing w:after="0"/>
              <w:rPr>
                <w:sz w:val="17"/>
                <w:szCs w:val="17"/>
                <w:color w:val="auto"/>
              </w:rPr>
            </w:pPr>
          </w:p>
        </w:tc>
        <w:tc>
          <w:tcPr>
            <w:tcW w:w="7040" w:type="dxa"/>
            <w:vAlign w:val="bottom"/>
            <w:gridSpan w:val="2"/>
            <w:shd w:val="clear" w:color="auto" w:fill="DCE2EF"/>
          </w:tcPr>
          <w:p>
            <w:pPr>
              <w:spacing w:after="0"/>
              <w:rPr>
                <w:sz w:val="20"/>
                <w:szCs w:val="20"/>
                <w:color w:val="auto"/>
              </w:rPr>
            </w:pPr>
            <w:r>
              <w:rPr>
                <w:rFonts w:ascii="Arial" w:cs="Arial" w:eastAsia="Arial" w:hAnsi="Arial"/>
                <w:sz w:val="14"/>
                <w:szCs w:val="14"/>
                <w:color w:val="auto"/>
              </w:rPr>
              <w:t>Purchase of businesses, net of cash acquired, and equity securities</w:t>
            </w:r>
          </w:p>
        </w:tc>
        <w:tc>
          <w:tcPr>
            <w:tcW w:w="300" w:type="dxa"/>
            <w:vAlign w:val="bottom"/>
            <w:tcBorders>
              <w:bottom w:val="single" w:sz="8" w:color="auto"/>
            </w:tcBorders>
            <w:shd w:val="clear" w:color="auto" w:fill="DCE2EF"/>
          </w:tcPr>
          <w:p>
            <w:pPr>
              <w:spacing w:after="0"/>
              <w:rPr>
                <w:sz w:val="17"/>
                <w:szCs w:val="17"/>
                <w:color w:val="auto"/>
              </w:rPr>
            </w:pPr>
          </w:p>
        </w:tc>
        <w:tc>
          <w:tcPr>
            <w:tcW w:w="102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4"/>
                <w:szCs w:val="14"/>
                <w:color w:val="auto"/>
              </w:rPr>
              <w:t>(36.7)</w:t>
            </w:r>
          </w:p>
        </w:tc>
        <w:tc>
          <w:tcPr>
            <w:tcW w:w="100" w:type="dxa"/>
            <w:vAlign w:val="bottom"/>
            <w:shd w:val="clear" w:color="auto" w:fill="DCE2EF"/>
          </w:tcPr>
          <w:p>
            <w:pPr>
              <w:spacing w:after="0"/>
              <w:rPr>
                <w:sz w:val="17"/>
                <w:szCs w:val="17"/>
                <w:color w:val="auto"/>
              </w:rPr>
            </w:pPr>
          </w:p>
        </w:tc>
        <w:tc>
          <w:tcPr>
            <w:tcW w:w="300" w:type="dxa"/>
            <w:vAlign w:val="bottom"/>
            <w:tcBorders>
              <w:bottom w:val="single" w:sz="8" w:color="auto"/>
            </w:tcBorders>
            <w:shd w:val="clear" w:color="auto" w:fill="DCE2EF"/>
          </w:tcPr>
          <w:p>
            <w:pPr>
              <w:spacing w:after="0"/>
              <w:rPr>
                <w:sz w:val="17"/>
                <w:szCs w:val="17"/>
                <w:color w:val="auto"/>
              </w:rPr>
            </w:pPr>
          </w:p>
        </w:tc>
        <w:tc>
          <w:tcPr>
            <w:tcW w:w="102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4"/>
                <w:szCs w:val="14"/>
                <w:color w:val="auto"/>
              </w:rPr>
              <w:t>(114.3)</w:t>
            </w:r>
          </w:p>
        </w:tc>
        <w:tc>
          <w:tcPr>
            <w:tcW w:w="100" w:type="dxa"/>
            <w:vAlign w:val="bottom"/>
            <w:shd w:val="clear" w:color="auto" w:fill="DCE2EF"/>
          </w:tcPr>
          <w:p>
            <w:pPr>
              <w:spacing w:after="0"/>
              <w:rPr>
                <w:sz w:val="17"/>
                <w:szCs w:val="17"/>
                <w:color w:val="auto"/>
              </w:rPr>
            </w:pPr>
          </w:p>
        </w:tc>
        <w:tc>
          <w:tcPr>
            <w:tcW w:w="300" w:type="dxa"/>
            <w:vAlign w:val="bottom"/>
            <w:tcBorders>
              <w:bottom w:val="single" w:sz="8" w:color="auto"/>
            </w:tcBorders>
            <w:shd w:val="clear" w:color="auto" w:fill="DCE2EF"/>
          </w:tcPr>
          <w:p>
            <w:pPr>
              <w:spacing w:after="0"/>
              <w:rPr>
                <w:sz w:val="17"/>
                <w:szCs w:val="17"/>
                <w:color w:val="auto"/>
              </w:rPr>
            </w:pPr>
          </w:p>
        </w:tc>
        <w:tc>
          <w:tcPr>
            <w:tcW w:w="102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4"/>
                <w:szCs w:val="14"/>
                <w:color w:val="auto"/>
              </w:rPr>
              <w:t>(12.4)</w:t>
            </w:r>
          </w:p>
        </w:tc>
      </w:tr>
      <w:tr>
        <w:trPr>
          <w:trHeight w:val="185"/>
        </w:trPr>
        <w:tc>
          <w:tcPr>
            <w:tcW w:w="20" w:type="dxa"/>
            <w:vAlign w:val="bottom"/>
            <w:tcBorders>
              <w:bottom w:val="single" w:sz="8" w:color="DCE2EF"/>
            </w:tcBorders>
          </w:tcPr>
          <w:p>
            <w:pPr>
              <w:spacing w:after="0"/>
              <w:rPr>
                <w:sz w:val="16"/>
                <w:szCs w:val="16"/>
                <w:color w:val="auto"/>
              </w:rPr>
            </w:pPr>
          </w:p>
        </w:tc>
        <w:tc>
          <w:tcPr>
            <w:tcW w:w="7040" w:type="dxa"/>
            <w:vAlign w:val="bottom"/>
            <w:tcBorders>
              <w:bottom w:val="single" w:sz="8" w:color="DCE2EF"/>
            </w:tcBorders>
            <w:gridSpan w:val="2"/>
          </w:tcPr>
          <w:p>
            <w:pPr>
              <w:spacing w:after="0"/>
              <w:rPr>
                <w:sz w:val="20"/>
                <w:szCs w:val="20"/>
                <w:color w:val="auto"/>
              </w:rPr>
            </w:pPr>
            <w:r>
              <w:rPr>
                <w:rFonts w:ascii="Arial" w:cs="Arial" w:eastAsia="Arial" w:hAnsi="Arial"/>
                <w:sz w:val="14"/>
                <w:szCs w:val="14"/>
                <w:b w:val="1"/>
                <w:bCs w:val="1"/>
                <w:color w:val="auto"/>
              </w:rPr>
              <w:t>Net cash used in investing activities</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(115.6)</w:t>
            </w:r>
          </w:p>
        </w:tc>
        <w:tc>
          <w:tcPr>
            <w:tcW w:w="100" w:type="dxa"/>
            <w:vAlign w:val="bottom"/>
            <w:tcBorders>
              <w:bottom w:val="single" w:sz="8" w:color="DCE2E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(171.9)</w:t>
            </w:r>
          </w:p>
        </w:tc>
        <w:tc>
          <w:tcPr>
            <w:tcW w:w="100" w:type="dxa"/>
            <w:vAlign w:val="bottom"/>
            <w:tcBorders>
              <w:bottom w:val="single" w:sz="8" w:color="DCE2E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(62.1)</w:t>
            </w:r>
          </w:p>
        </w:tc>
      </w:tr>
      <w:tr>
        <w:trPr>
          <w:trHeight w:val="174"/>
        </w:trPr>
        <w:tc>
          <w:tcPr>
            <w:tcW w:w="20" w:type="dxa"/>
            <w:vAlign w:val="bottom"/>
            <w:shd w:val="clear" w:color="auto" w:fill="DCE2EF"/>
          </w:tcPr>
          <w:p>
            <w:pPr>
              <w:spacing w:after="0"/>
              <w:rPr>
                <w:sz w:val="15"/>
                <w:szCs w:val="15"/>
                <w:color w:val="auto"/>
              </w:rPr>
            </w:pPr>
          </w:p>
        </w:tc>
        <w:tc>
          <w:tcPr>
            <w:tcW w:w="7040" w:type="dxa"/>
            <w:vAlign w:val="bottom"/>
            <w:gridSpan w:val="2"/>
            <w:shd w:val="clear" w:color="auto" w:fill="DCE2EF"/>
          </w:tcPr>
          <w:p>
            <w:pPr>
              <w:spacing w:after="0"/>
              <w:rPr>
                <w:sz w:val="20"/>
                <w:szCs w:val="20"/>
                <w:color w:val="auto"/>
              </w:rPr>
            </w:pPr>
            <w:r>
              <w:rPr>
                <w:rFonts w:ascii="Arial" w:cs="Arial" w:eastAsia="Arial" w:hAnsi="Arial"/>
                <w:sz w:val="14"/>
                <w:szCs w:val="14"/>
                <w:b w:val="1"/>
                <w:bCs w:val="1"/>
                <w:color w:val="auto"/>
              </w:rPr>
              <w:t>Cash flows from financing activities</w:t>
            </w:r>
          </w:p>
        </w:tc>
        <w:tc>
          <w:tcPr>
            <w:tcW w:w="300" w:type="dxa"/>
            <w:vAlign w:val="bottom"/>
            <w:shd w:val="clear" w:color="auto" w:fill="DCE2EF"/>
          </w:tcPr>
          <w:p>
            <w:pPr>
              <w:spacing w:after="0"/>
              <w:rPr>
                <w:sz w:val="15"/>
                <w:szCs w:val="15"/>
                <w:color w:val="auto"/>
              </w:rPr>
            </w:pPr>
          </w:p>
        </w:tc>
        <w:tc>
          <w:tcPr>
            <w:tcW w:w="1020" w:type="dxa"/>
            <w:vAlign w:val="bottom"/>
            <w:shd w:val="clear" w:color="auto" w:fill="DCE2EF"/>
          </w:tcPr>
          <w:p>
            <w:pPr>
              <w:spacing w:after="0"/>
              <w:rPr>
                <w:sz w:val="15"/>
                <w:szCs w:val="15"/>
                <w:color w:val="auto"/>
              </w:rPr>
            </w:pPr>
          </w:p>
        </w:tc>
        <w:tc>
          <w:tcPr>
            <w:tcW w:w="100" w:type="dxa"/>
            <w:vAlign w:val="bottom"/>
            <w:shd w:val="clear" w:color="auto" w:fill="DCE2EF"/>
          </w:tcPr>
          <w:p>
            <w:pPr>
              <w:spacing w:after="0"/>
              <w:rPr>
                <w:sz w:val="15"/>
                <w:szCs w:val="15"/>
                <w:color w:val="auto"/>
              </w:rPr>
            </w:pPr>
          </w:p>
        </w:tc>
        <w:tc>
          <w:tcPr>
            <w:tcW w:w="300" w:type="dxa"/>
            <w:vAlign w:val="bottom"/>
            <w:shd w:val="clear" w:color="auto" w:fill="DCE2EF"/>
          </w:tcPr>
          <w:p>
            <w:pPr>
              <w:spacing w:after="0"/>
              <w:rPr>
                <w:sz w:val="15"/>
                <w:szCs w:val="15"/>
                <w:color w:val="auto"/>
              </w:rPr>
            </w:pPr>
          </w:p>
        </w:tc>
        <w:tc>
          <w:tcPr>
            <w:tcW w:w="1020" w:type="dxa"/>
            <w:vAlign w:val="bottom"/>
            <w:shd w:val="clear" w:color="auto" w:fill="DCE2EF"/>
          </w:tcPr>
          <w:p>
            <w:pPr>
              <w:spacing w:after="0"/>
              <w:rPr>
                <w:sz w:val="15"/>
                <w:szCs w:val="15"/>
                <w:color w:val="auto"/>
              </w:rPr>
            </w:pPr>
          </w:p>
        </w:tc>
        <w:tc>
          <w:tcPr>
            <w:tcW w:w="100" w:type="dxa"/>
            <w:vAlign w:val="bottom"/>
            <w:shd w:val="clear" w:color="auto" w:fill="DCE2EF"/>
          </w:tcPr>
          <w:p>
            <w:pPr>
              <w:spacing w:after="0"/>
              <w:rPr>
                <w:sz w:val="15"/>
                <w:szCs w:val="15"/>
                <w:color w:val="auto"/>
              </w:rPr>
            </w:pPr>
          </w:p>
        </w:tc>
        <w:tc>
          <w:tcPr>
            <w:tcW w:w="300" w:type="dxa"/>
            <w:vAlign w:val="bottom"/>
            <w:shd w:val="clear" w:color="auto" w:fill="DCE2EF"/>
          </w:tcPr>
          <w:p>
            <w:pPr>
              <w:spacing w:after="0"/>
              <w:rPr>
                <w:sz w:val="15"/>
                <w:szCs w:val="15"/>
                <w:color w:val="auto"/>
              </w:rPr>
            </w:pPr>
          </w:p>
        </w:tc>
        <w:tc>
          <w:tcPr>
            <w:tcW w:w="1020" w:type="dxa"/>
            <w:vAlign w:val="bottom"/>
            <w:shd w:val="clear" w:color="auto" w:fill="DCE2EF"/>
          </w:tcPr>
          <w:p>
            <w:pPr>
              <w:spacing w:after="0"/>
              <w:rPr>
                <w:sz w:val="15"/>
                <w:szCs w:val="15"/>
                <w:color w:val="auto"/>
              </w:rPr>
            </w:pPr>
          </w:p>
        </w:tc>
      </w:tr>
      <w:tr>
        <w:trPr>
          <w:trHeight w:val="190"/>
        </w:trPr>
        <w:tc>
          <w:tcPr>
            <w:tcW w:w="20" w:type="dxa"/>
            <w:vAlign w:val="bottom"/>
          </w:tcPr>
          <w:p>
            <w:pPr>
              <w:spacing w:after="0"/>
              <w:rPr>
                <w:sz w:val="16"/>
                <w:szCs w:val="16"/>
                <w:color w:val="auto"/>
              </w:rPr>
            </w:pPr>
          </w:p>
        </w:tc>
        <w:tc>
          <w:tcPr>
            <w:tcW w:w="7040" w:type="dxa"/>
            <w:vAlign w:val="bottom"/>
            <w:gridSpan w:val="2"/>
          </w:tcPr>
          <w:p>
            <w:pPr>
              <w:spacing w:after="0"/>
              <w:rPr>
                <w:sz w:val="20"/>
                <w:szCs w:val="20"/>
                <w:color w:val="auto"/>
              </w:rPr>
            </w:pPr>
            <w:r>
              <w:rPr>
                <w:rFonts w:ascii="Arial" w:cs="Arial" w:eastAsia="Arial" w:hAnsi="Arial"/>
                <w:sz w:val="14"/>
                <w:szCs w:val="14"/>
                <w:color w:val="auto"/>
              </w:rPr>
              <w:t>Taxes withheld from issuance of share-based compensation awards, net</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(7.4)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(7.0)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(10.5)</w:t>
            </w:r>
          </w:p>
        </w:tc>
      </w:tr>
      <w:tr>
        <w:trPr>
          <w:trHeight w:val="197"/>
        </w:trPr>
        <w:tc>
          <w:tcPr>
            <w:tcW w:w="20" w:type="dxa"/>
            <w:vAlign w:val="bottom"/>
            <w:shd w:val="clear" w:color="auto" w:fill="DCE2EF"/>
          </w:tcPr>
          <w:p>
            <w:pPr>
              <w:spacing w:after="0"/>
              <w:rPr>
                <w:sz w:val="17"/>
                <w:szCs w:val="17"/>
                <w:color w:val="auto"/>
              </w:rPr>
            </w:pPr>
          </w:p>
        </w:tc>
        <w:tc>
          <w:tcPr>
            <w:tcW w:w="7040" w:type="dxa"/>
            <w:vAlign w:val="bottom"/>
            <w:gridSpan w:val="2"/>
            <w:shd w:val="clear" w:color="auto" w:fill="DCE2EF"/>
          </w:tcPr>
          <w:p>
            <w:pPr>
              <w:spacing w:after="0"/>
              <w:rPr>
                <w:sz w:val="20"/>
                <w:szCs w:val="20"/>
                <w:color w:val="auto"/>
              </w:rPr>
            </w:pPr>
            <w:r>
              <w:rPr>
                <w:rFonts w:ascii="Arial" w:cs="Arial" w:eastAsia="Arial" w:hAnsi="Arial"/>
                <w:sz w:val="14"/>
                <w:szCs w:val="14"/>
                <w:color w:val="auto"/>
              </w:rPr>
              <w:t>Repurchases of common stock, including excise taxes</w:t>
            </w:r>
          </w:p>
        </w:tc>
        <w:tc>
          <w:tcPr>
            <w:tcW w:w="300" w:type="dxa"/>
            <w:vAlign w:val="bottom"/>
            <w:shd w:val="clear" w:color="auto" w:fill="DCE2EF"/>
          </w:tcPr>
          <w:p>
            <w:pPr>
              <w:spacing w:after="0"/>
              <w:rPr>
                <w:sz w:val="17"/>
                <w:szCs w:val="17"/>
                <w:color w:val="auto"/>
              </w:rPr>
            </w:pPr>
          </w:p>
        </w:tc>
        <w:tc>
          <w:tcPr>
            <w:tcW w:w="1020" w:type="dxa"/>
            <w:vAlign w:val="bottom"/>
            <w:shd w:val="clear" w:color="auto" w:fill="DCE2EF"/>
          </w:tcPr>
          <w:p>
            <w:pPr>
              <w:jc w:val="right"/>
              <w:spacing w:after="0"/>
              <w:rPr>
                <w:sz w:val="20"/>
                <w:szCs w:val="20"/>
                <w:color w:val="auto"/>
              </w:rPr>
            </w:pPr>
            <w:r>
              <w:rPr>
                <w:rFonts w:ascii="Arial" w:cs="Arial" w:eastAsia="Arial" w:hAnsi="Arial"/>
                <w:sz w:val="14"/>
                <w:szCs w:val="14"/>
                <w:color w:val="auto"/>
              </w:rPr>
              <w:t>(122.2)</w:t>
            </w:r>
          </w:p>
        </w:tc>
        <w:tc>
          <w:tcPr>
            <w:tcW w:w="100" w:type="dxa"/>
            <w:vAlign w:val="bottom"/>
            <w:shd w:val="clear" w:color="auto" w:fill="DCE2EF"/>
          </w:tcPr>
          <w:p>
            <w:pPr>
              <w:spacing w:after="0"/>
              <w:rPr>
                <w:sz w:val="17"/>
                <w:szCs w:val="17"/>
                <w:color w:val="auto"/>
              </w:rPr>
            </w:pPr>
          </w:p>
        </w:tc>
        <w:tc>
          <w:tcPr>
            <w:tcW w:w="300" w:type="dxa"/>
            <w:vAlign w:val="bottom"/>
            <w:shd w:val="clear" w:color="auto" w:fill="DCE2EF"/>
          </w:tcPr>
          <w:p>
            <w:pPr>
              <w:spacing w:after="0"/>
              <w:rPr>
                <w:sz w:val="17"/>
                <w:szCs w:val="17"/>
                <w:color w:val="auto"/>
              </w:rPr>
            </w:pPr>
          </w:p>
        </w:tc>
        <w:tc>
          <w:tcPr>
            <w:tcW w:w="1020" w:type="dxa"/>
            <w:vAlign w:val="bottom"/>
            <w:shd w:val="clear" w:color="auto" w:fill="DCE2EF"/>
          </w:tcPr>
          <w:p>
            <w:pPr>
              <w:jc w:val="right"/>
              <w:spacing w:after="0"/>
              <w:rPr>
                <w:sz w:val="20"/>
                <w:szCs w:val="20"/>
                <w:color w:val="auto"/>
              </w:rPr>
            </w:pPr>
            <w:r>
              <w:rPr>
                <w:rFonts w:ascii="Arial" w:cs="Arial" w:eastAsia="Arial" w:hAnsi="Arial"/>
                <w:sz w:val="14"/>
                <w:szCs w:val="14"/>
                <w:color w:val="auto"/>
              </w:rPr>
              <w:t>(56.1)</w:t>
            </w:r>
          </w:p>
        </w:tc>
        <w:tc>
          <w:tcPr>
            <w:tcW w:w="100" w:type="dxa"/>
            <w:vAlign w:val="bottom"/>
            <w:shd w:val="clear" w:color="auto" w:fill="DCE2EF"/>
          </w:tcPr>
          <w:p>
            <w:pPr>
              <w:spacing w:after="0"/>
              <w:rPr>
                <w:sz w:val="17"/>
                <w:szCs w:val="17"/>
                <w:color w:val="auto"/>
              </w:rPr>
            </w:pPr>
          </w:p>
        </w:tc>
        <w:tc>
          <w:tcPr>
            <w:tcW w:w="300" w:type="dxa"/>
            <w:vAlign w:val="bottom"/>
            <w:shd w:val="clear" w:color="auto" w:fill="DCE2EF"/>
          </w:tcPr>
          <w:p>
            <w:pPr>
              <w:spacing w:after="0"/>
              <w:rPr>
                <w:sz w:val="17"/>
                <w:szCs w:val="17"/>
                <w:color w:val="auto"/>
              </w:rPr>
            </w:pPr>
          </w:p>
        </w:tc>
        <w:tc>
          <w:tcPr>
            <w:tcW w:w="1020" w:type="dxa"/>
            <w:vAlign w:val="bottom"/>
            <w:shd w:val="clear" w:color="auto" w:fill="DCE2EF"/>
          </w:tcPr>
          <w:p>
            <w:pPr>
              <w:jc w:val="right"/>
              <w:spacing w:after="0"/>
              <w:rPr>
                <w:sz w:val="20"/>
                <w:szCs w:val="20"/>
                <w:color w:val="auto"/>
              </w:rPr>
            </w:pPr>
            <w:r>
              <w:rPr>
                <w:rFonts w:ascii="Arial" w:cs="Arial" w:eastAsia="Arial" w:hAnsi="Arial"/>
                <w:sz w:val="14"/>
                <w:szCs w:val="14"/>
                <w:color w:val="auto"/>
              </w:rPr>
              <w:t>(138.1)</w:t>
            </w:r>
          </w:p>
        </w:tc>
      </w:tr>
      <w:tr>
        <w:trPr>
          <w:trHeight w:val="190"/>
        </w:trPr>
        <w:tc>
          <w:tcPr>
            <w:tcW w:w="20" w:type="dxa"/>
            <w:vAlign w:val="bottom"/>
          </w:tcPr>
          <w:p>
            <w:pPr>
              <w:spacing w:after="0"/>
              <w:rPr>
                <w:sz w:val="16"/>
                <w:szCs w:val="16"/>
                <w:color w:val="auto"/>
              </w:rPr>
            </w:pPr>
          </w:p>
        </w:tc>
        <w:tc>
          <w:tcPr>
            <w:tcW w:w="7040" w:type="dxa"/>
            <w:vAlign w:val="bottom"/>
            <w:gridSpan w:val="2"/>
          </w:tcPr>
          <w:p>
            <w:pPr>
              <w:spacing w:after="0"/>
              <w:rPr>
                <w:sz w:val="20"/>
                <w:szCs w:val="20"/>
                <w:color w:val="auto"/>
              </w:rPr>
            </w:pPr>
            <w:r>
              <w:rPr>
                <w:rFonts w:ascii="Arial" w:cs="Arial" w:eastAsia="Arial" w:hAnsi="Arial"/>
                <w:sz w:val="14"/>
                <w:szCs w:val="14"/>
                <w:color w:val="auto"/>
              </w:rPr>
              <w:t>Dividends paid</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(65.6)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(56.5)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(57.5)</w:t>
            </w:r>
          </w:p>
        </w:tc>
      </w:tr>
      <w:tr>
        <w:trPr>
          <w:trHeight w:val="197"/>
        </w:trPr>
        <w:tc>
          <w:tcPr>
            <w:tcW w:w="20" w:type="dxa"/>
            <w:vAlign w:val="bottom"/>
            <w:shd w:val="clear" w:color="auto" w:fill="DCE2EF"/>
          </w:tcPr>
          <w:p>
            <w:pPr>
              <w:spacing w:after="0"/>
              <w:rPr>
                <w:sz w:val="17"/>
                <w:szCs w:val="17"/>
                <w:color w:val="auto"/>
              </w:rPr>
            </w:pPr>
          </w:p>
        </w:tc>
        <w:tc>
          <w:tcPr>
            <w:tcW w:w="7040" w:type="dxa"/>
            <w:vAlign w:val="bottom"/>
            <w:gridSpan w:val="2"/>
            <w:shd w:val="clear" w:color="auto" w:fill="DCE2EF"/>
          </w:tcPr>
          <w:p>
            <w:pPr>
              <w:spacing w:after="0"/>
              <w:rPr>
                <w:sz w:val="20"/>
                <w:szCs w:val="20"/>
                <w:color w:val="auto"/>
              </w:rPr>
            </w:pPr>
            <w:r>
              <w:rPr>
                <w:rFonts w:ascii="Arial" w:cs="Arial" w:eastAsia="Arial" w:hAnsi="Arial"/>
                <w:sz w:val="14"/>
                <w:szCs w:val="14"/>
                <w:color w:val="auto"/>
              </w:rPr>
              <w:t>Deferred financing costs paid</w:t>
            </w:r>
          </w:p>
        </w:tc>
        <w:tc>
          <w:tcPr>
            <w:tcW w:w="300" w:type="dxa"/>
            <w:vAlign w:val="bottom"/>
            <w:shd w:val="clear" w:color="auto" w:fill="DCE2EF"/>
          </w:tcPr>
          <w:p>
            <w:pPr>
              <w:spacing w:after="0"/>
              <w:rPr>
                <w:sz w:val="17"/>
                <w:szCs w:val="17"/>
                <w:color w:val="auto"/>
              </w:rPr>
            </w:pPr>
          </w:p>
        </w:tc>
        <w:tc>
          <w:tcPr>
            <w:tcW w:w="1020" w:type="dxa"/>
            <w:vAlign w:val="bottom"/>
            <w:shd w:val="clear" w:color="auto" w:fill="DCE2EF"/>
          </w:tcPr>
          <w:p>
            <w:pPr>
              <w:jc w:val="right"/>
              <w:spacing w:after="0"/>
              <w:rPr>
                <w:sz w:val="20"/>
                <w:szCs w:val="20"/>
                <w:color w:val="auto"/>
              </w:rPr>
            </w:pPr>
            <w:r>
              <w:rPr>
                <w:rFonts w:ascii="Arial" w:cs="Arial" w:eastAsia="Arial" w:hAnsi="Arial"/>
                <w:sz w:val="14"/>
                <w:szCs w:val="14"/>
                <w:color w:val="auto"/>
              </w:rPr>
              <w:t>(8.0)</w:t>
            </w:r>
          </w:p>
        </w:tc>
        <w:tc>
          <w:tcPr>
            <w:tcW w:w="100" w:type="dxa"/>
            <w:vAlign w:val="bottom"/>
            <w:shd w:val="clear" w:color="auto" w:fill="DCE2EF"/>
          </w:tcPr>
          <w:p>
            <w:pPr>
              <w:spacing w:after="0"/>
              <w:rPr>
                <w:sz w:val="17"/>
                <w:szCs w:val="17"/>
                <w:color w:val="auto"/>
              </w:rPr>
            </w:pPr>
          </w:p>
        </w:tc>
        <w:tc>
          <w:tcPr>
            <w:tcW w:w="300" w:type="dxa"/>
            <w:vAlign w:val="bottom"/>
            <w:shd w:val="clear" w:color="auto" w:fill="DCE2EF"/>
          </w:tcPr>
          <w:p>
            <w:pPr>
              <w:spacing w:after="0"/>
              <w:rPr>
                <w:sz w:val="17"/>
                <w:szCs w:val="17"/>
                <w:color w:val="auto"/>
              </w:rPr>
            </w:pPr>
          </w:p>
        </w:tc>
        <w:tc>
          <w:tcPr>
            <w:tcW w:w="1120" w:type="dxa"/>
            <w:vAlign w:val="bottom"/>
            <w:gridSpan w:val="2"/>
            <w:shd w:val="clear" w:color="auto" w:fill="DCE2E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DCE2EF"/>
          </w:tcPr>
          <w:p>
            <w:pPr>
              <w:spacing w:after="0"/>
              <w:rPr>
                <w:sz w:val="17"/>
                <w:szCs w:val="17"/>
                <w:color w:val="auto"/>
              </w:rPr>
            </w:pPr>
          </w:p>
        </w:tc>
        <w:tc>
          <w:tcPr>
            <w:tcW w:w="1020" w:type="dxa"/>
            <w:vAlign w:val="bottom"/>
            <w:shd w:val="clear" w:color="auto" w:fill="DCE2EF"/>
          </w:tcPr>
          <w:p>
            <w:pPr>
              <w:jc w:val="right"/>
              <w:ind w:right="11"/>
              <w:spacing w:after="0"/>
              <w:rPr>
                <w:sz w:val="20"/>
                <w:szCs w:val="20"/>
                <w:color w:val="auto"/>
              </w:rPr>
            </w:pPr>
            <w:r>
              <w:rPr>
                <w:rFonts w:ascii="Arial" w:cs="Arial" w:eastAsia="Arial" w:hAnsi="Arial"/>
                <w:sz w:val="14"/>
                <w:szCs w:val="14"/>
                <w:color w:val="auto"/>
              </w:rPr>
              <w:t>—</w:t>
            </w:r>
          </w:p>
        </w:tc>
      </w:tr>
      <w:tr>
        <w:trPr>
          <w:trHeight w:val="190"/>
        </w:trPr>
        <w:tc>
          <w:tcPr>
            <w:tcW w:w="20" w:type="dxa"/>
            <w:vAlign w:val="bottom"/>
          </w:tcPr>
          <w:p>
            <w:pPr>
              <w:spacing w:after="0"/>
              <w:rPr>
                <w:sz w:val="16"/>
                <w:szCs w:val="16"/>
                <w:color w:val="auto"/>
              </w:rPr>
            </w:pPr>
          </w:p>
        </w:tc>
        <w:tc>
          <w:tcPr>
            <w:tcW w:w="7040" w:type="dxa"/>
            <w:vAlign w:val="bottom"/>
            <w:gridSpan w:val="2"/>
          </w:tcPr>
          <w:p>
            <w:pPr>
              <w:spacing w:after="0"/>
              <w:rPr>
                <w:sz w:val="20"/>
                <w:szCs w:val="20"/>
                <w:color w:val="auto"/>
              </w:rPr>
            </w:pPr>
            <w:r>
              <w:rPr>
                <w:rFonts w:ascii="Arial" w:cs="Arial" w:eastAsia="Arial" w:hAnsi="Arial"/>
                <w:sz w:val="14"/>
                <w:szCs w:val="14"/>
                <w:color w:val="auto"/>
              </w:rPr>
              <w:t>Borrowings from debt</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1,846.8</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1,334.0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11"/>
              <w:spacing w:after="0"/>
              <w:rPr>
                <w:sz w:val="20"/>
                <w:szCs w:val="20"/>
                <w:color w:val="auto"/>
              </w:rPr>
            </w:pPr>
            <w:r>
              <w:rPr>
                <w:rFonts w:ascii="Arial" w:cs="Arial" w:eastAsia="Arial" w:hAnsi="Arial"/>
                <w:sz w:val="14"/>
                <w:szCs w:val="14"/>
                <w:color w:val="auto"/>
              </w:rPr>
              <w:t>1,178.5</w:t>
            </w:r>
          </w:p>
        </w:tc>
      </w:tr>
      <w:tr>
        <w:trPr>
          <w:trHeight w:val="197"/>
        </w:trPr>
        <w:tc>
          <w:tcPr>
            <w:tcW w:w="20" w:type="dxa"/>
            <w:vAlign w:val="bottom"/>
            <w:shd w:val="clear" w:color="auto" w:fill="DCE2EF"/>
          </w:tcPr>
          <w:p>
            <w:pPr>
              <w:spacing w:after="0"/>
              <w:rPr>
                <w:sz w:val="17"/>
                <w:szCs w:val="17"/>
                <w:color w:val="auto"/>
              </w:rPr>
            </w:pPr>
          </w:p>
        </w:tc>
        <w:tc>
          <w:tcPr>
            <w:tcW w:w="7040" w:type="dxa"/>
            <w:vAlign w:val="bottom"/>
            <w:gridSpan w:val="2"/>
            <w:shd w:val="clear" w:color="auto" w:fill="DCE2EF"/>
          </w:tcPr>
          <w:p>
            <w:pPr>
              <w:spacing w:after="0"/>
              <w:rPr>
                <w:sz w:val="20"/>
                <w:szCs w:val="20"/>
                <w:color w:val="auto"/>
              </w:rPr>
            </w:pPr>
            <w:r>
              <w:rPr>
                <w:rFonts w:ascii="Arial" w:cs="Arial" w:eastAsia="Arial" w:hAnsi="Arial"/>
                <w:sz w:val="14"/>
                <w:szCs w:val="14"/>
                <w:color w:val="auto"/>
              </w:rPr>
              <w:t>Repayment of borrowings from debt</w:t>
            </w:r>
          </w:p>
        </w:tc>
        <w:tc>
          <w:tcPr>
            <w:tcW w:w="300" w:type="dxa"/>
            <w:vAlign w:val="bottom"/>
            <w:shd w:val="clear" w:color="auto" w:fill="DCE2EF"/>
          </w:tcPr>
          <w:p>
            <w:pPr>
              <w:spacing w:after="0"/>
              <w:rPr>
                <w:sz w:val="17"/>
                <w:szCs w:val="17"/>
                <w:color w:val="auto"/>
              </w:rPr>
            </w:pPr>
          </w:p>
        </w:tc>
        <w:tc>
          <w:tcPr>
            <w:tcW w:w="1020" w:type="dxa"/>
            <w:vAlign w:val="bottom"/>
            <w:shd w:val="clear" w:color="auto" w:fill="DCE2EF"/>
          </w:tcPr>
          <w:p>
            <w:pPr>
              <w:jc w:val="right"/>
              <w:spacing w:after="0"/>
              <w:rPr>
                <w:sz w:val="20"/>
                <w:szCs w:val="20"/>
                <w:color w:val="auto"/>
              </w:rPr>
            </w:pPr>
            <w:r>
              <w:rPr>
                <w:rFonts w:ascii="Arial" w:cs="Arial" w:eastAsia="Arial" w:hAnsi="Arial"/>
                <w:sz w:val="14"/>
                <w:szCs w:val="14"/>
                <w:color w:val="auto"/>
              </w:rPr>
              <w:t>(1,613.0)</w:t>
            </w:r>
          </w:p>
        </w:tc>
        <w:tc>
          <w:tcPr>
            <w:tcW w:w="100" w:type="dxa"/>
            <w:vAlign w:val="bottom"/>
            <w:shd w:val="clear" w:color="auto" w:fill="DCE2EF"/>
          </w:tcPr>
          <w:p>
            <w:pPr>
              <w:spacing w:after="0"/>
              <w:rPr>
                <w:sz w:val="17"/>
                <w:szCs w:val="17"/>
                <w:color w:val="auto"/>
              </w:rPr>
            </w:pPr>
          </w:p>
        </w:tc>
        <w:tc>
          <w:tcPr>
            <w:tcW w:w="300" w:type="dxa"/>
            <w:vAlign w:val="bottom"/>
            <w:shd w:val="clear" w:color="auto" w:fill="DCE2EF"/>
          </w:tcPr>
          <w:p>
            <w:pPr>
              <w:spacing w:after="0"/>
              <w:rPr>
                <w:sz w:val="17"/>
                <w:szCs w:val="17"/>
                <w:color w:val="auto"/>
              </w:rPr>
            </w:pPr>
          </w:p>
        </w:tc>
        <w:tc>
          <w:tcPr>
            <w:tcW w:w="1020" w:type="dxa"/>
            <w:vAlign w:val="bottom"/>
            <w:shd w:val="clear" w:color="auto" w:fill="DCE2EF"/>
          </w:tcPr>
          <w:p>
            <w:pPr>
              <w:jc w:val="right"/>
              <w:spacing w:after="0"/>
              <w:rPr>
                <w:sz w:val="20"/>
                <w:szCs w:val="20"/>
                <w:color w:val="auto"/>
              </w:rPr>
            </w:pPr>
            <w:r>
              <w:rPr>
                <w:rFonts w:ascii="Arial" w:cs="Arial" w:eastAsia="Arial" w:hAnsi="Arial"/>
                <w:sz w:val="14"/>
                <w:szCs w:val="14"/>
                <w:color w:val="auto"/>
              </w:rPr>
              <w:t>(1,312.5)</w:t>
            </w:r>
          </w:p>
        </w:tc>
        <w:tc>
          <w:tcPr>
            <w:tcW w:w="100" w:type="dxa"/>
            <w:vAlign w:val="bottom"/>
            <w:shd w:val="clear" w:color="auto" w:fill="DCE2EF"/>
          </w:tcPr>
          <w:p>
            <w:pPr>
              <w:spacing w:after="0"/>
              <w:rPr>
                <w:sz w:val="17"/>
                <w:szCs w:val="17"/>
                <w:color w:val="auto"/>
              </w:rPr>
            </w:pPr>
          </w:p>
        </w:tc>
        <w:tc>
          <w:tcPr>
            <w:tcW w:w="300" w:type="dxa"/>
            <w:vAlign w:val="bottom"/>
            <w:shd w:val="clear" w:color="auto" w:fill="DCE2EF"/>
          </w:tcPr>
          <w:p>
            <w:pPr>
              <w:spacing w:after="0"/>
              <w:rPr>
                <w:sz w:val="17"/>
                <w:szCs w:val="17"/>
                <w:color w:val="auto"/>
              </w:rPr>
            </w:pPr>
          </w:p>
        </w:tc>
        <w:tc>
          <w:tcPr>
            <w:tcW w:w="1020" w:type="dxa"/>
            <w:vAlign w:val="bottom"/>
            <w:shd w:val="clear" w:color="auto" w:fill="DCE2EF"/>
          </w:tcPr>
          <w:p>
            <w:pPr>
              <w:jc w:val="right"/>
              <w:spacing w:after="0"/>
              <w:rPr>
                <w:sz w:val="20"/>
                <w:szCs w:val="20"/>
                <w:color w:val="auto"/>
              </w:rPr>
            </w:pPr>
            <w:r>
              <w:rPr>
                <w:rFonts w:ascii="Arial" w:cs="Arial" w:eastAsia="Arial" w:hAnsi="Arial"/>
                <w:sz w:val="14"/>
                <w:szCs w:val="14"/>
                <w:color w:val="auto"/>
              </w:rPr>
              <w:t>(1,136.0)</w:t>
            </w:r>
          </w:p>
        </w:tc>
      </w:tr>
      <w:tr>
        <w:trPr>
          <w:trHeight w:val="190"/>
        </w:trPr>
        <w:tc>
          <w:tcPr>
            <w:tcW w:w="20" w:type="dxa"/>
            <w:vAlign w:val="bottom"/>
          </w:tcPr>
          <w:p>
            <w:pPr>
              <w:spacing w:after="0"/>
              <w:rPr>
                <w:sz w:val="16"/>
                <w:szCs w:val="16"/>
                <w:color w:val="auto"/>
              </w:rPr>
            </w:pPr>
          </w:p>
        </w:tc>
        <w:tc>
          <w:tcPr>
            <w:tcW w:w="7040" w:type="dxa"/>
            <w:vAlign w:val="bottom"/>
            <w:gridSpan w:val="2"/>
          </w:tcPr>
          <w:p>
            <w:pPr>
              <w:spacing w:after="0"/>
              <w:rPr>
                <w:sz w:val="20"/>
                <w:szCs w:val="20"/>
                <w:color w:val="auto"/>
              </w:rPr>
            </w:pPr>
            <w:r>
              <w:rPr>
                <w:rFonts w:ascii="Arial" w:cs="Arial" w:eastAsia="Arial" w:hAnsi="Arial"/>
                <w:sz w:val="14"/>
                <w:szCs w:val="14"/>
                <w:color w:val="auto"/>
              </w:rPr>
              <w:t>Changes in book cash overdrafts</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(47.2)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40.7</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(20.3)</w:t>
            </w:r>
          </w:p>
        </w:tc>
      </w:tr>
      <w:tr>
        <w:trPr>
          <w:trHeight w:val="197"/>
        </w:trPr>
        <w:tc>
          <w:tcPr>
            <w:tcW w:w="20" w:type="dxa"/>
            <w:vAlign w:val="bottom"/>
            <w:shd w:val="clear" w:color="auto" w:fill="DCE2EF"/>
          </w:tcPr>
          <w:p>
            <w:pPr>
              <w:spacing w:after="0"/>
              <w:rPr>
                <w:sz w:val="17"/>
                <w:szCs w:val="17"/>
                <w:color w:val="auto"/>
              </w:rPr>
            </w:pPr>
          </w:p>
        </w:tc>
        <w:tc>
          <w:tcPr>
            <w:tcW w:w="7040" w:type="dxa"/>
            <w:vAlign w:val="bottom"/>
            <w:gridSpan w:val="2"/>
            <w:shd w:val="clear" w:color="auto" w:fill="DCE2EF"/>
          </w:tcPr>
          <w:p>
            <w:pPr>
              <w:spacing w:after="0"/>
              <w:rPr>
                <w:sz w:val="20"/>
                <w:szCs w:val="20"/>
                <w:color w:val="auto"/>
              </w:rPr>
            </w:pPr>
            <w:r>
              <w:rPr>
                <w:rFonts w:ascii="Arial" w:cs="Arial" w:eastAsia="Arial" w:hAnsi="Arial"/>
                <w:sz w:val="14"/>
                <w:szCs w:val="14"/>
                <w:color w:val="auto"/>
              </w:rPr>
              <w:t>Financing of energy savings performance contracts</w:t>
            </w:r>
          </w:p>
        </w:tc>
        <w:tc>
          <w:tcPr>
            <w:tcW w:w="300" w:type="dxa"/>
            <w:vAlign w:val="bottom"/>
            <w:shd w:val="clear" w:color="auto" w:fill="DCE2EF"/>
          </w:tcPr>
          <w:p>
            <w:pPr>
              <w:spacing w:after="0"/>
              <w:rPr>
                <w:sz w:val="17"/>
                <w:szCs w:val="17"/>
                <w:color w:val="auto"/>
              </w:rPr>
            </w:pPr>
          </w:p>
        </w:tc>
        <w:tc>
          <w:tcPr>
            <w:tcW w:w="1120" w:type="dxa"/>
            <w:vAlign w:val="bottom"/>
            <w:gridSpan w:val="2"/>
            <w:shd w:val="clear" w:color="auto" w:fill="DCE2E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DCE2EF"/>
          </w:tcPr>
          <w:p>
            <w:pPr>
              <w:spacing w:after="0"/>
              <w:rPr>
                <w:sz w:val="17"/>
                <w:szCs w:val="17"/>
                <w:color w:val="auto"/>
              </w:rPr>
            </w:pPr>
          </w:p>
        </w:tc>
        <w:tc>
          <w:tcPr>
            <w:tcW w:w="1120" w:type="dxa"/>
            <w:vAlign w:val="bottom"/>
            <w:gridSpan w:val="2"/>
            <w:shd w:val="clear" w:color="auto" w:fill="DCE2E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DCE2EF"/>
          </w:tcPr>
          <w:p>
            <w:pPr>
              <w:spacing w:after="0"/>
              <w:rPr>
                <w:sz w:val="17"/>
                <w:szCs w:val="17"/>
                <w:color w:val="auto"/>
              </w:rPr>
            </w:pPr>
          </w:p>
        </w:tc>
        <w:tc>
          <w:tcPr>
            <w:tcW w:w="1020" w:type="dxa"/>
            <w:vAlign w:val="bottom"/>
            <w:shd w:val="clear" w:color="auto" w:fill="DCE2EF"/>
          </w:tcPr>
          <w:p>
            <w:pPr>
              <w:jc w:val="right"/>
              <w:ind w:right="11"/>
              <w:spacing w:after="0"/>
              <w:rPr>
                <w:sz w:val="20"/>
                <w:szCs w:val="20"/>
                <w:color w:val="auto"/>
              </w:rPr>
            </w:pPr>
            <w:r>
              <w:rPr>
                <w:rFonts w:ascii="Arial" w:cs="Arial" w:eastAsia="Arial" w:hAnsi="Arial"/>
                <w:sz w:val="14"/>
                <w:szCs w:val="14"/>
                <w:color w:val="auto"/>
              </w:rPr>
              <w:t>0.5</w:t>
            </w:r>
          </w:p>
        </w:tc>
      </w:tr>
      <w:tr>
        <w:trPr>
          <w:trHeight w:val="190"/>
        </w:trPr>
        <w:tc>
          <w:tcPr>
            <w:tcW w:w="20" w:type="dxa"/>
            <w:vAlign w:val="bottom"/>
          </w:tcPr>
          <w:p>
            <w:pPr>
              <w:spacing w:after="0"/>
              <w:rPr>
                <w:sz w:val="16"/>
                <w:szCs w:val="16"/>
                <w:color w:val="auto"/>
              </w:rPr>
            </w:pPr>
          </w:p>
        </w:tc>
        <w:tc>
          <w:tcPr>
            <w:tcW w:w="7040" w:type="dxa"/>
            <w:vAlign w:val="bottom"/>
            <w:gridSpan w:val="2"/>
          </w:tcPr>
          <w:p>
            <w:pPr>
              <w:spacing w:after="0"/>
              <w:rPr>
                <w:sz w:val="20"/>
                <w:szCs w:val="20"/>
                <w:color w:val="auto"/>
              </w:rPr>
            </w:pPr>
            <w:r>
              <w:rPr>
                <w:rFonts w:ascii="Arial" w:cs="Arial" w:eastAsia="Arial" w:hAnsi="Arial"/>
                <w:sz w:val="14"/>
                <w:szCs w:val="14"/>
                <w:color w:val="auto"/>
              </w:rPr>
              <w:t>Repayment of finance lease obligations</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(3.0)</w:t>
            </w:r>
          </w:p>
        </w:tc>
      </w:tr>
      <w:tr>
        <w:trPr>
          <w:trHeight w:val="197"/>
        </w:trPr>
        <w:tc>
          <w:tcPr>
            <w:tcW w:w="20" w:type="dxa"/>
            <w:vAlign w:val="bottom"/>
            <w:shd w:val="clear" w:color="auto" w:fill="DCE2EF"/>
          </w:tcPr>
          <w:p>
            <w:pPr>
              <w:spacing w:after="0"/>
              <w:rPr>
                <w:sz w:val="17"/>
                <w:szCs w:val="17"/>
                <w:color w:val="auto"/>
              </w:rPr>
            </w:pPr>
          </w:p>
        </w:tc>
        <w:tc>
          <w:tcPr>
            <w:tcW w:w="7040" w:type="dxa"/>
            <w:vAlign w:val="bottom"/>
            <w:gridSpan w:val="2"/>
            <w:shd w:val="clear" w:color="auto" w:fill="DCE2EF"/>
          </w:tcPr>
          <w:p>
            <w:pPr>
              <w:spacing w:after="0"/>
              <w:rPr>
                <w:sz w:val="20"/>
                <w:szCs w:val="20"/>
                <w:color w:val="auto"/>
              </w:rPr>
            </w:pPr>
            <w:r>
              <w:rPr>
                <w:rFonts w:ascii="Arial" w:cs="Arial" w:eastAsia="Arial" w:hAnsi="Arial"/>
                <w:sz w:val="14"/>
                <w:szCs w:val="14"/>
                <w:color w:val="auto"/>
              </w:rPr>
              <w:t>Cash paid to settle the contingent consideration liability</w:t>
            </w:r>
          </w:p>
        </w:tc>
        <w:tc>
          <w:tcPr>
            <w:tcW w:w="300" w:type="dxa"/>
            <w:vAlign w:val="bottom"/>
            <w:shd w:val="clear" w:color="auto" w:fill="DCE2EF"/>
          </w:tcPr>
          <w:p>
            <w:pPr>
              <w:spacing w:after="0"/>
              <w:rPr>
                <w:sz w:val="17"/>
                <w:szCs w:val="17"/>
                <w:color w:val="auto"/>
              </w:rPr>
            </w:pPr>
          </w:p>
        </w:tc>
        <w:tc>
          <w:tcPr>
            <w:tcW w:w="1020" w:type="dxa"/>
            <w:vAlign w:val="bottom"/>
            <w:shd w:val="clear" w:color="auto" w:fill="DCE2EF"/>
          </w:tcPr>
          <w:p>
            <w:pPr>
              <w:jc w:val="right"/>
              <w:spacing w:after="0"/>
              <w:rPr>
                <w:sz w:val="20"/>
                <w:szCs w:val="20"/>
                <w:color w:val="auto"/>
              </w:rPr>
            </w:pPr>
            <w:r>
              <w:rPr>
                <w:rFonts w:ascii="Arial" w:cs="Arial" w:eastAsia="Arial" w:hAnsi="Arial"/>
                <w:sz w:val="14"/>
                <w:szCs w:val="14"/>
                <w:color w:val="auto"/>
              </w:rPr>
              <w:t>(59.0)</w:t>
            </w:r>
          </w:p>
        </w:tc>
        <w:tc>
          <w:tcPr>
            <w:tcW w:w="100" w:type="dxa"/>
            <w:vAlign w:val="bottom"/>
            <w:shd w:val="clear" w:color="auto" w:fill="DCE2EF"/>
          </w:tcPr>
          <w:p>
            <w:pPr>
              <w:spacing w:after="0"/>
              <w:rPr>
                <w:sz w:val="17"/>
                <w:szCs w:val="17"/>
                <w:color w:val="auto"/>
              </w:rPr>
            </w:pPr>
          </w:p>
        </w:tc>
        <w:tc>
          <w:tcPr>
            <w:tcW w:w="300" w:type="dxa"/>
            <w:vAlign w:val="bottom"/>
            <w:shd w:val="clear" w:color="auto" w:fill="DCE2EF"/>
          </w:tcPr>
          <w:p>
            <w:pPr>
              <w:spacing w:after="0"/>
              <w:rPr>
                <w:sz w:val="17"/>
                <w:szCs w:val="17"/>
                <w:color w:val="auto"/>
              </w:rPr>
            </w:pPr>
          </w:p>
        </w:tc>
        <w:tc>
          <w:tcPr>
            <w:tcW w:w="1120" w:type="dxa"/>
            <w:vAlign w:val="bottom"/>
            <w:gridSpan w:val="2"/>
            <w:shd w:val="clear" w:color="auto" w:fill="DCE2E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DCE2EF"/>
          </w:tcPr>
          <w:p>
            <w:pPr>
              <w:spacing w:after="0"/>
              <w:rPr>
                <w:sz w:val="17"/>
                <w:szCs w:val="17"/>
                <w:color w:val="auto"/>
              </w:rPr>
            </w:pPr>
          </w:p>
        </w:tc>
        <w:tc>
          <w:tcPr>
            <w:tcW w:w="1020" w:type="dxa"/>
            <w:vAlign w:val="bottom"/>
            <w:shd w:val="clear" w:color="auto" w:fill="DCE2EF"/>
          </w:tcPr>
          <w:p>
            <w:pPr>
              <w:jc w:val="right"/>
              <w:ind w:right="11"/>
              <w:spacing w:after="0"/>
              <w:rPr>
                <w:sz w:val="20"/>
                <w:szCs w:val="20"/>
                <w:color w:val="auto"/>
              </w:rPr>
            </w:pPr>
            <w:r>
              <w:rPr>
                <w:rFonts w:ascii="Arial" w:cs="Arial" w:eastAsia="Arial" w:hAnsi="Arial"/>
                <w:sz w:val="14"/>
                <w:szCs w:val="14"/>
                <w:color w:val="auto"/>
              </w:rPr>
              <w:t>—</w:t>
            </w:r>
          </w:p>
        </w:tc>
      </w:tr>
      <w:tr>
        <w:trPr>
          <w:trHeight w:val="185"/>
        </w:trPr>
        <w:tc>
          <w:tcPr>
            <w:tcW w:w="20" w:type="dxa"/>
            <w:vAlign w:val="bottom"/>
            <w:tcBorders>
              <w:bottom w:val="single" w:sz="8" w:color="DCE2EF"/>
            </w:tcBorders>
          </w:tcPr>
          <w:p>
            <w:pPr>
              <w:spacing w:after="0"/>
              <w:rPr>
                <w:sz w:val="16"/>
                <w:szCs w:val="16"/>
                <w:color w:val="auto"/>
              </w:rPr>
            </w:pPr>
          </w:p>
        </w:tc>
        <w:tc>
          <w:tcPr>
            <w:tcW w:w="7040" w:type="dxa"/>
            <w:vAlign w:val="bottom"/>
            <w:tcBorders>
              <w:bottom w:val="single" w:sz="8" w:color="DCE2EF"/>
            </w:tcBorders>
            <w:gridSpan w:val="2"/>
          </w:tcPr>
          <w:p>
            <w:pPr>
              <w:spacing w:after="0"/>
              <w:rPr>
                <w:sz w:val="20"/>
                <w:szCs w:val="20"/>
                <w:color w:val="auto"/>
              </w:rPr>
            </w:pPr>
            <w:r>
              <w:rPr>
                <w:rFonts w:ascii="Arial" w:cs="Arial" w:eastAsia="Arial" w:hAnsi="Arial"/>
                <w:sz w:val="14"/>
                <w:szCs w:val="14"/>
                <w:b w:val="1"/>
                <w:bCs w:val="1"/>
                <w:color w:val="auto"/>
              </w:rPr>
              <w:t>Net cash used in financing activities</w:t>
            </w:r>
          </w:p>
        </w:tc>
        <w:tc>
          <w:tcPr>
            <w:tcW w:w="30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(80.2)</w:t>
            </w:r>
          </w:p>
        </w:tc>
        <w:tc>
          <w:tcPr>
            <w:tcW w:w="100" w:type="dxa"/>
            <w:vAlign w:val="bottom"/>
            <w:tcBorders>
              <w:bottom w:val="single" w:sz="8" w:color="DCE2E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(61.5)</w:t>
            </w:r>
          </w:p>
        </w:tc>
        <w:tc>
          <w:tcPr>
            <w:tcW w:w="100" w:type="dxa"/>
            <w:vAlign w:val="bottom"/>
            <w:tcBorders>
              <w:bottom w:val="single" w:sz="8" w:color="DCE2E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(186.3)</w:t>
            </w:r>
          </w:p>
        </w:tc>
      </w:tr>
      <w:tr>
        <w:trPr>
          <w:trHeight w:val="187"/>
        </w:trPr>
        <w:tc>
          <w:tcPr>
            <w:tcW w:w="20" w:type="dxa"/>
            <w:vAlign w:val="bottom"/>
            <w:shd w:val="clear" w:color="auto" w:fill="DCE2EF"/>
          </w:tcPr>
          <w:p>
            <w:pPr>
              <w:spacing w:after="0"/>
              <w:rPr>
                <w:sz w:val="16"/>
                <w:szCs w:val="16"/>
                <w:color w:val="auto"/>
              </w:rPr>
            </w:pPr>
          </w:p>
        </w:tc>
        <w:tc>
          <w:tcPr>
            <w:tcW w:w="7040" w:type="dxa"/>
            <w:vAlign w:val="bottom"/>
            <w:gridSpan w:val="2"/>
            <w:shd w:val="clear" w:color="auto" w:fill="DCE2EF"/>
          </w:tcPr>
          <w:p>
            <w:pPr>
              <w:spacing w:after="0"/>
              <w:rPr>
                <w:sz w:val="20"/>
                <w:szCs w:val="20"/>
                <w:color w:val="auto"/>
              </w:rPr>
            </w:pPr>
            <w:r>
              <w:rPr>
                <w:rFonts w:ascii="Arial" w:cs="Arial" w:eastAsia="Arial" w:hAnsi="Arial"/>
                <w:sz w:val="14"/>
                <w:szCs w:val="14"/>
                <w:b w:val="1"/>
                <w:bCs w:val="1"/>
                <w:color w:val="auto"/>
              </w:rPr>
              <w:t>Effect of exchange rate changes on cash and cash equivalents</w:t>
            </w:r>
          </w:p>
        </w:tc>
        <w:tc>
          <w:tcPr>
            <w:tcW w:w="300" w:type="dxa"/>
            <w:vAlign w:val="bottom"/>
            <w:shd w:val="clear" w:color="auto" w:fill="DCE2EF"/>
          </w:tcPr>
          <w:p>
            <w:pPr>
              <w:spacing w:after="0"/>
              <w:rPr>
                <w:sz w:val="16"/>
                <w:szCs w:val="16"/>
                <w:color w:val="auto"/>
              </w:rPr>
            </w:pPr>
          </w:p>
        </w:tc>
        <w:tc>
          <w:tcPr>
            <w:tcW w:w="1020" w:type="dxa"/>
            <w:vAlign w:val="bottom"/>
            <w:shd w:val="clear" w:color="auto" w:fill="DCE2EF"/>
          </w:tcPr>
          <w:p>
            <w:pPr>
              <w:jc w:val="right"/>
              <w:spacing w:after="0"/>
              <w:rPr>
                <w:sz w:val="20"/>
                <w:szCs w:val="20"/>
                <w:color w:val="auto"/>
              </w:rPr>
            </w:pPr>
            <w:r>
              <w:rPr>
                <w:rFonts w:ascii="Arial" w:cs="Arial" w:eastAsia="Arial" w:hAnsi="Arial"/>
                <w:sz w:val="14"/>
                <w:szCs w:val="14"/>
                <w:color w:val="auto"/>
              </w:rPr>
              <w:t>0.9</w:t>
            </w:r>
          </w:p>
        </w:tc>
        <w:tc>
          <w:tcPr>
            <w:tcW w:w="100" w:type="dxa"/>
            <w:vAlign w:val="bottom"/>
            <w:shd w:val="clear" w:color="auto" w:fill="DCE2EF"/>
          </w:tcPr>
          <w:p>
            <w:pPr>
              <w:spacing w:after="0"/>
              <w:rPr>
                <w:sz w:val="16"/>
                <w:szCs w:val="16"/>
                <w:color w:val="auto"/>
              </w:rPr>
            </w:pPr>
          </w:p>
        </w:tc>
        <w:tc>
          <w:tcPr>
            <w:tcW w:w="300" w:type="dxa"/>
            <w:vAlign w:val="bottom"/>
            <w:shd w:val="clear" w:color="auto" w:fill="DCE2EF"/>
          </w:tcPr>
          <w:p>
            <w:pPr>
              <w:spacing w:after="0"/>
              <w:rPr>
                <w:sz w:val="16"/>
                <w:szCs w:val="16"/>
                <w:color w:val="auto"/>
              </w:rPr>
            </w:pPr>
          </w:p>
        </w:tc>
        <w:tc>
          <w:tcPr>
            <w:tcW w:w="1020" w:type="dxa"/>
            <w:vAlign w:val="bottom"/>
            <w:shd w:val="clear" w:color="auto" w:fill="DCE2EF"/>
          </w:tcPr>
          <w:p>
            <w:pPr>
              <w:jc w:val="right"/>
              <w:spacing w:after="0"/>
              <w:rPr>
                <w:sz w:val="20"/>
                <w:szCs w:val="20"/>
                <w:color w:val="auto"/>
              </w:rPr>
            </w:pPr>
            <w:r>
              <w:rPr>
                <w:rFonts w:ascii="Arial" w:cs="Arial" w:eastAsia="Arial" w:hAnsi="Arial"/>
                <w:sz w:val="14"/>
                <w:szCs w:val="14"/>
                <w:color w:val="auto"/>
              </w:rPr>
              <w:t>1.8</w:t>
            </w:r>
          </w:p>
        </w:tc>
        <w:tc>
          <w:tcPr>
            <w:tcW w:w="100" w:type="dxa"/>
            <w:vAlign w:val="bottom"/>
            <w:shd w:val="clear" w:color="auto" w:fill="DCE2EF"/>
          </w:tcPr>
          <w:p>
            <w:pPr>
              <w:spacing w:after="0"/>
              <w:rPr>
                <w:sz w:val="16"/>
                <w:szCs w:val="16"/>
                <w:color w:val="auto"/>
              </w:rPr>
            </w:pPr>
          </w:p>
        </w:tc>
        <w:tc>
          <w:tcPr>
            <w:tcW w:w="300" w:type="dxa"/>
            <w:vAlign w:val="bottom"/>
            <w:shd w:val="clear" w:color="auto" w:fill="DCE2EF"/>
          </w:tcPr>
          <w:p>
            <w:pPr>
              <w:spacing w:after="0"/>
              <w:rPr>
                <w:sz w:val="16"/>
                <w:szCs w:val="16"/>
                <w:color w:val="auto"/>
              </w:rPr>
            </w:pPr>
          </w:p>
        </w:tc>
        <w:tc>
          <w:tcPr>
            <w:tcW w:w="1020" w:type="dxa"/>
            <w:vAlign w:val="bottom"/>
            <w:shd w:val="clear" w:color="auto" w:fill="DCE2EF"/>
          </w:tcPr>
          <w:p>
            <w:pPr>
              <w:jc w:val="right"/>
              <w:ind w:right="11"/>
              <w:spacing w:after="0"/>
              <w:rPr>
                <w:sz w:val="20"/>
                <w:szCs w:val="20"/>
                <w:color w:val="auto"/>
              </w:rPr>
            </w:pPr>
            <w:r>
              <w:rPr>
                <w:rFonts w:ascii="Arial" w:cs="Arial" w:eastAsia="Arial" w:hAnsi="Arial"/>
                <w:sz w:val="14"/>
                <w:szCs w:val="14"/>
                <w:color w:val="auto"/>
              </w:rPr>
              <w:t>1.6</w:t>
            </w:r>
          </w:p>
        </w:tc>
      </w:tr>
    </w:tbl>
    <w:p>
      <w:pPr>
        <w:spacing w:after="0" w:line="3" w:lineRule="exact"/>
        <w:rPr>
          <w:sz w:val="20"/>
          <w:szCs w:val="20"/>
          <w:color w:val="auto"/>
        </w:rPr>
      </w:pPr>
    </w:p>
    <w:p>
      <w:pPr>
        <w:sectPr>
          <w:pgSz w:w="11900" w:h="16838" w:orient="portrait"/>
          <w:cols w:equalWidth="0" w:num="1">
            <w:col w:w="11220"/>
          </w:cols>
          <w:pgMar w:left="340" w:top="881" w:right="339" w:bottom="1440" w:gutter="0" w:footer="0" w:header="0"/>
        </w:sectPr>
      </w:pPr>
    </w:p>
    <w:p>
      <w:pPr>
        <w:ind w:left="20"/>
        <w:spacing w:after="0"/>
        <w:rPr>
          <w:sz w:val="20"/>
          <w:szCs w:val="20"/>
          <w:color w:val="auto"/>
        </w:rPr>
      </w:pPr>
      <w:r>
        <w:rPr>
          <w:rFonts w:ascii="Arial" w:cs="Arial" w:eastAsia="Arial" w:hAnsi="Arial"/>
          <w:sz w:val="13"/>
          <w:szCs w:val="13"/>
          <w:b w:val="1"/>
          <w:bCs w:val="1"/>
          <w:color w:val="auto"/>
        </w:rPr>
        <w:t>Net increase (decrease) in cash and cash equivalents</w:t>
      </w:r>
    </w:p>
    <w:p>
      <w:pPr>
        <w:spacing w:after="0" w:line="44"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Cash and cash equivalents at beginning of year</w:t>
      </w:r>
    </w:p>
    <w:p>
      <w:pPr>
        <w:spacing w:after="0" w:line="7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Cash and cash equivalents at end of year</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0"/>
        </w:trPr>
        <w:tc>
          <w:tcPr>
            <w:tcW w:w="5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39.5</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(4.9)</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(3.5)</w:t>
            </w:r>
          </w:p>
        </w:tc>
      </w:tr>
      <w:tr>
        <w:trPr>
          <w:trHeight w:val="197"/>
        </w:trPr>
        <w:tc>
          <w:tcPr>
            <w:tcW w:w="5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64.6</w:t>
            </w:r>
          </w:p>
        </w:tc>
        <w:tc>
          <w:tcPr>
            <w:tcW w:w="100" w:type="dxa"/>
            <w:vAlign w:val="bottom"/>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69.5</w:t>
            </w:r>
          </w:p>
        </w:tc>
        <w:tc>
          <w:tcPr>
            <w:tcW w:w="100" w:type="dxa"/>
            <w:vAlign w:val="bottom"/>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73.0</w:t>
            </w:r>
          </w:p>
        </w:tc>
      </w:tr>
      <w:tr>
        <w:trPr>
          <w:trHeight w:val="186"/>
        </w:trPr>
        <w:tc>
          <w:tcPr>
            <w:tcW w:w="50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104.1</w:t>
            </w:r>
          </w:p>
        </w:tc>
        <w:tc>
          <w:tcPr>
            <w:tcW w:w="100" w:type="dxa"/>
            <w:vAlign w:val="bottom"/>
          </w:tcPr>
          <w:p>
            <w:pPr>
              <w:spacing w:after="0"/>
              <w:rPr>
                <w:sz w:val="16"/>
                <w:szCs w:val="16"/>
                <w:color w:val="auto"/>
              </w:rPr>
            </w:pPr>
          </w:p>
        </w:tc>
        <w:tc>
          <w:tcPr>
            <w:tcW w:w="54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64.6</w:t>
            </w:r>
          </w:p>
        </w:tc>
        <w:tc>
          <w:tcPr>
            <w:tcW w:w="100" w:type="dxa"/>
            <w:vAlign w:val="bottom"/>
          </w:tcPr>
          <w:p>
            <w:pPr>
              <w:spacing w:after="0"/>
              <w:rPr>
                <w:sz w:val="16"/>
                <w:szCs w:val="16"/>
                <w:color w:val="auto"/>
              </w:rPr>
            </w:pPr>
          </w:p>
        </w:tc>
        <w:tc>
          <w:tcPr>
            <w:tcW w:w="54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69.5</w:t>
            </w:r>
          </w:p>
        </w:tc>
      </w:tr>
      <w:tr>
        <w:trPr>
          <w:trHeight w:val="22"/>
        </w:trPr>
        <w:tc>
          <w:tcPr>
            <w:tcW w:w="5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-4485005</wp:posOffset>
            </wp:positionH>
            <wp:positionV relativeFrom="paragraph">
              <wp:posOffset>-285750</wp:posOffset>
            </wp:positionV>
            <wp:extent cx="7122160" cy="1225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22160" cy="1225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340" w:space="720"/>
            <w:col w:w="4160"/>
          </w:cols>
          <w:pgMar w:left="340" w:top="88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70485</wp:posOffset>
            </wp:positionV>
            <wp:extent cx="716407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40" w:top="881" w:right="339" w:bottom="1440" w:gutter="0" w:footer="0" w:header="0"/>
          <w:type w:val="continuous"/>
        </w:sectPr>
      </w:pPr>
    </w:p>
    <w:bookmarkStart w:id="51" w:name="page52"/>
    <w:bookmarkEnd w:id="51"/>
    <w:p>
      <w:pPr>
        <w:jc w:val="center"/>
        <w:ind w:right="20"/>
        <w:spacing w:after="0"/>
        <w:rPr>
          <w:sz w:val="20"/>
          <w:szCs w:val="20"/>
          <w:color w:val="auto"/>
        </w:rPr>
      </w:pPr>
      <w:r>
        <w:rPr>
          <w:rFonts w:ascii="Arial" w:cs="Arial" w:eastAsia="Arial" w:hAnsi="Arial"/>
          <w:sz w:val="17"/>
          <w:szCs w:val="17"/>
          <w:b w:val="1"/>
          <w:bCs w:val="1"/>
          <w:color w:val="0046AD"/>
        </w:rPr>
        <w:t>ABM INDUSTRIES INCORPORATED AND SUBSIDIARIES</w:t>
      </w:r>
    </w:p>
    <w:p>
      <w:pPr>
        <w:spacing w:after="0" w:line="127"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0046AD"/>
        </w:rPr>
        <w:t>CONSOLIDATED STATEMENTS OF CASH FLOWS</w:t>
      </w:r>
    </w:p>
    <w:p>
      <w:pPr>
        <w:spacing w:after="0" w:line="140"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0046AD"/>
        </w:rPr>
        <w:t>(continued)</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4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6"/>
          </w:tcPr>
          <w:p>
            <w:pPr>
              <w:jc w:val="right"/>
              <w:ind w:right="191"/>
              <w:spacing w:after="0"/>
              <w:rPr>
                <w:sz w:val="20"/>
                <w:szCs w:val="20"/>
                <w:color w:val="auto"/>
              </w:rPr>
            </w:pPr>
            <w:r>
              <w:rPr>
                <w:rFonts w:ascii="Arial" w:cs="Arial" w:eastAsia="Arial" w:hAnsi="Arial"/>
                <w:sz w:val="14"/>
                <w:szCs w:val="14"/>
                <w:b w:val="1"/>
                <w:bCs w:val="1"/>
                <w:color w:val="auto"/>
                <w:w w:val="96"/>
              </w:rPr>
              <w:t>Years Ended October 31,</w:t>
            </w:r>
          </w:p>
        </w:tc>
        <w:tc>
          <w:tcPr>
            <w:tcW w:w="1020" w:type="dxa"/>
            <w:vAlign w:val="bottom"/>
            <w:tcBorders>
              <w:bottom w:val="single" w:sz="8" w:color="auto"/>
            </w:tcBorders>
          </w:tcPr>
          <w:p>
            <w:pPr>
              <w:spacing w:after="0"/>
              <w:rPr>
                <w:sz w:val="15"/>
                <w:szCs w:val="15"/>
                <w:color w:val="auto"/>
              </w:rPr>
            </w:pPr>
          </w:p>
        </w:tc>
      </w:tr>
      <w:tr>
        <w:trPr>
          <w:trHeight w:val="148"/>
        </w:trPr>
        <w:tc>
          <w:tcPr>
            <w:tcW w:w="20" w:type="dxa"/>
            <w:vAlign w:val="bottom"/>
          </w:tcPr>
          <w:p>
            <w:pPr>
              <w:spacing w:after="0"/>
              <w:rPr>
                <w:sz w:val="12"/>
                <w:szCs w:val="12"/>
                <w:color w:val="auto"/>
              </w:rPr>
            </w:pPr>
          </w:p>
        </w:tc>
        <w:tc>
          <w:tcPr>
            <w:tcW w:w="7040" w:type="dxa"/>
            <w:vAlign w:val="bottom"/>
            <w:gridSpan w:val="2"/>
          </w:tcPr>
          <w:p>
            <w:pPr>
              <w:spacing w:after="0"/>
              <w:rPr>
                <w:sz w:val="20"/>
                <w:szCs w:val="20"/>
                <w:color w:val="auto"/>
              </w:rPr>
            </w:pPr>
            <w:r>
              <w:rPr>
                <w:rFonts w:ascii="Times New Roman" w:cs="Times New Roman" w:eastAsia="Times New Roman" w:hAnsi="Times New Roman"/>
                <w:sz w:val="12"/>
                <w:szCs w:val="12"/>
                <w:i w:val="1"/>
                <w:iCs w:val="1"/>
                <w:color w:val="auto"/>
              </w:rPr>
              <w:t>(in millions)</w:t>
            </w:r>
          </w:p>
        </w:tc>
        <w:tc>
          <w:tcPr>
            <w:tcW w:w="300" w:type="dxa"/>
            <w:vAlign w:val="bottom"/>
          </w:tcPr>
          <w:p>
            <w:pPr>
              <w:spacing w:after="0"/>
              <w:rPr>
                <w:sz w:val="12"/>
                <w:szCs w:val="12"/>
                <w:color w:val="auto"/>
              </w:rPr>
            </w:pPr>
          </w:p>
        </w:tc>
        <w:tc>
          <w:tcPr>
            <w:tcW w:w="960" w:type="dxa"/>
            <w:vAlign w:val="bottom"/>
          </w:tcPr>
          <w:p>
            <w:pPr>
              <w:jc w:val="right"/>
              <w:ind w:right="371"/>
              <w:spacing w:after="0" w:line="148" w:lineRule="exact"/>
              <w:rPr>
                <w:sz w:val="20"/>
                <w:szCs w:val="20"/>
                <w:color w:val="auto"/>
              </w:rPr>
            </w:pPr>
            <w:r>
              <w:rPr>
                <w:rFonts w:ascii="Arial" w:cs="Arial" w:eastAsia="Arial" w:hAnsi="Arial"/>
                <w:sz w:val="14"/>
                <w:szCs w:val="14"/>
                <w:b w:val="1"/>
                <w:bCs w:val="1"/>
                <w:color w:val="auto"/>
              </w:rPr>
              <w:t>2025</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jc w:val="right"/>
              <w:ind w:right="451"/>
              <w:spacing w:after="0" w:line="148" w:lineRule="exact"/>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jc w:val="right"/>
              <w:ind w:right="451"/>
              <w:spacing w:after="0" w:line="148" w:lineRule="exact"/>
              <w:rPr>
                <w:sz w:val="20"/>
                <w:szCs w:val="20"/>
                <w:color w:val="auto"/>
              </w:rPr>
            </w:pPr>
            <w:r>
              <w:rPr>
                <w:rFonts w:ascii="Arial" w:cs="Arial" w:eastAsia="Arial" w:hAnsi="Arial"/>
                <w:sz w:val="14"/>
                <w:szCs w:val="14"/>
                <w:b w:val="1"/>
                <w:bCs w:val="1"/>
                <w:color w:val="auto"/>
              </w:rPr>
              <w:t>2023</w:t>
            </w:r>
          </w:p>
        </w:tc>
      </w:tr>
      <w:tr>
        <w:trPr>
          <w:trHeight w:val="20"/>
        </w:trPr>
        <w:tc>
          <w:tcPr>
            <w:tcW w:w="20" w:type="dxa"/>
            <w:vAlign w:val="bottom"/>
            <w:tcBorders>
              <w:bottom w:val="single" w:sz="8" w:color="DCE2EF"/>
            </w:tcBorders>
          </w:tcPr>
          <w:p>
            <w:pPr>
              <w:spacing w:after="0" w:line="20" w:lineRule="exact"/>
              <w:rPr>
                <w:sz w:val="1"/>
                <w:szCs w:val="1"/>
                <w:color w:val="auto"/>
              </w:rPr>
            </w:pPr>
          </w:p>
        </w:tc>
        <w:tc>
          <w:tcPr>
            <w:tcW w:w="580" w:type="dxa"/>
            <w:vAlign w:val="bottom"/>
            <w:tcBorders>
              <w:top w:val="single" w:sz="8" w:color="auto"/>
              <w:bottom w:val="single" w:sz="8" w:color="DCE2EF"/>
            </w:tcBorders>
          </w:tcPr>
          <w:p>
            <w:pPr>
              <w:spacing w:after="0" w:line="20" w:lineRule="exact"/>
              <w:rPr>
                <w:sz w:val="1"/>
                <w:szCs w:val="1"/>
                <w:color w:val="auto"/>
              </w:rPr>
            </w:pPr>
          </w:p>
        </w:tc>
        <w:tc>
          <w:tcPr>
            <w:tcW w:w="6460" w:type="dxa"/>
            <w:vAlign w:val="bottom"/>
            <w:tcBorders>
              <w:bottom w:val="single" w:sz="8" w:color="DCE2E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72"/>
        </w:trPr>
        <w:tc>
          <w:tcPr>
            <w:tcW w:w="20" w:type="dxa"/>
            <w:vAlign w:val="bottom"/>
            <w:shd w:val="clear" w:color="auto" w:fill="DCE2EF"/>
          </w:tcPr>
          <w:p>
            <w:pPr>
              <w:spacing w:after="0"/>
              <w:rPr>
                <w:sz w:val="14"/>
                <w:szCs w:val="14"/>
                <w:color w:val="auto"/>
              </w:rPr>
            </w:pPr>
          </w:p>
        </w:tc>
        <w:tc>
          <w:tcPr>
            <w:tcW w:w="7040" w:type="dxa"/>
            <w:vAlign w:val="bottom"/>
            <w:gridSpan w:val="2"/>
            <w:shd w:val="clear" w:color="auto" w:fill="DCE2EF"/>
          </w:tcPr>
          <w:p>
            <w:pPr>
              <w:spacing w:after="0"/>
              <w:rPr>
                <w:sz w:val="20"/>
                <w:szCs w:val="20"/>
                <w:color w:val="auto"/>
              </w:rPr>
            </w:pPr>
            <w:r>
              <w:rPr>
                <w:rFonts w:ascii="Arial" w:cs="Arial" w:eastAsia="Arial" w:hAnsi="Arial"/>
                <w:sz w:val="14"/>
                <w:szCs w:val="14"/>
                <w:b w:val="1"/>
                <w:bCs w:val="1"/>
                <w:color w:val="auto"/>
              </w:rPr>
              <w:t>Supplemental cash flow information</w:t>
            </w:r>
          </w:p>
        </w:tc>
        <w:tc>
          <w:tcPr>
            <w:tcW w:w="300" w:type="dxa"/>
            <w:vAlign w:val="bottom"/>
            <w:shd w:val="clear" w:color="auto" w:fill="DCE2EF"/>
          </w:tcPr>
          <w:p>
            <w:pPr>
              <w:spacing w:after="0"/>
              <w:rPr>
                <w:sz w:val="14"/>
                <w:szCs w:val="14"/>
                <w:color w:val="auto"/>
              </w:rPr>
            </w:pPr>
          </w:p>
        </w:tc>
        <w:tc>
          <w:tcPr>
            <w:tcW w:w="960" w:type="dxa"/>
            <w:vAlign w:val="bottom"/>
            <w:shd w:val="clear" w:color="auto" w:fill="DCE2EF"/>
          </w:tcPr>
          <w:p>
            <w:pPr>
              <w:spacing w:after="0"/>
              <w:rPr>
                <w:sz w:val="14"/>
                <w:szCs w:val="14"/>
                <w:color w:val="auto"/>
              </w:rPr>
            </w:pPr>
          </w:p>
        </w:tc>
        <w:tc>
          <w:tcPr>
            <w:tcW w:w="60" w:type="dxa"/>
            <w:vAlign w:val="bottom"/>
            <w:shd w:val="clear" w:color="auto" w:fill="DCE2EF"/>
          </w:tcPr>
          <w:p>
            <w:pPr>
              <w:spacing w:after="0"/>
              <w:rPr>
                <w:sz w:val="14"/>
                <w:szCs w:val="14"/>
                <w:color w:val="auto"/>
              </w:rPr>
            </w:pPr>
          </w:p>
        </w:tc>
        <w:tc>
          <w:tcPr>
            <w:tcW w:w="100" w:type="dxa"/>
            <w:vAlign w:val="bottom"/>
            <w:shd w:val="clear" w:color="auto" w:fill="DCE2EF"/>
          </w:tcPr>
          <w:p>
            <w:pPr>
              <w:spacing w:after="0"/>
              <w:rPr>
                <w:sz w:val="14"/>
                <w:szCs w:val="14"/>
                <w:color w:val="auto"/>
              </w:rPr>
            </w:pPr>
          </w:p>
        </w:tc>
        <w:tc>
          <w:tcPr>
            <w:tcW w:w="300" w:type="dxa"/>
            <w:vAlign w:val="bottom"/>
            <w:shd w:val="clear" w:color="auto" w:fill="DCE2EF"/>
          </w:tcPr>
          <w:p>
            <w:pPr>
              <w:spacing w:after="0"/>
              <w:rPr>
                <w:sz w:val="14"/>
                <w:szCs w:val="14"/>
                <w:color w:val="auto"/>
              </w:rPr>
            </w:pPr>
          </w:p>
        </w:tc>
        <w:tc>
          <w:tcPr>
            <w:tcW w:w="1020" w:type="dxa"/>
            <w:vAlign w:val="bottom"/>
            <w:shd w:val="clear" w:color="auto" w:fill="DCE2EF"/>
          </w:tcPr>
          <w:p>
            <w:pPr>
              <w:spacing w:after="0"/>
              <w:rPr>
                <w:sz w:val="14"/>
                <w:szCs w:val="14"/>
                <w:color w:val="auto"/>
              </w:rPr>
            </w:pPr>
          </w:p>
        </w:tc>
        <w:tc>
          <w:tcPr>
            <w:tcW w:w="100" w:type="dxa"/>
            <w:vAlign w:val="bottom"/>
            <w:shd w:val="clear" w:color="auto" w:fill="DCE2EF"/>
          </w:tcPr>
          <w:p>
            <w:pPr>
              <w:spacing w:after="0"/>
              <w:rPr>
                <w:sz w:val="14"/>
                <w:szCs w:val="14"/>
                <w:color w:val="auto"/>
              </w:rPr>
            </w:pPr>
          </w:p>
        </w:tc>
        <w:tc>
          <w:tcPr>
            <w:tcW w:w="300" w:type="dxa"/>
            <w:vAlign w:val="bottom"/>
            <w:shd w:val="clear" w:color="auto" w:fill="DCE2EF"/>
          </w:tcPr>
          <w:p>
            <w:pPr>
              <w:spacing w:after="0"/>
              <w:rPr>
                <w:sz w:val="14"/>
                <w:szCs w:val="14"/>
                <w:color w:val="auto"/>
              </w:rPr>
            </w:pPr>
          </w:p>
        </w:tc>
        <w:tc>
          <w:tcPr>
            <w:tcW w:w="1020" w:type="dxa"/>
            <w:vAlign w:val="bottom"/>
            <w:shd w:val="clear" w:color="auto" w:fill="DCE2EF"/>
          </w:tcPr>
          <w:p>
            <w:pPr>
              <w:spacing w:after="0"/>
              <w:rPr>
                <w:sz w:val="14"/>
                <w:szCs w:val="14"/>
                <w:color w:val="auto"/>
              </w:rPr>
            </w:pPr>
          </w:p>
        </w:tc>
      </w:tr>
      <w:tr>
        <w:trPr>
          <w:trHeight w:val="190"/>
        </w:trPr>
        <w:tc>
          <w:tcPr>
            <w:tcW w:w="20" w:type="dxa"/>
            <w:vAlign w:val="bottom"/>
          </w:tcPr>
          <w:p>
            <w:pPr>
              <w:spacing w:after="0"/>
              <w:rPr>
                <w:sz w:val="16"/>
                <w:szCs w:val="16"/>
                <w:color w:val="auto"/>
              </w:rPr>
            </w:pPr>
          </w:p>
        </w:tc>
        <w:tc>
          <w:tcPr>
            <w:tcW w:w="7040" w:type="dxa"/>
            <w:vAlign w:val="bottom"/>
            <w:gridSpan w:val="2"/>
          </w:tcPr>
          <w:p>
            <w:pPr>
              <w:spacing w:after="0"/>
              <w:rPr>
                <w:sz w:val="20"/>
                <w:szCs w:val="20"/>
                <w:color w:val="auto"/>
              </w:rPr>
            </w:pPr>
            <w:r>
              <w:rPr>
                <w:rFonts w:ascii="Arial" w:cs="Arial" w:eastAsia="Arial" w:hAnsi="Arial"/>
                <w:sz w:val="14"/>
                <w:szCs w:val="14"/>
                <w:color w:val="auto"/>
              </w:rPr>
              <w:t>Income tax payments, net</w:t>
            </w:r>
          </w:p>
        </w:tc>
        <w:tc>
          <w:tcPr>
            <w:tcW w:w="300" w:type="dxa"/>
            <w:vAlign w:val="bottom"/>
          </w:tcPr>
          <w:p>
            <w:pPr>
              <w:jc w:val="right"/>
              <w:ind w:right="131"/>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88.2</w:t>
            </w:r>
          </w:p>
        </w:tc>
        <w:tc>
          <w:tcPr>
            <w:tcW w:w="46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83.2</w:t>
            </w:r>
          </w:p>
        </w:tc>
        <w:tc>
          <w:tcPr>
            <w:tcW w:w="100" w:type="dxa"/>
            <w:vAlign w:val="bottom"/>
          </w:tcPr>
          <w:p>
            <w:pPr>
              <w:spacing w:after="0"/>
              <w:rPr>
                <w:sz w:val="16"/>
                <w:szCs w:val="16"/>
                <w:color w:val="auto"/>
              </w:rPr>
            </w:pPr>
          </w:p>
        </w:tc>
        <w:tc>
          <w:tcPr>
            <w:tcW w:w="300" w:type="dxa"/>
            <w:vAlign w:val="bottom"/>
          </w:tcPr>
          <w:p>
            <w:pPr>
              <w:jc w:val="right"/>
              <w:ind w:right="131"/>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1"/>
              <w:spacing w:after="0"/>
              <w:rPr>
                <w:sz w:val="20"/>
                <w:szCs w:val="20"/>
                <w:color w:val="auto"/>
              </w:rPr>
            </w:pPr>
            <w:r>
              <w:rPr>
                <w:rFonts w:ascii="Arial" w:cs="Arial" w:eastAsia="Arial" w:hAnsi="Arial"/>
                <w:sz w:val="14"/>
                <w:szCs w:val="14"/>
                <w:color w:val="auto"/>
              </w:rPr>
              <w:t>69.1</w:t>
            </w:r>
          </w:p>
        </w:tc>
      </w:tr>
      <w:tr>
        <w:trPr>
          <w:trHeight w:val="197"/>
        </w:trPr>
        <w:tc>
          <w:tcPr>
            <w:tcW w:w="20" w:type="dxa"/>
            <w:vAlign w:val="bottom"/>
            <w:shd w:val="clear" w:color="auto" w:fill="DCE2EF"/>
          </w:tcPr>
          <w:p>
            <w:pPr>
              <w:spacing w:after="0"/>
              <w:rPr>
                <w:sz w:val="17"/>
                <w:szCs w:val="17"/>
                <w:color w:val="auto"/>
              </w:rPr>
            </w:pPr>
          </w:p>
        </w:tc>
        <w:tc>
          <w:tcPr>
            <w:tcW w:w="7040" w:type="dxa"/>
            <w:vAlign w:val="bottom"/>
            <w:gridSpan w:val="2"/>
            <w:shd w:val="clear" w:color="auto" w:fill="DCE2EF"/>
          </w:tcPr>
          <w:p>
            <w:pPr>
              <w:spacing w:after="0"/>
              <w:rPr>
                <w:sz w:val="20"/>
                <w:szCs w:val="20"/>
                <w:color w:val="auto"/>
              </w:rPr>
            </w:pPr>
            <w:r>
              <w:rPr>
                <w:rFonts w:ascii="Arial" w:cs="Arial" w:eastAsia="Arial" w:hAnsi="Arial"/>
                <w:sz w:val="14"/>
                <w:szCs w:val="14"/>
                <w:color w:val="auto"/>
              </w:rPr>
              <w:t>Interest paid on credit facility</w:t>
            </w:r>
          </w:p>
        </w:tc>
        <w:tc>
          <w:tcPr>
            <w:tcW w:w="300" w:type="dxa"/>
            <w:vAlign w:val="bottom"/>
            <w:shd w:val="clear" w:color="auto" w:fill="DCE2EF"/>
          </w:tcPr>
          <w:p>
            <w:pPr>
              <w:spacing w:after="0"/>
              <w:rPr>
                <w:sz w:val="17"/>
                <w:szCs w:val="17"/>
                <w:color w:val="auto"/>
              </w:rPr>
            </w:pPr>
          </w:p>
        </w:tc>
        <w:tc>
          <w:tcPr>
            <w:tcW w:w="960" w:type="dxa"/>
            <w:vAlign w:val="bottom"/>
            <w:shd w:val="clear" w:color="auto" w:fill="DCE2EF"/>
          </w:tcPr>
          <w:p>
            <w:pPr>
              <w:jc w:val="right"/>
              <w:spacing w:after="0"/>
              <w:rPr>
                <w:sz w:val="20"/>
                <w:szCs w:val="20"/>
                <w:color w:val="auto"/>
              </w:rPr>
            </w:pPr>
            <w:r>
              <w:rPr>
                <w:rFonts w:ascii="Arial" w:cs="Arial" w:eastAsia="Arial" w:hAnsi="Arial"/>
                <w:sz w:val="14"/>
                <w:szCs w:val="14"/>
                <w:color w:val="auto"/>
              </w:rPr>
              <w:t>99.8</w:t>
            </w:r>
          </w:p>
        </w:tc>
        <w:tc>
          <w:tcPr>
            <w:tcW w:w="60" w:type="dxa"/>
            <w:vAlign w:val="bottom"/>
            <w:shd w:val="clear" w:color="auto" w:fill="DCE2EF"/>
          </w:tcPr>
          <w:p>
            <w:pPr>
              <w:spacing w:after="0"/>
              <w:rPr>
                <w:sz w:val="17"/>
                <w:szCs w:val="17"/>
                <w:color w:val="auto"/>
              </w:rPr>
            </w:pPr>
          </w:p>
        </w:tc>
        <w:tc>
          <w:tcPr>
            <w:tcW w:w="100" w:type="dxa"/>
            <w:vAlign w:val="bottom"/>
            <w:shd w:val="clear" w:color="auto" w:fill="DCE2EF"/>
          </w:tcPr>
          <w:p>
            <w:pPr>
              <w:spacing w:after="0"/>
              <w:rPr>
                <w:sz w:val="17"/>
                <w:szCs w:val="17"/>
                <w:color w:val="auto"/>
              </w:rPr>
            </w:pPr>
          </w:p>
        </w:tc>
        <w:tc>
          <w:tcPr>
            <w:tcW w:w="300" w:type="dxa"/>
            <w:vAlign w:val="bottom"/>
            <w:shd w:val="clear" w:color="auto" w:fill="DCE2EF"/>
          </w:tcPr>
          <w:p>
            <w:pPr>
              <w:spacing w:after="0"/>
              <w:rPr>
                <w:sz w:val="17"/>
                <w:szCs w:val="17"/>
                <w:color w:val="auto"/>
              </w:rPr>
            </w:pPr>
          </w:p>
        </w:tc>
        <w:tc>
          <w:tcPr>
            <w:tcW w:w="1020" w:type="dxa"/>
            <w:vAlign w:val="bottom"/>
            <w:shd w:val="clear" w:color="auto" w:fill="DCE2EF"/>
          </w:tcPr>
          <w:p>
            <w:pPr>
              <w:jc w:val="right"/>
              <w:spacing w:after="0"/>
              <w:rPr>
                <w:sz w:val="20"/>
                <w:szCs w:val="20"/>
                <w:color w:val="auto"/>
              </w:rPr>
            </w:pPr>
            <w:r>
              <w:rPr>
                <w:rFonts w:ascii="Arial" w:cs="Arial" w:eastAsia="Arial" w:hAnsi="Arial"/>
                <w:sz w:val="14"/>
                <w:szCs w:val="14"/>
                <w:color w:val="auto"/>
              </w:rPr>
              <w:t>98.5</w:t>
            </w:r>
          </w:p>
        </w:tc>
        <w:tc>
          <w:tcPr>
            <w:tcW w:w="100" w:type="dxa"/>
            <w:vAlign w:val="bottom"/>
            <w:shd w:val="clear" w:color="auto" w:fill="DCE2EF"/>
          </w:tcPr>
          <w:p>
            <w:pPr>
              <w:spacing w:after="0"/>
              <w:rPr>
                <w:sz w:val="17"/>
                <w:szCs w:val="17"/>
                <w:color w:val="auto"/>
              </w:rPr>
            </w:pPr>
          </w:p>
        </w:tc>
        <w:tc>
          <w:tcPr>
            <w:tcW w:w="300" w:type="dxa"/>
            <w:vAlign w:val="bottom"/>
            <w:shd w:val="clear" w:color="auto" w:fill="DCE2EF"/>
          </w:tcPr>
          <w:p>
            <w:pPr>
              <w:spacing w:after="0"/>
              <w:rPr>
                <w:sz w:val="17"/>
                <w:szCs w:val="17"/>
                <w:color w:val="auto"/>
              </w:rPr>
            </w:pPr>
          </w:p>
        </w:tc>
        <w:tc>
          <w:tcPr>
            <w:tcW w:w="1020" w:type="dxa"/>
            <w:vAlign w:val="bottom"/>
            <w:shd w:val="clear" w:color="auto" w:fill="DCE2EF"/>
          </w:tcPr>
          <w:p>
            <w:pPr>
              <w:jc w:val="right"/>
              <w:ind w:right="11"/>
              <w:spacing w:after="0"/>
              <w:rPr>
                <w:sz w:val="20"/>
                <w:szCs w:val="20"/>
                <w:color w:val="auto"/>
              </w:rPr>
            </w:pPr>
            <w:r>
              <w:rPr>
                <w:rFonts w:ascii="Arial" w:cs="Arial" w:eastAsia="Arial" w:hAnsi="Arial"/>
                <w:sz w:val="14"/>
                <w:szCs w:val="14"/>
                <w:color w:val="auto"/>
              </w:rPr>
              <w:t>89.4</w:t>
            </w:r>
          </w:p>
        </w:tc>
      </w:tr>
    </w:tbl>
    <w:p>
      <w:pPr>
        <w:spacing w:after="0" w:line="228"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See accompanying Notes to consolidated financial statements.</w:t>
      </w:r>
    </w:p>
    <w:p>
      <w:pPr>
        <w:spacing w:after="0" w:line="200" w:lineRule="exact"/>
        <w:rPr>
          <w:sz w:val="20"/>
          <w:szCs w:val="20"/>
          <w:color w:val="auto"/>
        </w:rPr>
      </w:pPr>
    </w:p>
    <w:p>
      <w:pPr>
        <w:spacing w:after="0" w:line="223"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70485</wp:posOffset>
            </wp:positionV>
            <wp:extent cx="716407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40" w:top="881" w:right="339" w:bottom="1440" w:gutter="0" w:footer="0" w:header="0"/>
        </w:sectPr>
      </w:pPr>
    </w:p>
    <w:bookmarkStart w:id="52" w:name="page53"/>
    <w:bookmarkEnd w:id="52"/>
    <w:p>
      <w:pPr>
        <w:jc w:val="center"/>
        <w:spacing w:after="0"/>
        <w:rPr>
          <w:sz w:val="20"/>
          <w:szCs w:val="20"/>
          <w:color w:val="auto"/>
        </w:rPr>
      </w:pPr>
      <w:r>
        <w:rPr>
          <w:rFonts w:ascii="Arial" w:cs="Arial" w:eastAsia="Arial" w:hAnsi="Arial"/>
          <w:sz w:val="17"/>
          <w:szCs w:val="17"/>
          <w:b w:val="1"/>
          <w:bCs w:val="1"/>
          <w:color w:val="0046AD"/>
        </w:rPr>
        <w:t>ABM INDUSTRIES INCORPORATED AND SUBSIDIARIES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0046AD"/>
        </w:rPr>
        <w:t>NOTES TO CONSOLIDATED FINANCIAL STATEMENTS</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1. THE COMPANY AND NATURE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wp:posOffset>
            </wp:positionV>
            <wp:extent cx="712216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22160" cy="8255"/>
                    </a:xfrm>
                    <a:prstGeom prst="rect">
                      <a:avLst/>
                    </a:prstGeom>
                    <a:noFill/>
                  </pic:spPr>
                </pic:pic>
              </a:graphicData>
            </a:graphic>
          </wp:anchor>
        </w:drawing>
      </w:r>
    </w:p>
    <w:p>
      <w:pPr>
        <w:spacing w:after="0" w:line="300" w:lineRule="exact"/>
        <w:rPr>
          <w:sz w:val="20"/>
          <w:szCs w:val="20"/>
          <w:color w:val="auto"/>
        </w:rPr>
      </w:pPr>
    </w:p>
    <w:p>
      <w:pPr>
        <w:jc w:val="both"/>
        <w:ind w:firstLine="619"/>
        <w:spacing w:after="0" w:line="292" w:lineRule="auto"/>
        <w:rPr>
          <w:sz w:val="20"/>
          <w:szCs w:val="20"/>
          <w:color w:val="auto"/>
        </w:rPr>
      </w:pPr>
      <w:r>
        <w:rPr>
          <w:rFonts w:ascii="Arial" w:cs="Arial" w:eastAsia="Arial" w:hAnsi="Arial"/>
          <w:sz w:val="17"/>
          <w:szCs w:val="17"/>
          <w:color w:val="auto"/>
        </w:rPr>
        <w:t xml:space="preserve">ABM is a leading provider of integrated facility services with a mission to </w:t>
      </w:r>
      <w:r>
        <w:rPr>
          <w:rFonts w:ascii="Arial" w:cs="Arial" w:eastAsia="Arial" w:hAnsi="Arial"/>
          <w:sz w:val="17"/>
          <w:szCs w:val="17"/>
          <w:b w:val="1"/>
          <w:bCs w:val="1"/>
          <w:color w:val="326ABD"/>
        </w:rPr>
        <w:t>make a difference, every person, every day</w:t>
      </w:r>
      <w:r>
        <w:rPr>
          <w:rFonts w:ascii="Arial" w:cs="Arial" w:eastAsia="Arial" w:hAnsi="Arial"/>
          <w:sz w:val="17"/>
          <w:szCs w:val="17"/>
          <w:color w:val="auto"/>
        </w:rPr>
        <w:t>. We are organized into four industry groups and one Technical Solutions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1090930</wp:posOffset>
            </wp:positionH>
            <wp:positionV relativeFrom="paragraph">
              <wp:posOffset>69850</wp:posOffset>
            </wp:positionV>
            <wp:extent cx="4968875" cy="84328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4968875" cy="843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17"/>
          <w:szCs w:val="17"/>
          <w:color w:val="auto"/>
        </w:rPr>
        <w:t>Through these groups, we offer janitorial, facilities engineering, parking, and specialized mechanical and electrical technical solutions, on a standalone basis or in combination with other services.</w:t>
      </w:r>
    </w:p>
    <w:p>
      <w:pPr>
        <w:spacing w:after="0" w:line="93"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2. BASIS OF PRESENTATION AND SIGNIFICANT ACCOUNTING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wp:posOffset>
            </wp:positionV>
            <wp:extent cx="707326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073265" cy="8255"/>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Basis of Presentation and Principles of Consolidation</w:t>
      </w:r>
    </w:p>
    <w:p>
      <w:pPr>
        <w:spacing w:after="0" w:line="168"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7"/>
          <w:szCs w:val="17"/>
          <w:color w:val="auto"/>
        </w:rPr>
        <w:t>The Financial Statements have been prepared in accordance with United States generally accepted accounting principles (“U.S. GAAP”) and with the rules and regulations of the SEC, specifically Regulation S-X and the instructions to Form 10-K. Unless otherwise indicated, all references to years are to our fiscal year, which ends on October 31.</w:t>
      </w:r>
    </w:p>
    <w:p>
      <w:pPr>
        <w:spacing w:after="0" w:line="111"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7"/>
          <w:szCs w:val="17"/>
          <w:color w:val="auto"/>
        </w:rPr>
        <w:t>The Financial Statements include the accounts of ABM and all of our consolidated subsidiaries. We account for ABM’s investments in unconsolidated affiliates under the equity method of accounting. We include the results of acquired businesses in the Consolidated Statements of Comprehensive Income from their respective acquisition dates. All intercompany accounts and transactions have been eliminated in consolidation.</w:t>
      </w:r>
    </w:p>
    <w:p>
      <w:pPr>
        <w:spacing w:after="0" w:line="111"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The preparation of consolidated financial statements in accordance with U.S. GAAP requires our management to make certain estimates that affect reported amounts. We base our estimates on historical experience, known or expected trends, independent valuations, and various other assumptions that we believe to be reasonable under the circumstances. As future events and their effects cannot be determined with precision, actual results could differ significantly from these estimates.</w:t>
      </w:r>
    </w:p>
    <w:p>
      <w:pPr>
        <w:spacing w:after="0" w:line="65"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17"/>
          <w:szCs w:val="17"/>
          <w:color w:val="auto"/>
        </w:rPr>
        <w:t>We round amounts in the Financial Statements to millions and calculate all percentages and per-share data from the underlying whole-dollar amounts. Thus, certain amounts may not foot, crossfoot, or recalculate based on reported numbers due to rounding.</w:t>
      </w:r>
    </w:p>
    <w:p>
      <w:pPr>
        <w:spacing w:after="0" w:line="93"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Cash and Cash Equivalents</w:t>
      </w:r>
    </w:p>
    <w:p>
      <w:pPr>
        <w:spacing w:after="0" w:line="167"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We consider all highly liquid securities with an original maturity of three months or less to be cash and cash equivalents. As part of our cash management system, we use “zero balance” accounts to fund our disbursements. Under this system, at the end of each day the bank balance is zero, while the book balance is usually a negative amount due to reconciling items, such as outstanding checks. We report the changes in these book cash overdrafts as cash flows from financing activities.</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Trade Accounts Receivable and Costs Incurred in Excess of Amounts Billed</w:t>
      </w:r>
    </w:p>
    <w:p>
      <w:pPr>
        <w:spacing w:after="0" w:line="167"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Trade accounts receivable arise from services provided to our clients and are usually due and payable on varying terms from receipt of the invoice to net 60 days, with the exception of certain Technical Solutions project receivables that may have longer collection periods. These receivables are recorded at the invoiced amount and normally do not bear interest. In addition, our trade accounts receivable include unbilled receivables, such as invoices for services that have been provided but are not yet billed.</w:t>
      </w:r>
    </w:p>
    <w:p>
      <w:pPr>
        <w:spacing w:after="0" w:line="116"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17"/>
          <w:szCs w:val="17"/>
          <w:color w:val="auto"/>
        </w:rPr>
        <w:t>Costs incurred in excess of amounts billed arise from Technical Solutions project contracts that typically provide for a schedule of billings or invoices to the client based on our performance to date of specific tasks inherent</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97" w:right="339" w:bottom="1440" w:gutter="0" w:footer="0" w:header="0"/>
        </w:sectPr>
      </w:pPr>
    </w:p>
    <w:bookmarkStart w:id="53" w:name="page54"/>
    <w:bookmarkEnd w:id="53"/>
    <w:p>
      <w:pPr>
        <w:jc w:val="both"/>
        <w:spacing w:after="0" w:line="290" w:lineRule="auto"/>
        <w:rPr>
          <w:sz w:val="20"/>
          <w:szCs w:val="20"/>
          <w:color w:val="auto"/>
        </w:rPr>
      </w:pPr>
      <w:r>
        <w:rPr>
          <w:rFonts w:ascii="Arial" w:cs="Arial" w:eastAsia="Arial" w:hAnsi="Arial"/>
          <w:sz w:val="17"/>
          <w:szCs w:val="17"/>
          <w:color w:val="auto"/>
        </w:rPr>
        <w:t>in the fulfillment of our performance obligation(s). The schedules for such billings usually do not precisely match the schedule on which costs are incurred. As a result, revenues generally differ from amounts that can be billed or invoiced to the client at any point during the contract.</w:t>
      </w:r>
    </w:p>
    <w:p>
      <w:pPr>
        <w:spacing w:after="0" w:line="97" w:lineRule="exact"/>
        <w:rPr>
          <w:sz w:val="20"/>
          <w:szCs w:val="20"/>
          <w:color w:val="auto"/>
        </w:rPr>
      </w:pPr>
    </w:p>
    <w:p>
      <w:pPr>
        <w:spacing w:after="0"/>
        <w:rPr>
          <w:sz w:val="20"/>
          <w:szCs w:val="20"/>
          <w:color w:val="auto"/>
        </w:rPr>
      </w:pPr>
      <w:r>
        <w:rPr>
          <w:rFonts w:ascii="Arial" w:cs="Arial" w:eastAsia="Arial" w:hAnsi="Arial"/>
          <w:sz w:val="17"/>
          <w:szCs w:val="17"/>
          <w:i w:val="1"/>
          <w:iCs w:val="1"/>
          <w:color w:val="0046AD"/>
        </w:rPr>
        <w:t>Allowance for Doubtful Accounts</w:t>
      </w:r>
    </w:p>
    <w:p>
      <w:pPr>
        <w:spacing w:after="0" w:line="163"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7"/>
          <w:szCs w:val="17"/>
          <w:color w:val="auto"/>
        </w:rPr>
        <w:t>We determine the allowance for doubtful accounts based on historical write-offs, known or expected trends, and the identification of specific balances deemed uncollectible. For the specifically identified balances, we establish the reserve upon the earlier of a client’s inability to meet its financial obligations or after a period of 12 months, unless our management believes such amounts will ultimately be collectible.</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i w:val="1"/>
          <w:iCs w:val="1"/>
          <w:color w:val="0046AD"/>
        </w:rPr>
        <w:t>Sales Allowance</w:t>
      </w:r>
    </w:p>
    <w:p>
      <w:pPr>
        <w:spacing w:after="0" w:line="163"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In connection with our service contracts, we periodically issue credit memos to our clients that are recorded as a reduction in revenues and an increase to the allowance for billing adjustments. These credits can result from client vacancy discounts, job cancellations, property damage, and other items. We estimate our potential future losses on these client receivables based on an analysis of the historical rate of sales adjustments (credit memos, net of re-bills) and known or expected trends.</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Other Current Assets</w:t>
      </w:r>
    </w:p>
    <w:p>
      <w:pPr>
        <w:spacing w:after="0" w:line="168"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17"/>
          <w:szCs w:val="17"/>
          <w:color w:val="auto"/>
        </w:rPr>
        <w:t>At October 31, 2025 and 2024, other current assets primarily consisted of other receivables, short-term insurance recoverables, capitalized commissions and interest rate swaps assets.</w:t>
      </w:r>
    </w:p>
    <w:p>
      <w:pPr>
        <w:spacing w:after="0" w:line="93"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Other Investments</w:t>
      </w:r>
    </w:p>
    <w:p>
      <w:pPr>
        <w:spacing w:after="0" w:line="168"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7"/>
          <w:szCs w:val="17"/>
          <w:color w:val="auto"/>
        </w:rPr>
        <w:t>At October 31, 2025 and 2024, other investments primarily consisted of preferred equity investments and investments in unconsolidated affiliates and were $48.6 million and $30.8 million, respectively. We did not recognize any impairment charges on these investments in 2025, 2024, or 2023.</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Property, Plant and Equipment</w:t>
      </w:r>
    </w:p>
    <w:p>
      <w:pPr>
        <w:spacing w:after="0" w:line="167"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7"/>
          <w:szCs w:val="17"/>
          <w:color w:val="auto"/>
        </w:rPr>
        <w:t>We record property, plant and equipment at cost. Repairs and maintenance expenditures are expensed as incurred. In contrast, we capitalize major renewals or replacements that substantially extend the useful life of an asset. We determine depreciation for financial reporting purposes using the straight-line method over the following estimated useful lives:</w:t>
      </w:r>
    </w:p>
    <w:p>
      <w:pPr>
        <w:spacing w:after="0" w:line="134" w:lineRule="exact"/>
        <w:rPr>
          <w:sz w:val="20"/>
          <w:szCs w:val="20"/>
          <w:color w:val="auto"/>
        </w:rPr>
      </w:pPr>
    </w:p>
    <w:tbl>
      <w:tblPr>
        <w:tblLayout w:type="fixed"/>
        <w:tblInd w:w="10" w:type="dxa"/>
        <w:tblCellMar>
          <w:top w:w="0" w:type="dxa"/>
          <w:left w:w="0" w:type="dxa"/>
          <w:bottom w:w="0" w:type="dxa"/>
          <w:right w:w="0" w:type="dxa"/>
        </w:tblCellMar>
      </w:tblPr>
      <w:tr>
        <w:trPr>
          <w:trHeight w:val="232"/>
        </w:trPr>
        <w:tc>
          <w:tcPr>
            <w:tcW w:w="5400" w:type="dxa"/>
            <w:vAlign w:val="bottom"/>
            <w:tcBorders>
              <w:top w:val="single" w:sz="8" w:color="auto"/>
              <w:left w:val="single" w:sz="8" w:color="auto"/>
            </w:tcBorders>
          </w:tcPr>
          <w:p>
            <w:pPr>
              <w:ind w:left="40"/>
              <w:spacing w:after="0"/>
              <w:rPr>
                <w:sz w:val="20"/>
                <w:szCs w:val="20"/>
                <w:color w:val="auto"/>
              </w:rPr>
            </w:pPr>
            <w:r>
              <w:rPr>
                <w:rFonts w:ascii="Arial" w:cs="Arial" w:eastAsia="Arial" w:hAnsi="Arial"/>
                <w:sz w:val="17"/>
                <w:szCs w:val="17"/>
                <w:b w:val="1"/>
                <w:bCs w:val="1"/>
                <w:color w:val="auto"/>
              </w:rPr>
              <w:t>Category</w:t>
            </w:r>
          </w:p>
        </w:tc>
        <w:tc>
          <w:tcPr>
            <w:tcW w:w="5780" w:type="dxa"/>
            <w:vAlign w:val="bottom"/>
            <w:tcBorders>
              <w:top w:val="single" w:sz="8" w:color="auto"/>
              <w:right w:val="single" w:sz="8" w:color="auto"/>
            </w:tcBorders>
          </w:tcPr>
          <w:p>
            <w:pPr>
              <w:ind w:left="2740"/>
              <w:spacing w:after="0"/>
              <w:rPr>
                <w:sz w:val="20"/>
                <w:szCs w:val="20"/>
                <w:color w:val="auto"/>
              </w:rPr>
            </w:pPr>
            <w:r>
              <w:rPr>
                <w:rFonts w:ascii="Arial" w:cs="Arial" w:eastAsia="Arial" w:hAnsi="Arial"/>
                <w:sz w:val="17"/>
                <w:szCs w:val="17"/>
                <w:b w:val="1"/>
                <w:bCs w:val="1"/>
                <w:color w:val="auto"/>
              </w:rPr>
              <w:t>Years</w:t>
            </w:r>
          </w:p>
        </w:tc>
      </w:tr>
      <w:tr>
        <w:trPr>
          <w:trHeight w:val="219"/>
        </w:trPr>
        <w:tc>
          <w:tcPr>
            <w:tcW w:w="5400" w:type="dxa"/>
            <w:vAlign w:val="bottom"/>
            <w:tcBorders>
              <w:left w:val="single" w:sz="8" w:color="auto"/>
            </w:tcBorders>
            <w:shd w:val="clear" w:color="auto" w:fill="DCE2EF"/>
          </w:tcPr>
          <w:p>
            <w:pPr>
              <w:ind w:left="40"/>
              <w:spacing w:after="0"/>
              <w:rPr>
                <w:sz w:val="20"/>
                <w:szCs w:val="20"/>
                <w:color w:val="auto"/>
              </w:rPr>
            </w:pPr>
            <w:r>
              <w:rPr>
                <w:rFonts w:ascii="Arial" w:cs="Arial" w:eastAsia="Arial" w:hAnsi="Arial"/>
                <w:sz w:val="17"/>
                <w:szCs w:val="17"/>
                <w:color w:val="auto"/>
              </w:rPr>
              <w:t>Computer equipment and software</w:t>
            </w:r>
          </w:p>
        </w:tc>
        <w:tc>
          <w:tcPr>
            <w:tcW w:w="5780" w:type="dxa"/>
            <w:vAlign w:val="bottom"/>
            <w:tcBorders>
              <w:right w:val="single" w:sz="8" w:color="auto"/>
            </w:tcBorders>
            <w:shd w:val="clear" w:color="auto" w:fill="DCE2EF"/>
          </w:tcPr>
          <w:p>
            <w:pPr>
              <w:jc w:val="center"/>
              <w:ind w:left="94"/>
              <w:spacing w:after="0"/>
              <w:rPr>
                <w:sz w:val="20"/>
                <w:szCs w:val="20"/>
                <w:color w:val="auto"/>
              </w:rPr>
            </w:pPr>
            <w:r>
              <w:rPr>
                <w:rFonts w:ascii="Arial" w:cs="Arial" w:eastAsia="Arial" w:hAnsi="Arial"/>
                <w:sz w:val="17"/>
                <w:szCs w:val="17"/>
                <w:color w:val="auto"/>
                <w:w w:val="98"/>
              </w:rPr>
              <w:t>3–7</w:t>
            </w:r>
          </w:p>
        </w:tc>
      </w:tr>
      <w:tr>
        <w:trPr>
          <w:trHeight w:val="219"/>
        </w:trPr>
        <w:tc>
          <w:tcPr>
            <w:tcW w:w="5400" w:type="dxa"/>
            <w:vAlign w:val="bottom"/>
            <w:tcBorders>
              <w:left w:val="single" w:sz="8" w:color="auto"/>
            </w:tcBorders>
          </w:tcPr>
          <w:p>
            <w:pPr>
              <w:ind w:left="40"/>
              <w:spacing w:after="0"/>
              <w:rPr>
                <w:sz w:val="20"/>
                <w:szCs w:val="20"/>
                <w:color w:val="auto"/>
              </w:rPr>
            </w:pPr>
            <w:r>
              <w:rPr>
                <w:rFonts w:ascii="Arial" w:cs="Arial" w:eastAsia="Arial" w:hAnsi="Arial"/>
                <w:sz w:val="17"/>
                <w:szCs w:val="17"/>
                <w:color w:val="auto"/>
              </w:rPr>
              <w:t>Machinery and other equipment</w:t>
            </w:r>
          </w:p>
        </w:tc>
        <w:tc>
          <w:tcPr>
            <w:tcW w:w="5780" w:type="dxa"/>
            <w:vAlign w:val="bottom"/>
            <w:tcBorders>
              <w:right w:val="single" w:sz="8" w:color="auto"/>
            </w:tcBorders>
          </w:tcPr>
          <w:p>
            <w:pPr>
              <w:jc w:val="center"/>
              <w:ind w:left="94"/>
              <w:spacing w:after="0"/>
              <w:rPr>
                <w:sz w:val="20"/>
                <w:szCs w:val="20"/>
                <w:color w:val="auto"/>
              </w:rPr>
            </w:pPr>
            <w:r>
              <w:rPr>
                <w:rFonts w:ascii="Arial" w:cs="Arial" w:eastAsia="Arial" w:hAnsi="Arial"/>
                <w:sz w:val="17"/>
                <w:szCs w:val="17"/>
                <w:color w:val="auto"/>
                <w:w w:val="98"/>
              </w:rPr>
              <w:t>3–5</w:t>
            </w:r>
          </w:p>
        </w:tc>
      </w:tr>
      <w:tr>
        <w:trPr>
          <w:trHeight w:val="219"/>
        </w:trPr>
        <w:tc>
          <w:tcPr>
            <w:tcW w:w="5400" w:type="dxa"/>
            <w:vAlign w:val="bottom"/>
            <w:tcBorders>
              <w:left w:val="single" w:sz="8" w:color="auto"/>
            </w:tcBorders>
            <w:shd w:val="clear" w:color="auto" w:fill="DCE2EF"/>
          </w:tcPr>
          <w:p>
            <w:pPr>
              <w:ind w:left="40"/>
              <w:spacing w:after="0"/>
              <w:rPr>
                <w:sz w:val="20"/>
                <w:szCs w:val="20"/>
                <w:color w:val="auto"/>
              </w:rPr>
            </w:pPr>
            <w:r>
              <w:rPr>
                <w:rFonts w:ascii="Arial" w:cs="Arial" w:eastAsia="Arial" w:hAnsi="Arial"/>
                <w:sz w:val="17"/>
                <w:szCs w:val="17"/>
                <w:color w:val="auto"/>
              </w:rPr>
              <w:t>Transportation equipment</w:t>
            </w:r>
          </w:p>
        </w:tc>
        <w:tc>
          <w:tcPr>
            <w:tcW w:w="5780" w:type="dxa"/>
            <w:vAlign w:val="bottom"/>
            <w:tcBorders>
              <w:right w:val="single" w:sz="8" w:color="auto"/>
            </w:tcBorders>
            <w:shd w:val="clear" w:color="auto" w:fill="DCE2EF"/>
          </w:tcPr>
          <w:p>
            <w:pPr>
              <w:jc w:val="center"/>
              <w:ind w:left="94"/>
              <w:spacing w:after="0"/>
              <w:rPr>
                <w:sz w:val="20"/>
                <w:szCs w:val="20"/>
                <w:color w:val="auto"/>
              </w:rPr>
            </w:pPr>
            <w:r>
              <w:rPr>
                <w:rFonts w:ascii="Arial" w:cs="Arial" w:eastAsia="Arial" w:hAnsi="Arial"/>
                <w:sz w:val="17"/>
                <w:szCs w:val="17"/>
                <w:color w:val="auto"/>
                <w:w w:val="99"/>
              </w:rPr>
              <w:t>1.5–10</w:t>
            </w:r>
          </w:p>
        </w:tc>
      </w:tr>
      <w:tr>
        <w:trPr>
          <w:trHeight w:val="219"/>
        </w:trPr>
        <w:tc>
          <w:tcPr>
            <w:tcW w:w="5400" w:type="dxa"/>
            <w:vAlign w:val="bottom"/>
            <w:tcBorders>
              <w:left w:val="single" w:sz="8" w:color="auto"/>
            </w:tcBorders>
          </w:tcPr>
          <w:p>
            <w:pPr>
              <w:ind w:left="40"/>
              <w:spacing w:after="0"/>
              <w:rPr>
                <w:sz w:val="20"/>
                <w:szCs w:val="20"/>
                <w:color w:val="auto"/>
              </w:rPr>
            </w:pPr>
            <w:r>
              <w:rPr>
                <w:rFonts w:ascii="Arial" w:cs="Arial" w:eastAsia="Arial" w:hAnsi="Arial"/>
                <w:sz w:val="17"/>
                <w:szCs w:val="17"/>
                <w:color w:val="auto"/>
              </w:rPr>
              <w:t>Buildings</w:t>
            </w:r>
          </w:p>
        </w:tc>
        <w:tc>
          <w:tcPr>
            <w:tcW w:w="5780" w:type="dxa"/>
            <w:vAlign w:val="bottom"/>
            <w:tcBorders>
              <w:right w:val="single" w:sz="8" w:color="auto"/>
            </w:tcBorders>
          </w:tcPr>
          <w:p>
            <w:pPr>
              <w:jc w:val="center"/>
              <w:ind w:left="94"/>
              <w:spacing w:after="0"/>
              <w:rPr>
                <w:sz w:val="20"/>
                <w:szCs w:val="20"/>
                <w:color w:val="auto"/>
              </w:rPr>
            </w:pPr>
            <w:r>
              <w:rPr>
                <w:rFonts w:ascii="Arial" w:cs="Arial" w:eastAsia="Arial" w:hAnsi="Arial"/>
                <w:sz w:val="17"/>
                <w:szCs w:val="17"/>
                <w:color w:val="auto"/>
              </w:rPr>
              <w:t>10–40</w:t>
            </w:r>
          </w:p>
        </w:tc>
      </w:tr>
      <w:tr>
        <w:trPr>
          <w:trHeight w:val="219"/>
        </w:trPr>
        <w:tc>
          <w:tcPr>
            <w:tcW w:w="5400" w:type="dxa"/>
            <w:vAlign w:val="bottom"/>
            <w:tcBorders>
              <w:left w:val="single" w:sz="8" w:color="auto"/>
              <w:bottom w:val="single" w:sz="8" w:color="auto"/>
            </w:tcBorders>
            <w:shd w:val="clear" w:color="auto" w:fill="DCE2EF"/>
          </w:tcPr>
          <w:p>
            <w:pPr>
              <w:ind w:left="40"/>
              <w:spacing w:after="0"/>
              <w:rPr>
                <w:sz w:val="20"/>
                <w:szCs w:val="20"/>
                <w:color w:val="auto"/>
              </w:rPr>
            </w:pPr>
            <w:r>
              <w:rPr>
                <w:rFonts w:ascii="Arial" w:cs="Arial" w:eastAsia="Arial" w:hAnsi="Arial"/>
                <w:sz w:val="17"/>
                <w:szCs w:val="17"/>
                <w:color w:val="auto"/>
              </w:rPr>
              <w:t>Furniture and fixtures</w:t>
            </w:r>
          </w:p>
        </w:tc>
        <w:tc>
          <w:tcPr>
            <w:tcW w:w="5780" w:type="dxa"/>
            <w:vAlign w:val="bottom"/>
            <w:tcBorders>
              <w:bottom w:val="single" w:sz="8" w:color="auto"/>
              <w:right w:val="single" w:sz="8" w:color="auto"/>
            </w:tcBorders>
            <w:shd w:val="clear" w:color="auto" w:fill="DCE2EF"/>
          </w:tcPr>
          <w:p>
            <w:pPr>
              <w:jc w:val="center"/>
              <w:ind w:left="74"/>
              <w:spacing w:after="0"/>
              <w:rPr>
                <w:sz w:val="20"/>
                <w:szCs w:val="20"/>
                <w:color w:val="auto"/>
              </w:rPr>
            </w:pPr>
            <w:r>
              <w:rPr>
                <w:rFonts w:ascii="Arial" w:cs="Arial" w:eastAsia="Arial" w:hAnsi="Arial"/>
                <w:sz w:val="17"/>
                <w:szCs w:val="17"/>
                <w:color w:val="auto"/>
              </w:rPr>
              <w:t>5</w:t>
            </w:r>
          </w:p>
        </w:tc>
      </w:tr>
    </w:tbl>
    <w:p>
      <w:pPr>
        <w:spacing w:after="0" w:line="280"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7"/>
          <w:szCs w:val="17"/>
          <w:color w:val="auto"/>
        </w:rPr>
        <w:t>In addition, we depreciate assets under finance leases and leasehold improvements over the shorter of their estimated useful lives or the remaining lease term. Upon retirement or sale of an asset, we remove the cost and accumulated depreciation from our Consolidated Balance Sheets. When applicable, we record corresponding gains or losses within the accompanying Consolidated Statements of Comprehensive Income.</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Leases</w:t>
      </w:r>
    </w:p>
    <w:p>
      <w:pPr>
        <w:spacing w:after="0" w:line="167"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 xml:space="preserve">We account for our leases in accordance with ASU 2016-02, </w:t>
      </w:r>
      <w:r>
        <w:rPr>
          <w:rFonts w:ascii="Arial" w:cs="Arial" w:eastAsia="Arial" w:hAnsi="Arial"/>
          <w:sz w:val="17"/>
          <w:szCs w:val="17"/>
          <w:i w:val="1"/>
          <w:iCs w:val="1"/>
          <w:color w:val="auto"/>
        </w:rPr>
        <w:t>Leases</w:t>
      </w:r>
      <w:r>
        <w:rPr>
          <w:rFonts w:ascii="Arial" w:cs="Arial" w:eastAsia="Arial" w:hAnsi="Arial"/>
          <w:sz w:val="17"/>
          <w:szCs w:val="17"/>
          <w:color w:val="auto"/>
        </w:rPr>
        <w:t xml:space="preserve"> (Topic 842). Topic 842 requires lessees to recognize substantially all leases on their balance sheet as a right-of-use (“ROU”) asset and a lease liability. We made the accounting policy election to not recognize leases with an initial term of 12 months or less on the balance sheet and will expense payments for such leases on a straight-line basis over the lease term. We also elected to not separate lease components from non-lease components.</w:t>
      </w:r>
    </w:p>
    <w:p>
      <w:pPr>
        <w:spacing w:after="0" w:line="116"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7"/>
          <w:szCs w:val="17"/>
          <w:color w:val="auto"/>
        </w:rPr>
        <w:t>We enter into various noncancelable lease agreements for office space, parking facilities, warehouses, vehicles, and equipment used in the normal course of business. We determine if an arrangement is a lease at inception and begin recording lease activity at the commencement date. ROU assets and lease liabilities are</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67" w:right="339" w:bottom="1440" w:gutter="0" w:footer="0" w:header="0"/>
        </w:sectPr>
      </w:pPr>
    </w:p>
    <w:bookmarkStart w:id="54" w:name="page55"/>
    <w:bookmarkEnd w:id="54"/>
    <w:p>
      <w:pPr>
        <w:jc w:val="both"/>
        <w:spacing w:after="0" w:line="265" w:lineRule="auto"/>
        <w:rPr>
          <w:sz w:val="20"/>
          <w:szCs w:val="20"/>
          <w:color w:val="auto"/>
        </w:rPr>
      </w:pPr>
      <w:r>
        <w:rPr>
          <w:rFonts w:ascii="Arial" w:cs="Arial" w:eastAsia="Arial" w:hAnsi="Arial"/>
          <w:sz w:val="17"/>
          <w:szCs w:val="17"/>
          <w:color w:val="auto"/>
        </w:rPr>
        <w:t>recognized based on the present value of lease payments over the lease term with lease expense recognized on a straight-line basis. The present value of future lease payments is determined using our incremental borrowing rate (“IBR”) unless the implicit rate in the lease is readily determinable. Our IBR is equal to our rate of interest adjusted for term differences. This IBR is applied to the minimum lease payments within each lease agreement to determine the amounts of our ROU assets and lease liabilities.</w:t>
      </w:r>
    </w:p>
    <w:p>
      <w:pPr>
        <w:spacing w:after="0" w:line="116"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Our lease terms range from one to 16 years. Some leases include options to renew or extend. We typically include extension options in a lease term when it is reasonably certain that we will exercise that option and when doing so is at our sole discretion. Certain equipment and vehicle leases may also include options to purchase the leased property. The depreciable life of assets and leasehold improvements are limited by the expected lease term, unless there is a transfer of title or purchase option reasonably certain of exercise. Typically, if we decide to cancel or terminate a lease before the end of its term, then we would owe the lessor the remaining lease payments under the term of such lease. Our lease agreements generally do not contain any material residual value guarantees or material restrictive covenants. We may rent or sublease certain real estate assets that we no longer use to third parties.</w:t>
      </w:r>
    </w:p>
    <w:p>
      <w:pPr>
        <w:spacing w:after="0" w:line="122"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17"/>
          <w:szCs w:val="17"/>
          <w:color w:val="auto"/>
        </w:rPr>
        <w:t>Lease agreements may contain rent escalation clauses, rent holidays, or certain landlord incentives, including tenant improvement allowances. ROU assets include amounts for scheduled rent increases and are reduced by lease incentive amounts.</w:t>
      </w:r>
    </w:p>
    <w:p>
      <w:pPr>
        <w:spacing w:after="0" w:line="95"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Certain of our lease agreements include variable rent payments consisting primarily of rental payments adjusted periodically for inflation, maintenance, and utilities. These costs are expensed as incurred. Certain of our parking arrangements also contain variable rent payments that are a percentage of parking services revenue based on contractual levels. We record contingent rent as it becomes probable that specified targets will be met. Variable rent lease components are not included in the lease liability.</w:t>
      </w:r>
    </w:p>
    <w:p>
      <w:pPr>
        <w:spacing w:after="0" w:line="116"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7"/>
          <w:szCs w:val="17"/>
          <w:color w:val="auto"/>
        </w:rPr>
        <w:t xml:space="preserve">Service concession arrangements within the scope of ASU No. 2017-10, </w:t>
      </w:r>
      <w:r>
        <w:rPr>
          <w:rFonts w:ascii="Arial" w:cs="Arial" w:eastAsia="Arial" w:hAnsi="Arial"/>
          <w:sz w:val="17"/>
          <w:szCs w:val="17"/>
          <w:i w:val="1"/>
          <w:iCs w:val="1"/>
          <w:color w:val="auto"/>
        </w:rPr>
        <w:t>Service Concession Arrangements (Topic 853)</w:t>
      </w:r>
      <w:r>
        <w:rPr>
          <w:rFonts w:ascii="Arial" w:cs="Arial" w:eastAsia="Arial" w:hAnsi="Arial"/>
          <w:sz w:val="17"/>
          <w:szCs w:val="17"/>
          <w:color w:val="auto"/>
        </w:rPr>
        <w:t xml:space="preserve">: </w:t>
      </w:r>
      <w:r>
        <w:rPr>
          <w:rFonts w:ascii="Arial" w:cs="Arial" w:eastAsia="Arial" w:hAnsi="Arial"/>
          <w:sz w:val="17"/>
          <w:szCs w:val="17"/>
          <w:i w:val="1"/>
          <w:iCs w:val="1"/>
          <w:color w:val="auto"/>
        </w:rPr>
        <w:t>Determining the</w:t>
      </w:r>
      <w:r>
        <w:rPr>
          <w:rFonts w:ascii="Arial" w:cs="Arial" w:eastAsia="Arial" w:hAnsi="Arial"/>
          <w:sz w:val="17"/>
          <w:szCs w:val="17"/>
          <w:color w:val="auto"/>
        </w:rPr>
        <w:t xml:space="preserve"> </w:t>
      </w:r>
      <w:r>
        <w:rPr>
          <w:rFonts w:ascii="Arial" w:cs="Arial" w:eastAsia="Arial" w:hAnsi="Arial"/>
          <w:sz w:val="17"/>
          <w:szCs w:val="17"/>
          <w:i w:val="1"/>
          <w:iCs w:val="1"/>
          <w:color w:val="auto"/>
        </w:rPr>
        <w:t>Customer of the Operation Services</w:t>
      </w:r>
      <w:r>
        <w:rPr>
          <w:rFonts w:ascii="Arial" w:cs="Arial" w:eastAsia="Arial" w:hAnsi="Arial"/>
          <w:sz w:val="17"/>
          <w:szCs w:val="17"/>
          <w:color w:val="auto"/>
        </w:rPr>
        <w:t>, are excluded from the scope of Topic 842. Rent expenses associated with these arrangements are recorded</w:t>
      </w:r>
      <w:r>
        <w:rPr>
          <w:rFonts w:ascii="Arial" w:cs="Arial" w:eastAsia="Arial" w:hAnsi="Arial"/>
          <w:sz w:val="17"/>
          <w:szCs w:val="17"/>
          <w:i w:val="1"/>
          <w:iCs w:val="1"/>
          <w:color w:val="auto"/>
        </w:rPr>
        <w:t xml:space="preserve"> </w:t>
      </w:r>
      <w:r>
        <w:rPr>
          <w:rFonts w:ascii="Arial" w:cs="Arial" w:eastAsia="Arial" w:hAnsi="Arial"/>
          <w:sz w:val="17"/>
          <w:szCs w:val="17"/>
          <w:color w:val="auto"/>
        </w:rPr>
        <w:t>as a reduction of revenues. See Note 4, “Revenues,” for further discussion.</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Goodwill and Other Intangible Assets</w:t>
      </w:r>
    </w:p>
    <w:p>
      <w:pPr>
        <w:spacing w:after="0" w:line="168" w:lineRule="exact"/>
        <w:rPr>
          <w:sz w:val="20"/>
          <w:szCs w:val="20"/>
          <w:color w:val="auto"/>
        </w:rPr>
      </w:pPr>
    </w:p>
    <w:p>
      <w:pPr>
        <w:jc w:val="both"/>
        <w:ind w:firstLine="619"/>
        <w:spacing w:after="0" w:line="258" w:lineRule="auto"/>
        <w:rPr>
          <w:sz w:val="20"/>
          <w:szCs w:val="20"/>
          <w:color w:val="auto"/>
        </w:rPr>
      </w:pPr>
      <w:r>
        <w:rPr>
          <w:rFonts w:ascii="Arial" w:cs="Arial" w:eastAsia="Arial" w:hAnsi="Arial"/>
          <w:sz w:val="17"/>
          <w:szCs w:val="17"/>
          <w:color w:val="auto"/>
        </w:rPr>
        <w:t>Goodwill represents the excess purchase price of acquired businesses over the fair value of the assets acquired and liabilities assumed. We have elected to make the first day of our fourth quarter, August 1, the annual impairment assessment date for goodwill. However, we could be required to evaluate the recoverability of goodwill more often if impairment indicators exist. Goodwill is tested for impairment at a “reporting unit” level by performing either a qualitative evaluation or a quantitative test. The qualitative evaluation is an assessment of factors to determine whether it is more likely than not that the fair value of a reporting unit is less than its carrying amount. We may elect not to perform the qualitative assessment for some or all reporting units and instead perform a quantitative test under which we estimate the fair value using a weighting of fair values derived from an income approach and a market approach. The discounted estimates of future cash flows include significant management assumptions, such as revenue growth rates, operating margins, weighted average cost of capital, and future economic and market conditions.</w:t>
      </w:r>
    </w:p>
    <w:p>
      <w:pPr>
        <w:spacing w:after="0" w:line="124" w:lineRule="exact"/>
        <w:rPr>
          <w:sz w:val="20"/>
          <w:szCs w:val="20"/>
          <w:color w:val="auto"/>
        </w:rPr>
      </w:pPr>
    </w:p>
    <w:p>
      <w:pPr>
        <w:jc w:val="both"/>
        <w:ind w:firstLine="619"/>
        <w:spacing w:after="0" w:line="257" w:lineRule="auto"/>
        <w:rPr>
          <w:sz w:val="20"/>
          <w:szCs w:val="20"/>
          <w:color w:val="auto"/>
        </w:rPr>
      </w:pPr>
      <w:r>
        <w:rPr>
          <w:rFonts w:ascii="Arial" w:cs="Arial" w:eastAsia="Arial" w:hAnsi="Arial"/>
          <w:sz w:val="17"/>
          <w:szCs w:val="17"/>
          <w:color w:val="auto"/>
        </w:rPr>
        <w:t>Other intangible assets primarily consist of acquired customer contracts and relationships that are amortized using the sum-of-the-years’-digits method over their useful lives, consistent with the estimated useful life considerations used in the determination of their fair values. This accelerated method of amortization reflects the pattern in which the economic benefits from the intangible assets of customer contracts and relationships are expected to be realized. We amortize other non-customer acquired intangibles using a straight-line method of amortization. We evaluate other intangible assets, as well as our long-lived assets, for impairment whenever events or changes in circumstances indicate that the carrying amount of such assets may not be recoverable. When this occurs, a recoverability test is performed that compares the projected undiscounted cash flows from the use and eventual disposition of an asset or asset group to its carrying amount. If the projected undiscounted cash flows are less than the carrying amount, then we calculate an impairment loss. The impairment loss calculation compares the fair value, which is based on projected discounted cash flows, to the carrying value.</w:t>
      </w:r>
    </w:p>
    <w:p>
      <w:pPr>
        <w:spacing w:after="0" w:line="127" w:lineRule="exact"/>
        <w:rPr>
          <w:sz w:val="20"/>
          <w:szCs w:val="20"/>
          <w:color w:val="auto"/>
        </w:rPr>
      </w:pPr>
    </w:p>
    <w:p>
      <w:pPr>
        <w:ind w:left="620"/>
        <w:spacing w:after="0"/>
        <w:rPr>
          <w:sz w:val="20"/>
          <w:szCs w:val="20"/>
          <w:color w:val="auto"/>
        </w:rPr>
      </w:pPr>
      <w:r>
        <w:rPr>
          <w:rFonts w:ascii="Arial" w:cs="Arial" w:eastAsia="Arial" w:hAnsi="Arial"/>
          <w:sz w:val="17"/>
          <w:szCs w:val="17"/>
          <w:color w:val="auto"/>
        </w:rPr>
        <w:t>See Note 10, “Goodwill and Other Intangible Assets,” for further information on goodwill, other intangible assets, and impairment charges.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67" w:right="339" w:bottom="1440" w:gutter="0" w:footer="0" w:header="0"/>
        </w:sectPr>
      </w:pPr>
    </w:p>
    <w:bookmarkStart w:id="55" w:name="page56"/>
    <w:bookmarkEnd w:id="55"/>
    <w:p>
      <w:pPr>
        <w:spacing w:after="0"/>
        <w:rPr>
          <w:sz w:val="20"/>
          <w:szCs w:val="20"/>
          <w:color w:val="auto"/>
        </w:rPr>
      </w:pPr>
      <w:r>
        <w:rPr>
          <w:rFonts w:ascii="Arial" w:cs="Arial" w:eastAsia="Arial" w:hAnsi="Arial"/>
          <w:sz w:val="17"/>
          <w:szCs w:val="17"/>
          <w:b w:val="1"/>
          <w:bCs w:val="1"/>
          <w:color w:val="0046AD"/>
        </w:rPr>
        <w:t>Other Noncurrent Assets</w:t>
      </w:r>
    </w:p>
    <w:p>
      <w:pPr>
        <w:spacing w:after="0" w:line="168"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7"/>
          <w:szCs w:val="17"/>
          <w:color w:val="auto"/>
        </w:rPr>
        <w:t>At October 31, 2025 and 2024, other noncurrent assets primarily consisted of long-term insurance recoverables, cloud computing arrangements, capitalized commissions, insurance deposits, deferred financing costs related to the Revolver and prepayments to carriers for future insurance claims.</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Fair Value of Financial Instruments</w:t>
      </w:r>
    </w:p>
    <w:p>
      <w:pPr>
        <w:spacing w:after="0" w:line="168"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Fair value is the price we would receive to sell an asset or pay to transfer a liability in an orderly transaction with a market participant at the measurement date. In the absence of active markets for identical assets or liabilities, such measurements involve developing assumptions based on market observable data and, in the absence of such data, internal information that is consistent with what market participants would use in a hypothetical transaction that occurs at the measurement date.</w:t>
      </w:r>
    </w:p>
    <w:p>
      <w:pPr>
        <w:spacing w:after="0" w:line="116" w:lineRule="exact"/>
        <w:rPr>
          <w:sz w:val="20"/>
          <w:szCs w:val="20"/>
          <w:color w:val="auto"/>
        </w:rPr>
      </w:pPr>
    </w:p>
    <w:p>
      <w:pPr>
        <w:ind w:left="620"/>
        <w:spacing w:after="0"/>
        <w:rPr>
          <w:sz w:val="20"/>
          <w:szCs w:val="20"/>
          <w:color w:val="auto"/>
        </w:rPr>
      </w:pPr>
      <w:r>
        <w:rPr>
          <w:rFonts w:ascii="Arial" w:cs="Arial" w:eastAsia="Arial" w:hAnsi="Arial"/>
          <w:sz w:val="17"/>
          <w:szCs w:val="17"/>
          <w:color w:val="auto"/>
        </w:rPr>
        <w:t>Observable inputs reflect market data obtained from independent sources, while unobservable inputs reflect our market assumptions.</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Preference is given to observable inputs. These two types of inputs create the following fair value hierarchy:</w:t>
      </w:r>
    </w:p>
    <w:p>
      <w:pPr>
        <w:spacing w:after="0" w:line="147"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 xml:space="preserve">Level 1 </w:t>
      </w:r>
      <w:r>
        <w:rPr>
          <w:rFonts w:ascii="Arial" w:cs="Arial" w:eastAsia="Arial" w:hAnsi="Arial"/>
          <w:sz w:val="17"/>
          <w:szCs w:val="17"/>
          <w:color w:val="auto"/>
        </w:rPr>
        <w:t>– Quoted prices for identical instruments in active markets;</w:t>
      </w:r>
    </w:p>
    <w:p>
      <w:pPr>
        <w:spacing w:after="0" w:line="165" w:lineRule="exact"/>
        <w:rPr>
          <w:sz w:val="20"/>
          <w:szCs w:val="20"/>
          <w:color w:val="auto"/>
        </w:rPr>
      </w:pPr>
    </w:p>
    <w:p>
      <w:pPr>
        <w:ind w:left="620"/>
        <w:spacing w:after="0" w:line="292" w:lineRule="auto"/>
        <w:rPr>
          <w:sz w:val="20"/>
          <w:szCs w:val="20"/>
          <w:color w:val="auto"/>
        </w:rPr>
      </w:pPr>
      <w:r>
        <w:rPr>
          <w:rFonts w:ascii="Arial" w:cs="Arial" w:eastAsia="Arial" w:hAnsi="Arial"/>
          <w:sz w:val="17"/>
          <w:szCs w:val="17"/>
          <w:b w:val="1"/>
          <w:bCs w:val="1"/>
          <w:color w:val="auto"/>
        </w:rPr>
        <w:t xml:space="preserve">Level 2 </w:t>
      </w:r>
      <w:r>
        <w:rPr>
          <w:rFonts w:ascii="Arial" w:cs="Arial" w:eastAsia="Arial" w:hAnsi="Arial"/>
          <w:sz w:val="17"/>
          <w:szCs w:val="17"/>
          <w:color w:val="auto"/>
        </w:rPr>
        <w:t>– Quoted prices for similar instruments in active markets; quoted prices for identical or similar instruments in markets that are not</w:t>
      </w:r>
      <w:r>
        <w:rPr>
          <w:rFonts w:ascii="Arial" w:cs="Arial" w:eastAsia="Arial" w:hAnsi="Arial"/>
          <w:sz w:val="17"/>
          <w:szCs w:val="17"/>
          <w:b w:val="1"/>
          <w:bCs w:val="1"/>
          <w:color w:val="auto"/>
        </w:rPr>
        <w:t xml:space="preserve"> </w:t>
      </w:r>
      <w:r>
        <w:rPr>
          <w:rFonts w:ascii="Arial" w:cs="Arial" w:eastAsia="Arial" w:hAnsi="Arial"/>
          <w:sz w:val="17"/>
          <w:szCs w:val="17"/>
          <w:color w:val="auto"/>
        </w:rPr>
        <w:t>active; and model-derived valuations whose inputs are observable or whose significant value drivers are observable; and</w:t>
      </w:r>
    </w:p>
    <w:p>
      <w:pPr>
        <w:spacing w:after="0" w:line="92"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 xml:space="preserve">Level 3 </w:t>
      </w:r>
      <w:r>
        <w:rPr>
          <w:rFonts w:ascii="Arial" w:cs="Arial" w:eastAsia="Arial" w:hAnsi="Arial"/>
          <w:sz w:val="17"/>
          <w:szCs w:val="17"/>
          <w:color w:val="auto"/>
        </w:rPr>
        <w:t>– Significant inputs to the valuation model are unobservable.</w:t>
      </w:r>
    </w:p>
    <w:p>
      <w:pPr>
        <w:spacing w:after="0" w:line="168"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We evaluate assets and liabilities subject to fair value measurements on a recurring and nonrecurring basis to determine the appropriate level at which to classify them for each reporting period. Some nonfinancial assets are measured at fair value on a nonrecurring basis only in certain circumstances, including the event of impairment. See Note 8, “Fair Value of Financial Instruments,” for the fair value hierarchy table and for details on how we measure fair value for our assets and liabilities.</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Insurance Reserves</w:t>
      </w:r>
    </w:p>
    <w:p>
      <w:pPr>
        <w:spacing w:after="0" w:line="168"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We use a combination of insured and self-insurance programs to cover workers’ compensation, general liability, automobile liability, property damage, and other insurable risks. Insurance claim liabilities represent our estimate of retained risks without regard to insurance coverage. We retain a substantial portion of the risk related to certain workers’ compensation and medical claims. Liabilities associated with these losses include estimates of both filed claims and IBNR Claims.</w:t>
      </w:r>
    </w:p>
    <w:p>
      <w:pPr>
        <w:spacing w:after="0" w:line="116" w:lineRule="exact"/>
        <w:rPr>
          <w:sz w:val="20"/>
          <w:szCs w:val="20"/>
          <w:color w:val="auto"/>
        </w:rPr>
      </w:pPr>
    </w:p>
    <w:p>
      <w:pPr>
        <w:jc w:val="both"/>
        <w:ind w:firstLine="619"/>
        <w:spacing w:after="0" w:line="257" w:lineRule="auto"/>
        <w:rPr>
          <w:sz w:val="20"/>
          <w:szCs w:val="20"/>
          <w:color w:val="auto"/>
        </w:rPr>
      </w:pPr>
      <w:r>
        <w:rPr>
          <w:rFonts w:ascii="Arial" w:cs="Arial" w:eastAsia="Arial" w:hAnsi="Arial"/>
          <w:sz w:val="17"/>
          <w:szCs w:val="17"/>
          <w:color w:val="auto"/>
        </w:rPr>
        <w:t>With the assistance of third-party actuaries, we review our estimate of ultimate losses for actual and IBNR Claims on a quarterly basis and adjust our required self-insurance reserves as appropriate. See Note 11, “Insurance,” for further details on the quarterly review procedures. As part of this evaluation, we review the status of existing and new claim reserves as established by third-party claims administrators. The third-party claims administrators establish the case reserves based upon known factors related to the type and severity of the claims, demographic factors, legislative matters, and case law, as appropriate. We compare actual trends to expected trends and monitor claims developments. The specific case reserves estimated by the third-party administrators are provided to an actuary who assists us in projecting an actuarial estimate of the overall ultimate losses for our self-insured or high deductible programs, which includes the case reserves plus an actuarial estimate of reserves required for additional developments, such as IBNR Claims. We utilize the results of actuarial studies to estimate our insurance rates and insurance reserves for future periods and to adjust reserves, if appropriate, for prior years.</w:t>
      </w:r>
    </w:p>
    <w:p>
      <w:pPr>
        <w:spacing w:after="0" w:line="127"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In general, our insurance reserves are recorded on an undiscounted basis. We allocate current-year insurance expense to our operating segments based upon their underlying exposures, while actuarial adjustments related to prior year claims are recorded within Corporate expenses. We classify claims as current or long-term based on the expected settlement date. Estimated insurance recoveries related to recorded liabilities are reflected as assets in our Consolidated Balance Sheets when we believe the receipt of such amounts is probable.</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65" w:right="339" w:bottom="1440" w:gutter="0" w:footer="0" w:header="0"/>
        </w:sectPr>
      </w:pPr>
    </w:p>
    <w:bookmarkStart w:id="56" w:name="page57"/>
    <w:bookmarkEnd w:id="56"/>
    <w:p>
      <w:pPr>
        <w:spacing w:after="0"/>
        <w:rPr>
          <w:sz w:val="20"/>
          <w:szCs w:val="20"/>
          <w:color w:val="auto"/>
        </w:rPr>
      </w:pPr>
      <w:r>
        <w:rPr>
          <w:rFonts w:ascii="Arial" w:cs="Arial" w:eastAsia="Arial" w:hAnsi="Arial"/>
          <w:sz w:val="17"/>
          <w:szCs w:val="17"/>
          <w:b w:val="1"/>
          <w:bCs w:val="1"/>
          <w:color w:val="0046AD"/>
        </w:rPr>
        <w:t>Other Accrued Liabilities</w:t>
      </w:r>
    </w:p>
    <w:p>
      <w:pPr>
        <w:spacing w:after="0" w:line="168"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17"/>
          <w:szCs w:val="17"/>
          <w:color w:val="auto"/>
        </w:rPr>
        <w:t>At October 31, 2025 and 2024, other accrued liabilities primarily consisted of employee benefits, contract liabilities, ESPC liabilities, the short-term contingent consideration liability, unclaimed property, dividends payable, and legal fees and settlements.</w:t>
      </w:r>
    </w:p>
    <w:p>
      <w:pPr>
        <w:spacing w:after="0" w:line="93"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Other Noncurrent Liabilities</w:t>
      </w:r>
    </w:p>
    <w:p>
      <w:pPr>
        <w:spacing w:after="0" w:line="168"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17"/>
          <w:szCs w:val="17"/>
          <w:color w:val="auto"/>
        </w:rPr>
        <w:t>At October 31, 2025 and 2024, other noncurrent liabilities primarily consisted of deferred compensation, long-term finance leases, retirement plan liabilities, and the long-term contingent consideration liability.</w:t>
      </w:r>
    </w:p>
    <w:p>
      <w:pPr>
        <w:spacing w:after="0" w:line="93"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Contracts with Customers</w:t>
      </w:r>
    </w:p>
    <w:p>
      <w:pPr>
        <w:spacing w:after="0" w:line="168"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We account for a contract when it has approval and commitment from both parties, the rights of the parties are identified, payment terms are identified, the contract has commercial substance, and collectability of consideration is probable. Once a contract is identified, we evaluate whether it is a combined or single contract and whether it should be accounted for as more than one performance obligation. Generally, most of our contracts are cancelable by either party without a substantive penalty, and the majority of our contracts have a notification period of 30 to 90 days. If a contract includes a cancellation clause, the remaining contract term is limited to the required termination notice period.</w:t>
      </w:r>
    </w:p>
    <w:p>
      <w:pPr>
        <w:spacing w:after="0" w:line="119"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7"/>
          <w:szCs w:val="17"/>
          <w:color w:val="auto"/>
        </w:rPr>
        <w:t>At contract inception, we assess the services promised to our customers and identify a performance obligation for each promise to transfer to the customer a service, or a bundle of services, that is distinct. To identify the performance obligation, we consider all of our services promised in the contract, regardless of whether they are explicitly stated or are implied by customary business practices.</w:t>
      </w:r>
    </w:p>
    <w:p>
      <w:pPr>
        <w:spacing w:after="0" w:line="111"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The majority of our contracts contain multiple promises that represent an integrated bundle of services comprised of activities that may vary over time; however, these activities fulfill a single integrated performance obligation since we perform a continuous service that is substantially the same and has the same pattern of transfer to the customer. Our performance obligations are primarily satisfied over time as we provide the related services. We allocate the contract transaction price to this single performance obligation and recognize revenue as the services are performed, as further described in “Contract Types” below.</w:t>
      </w:r>
    </w:p>
    <w:p>
      <w:pPr>
        <w:spacing w:after="0" w:line="119" w:lineRule="exact"/>
        <w:rPr>
          <w:sz w:val="20"/>
          <w:szCs w:val="20"/>
          <w:color w:val="auto"/>
        </w:rPr>
      </w:pPr>
    </w:p>
    <w:p>
      <w:pPr>
        <w:jc w:val="both"/>
        <w:ind w:firstLine="619"/>
        <w:spacing w:after="0" w:line="258" w:lineRule="auto"/>
        <w:rPr>
          <w:sz w:val="20"/>
          <w:szCs w:val="20"/>
          <w:color w:val="auto"/>
        </w:rPr>
      </w:pPr>
      <w:r>
        <w:rPr>
          <w:rFonts w:ascii="Arial" w:cs="Arial" w:eastAsia="Arial" w:hAnsi="Arial"/>
          <w:sz w:val="17"/>
          <w:szCs w:val="17"/>
          <w:color w:val="auto"/>
        </w:rPr>
        <w:t>Certain arrangements involve variable consideration (primarily per transaction fees, reimbursable expenses, and sales-based royalties). We do not estimate the variable consideration for these arrangements; rather, we recognize these variable fees in the period they are earned. Some of our contracts, often related to Airline Services, may also include performance incentives based on variable performance measures that are ascertained exclusively by future performance and therefore cannot be estimated at contract inception and are recognized as revenue once known and mutually agreed upon. We include estimated amounts in the transaction price to the extent it is probable that a significant reversal of cumulative revenue recognized will not occur when the uncertainty associated with the variable consideration is resolved. Our estimates of variable consideration and determination of whether to include estimated amounts in the transaction price are based largely on an assessment of our anticipated performance and all information (historical, current, and forecasted) that is reasonably available to us.</w:t>
      </w:r>
    </w:p>
    <w:p>
      <w:pPr>
        <w:spacing w:after="0" w:line="124"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We primarily account for our performance obligations under the series guidance, using the as-invoiced practical expedient when applicable. We apply the as-invoiced practical expedient to record revenue as the services are provided, given the nature of the services provided and the frequency of billing under the customer contracts. Under this practical expedient, we recognize revenue in an amount that corresponds directly with the value to the customer of our performance completed to date and for which we have the right to invoice the customer.</w:t>
      </w:r>
    </w:p>
    <w:p>
      <w:pPr>
        <w:spacing w:after="0" w:line="116"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7"/>
          <w:szCs w:val="17"/>
          <w:color w:val="auto"/>
        </w:rPr>
        <w:t>We typically bill customers on a monthly basis and have the right to consideration from customers in an amount that corresponds directly with the performance obligation satisfied to date. The time between completion of the performance obligation and collection of cash is generally 30 to 60 days. Sales-based taxes are excluded from revenue.</w:t>
      </w:r>
    </w:p>
    <w:p>
      <w:pPr>
        <w:spacing w:after="0" w:line="111"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Contracts generally can be modified to account for changes in specifications and requirements. We consider contract modifications to exist when the modification either changes the consideration, creates new performance obligations, or changes the existing scope of the contract and related performance obligations. Historically, contract modifications have been for services that are not distinct from the existing contract, since we are providing a bundle of services that are highly interrelated, and are therefore treated as if they were part of that existing contract. Such modifications are generally accounted for retrospectively as part of the existing contract.</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65" w:right="339" w:bottom="1440" w:gutter="0" w:footer="0" w:header="0"/>
        </w:sectPr>
      </w:pPr>
    </w:p>
    <w:bookmarkStart w:id="57" w:name="page58"/>
    <w:bookmarkEnd w:id="57"/>
    <w:p>
      <w:pPr>
        <w:spacing w:after="0"/>
        <w:rPr>
          <w:sz w:val="20"/>
          <w:szCs w:val="20"/>
          <w:color w:val="auto"/>
        </w:rPr>
      </w:pPr>
      <w:r>
        <w:rPr>
          <w:rFonts w:ascii="Arial" w:cs="Arial" w:eastAsia="Arial" w:hAnsi="Arial"/>
          <w:sz w:val="17"/>
          <w:szCs w:val="17"/>
          <w:b w:val="1"/>
          <w:bCs w:val="1"/>
          <w:color w:val="0046AD"/>
        </w:rPr>
        <w:t>Contract Types</w:t>
      </w:r>
    </w:p>
    <w:p>
      <w:pPr>
        <w:spacing w:after="0" w:line="168"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We have arrangements under various contract types, as described below.</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i w:val="1"/>
          <w:iCs w:val="1"/>
          <w:color w:val="0046AD"/>
        </w:rPr>
        <w:t>Monthly Fixed-Price</w:t>
      </w:r>
    </w:p>
    <w:p>
      <w:pPr>
        <w:spacing w:after="0" w:line="163"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7"/>
          <w:szCs w:val="17"/>
          <w:color w:val="auto"/>
        </w:rPr>
        <w:t>Monthly fixed-price arrangements are contracts in which the client agrees to pay a fixed fee every month over a specified contract term. We measure progress toward satisfaction of the performance obligation as the services are provided, and revenue is recognized at the agreed-upon contractual amount over time, because the customer simultaneously receives and consumes the benefits of the services as they are performed.</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i w:val="1"/>
          <w:iCs w:val="1"/>
          <w:color w:val="0046AD"/>
        </w:rPr>
        <w:t>Square-Foot</w:t>
      </w:r>
    </w:p>
    <w:p>
      <w:pPr>
        <w:spacing w:after="0" w:line="163"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Square-foot arrangements are contracts in which the client agrees to pay a fixed fee every month based on the actual square footage serviced over a specified contract term. We measure progress toward satisfaction of the performance obligation as the services are provided, and revenue is recognized at the agreed-upon contractual amount over time, because the customer simultaneously receives and consumes the benefits of the services as they are performed.</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i w:val="1"/>
          <w:iCs w:val="1"/>
          <w:color w:val="0046AD"/>
        </w:rPr>
        <w:t>Cost-Plus</w:t>
      </w:r>
    </w:p>
    <w:p>
      <w:pPr>
        <w:spacing w:after="0" w:line="163"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Cost-plus arrangements are contracts in which the clients reimburse us for the agreed-upon amount of wages and benefits, payroll taxes, insurance charges, and other expenses associated with the contracted work, plus a profit margin. We measure progress toward satisfaction of the performance obligation as the services are provided, and revenue is recognized at the agreed-upon contractual amount over time, because the customer simultaneously receives and consumes the benefits of the services as they are performed.</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i w:val="1"/>
          <w:iCs w:val="1"/>
          <w:color w:val="0046AD"/>
        </w:rPr>
        <w:t>Work Orders</w:t>
      </w:r>
    </w:p>
    <w:p>
      <w:pPr>
        <w:spacing w:after="0" w:line="163"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Work orders generally consist of supplemental services requested by clients outside of the standard service specification and include cleanup after tenant moves, construction cleanup, flood cleanup, and snow removal. The nature of these short-term contracts involves performing one-off type services, and revenue is recognized at the agreed-upon contractual amount over time as the services are provided, because the customer simultaneously receives and consumes the benefits of the services as they are performed.</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i w:val="1"/>
          <w:iCs w:val="1"/>
          <w:color w:val="0046AD"/>
        </w:rPr>
        <w:t>Transaction-Price</w:t>
      </w:r>
    </w:p>
    <w:p>
      <w:pPr>
        <w:spacing w:after="0" w:line="163"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Transaction-price contracts are arrangements in which customers are billed a fixed price for each transaction performed on a monthly basis (e.g., wheelchair passengers served, airplane cabins cleaned). We measure progress toward satisfaction of the performance obligation as the services are provided, and revenue is recognized at the agreed-upon contractual amount over time, because the customer simultaneously receives and consumes the benefits of the services as they are performed.</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i w:val="1"/>
          <w:iCs w:val="1"/>
          <w:color w:val="0046AD"/>
        </w:rPr>
        <w:t>Hourly</w:t>
      </w:r>
    </w:p>
    <w:p>
      <w:pPr>
        <w:spacing w:after="0" w:line="163"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7"/>
          <w:szCs w:val="17"/>
          <w:color w:val="auto"/>
        </w:rPr>
        <w:t>Hourly arrangements are contracts in which the client is billed a fixed hourly rate for each labor hour provided. We measure progress toward satisfaction of the performance obligation as the services are provided, and revenue is recognized at the agreed-upon contractual amount over time, because the customer simultaneously receives and consumes the benefits of the services as they are performed.</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i w:val="1"/>
          <w:iCs w:val="1"/>
          <w:color w:val="0046AD"/>
        </w:rPr>
        <w:t>Management Reimbursement</w:t>
      </w:r>
    </w:p>
    <w:p>
      <w:pPr>
        <w:spacing w:after="0" w:line="163"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Under management reimbursement arrangements, we manage a parking facility for a management fee and pass through the revenue and expenses associated with the facility to the owner. We measure progress toward satisfaction of the performance obligation over time as the services are provided. Under these contracts we recognize both revenues and expenses, in equal amounts, that are directly reimbursed from the property owner for operating expenses, as such expenses are incurred. Such revenues do not include gross customer collections at the managed locations, because they belong to the property owners. We have determined we are the principal in these transactions, because the nature of our performance obligation is for us to provide the services on behalf of the customer, and we have control of the promised services before they are transferred to the customer.</w:t>
      </w:r>
    </w:p>
    <w:p>
      <w:pPr>
        <w:spacing w:after="0" w:line="122" w:lineRule="exact"/>
        <w:rPr>
          <w:sz w:val="20"/>
          <w:szCs w:val="20"/>
          <w:color w:val="auto"/>
        </w:rPr>
      </w:pPr>
    </w:p>
    <w:p>
      <w:pPr>
        <w:ind w:left="620"/>
        <w:spacing w:after="0"/>
        <w:rPr>
          <w:sz w:val="20"/>
          <w:szCs w:val="20"/>
          <w:color w:val="auto"/>
        </w:rPr>
      </w:pPr>
      <w:r>
        <w:rPr>
          <w:rFonts w:ascii="Arial" w:cs="Arial" w:eastAsia="Arial" w:hAnsi="Arial"/>
          <w:sz w:val="17"/>
          <w:szCs w:val="17"/>
          <w:color w:val="auto"/>
        </w:rPr>
        <w:t>Management reimbursement revenue was $342.1 million, $318.2 million, and $302.3 million during 2025, 2024, and 2023, respectively.</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65" w:right="339" w:bottom="1440" w:gutter="0" w:footer="0" w:header="0"/>
        </w:sectPr>
      </w:pPr>
    </w:p>
    <w:bookmarkStart w:id="58" w:name="page59"/>
    <w:bookmarkEnd w:id="58"/>
    <w:p>
      <w:pPr>
        <w:spacing w:after="0"/>
        <w:rPr>
          <w:sz w:val="20"/>
          <w:szCs w:val="20"/>
          <w:color w:val="auto"/>
        </w:rPr>
      </w:pPr>
      <w:r>
        <w:rPr>
          <w:rFonts w:ascii="Arial" w:cs="Arial" w:eastAsia="Arial" w:hAnsi="Arial"/>
          <w:sz w:val="17"/>
          <w:szCs w:val="17"/>
          <w:i w:val="1"/>
          <w:iCs w:val="1"/>
          <w:color w:val="0046AD"/>
        </w:rPr>
        <w:t>Leased Location</w:t>
      </w:r>
    </w:p>
    <w:p>
      <w:pPr>
        <w:spacing w:after="0" w:line="163"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Under leased location parking arrangements, we pay a fixed amount of rent, plus a percentage of revenues derived from monthly and transient parkers, to the property owner. We retain all revenues received, and we are responsible for most operating expenses incurred. We measure progress toward satisfaction of the performance obligation as the services are provided, and revenue is recognized over time, because the customer simultaneously receives and consumes the benefits of the services as they are performed.</w:t>
      </w:r>
    </w:p>
    <w:p>
      <w:pPr>
        <w:spacing w:after="0" w:line="116"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17"/>
          <w:szCs w:val="17"/>
          <w:color w:val="auto"/>
        </w:rPr>
        <w:t>Rental expense and certain other expenses under contracts that meet the definition of service concession arrangements are recorded as a reduction of revenue.</w:t>
      </w:r>
    </w:p>
    <w:p>
      <w:pPr>
        <w:spacing w:after="0" w:line="97" w:lineRule="exact"/>
        <w:rPr>
          <w:sz w:val="20"/>
          <w:szCs w:val="20"/>
          <w:color w:val="auto"/>
        </w:rPr>
      </w:pPr>
    </w:p>
    <w:p>
      <w:pPr>
        <w:spacing w:after="0"/>
        <w:rPr>
          <w:sz w:val="20"/>
          <w:szCs w:val="20"/>
          <w:color w:val="auto"/>
        </w:rPr>
      </w:pPr>
      <w:r>
        <w:rPr>
          <w:rFonts w:ascii="Arial" w:cs="Arial" w:eastAsia="Arial" w:hAnsi="Arial"/>
          <w:sz w:val="17"/>
          <w:szCs w:val="17"/>
          <w:i w:val="1"/>
          <w:iCs w:val="1"/>
          <w:color w:val="0046AD"/>
        </w:rPr>
        <w:t>Allowance</w:t>
      </w:r>
    </w:p>
    <w:p>
      <w:pPr>
        <w:spacing w:after="0" w:line="163"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Under allowance parking arrangements, we are paid a fixed amount or hourly rate to provide parking services, and we are responsible for certain operating expenses that are specified in the contract. We measure progress toward satisfaction of the performance obligation as the services are provided, and revenue is recognized at the agreed-upon contractual rate over time, because the customer simultaneously receives and consumes the benefits of the services as they are performed.</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i w:val="1"/>
          <w:iCs w:val="1"/>
          <w:color w:val="0046AD"/>
        </w:rPr>
        <w:t>Energy Savings Contracts and Fixed-Price Repair and Refurbishment</w:t>
      </w:r>
    </w:p>
    <w:p>
      <w:pPr>
        <w:spacing w:after="0" w:line="163"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7"/>
          <w:szCs w:val="17"/>
          <w:color w:val="auto"/>
        </w:rPr>
        <w:t>Under energy savings contracts and fixed-price repair and refurbishment arrangements, we agree to develop, design, engineer, and construct a project. Additionally, as part of bundled energy solutions arrangements, we guarantee the project will satisfy agreed-upon performance standards.</w:t>
      </w:r>
    </w:p>
    <w:p>
      <w:pPr>
        <w:spacing w:after="0" w:line="111"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We use the cost-to-cost method, which compares the actual costs incurred to date with the current estimate of total costs to complete, to measure the satisfaction of the performance obligation and recognize revenue as work progresses and we incur costs on our contracts; we believe this method best reflects the transfer of control to the customer. This measurement and comparison process requires updates to the estimate of total costs to complete the contract, and these updates may include subjective assessments and judgments. Equipment purchased for these projects is project-specific and considered a value-added element to our work. Equipment costs are incurred when the title is transferred to us, typically upon delivery to the work site. Revenue for uninstalled equipment is recognized at cost and the associated margin is deferred until installation is substantially complete.</w:t>
      </w:r>
    </w:p>
    <w:p>
      <w:pPr>
        <w:spacing w:after="0" w:line="122"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We recognize revenue over time for all of our services as we perform them, because (i) control continuously transfers to the customer as work progresses, or (ii) we have the right to bill the customer as costs are incurred. The customer typically controls the work in process, as evidenced either by contractual termination clauses or by our rights to payment for work performed to date plus a reasonable profit to deliver products or services that do not have an alternative use to us.</w:t>
      </w:r>
    </w:p>
    <w:p>
      <w:pPr>
        <w:spacing w:after="0" w:line="116"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Certain project contracts include a schedule of billings or invoices to the customer based on our job-to-date percentage of completion of specific tasks inherent in the fulfillment of our performance obligation(s) or in accordance with a fixed billing schedule. Fixed billing schedules may not precisely match the actual costs incurred. Therefore, revenue recognized may differ from amounts that can be billed or invoiced to the customer at any point during the contract, resulting in balances that are considered revenue recognized in excess of amounts billed or amounts billed in excess of revenue recognized. Advanced payments from our customers generally do not represent a significant financing component as the payments are used to meet working capital demands that can be higher in the early stages of a contract, as well as to protect us from our customer failing to meet its obligations under the contract.</w:t>
      </w:r>
    </w:p>
    <w:p>
      <w:pPr>
        <w:spacing w:after="0" w:line="122"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7"/>
          <w:szCs w:val="17"/>
          <w:color w:val="auto"/>
        </w:rPr>
        <w:t>Certain projects include service maintenance agreements under which existing systems are repaired and maintained for a specific period of time. We generally recognize revenue under these arrangements over time. Our service maintenance agreements are generally one-year renewable agreements.</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i w:val="1"/>
          <w:iCs w:val="1"/>
          <w:color w:val="0046AD"/>
        </w:rPr>
        <w:t>Franchise</w:t>
      </w:r>
    </w:p>
    <w:p>
      <w:pPr>
        <w:spacing w:after="0" w:line="163"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We franchise certain engineering services through individual and area franchises under the Linc Service and TEGG brands, which are part of ABM Technical Solutions. Initial franchise fees result from the sale of a franchise license and include the use of the name, trademarks, and proprietary methods. The franchise license is considered symbolic intellectual property, and revenue related to the sale of this right is recognized at the agreed-upon contractual amount over the term of the initial franchise agreement.</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69" w:right="339" w:bottom="1440" w:gutter="0" w:footer="0" w:header="0"/>
        </w:sectPr>
      </w:pPr>
    </w:p>
    <w:bookmarkStart w:id="59" w:name="page60"/>
    <w:bookmarkEnd w:id="59"/>
    <w:p>
      <w:pPr>
        <w:jc w:val="both"/>
        <w:ind w:firstLine="619"/>
        <w:spacing w:after="0" w:line="265" w:lineRule="auto"/>
        <w:rPr>
          <w:sz w:val="20"/>
          <w:szCs w:val="20"/>
          <w:color w:val="auto"/>
        </w:rPr>
      </w:pPr>
      <w:r>
        <w:rPr>
          <w:rFonts w:ascii="Arial" w:cs="Arial" w:eastAsia="Arial" w:hAnsi="Arial"/>
          <w:sz w:val="17"/>
          <w:szCs w:val="17"/>
          <w:color w:val="auto"/>
        </w:rPr>
        <w:t>Royalty fee revenue consists of sales-based royalties received as part of the consideration for the franchise right, which is calculated as a percentage of the franchisees’ revenue. We recognize royalty fee revenue at the agreed-upon contractual rates over time as the customer revenue is generated by the franchisees. A receivable is recognized for an estimate of the unreported royalty fees, which are reported and remitted to us in arrears.</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i w:val="1"/>
          <w:iCs w:val="1"/>
          <w:color w:val="0A2299"/>
        </w:rPr>
        <w:t>Microgrid Systems and Uninterrupted Power Supply Systems Installation</w:t>
      </w:r>
    </w:p>
    <w:p>
      <w:pPr>
        <w:spacing w:after="0" w:line="163"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17"/>
          <w:szCs w:val="17"/>
          <w:color w:val="auto"/>
        </w:rPr>
        <w:t>We provide electrical contracting services for energy related products such as the installation of solar solutions, battery storage, distributed generation, and other specialized electric trades.</w:t>
      </w:r>
    </w:p>
    <w:p>
      <w:pPr>
        <w:spacing w:after="0" w:line="95"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We use the cost-to-cost method, which compares the actual costs incurred to date with the current estimate of total costs to complete, to measure the satisfaction of the performance obligation and recognize revenue as work progresses and we incur costs on our contracts; we believe this method best reflects the transfer of control to the customer. This measurement and comparison process requires updates to the estimate of total costs to complete the contract, and these updates may include subjective assessments and judgments.</w:t>
      </w:r>
    </w:p>
    <w:p>
      <w:pPr>
        <w:spacing w:after="0" w:line="116"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7"/>
          <w:szCs w:val="17"/>
          <w:color w:val="auto"/>
        </w:rPr>
        <w:t>Certain projects include service maintenance agreements under which existing systems are repaired and maintained for a specific period of time. We generally recognize revenue under these arrangements over time. Our service maintenance agreements are generally one-year renewable agreements.</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164FA2"/>
        </w:rPr>
        <w:t>Costs to Obtain a Contract with a Customer</w:t>
      </w:r>
    </w:p>
    <w:p>
      <w:pPr>
        <w:spacing w:after="0" w:line="165"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7"/>
          <w:szCs w:val="17"/>
          <w:color w:val="auto"/>
        </w:rPr>
        <w:t>We capitalize the incremental costs of obtaining a contract with a customer, primarily commissions, as contract assets and recognize the expense on a straight-line basis over a weighted average expected customer relationship period. Capitalized commissions are classified as current or noncurrent based on the timing of when we expect to recognize the expense.</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164FA2"/>
        </w:rPr>
        <w:t>Contract Balances</w:t>
      </w:r>
    </w:p>
    <w:p>
      <w:pPr>
        <w:spacing w:after="0" w:line="165"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7"/>
          <w:szCs w:val="17"/>
          <w:color w:val="auto"/>
        </w:rPr>
        <w:t>The timing of revenue recognition, billings, and cash collections results in contract assets and contract liabilities, as further explained below. The timing of revenue recognition may differ from the timing of invoicing to customers. If a contract includes a cancellation clause that allows for the termination of the contract by either party without a substantive penalty, then the contract term is limited to the termination notice period.</w:t>
      </w:r>
    </w:p>
    <w:p>
      <w:pPr>
        <w:spacing w:after="0" w:line="111"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Contract assets primarily consist of billed trade receivables, unbilled trade receivables, and costs incurred in excess of amounts billed. Billed and unbilled trade receivables represent amounts from work completed in which we have an unconditional right to bill our customer. Costs incurred in excess of amounts billed typically arise when the revenue recognized on projects exceeds the amount billed to the customer. These amounts are transferred to billed trade receivables when the rights become unconditional. Contract assets also include the capitalization of incremental costs of obtaining a contract with a customer, primarily commissions.</w:t>
      </w:r>
    </w:p>
    <w:p>
      <w:pPr>
        <w:spacing w:after="0" w:line="119"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7"/>
          <w:szCs w:val="17"/>
          <w:color w:val="auto"/>
        </w:rPr>
        <w:t>Contract liabilities consist of deferred revenue and advance payments and billings in excess of revenue recognized. We generally classify contract liabilities as current since the related contracts are generally for a period of one year or less. Contract liabilities decrease as we recognize revenue from the satisfaction of the related performance obligation.</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Advertising</w:t>
      </w:r>
    </w:p>
    <w:p>
      <w:pPr>
        <w:spacing w:after="0" w:line="167"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17"/>
          <w:szCs w:val="17"/>
          <w:color w:val="auto"/>
        </w:rPr>
        <w:t>Advertising costs are expensed as incurred. During 2025, 2024, and 2023, advertising expense was $11.4 million, $10.9 million, and $8.8 million, respectively.</w:t>
      </w:r>
    </w:p>
    <w:p>
      <w:pPr>
        <w:spacing w:after="0" w:line="93"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Share-Based Compensation</w:t>
      </w:r>
    </w:p>
    <w:p>
      <w:pPr>
        <w:spacing w:after="0" w:line="167"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Our current share-based awards principally consist of restricted stock units (“RSUs”) and performance share awards. We recognize compensation costs associated with these awards in selling, general and administrative expenses. For RSUs and performance share awards, the amount of compensation cost is measured based on the grant-date fair value of the equity instruments issued. Since our total shareholder return (“TSR”) performance share awards are performance awards with a market condition, the compensation costs associated with these awards are determined using a Monte Carlo simulation valuation model. For RSUs and TSR performance share awards, compensation cost is recognized over the period that an employee provides service in exchange for the award. We recognize compensation cost associated with other performance share awards over the requisite service period based on the probability of achievement of performance criteria.</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67" w:right="339" w:bottom="1440" w:gutter="0" w:footer="0" w:header="0"/>
        </w:sectPr>
      </w:pPr>
    </w:p>
    <w:bookmarkStart w:id="60" w:name="page61"/>
    <w:bookmarkEnd w:id="60"/>
    <w:p>
      <w:pPr>
        <w:spacing w:after="0"/>
        <w:rPr>
          <w:sz w:val="20"/>
          <w:szCs w:val="20"/>
          <w:color w:val="auto"/>
        </w:rPr>
      </w:pPr>
      <w:r>
        <w:rPr>
          <w:rFonts w:ascii="Arial" w:cs="Arial" w:eastAsia="Arial" w:hAnsi="Arial"/>
          <w:sz w:val="17"/>
          <w:szCs w:val="17"/>
          <w:b w:val="1"/>
          <w:bCs w:val="1"/>
          <w:color w:val="0046AD"/>
        </w:rPr>
        <w:t>Taxes Collected from Clients and Remitted to Governmental Agencies</w:t>
      </w:r>
    </w:p>
    <w:p>
      <w:pPr>
        <w:spacing w:after="0" w:line="168"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We record taxes on client transactions due to governmental agencies as receivables and liabilities on the Consolidated Balance Sheets.</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Net Income Per Common Share</w:t>
      </w:r>
    </w:p>
    <w:p>
      <w:pPr>
        <w:spacing w:after="0" w:line="168"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7"/>
          <w:szCs w:val="17"/>
          <w:color w:val="auto"/>
        </w:rPr>
        <w:t>Basic net income per common share is net income divided by the weighted-average number of common shares outstanding during the period. Diluted net income per common share is based on the weighted-average number of common shares outstanding during the period, adjusted to include the potential dilution from the conversion of RSUs, vesting of performance shares, and exercisable stock options.</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Contingencies and Litigation</w:t>
      </w:r>
    </w:p>
    <w:p>
      <w:pPr>
        <w:spacing w:after="0" w:line="168"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We are a party to a number of lawsuits, claims, and proceedings incident to the operation of our business, including those pertaining to labor and employment, contracts, personal injury, and other matters, some of which allege substantial monetary damages. Some of these actions may be brought as class actions on behalf of a class or purported class of employees. We accrue for loss contingencies when losses become probable and are reasonably estimable. If the reasonable estimate of the loss is a range and no amount within the range is a better estimate, then the minimum amount of the range is recorded as a liability. We recognize legal costs as an expense in the period incurred.</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Income Taxes</w:t>
      </w:r>
    </w:p>
    <w:p>
      <w:pPr>
        <w:spacing w:after="0" w:line="168"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We account for income taxes using the asset and liability method. Deferred tax assets and liabilities are recognized for the future tax consequences attributable to temporary differences between the financial statement carrying amount of existing assets and liabilities and their respective tax bases. We measure deferred tax assets and liabilities using enacted tax rates expected to be applied to taxable income in the years in which those temporary differences are expected to be recovered. Deferred tax assets are reviewed for recoverability on a quarterly basis. A valuation allowance is recorded to reduce the carrying amount of a deferred tax asset to its realizable value unless it is more likely than not that such asset will be realized. We recognize accrued interest and penalties related to unrecognized tax benefits in income tax expense in our Consolidated Statements of Comprehensive Income.</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Employee Retention Tax Credit</w:t>
      </w:r>
    </w:p>
    <w:p>
      <w:pPr>
        <w:spacing w:after="0" w:line="168"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7"/>
          <w:szCs w:val="17"/>
          <w:color w:val="auto"/>
        </w:rPr>
        <w:t>In 2020, the U.S. government enacted the Coronavirus Aid, Relief, and Security Act (the “CARES Act”) to provide certain relief as a result of the COVID-19 Pandemic. The CARES Act provides tax relief, along with other stimulus measures, including a provision for an Employee Retention Credit (“ERC”). ERC is a refundable tax credit for employers who kept employees on their payroll during the COVID-19 Pandemic.</w:t>
      </w:r>
    </w:p>
    <w:p>
      <w:pPr>
        <w:spacing w:after="0" w:line="111"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7"/>
          <w:szCs w:val="17"/>
          <w:color w:val="auto"/>
        </w:rPr>
        <w:t>During the years ended October 31, 2025, and October 31, 2023, we received and recorded an employee retention credit totaling $1.2 million and $24.0 million, respectively, within the “Selling, general and administrative expenses” on our Consolidated Statements of Comprehensive Income.</w:t>
      </w:r>
    </w:p>
    <w:p>
      <w:pPr>
        <w:spacing w:after="0" w:line="312"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Restructuring and Related Expenses</w:t>
      </w:r>
    </w:p>
    <w:p>
      <w:pPr>
        <w:spacing w:after="0" w:line="167" w:lineRule="exact"/>
        <w:rPr>
          <w:sz w:val="20"/>
          <w:szCs w:val="20"/>
          <w:color w:val="auto"/>
        </w:rPr>
      </w:pPr>
    </w:p>
    <w:p>
      <w:pPr>
        <w:jc w:val="both"/>
        <w:ind w:firstLine="240"/>
        <w:spacing w:after="0" w:line="265" w:lineRule="auto"/>
        <w:rPr>
          <w:sz w:val="20"/>
          <w:szCs w:val="20"/>
          <w:color w:val="auto"/>
        </w:rPr>
      </w:pPr>
      <w:r>
        <w:rPr>
          <w:rFonts w:ascii="Arial" w:cs="Arial" w:eastAsia="Arial" w:hAnsi="Arial"/>
          <w:sz w:val="17"/>
          <w:szCs w:val="17"/>
          <w:color w:val="auto"/>
        </w:rPr>
        <w:t>We may periodically engage in various restructuring activities intended to drive long-term profitable growth and increase operational efficiency, which can include streamlining and realigning our overall organizational structure and reallocating resources. These activities may result in restructuring costs related to employee severance, asset impairment charges, and other related costs. Our methodology to record these costs is described below.</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46AD"/>
        </w:rPr>
        <w:t>Severance</w:t>
      </w:r>
    </w:p>
    <w:p>
      <w:pPr>
        <w:spacing w:after="0" w:line="165" w:lineRule="exact"/>
        <w:rPr>
          <w:sz w:val="20"/>
          <w:szCs w:val="20"/>
          <w:color w:val="auto"/>
        </w:rPr>
      </w:pPr>
    </w:p>
    <w:p>
      <w:pPr>
        <w:jc w:val="both"/>
        <w:ind w:firstLine="237"/>
        <w:spacing w:after="0" w:line="262" w:lineRule="auto"/>
        <w:rPr>
          <w:sz w:val="20"/>
          <w:szCs w:val="20"/>
          <w:color w:val="auto"/>
        </w:rPr>
      </w:pPr>
      <w:r>
        <w:rPr>
          <w:rFonts w:ascii="Arial" w:cs="Arial" w:eastAsia="Arial" w:hAnsi="Arial"/>
          <w:sz w:val="17"/>
          <w:szCs w:val="17"/>
          <w:color w:val="auto"/>
        </w:rPr>
        <w:t>As we do not have a past history of consistently providing severance benefits, we recognize severance costs for employees who do not have formal employment agreements when management has committed to a restructuring plan and communicated those actions to impacted employees, such that the employee is able to determine the type and amount of benefits that they will receive upon termination. For employees with employment agreements, we accrue for these severance liabilities when it is probable that the impacted employee will be entitled to the benefits and the amount can be reasonably estimated.</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65" w:right="339" w:bottom="1440" w:gutter="0" w:footer="0" w:header="0"/>
        </w:sectPr>
      </w:pPr>
    </w:p>
    <w:bookmarkStart w:id="61" w:name="page62"/>
    <w:bookmarkEnd w:id="61"/>
    <w:p>
      <w:pPr>
        <w:spacing w:after="0"/>
        <w:rPr>
          <w:sz w:val="20"/>
          <w:szCs w:val="20"/>
          <w:color w:val="auto"/>
        </w:rPr>
      </w:pPr>
      <w:r>
        <w:rPr>
          <w:rFonts w:ascii="Arial" w:cs="Arial" w:eastAsia="Arial" w:hAnsi="Arial"/>
          <w:sz w:val="17"/>
          <w:szCs w:val="17"/>
          <w:b w:val="1"/>
          <w:bCs w:val="1"/>
          <w:i w:val="1"/>
          <w:iCs w:val="1"/>
          <w:color w:val="0046AD"/>
        </w:rPr>
        <w:t>Noncancelable Leases</w:t>
      </w:r>
    </w:p>
    <w:p>
      <w:pPr>
        <w:spacing w:after="0" w:line="166" w:lineRule="exact"/>
        <w:rPr>
          <w:sz w:val="20"/>
          <w:szCs w:val="20"/>
          <w:color w:val="auto"/>
        </w:rPr>
      </w:pPr>
    </w:p>
    <w:p>
      <w:pPr>
        <w:jc w:val="both"/>
        <w:ind w:firstLine="193"/>
        <w:spacing w:after="0" w:line="262" w:lineRule="auto"/>
        <w:rPr>
          <w:sz w:val="20"/>
          <w:szCs w:val="20"/>
          <w:color w:val="auto"/>
        </w:rPr>
      </w:pPr>
      <w:r>
        <w:rPr>
          <w:rFonts w:ascii="Arial" w:cs="Arial" w:eastAsia="Arial" w:hAnsi="Arial"/>
          <w:sz w:val="17"/>
          <w:szCs w:val="17"/>
          <w:color w:val="auto"/>
        </w:rPr>
        <w:t>When we exit a leased space or enter into a sublease arrangement, we evaluate the ROU asset for impairment in accordance with ASC 360. The ROU asset is considered impaired if the carrying amount exceeds the estimated future cash flows expected to be generated from the asset, including any sublease income. If impairment is indicated, the ROU asset is written down to its fair value, which is typically determined using a discounted cash flow approach. This model incorporates the present value of expected sublease income, remaining lease payments, and any direct costs associated with exiting or subleasing the space.</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46AD"/>
        </w:rPr>
        <w:t>Other</w:t>
      </w:r>
    </w:p>
    <w:p>
      <w:pPr>
        <w:spacing w:after="0" w:line="165" w:lineRule="exact"/>
        <w:rPr>
          <w:sz w:val="20"/>
          <w:szCs w:val="20"/>
          <w:color w:val="auto"/>
        </w:rPr>
      </w:pPr>
    </w:p>
    <w:p>
      <w:pPr>
        <w:ind w:left="200"/>
        <w:spacing w:after="0"/>
        <w:rPr>
          <w:sz w:val="20"/>
          <w:szCs w:val="20"/>
          <w:color w:val="auto"/>
        </w:rPr>
      </w:pPr>
      <w:r>
        <w:rPr>
          <w:rFonts w:ascii="Arial" w:cs="Arial" w:eastAsia="Arial" w:hAnsi="Arial"/>
          <w:sz w:val="17"/>
          <w:szCs w:val="17"/>
          <w:color w:val="auto"/>
        </w:rPr>
        <w:t>For other costs associated with exit and disposal activities, we recognize an expense at fair value in the period in which the liability is incurred.</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Recently Adopted Accounting Standards</w:t>
      </w:r>
    </w:p>
    <w:p>
      <w:pPr>
        <w:spacing w:after="0" w:line="168" w:lineRule="exact"/>
        <w:rPr>
          <w:sz w:val="20"/>
          <w:szCs w:val="20"/>
          <w:color w:val="auto"/>
        </w:rPr>
      </w:pPr>
    </w:p>
    <w:p>
      <w:pPr>
        <w:jc w:val="both"/>
        <w:ind w:firstLine="619"/>
        <w:spacing w:after="0" w:line="258" w:lineRule="auto"/>
        <w:rPr>
          <w:sz w:val="20"/>
          <w:szCs w:val="20"/>
          <w:color w:val="auto"/>
        </w:rPr>
      </w:pPr>
      <w:r>
        <w:rPr>
          <w:rFonts w:ascii="Arial" w:cs="Arial" w:eastAsia="Arial" w:hAnsi="Arial"/>
          <w:sz w:val="17"/>
          <w:szCs w:val="17"/>
          <w:color w:val="auto"/>
        </w:rPr>
        <w:t xml:space="preserve">In November 2023, the FASB issued ASU 2023-07, </w:t>
      </w:r>
      <w:r>
        <w:rPr>
          <w:rFonts w:ascii="Arial" w:cs="Arial" w:eastAsia="Arial" w:hAnsi="Arial"/>
          <w:sz w:val="17"/>
          <w:szCs w:val="17"/>
          <w:i w:val="1"/>
          <w:iCs w:val="1"/>
          <w:color w:val="auto"/>
        </w:rPr>
        <w:t>Segment Reporting (Topic 280): Improvements to Reportable Segment Disclosures</w:t>
      </w:r>
      <w:r>
        <w:rPr>
          <w:rFonts w:ascii="Arial" w:cs="Arial" w:eastAsia="Arial" w:hAnsi="Arial"/>
          <w:sz w:val="17"/>
          <w:szCs w:val="17"/>
          <w:color w:val="auto"/>
        </w:rPr>
        <w:t>. This accounting update improves reportable segment disclosure requirements, primarily through enhanced disclosures about significant segment expenses. This ASU requires disclosure, on an annual and interim basis, of significant segment expenses that are regularly provided to the Chief Operating Decision Maker, and an amount for other segment items by reportable segment, with a description of its composition. This ASU is effective for fiscal years beginning after December 15, 2023, and interim periods within fiscal years beginning after December 15, 2024, with early adoption permitted. We adopted this ASU effective October 31, 2025, on a retrospective basis for all prior periods presented in the financial statements, with no impact on the Company’s financial position or results of operations, and have updated our segment disclosures to comply with the updated requirements. See Note 18, “Segment and Geographic Information,” for the expanded segment reporting disclosures.</w:t>
      </w:r>
    </w:p>
    <w:p>
      <w:pPr>
        <w:spacing w:after="0" w:line="124" w:lineRule="exact"/>
        <w:rPr>
          <w:sz w:val="20"/>
          <w:szCs w:val="20"/>
          <w:color w:val="auto"/>
        </w:rPr>
      </w:pPr>
    </w:p>
    <w:p>
      <w:pPr>
        <w:jc w:val="both"/>
        <w:ind w:firstLine="619"/>
        <w:spacing w:after="0" w:line="258" w:lineRule="auto"/>
        <w:rPr>
          <w:sz w:val="20"/>
          <w:szCs w:val="20"/>
          <w:color w:val="auto"/>
        </w:rPr>
      </w:pPr>
      <w:r>
        <w:rPr>
          <w:rFonts w:ascii="Arial" w:cs="Arial" w:eastAsia="Arial" w:hAnsi="Arial"/>
          <w:sz w:val="17"/>
          <w:szCs w:val="17"/>
          <w:color w:val="auto"/>
        </w:rPr>
        <w:t xml:space="preserve">In September 2022, the FASB issued ASU 2022-04, </w:t>
      </w:r>
      <w:r>
        <w:rPr>
          <w:rFonts w:ascii="Arial" w:cs="Arial" w:eastAsia="Arial" w:hAnsi="Arial"/>
          <w:sz w:val="17"/>
          <w:szCs w:val="17"/>
          <w:i w:val="1"/>
          <w:iCs w:val="1"/>
          <w:color w:val="auto"/>
        </w:rPr>
        <w:t>Liabilities — Supplier Finance Programs (Subtopic 405-50): Disclosure of Supplier</w:t>
      </w:r>
      <w:r>
        <w:rPr>
          <w:rFonts w:ascii="Arial" w:cs="Arial" w:eastAsia="Arial" w:hAnsi="Arial"/>
          <w:sz w:val="17"/>
          <w:szCs w:val="17"/>
          <w:color w:val="auto"/>
        </w:rPr>
        <w:t xml:space="preserve"> </w:t>
      </w:r>
      <w:r>
        <w:rPr>
          <w:rFonts w:ascii="Arial" w:cs="Arial" w:eastAsia="Arial" w:hAnsi="Arial"/>
          <w:sz w:val="17"/>
          <w:szCs w:val="17"/>
          <w:i w:val="1"/>
          <w:iCs w:val="1"/>
          <w:color w:val="auto"/>
        </w:rPr>
        <w:t>Finance Program Obligations</w:t>
      </w:r>
      <w:r>
        <w:rPr>
          <w:rFonts w:ascii="Arial" w:cs="Arial" w:eastAsia="Arial" w:hAnsi="Arial"/>
          <w:sz w:val="17"/>
          <w:szCs w:val="17"/>
          <w:color w:val="auto"/>
        </w:rPr>
        <w:t>, designed to enhance transparency around supplier finance programs by requiring new disclosures that would allow a</w:t>
      </w:r>
      <w:r>
        <w:rPr>
          <w:rFonts w:ascii="Arial" w:cs="Arial" w:eastAsia="Arial" w:hAnsi="Arial"/>
          <w:sz w:val="17"/>
          <w:szCs w:val="17"/>
          <w:i w:val="1"/>
          <w:iCs w:val="1"/>
          <w:color w:val="auto"/>
        </w:rPr>
        <w:t xml:space="preserve"> </w:t>
      </w:r>
      <w:r>
        <w:rPr>
          <w:rFonts w:ascii="Arial" w:cs="Arial" w:eastAsia="Arial" w:hAnsi="Arial"/>
          <w:sz w:val="17"/>
          <w:szCs w:val="17"/>
          <w:color w:val="auto"/>
        </w:rPr>
        <w:t>user of the financial statements to understand the program’s nature, activity during the period, changes from period to period, and potential magnitude. This ASU is effective for fiscal years beginning after December 15, 2022, including interim periods within those fiscal years, except for the amendment on rollforward information, which is effective for fiscal years beginning after December 15, 2023, with early adoption permitted. We adopted this standard, effective November 1, 2023, and adopted the rollforward requirement, effective November 1, 2024, on a prospective basis. We do not participate in any material supplier finance programs and, as such, the adoption of this guidance did not have an impact on our disclosures.</w:t>
      </w:r>
    </w:p>
    <w:p>
      <w:pPr>
        <w:spacing w:after="0" w:line="332"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Recently Issued Accounting Standards</w:t>
      </w:r>
    </w:p>
    <w:p>
      <w:pPr>
        <w:spacing w:after="0" w:line="167"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 xml:space="preserve">In September 2025, the FASB issued ASU 2025-06, </w:t>
      </w:r>
      <w:r>
        <w:rPr>
          <w:rFonts w:ascii="Arial" w:cs="Arial" w:eastAsia="Arial" w:hAnsi="Arial"/>
          <w:sz w:val="17"/>
          <w:szCs w:val="17"/>
          <w:i w:val="1"/>
          <w:iCs w:val="1"/>
          <w:color w:val="auto"/>
        </w:rPr>
        <w:t>Intangibles—Goodwill and Other (Topic 350): Internal-Use Software (Subtopic 350-40):</w:t>
      </w:r>
      <w:r>
        <w:rPr>
          <w:rFonts w:ascii="Arial" w:cs="Arial" w:eastAsia="Arial" w:hAnsi="Arial"/>
          <w:sz w:val="17"/>
          <w:szCs w:val="17"/>
          <w:color w:val="auto"/>
        </w:rPr>
        <w:t xml:space="preserve"> </w:t>
      </w:r>
      <w:r>
        <w:rPr>
          <w:rFonts w:ascii="Arial" w:cs="Arial" w:eastAsia="Arial" w:hAnsi="Arial"/>
          <w:sz w:val="17"/>
          <w:szCs w:val="17"/>
          <w:i w:val="1"/>
          <w:iCs w:val="1"/>
          <w:color w:val="auto"/>
        </w:rPr>
        <w:t>Targeted Improvements to the Accounting for Internal-Use Software</w:t>
      </w:r>
      <w:r>
        <w:rPr>
          <w:rFonts w:ascii="Arial" w:cs="Arial" w:eastAsia="Arial" w:hAnsi="Arial"/>
          <w:sz w:val="17"/>
          <w:szCs w:val="17"/>
          <w:color w:val="auto"/>
        </w:rPr>
        <w:t>. This accounting update removes all references to prescriptive and sequential</w:t>
      </w:r>
      <w:r>
        <w:rPr>
          <w:rFonts w:ascii="Arial" w:cs="Arial" w:eastAsia="Arial" w:hAnsi="Arial"/>
          <w:sz w:val="17"/>
          <w:szCs w:val="17"/>
          <w:i w:val="1"/>
          <w:iCs w:val="1"/>
          <w:color w:val="auto"/>
        </w:rPr>
        <w:t xml:space="preserve"> </w:t>
      </w:r>
      <w:r>
        <w:rPr>
          <w:rFonts w:ascii="Arial" w:cs="Arial" w:eastAsia="Arial" w:hAnsi="Arial"/>
          <w:sz w:val="17"/>
          <w:szCs w:val="17"/>
          <w:color w:val="auto"/>
        </w:rPr>
        <w:t>software development stages (referred to as “project stages”) throughout Subtopic 350-40 and requires the capitalization of software costs to begin when 1) management has authorized and committed to funding the software project and 2) it is probable that the project will be completed and the software will be used to perform the function intended. This guidance is effective for fiscal years and interim periods beginning after December 15, 2027, with early adoption permitted. These requirements should be applied using a prospective, modified transition, or retrospective approach. We are currently evaluating the impact of implementing this guidance on our financial statements.</w:t>
      </w:r>
    </w:p>
    <w:p>
      <w:pPr>
        <w:spacing w:after="0" w:line="122" w:lineRule="exact"/>
        <w:rPr>
          <w:sz w:val="20"/>
          <w:szCs w:val="20"/>
          <w:color w:val="auto"/>
        </w:rPr>
      </w:pPr>
    </w:p>
    <w:p>
      <w:pPr>
        <w:jc w:val="both"/>
        <w:ind w:firstLine="619"/>
        <w:spacing w:after="0" w:line="260" w:lineRule="auto"/>
        <w:rPr>
          <w:sz w:val="20"/>
          <w:szCs w:val="20"/>
          <w:color w:val="auto"/>
        </w:rPr>
      </w:pPr>
      <w:r>
        <w:rPr>
          <w:rFonts w:ascii="Arial" w:cs="Arial" w:eastAsia="Arial" w:hAnsi="Arial"/>
          <w:sz w:val="17"/>
          <w:szCs w:val="17"/>
          <w:color w:val="auto"/>
        </w:rPr>
        <w:t xml:space="preserve">In November 2024, the FASB issued ASU 2024-03, </w:t>
      </w:r>
      <w:r>
        <w:rPr>
          <w:rFonts w:ascii="Arial" w:cs="Arial" w:eastAsia="Arial" w:hAnsi="Arial"/>
          <w:sz w:val="17"/>
          <w:szCs w:val="17"/>
          <w:i w:val="1"/>
          <w:iCs w:val="1"/>
          <w:color w:val="auto"/>
        </w:rPr>
        <w:t>Income Statement — Reporting Comprehensive Income — Expense Disaggregation</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Disclosures (Subtopic 220-40): Disaggregation of Income Statement Expenses. </w:t>
      </w:r>
      <w:r>
        <w:rPr>
          <w:rFonts w:ascii="Arial" w:cs="Arial" w:eastAsia="Arial" w:hAnsi="Arial"/>
          <w:sz w:val="17"/>
          <w:szCs w:val="17"/>
          <w:color w:val="auto"/>
        </w:rPr>
        <w:t>This accounting update improves financial reporting by requiring</w:t>
      </w:r>
      <w:r>
        <w:rPr>
          <w:rFonts w:ascii="Arial" w:cs="Arial" w:eastAsia="Arial" w:hAnsi="Arial"/>
          <w:sz w:val="17"/>
          <w:szCs w:val="17"/>
          <w:i w:val="1"/>
          <w:iCs w:val="1"/>
          <w:color w:val="auto"/>
        </w:rPr>
        <w:t xml:space="preserve"> </w:t>
      </w:r>
      <w:r>
        <w:rPr>
          <w:rFonts w:ascii="Arial" w:cs="Arial" w:eastAsia="Arial" w:hAnsi="Arial"/>
          <w:sz w:val="17"/>
          <w:szCs w:val="17"/>
          <w:color w:val="auto"/>
        </w:rPr>
        <w:t>public business entities to disclose additional information about specific expense categories in the notes to the financial statements at interim and annual reporting periods.This ASU is effective for fiscal years beginning after December 15, 2026, and interim periods within fiscal years beginning after December 15, 2027, with early adoption permitted. We are currently evaluating the impact of implementing this guidance on our financial statements.</w:t>
      </w:r>
    </w:p>
    <w:p>
      <w:pPr>
        <w:spacing w:after="0" w:line="122"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7"/>
          <w:szCs w:val="17"/>
          <w:color w:val="auto"/>
        </w:rPr>
        <w:t xml:space="preserve">In December 2023, the FASB issued ASU 2023-09, </w:t>
      </w:r>
      <w:r>
        <w:rPr>
          <w:rFonts w:ascii="Arial" w:cs="Arial" w:eastAsia="Arial" w:hAnsi="Arial"/>
          <w:sz w:val="17"/>
          <w:szCs w:val="17"/>
          <w:i w:val="1"/>
          <w:iCs w:val="1"/>
          <w:color w:val="auto"/>
        </w:rPr>
        <w:t>Income Taxes (Topic 740): Improvements to Income Tax Disclosure</w:t>
      </w:r>
      <w:r>
        <w:rPr>
          <w:rFonts w:ascii="Arial" w:cs="Arial" w:eastAsia="Arial" w:hAnsi="Arial"/>
          <w:sz w:val="17"/>
          <w:szCs w:val="17"/>
          <w:color w:val="auto"/>
        </w:rPr>
        <w:t>. This accounting update enhances the transparency and decision usefulness of income tax disclosure. The amendments in this ASU address investor requests for enhanced income tax information primarily</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67" w:right="339" w:bottom="1440" w:gutter="0" w:footer="0" w:header="0"/>
        </w:sectPr>
      </w:pPr>
    </w:p>
    <w:bookmarkStart w:id="62" w:name="page63"/>
    <w:bookmarkEnd w:id="62"/>
    <w:p>
      <w:pPr>
        <w:spacing w:after="0" w:line="290" w:lineRule="auto"/>
        <w:rPr>
          <w:sz w:val="20"/>
          <w:szCs w:val="20"/>
          <w:color w:val="auto"/>
        </w:rPr>
      </w:pPr>
      <w:r>
        <w:rPr>
          <w:rFonts w:ascii="Arial" w:cs="Arial" w:eastAsia="Arial" w:hAnsi="Arial"/>
          <w:sz w:val="17"/>
          <w:szCs w:val="17"/>
          <w:color w:val="auto"/>
        </w:rPr>
        <w:t>through changes to the rate reconciliation and income taxes paid information. This ASU is effective for fiscal years beginning after December 15, 2024, with early adoption permitted. We are currently evaluating the impact of implementing this guidance on our financial statements.</w:t>
      </w:r>
    </w:p>
    <w:p>
      <w:pPr>
        <w:spacing w:after="0" w:line="95" w:lineRule="exact"/>
        <w:rPr>
          <w:sz w:val="20"/>
          <w:szCs w:val="20"/>
          <w:color w:val="auto"/>
        </w:rPr>
      </w:pPr>
    </w:p>
    <w:p>
      <w:pPr>
        <w:ind w:firstLine="619"/>
        <w:spacing w:after="0" w:line="290" w:lineRule="auto"/>
        <w:rPr>
          <w:sz w:val="20"/>
          <w:szCs w:val="20"/>
          <w:color w:val="auto"/>
        </w:rPr>
      </w:pPr>
      <w:r>
        <w:rPr>
          <w:rFonts w:ascii="Arial" w:cs="Arial" w:eastAsia="Arial" w:hAnsi="Arial"/>
          <w:sz w:val="17"/>
          <w:szCs w:val="17"/>
          <w:color w:val="auto"/>
        </w:rPr>
        <w:t>We do not expect any other recently issued accounting pronouncements to have a material impact on our consolidated financial statements and related disclosures.</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67" w:right="339" w:bottom="1440" w:gutter="0" w:footer="0" w:header="0"/>
        </w:sectPr>
      </w:pPr>
    </w:p>
    <w:bookmarkStart w:id="63" w:name="page64"/>
    <w:bookmarkEnd w:id="63"/>
    <w:p>
      <w:pPr>
        <w:spacing w:after="0"/>
        <w:rPr>
          <w:sz w:val="20"/>
          <w:szCs w:val="20"/>
          <w:color w:val="auto"/>
        </w:rPr>
      </w:pPr>
      <w:r>
        <w:rPr>
          <w:rFonts w:ascii="Arial" w:cs="Arial" w:eastAsia="Arial" w:hAnsi="Arial"/>
          <w:sz w:val="17"/>
          <w:szCs w:val="17"/>
          <w:b w:val="1"/>
          <w:bCs w:val="1"/>
          <w:color w:val="0046AD"/>
        </w:rPr>
        <w:t>3. ACQUISITIONS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wp:posOffset>
            </wp:positionV>
            <wp:extent cx="712216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22160" cy="8255"/>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Acquisition of LMC FM</w:t>
      </w:r>
    </w:p>
    <w:p>
      <w:pPr>
        <w:spacing w:after="0" w:line="168" w:lineRule="exact"/>
        <w:rPr>
          <w:sz w:val="20"/>
          <w:szCs w:val="20"/>
          <w:color w:val="auto"/>
        </w:rPr>
      </w:pPr>
    </w:p>
    <w:p>
      <w:pPr>
        <w:jc w:val="both"/>
        <w:ind w:firstLine="619"/>
        <w:spacing w:after="0" w:line="258" w:lineRule="auto"/>
        <w:rPr>
          <w:sz w:val="20"/>
          <w:szCs w:val="20"/>
          <w:color w:val="auto"/>
        </w:rPr>
      </w:pPr>
      <w:r>
        <w:rPr>
          <w:rFonts w:ascii="Arial" w:cs="Arial" w:eastAsia="Arial" w:hAnsi="Arial"/>
          <w:sz w:val="17"/>
          <w:szCs w:val="17"/>
          <w:color w:val="auto"/>
        </w:rPr>
        <w:t>Effective June 1, 2025, we acquired LMC FM Limited (“LMC”), a Dublin-based facilities services company with coverage across Ireland, for a purchase price of approximately $22.5 million in cash plus the potential of $5.8 million of contingent consideration to be paid in calendar year 2027 upon the retention of the top two customers. The acquisition was accounted for under the acquisition method. Accordingly, the assets acquired and liabilities assumed were recognized on the date of acquisition at their estimated fair values, with the excess of the purchase price recorded as goodwill. The goodwill is not deductible for income tax purposes. As of October 31, 2025, we recorded preliminary goodwill and intangibles of $14.7 million and $12.9 million, respectively. The total assets acquired, excluding goodwill and intangibles, and liabilities assumed amounted to $ 19.8 million and $19.0 million, respectively. The purchase price allocation is subject to adjustments within the measurement period not to exceed one year from the acquisition date.</w:t>
      </w:r>
    </w:p>
    <w:p>
      <w:pPr>
        <w:spacing w:after="0" w:line="124"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17"/>
          <w:szCs w:val="17"/>
          <w:color w:val="auto"/>
        </w:rPr>
        <w:t>The Consolidated Statements of Comprehensive Income for the year ended October 31, 2025, include revenues of $23.0 million attributable to LMC, which are included in our Technical Solutions segment.</w:t>
      </w:r>
    </w:p>
    <w:p>
      <w:pPr>
        <w:spacing w:after="0" w:line="93"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Acquisition of Quality Uptime</w:t>
      </w:r>
    </w:p>
    <w:p>
      <w:pPr>
        <w:spacing w:after="0" w:line="168" w:lineRule="exact"/>
        <w:rPr>
          <w:sz w:val="20"/>
          <w:szCs w:val="20"/>
          <w:color w:val="auto"/>
        </w:rPr>
      </w:pPr>
    </w:p>
    <w:p>
      <w:pPr>
        <w:jc w:val="both"/>
        <w:ind w:firstLine="619"/>
        <w:spacing w:after="0" w:line="258" w:lineRule="auto"/>
        <w:rPr>
          <w:sz w:val="20"/>
          <w:szCs w:val="20"/>
          <w:color w:val="auto"/>
        </w:rPr>
      </w:pPr>
      <w:r>
        <w:rPr>
          <w:rFonts w:ascii="Arial" w:cs="Arial" w:eastAsia="Arial" w:hAnsi="Arial"/>
          <w:sz w:val="17"/>
          <w:szCs w:val="17"/>
          <w:color w:val="auto"/>
        </w:rPr>
        <w:t>Effective June 21, 2024, we acquired Quality Uptime Services, Inc. (“Quality Uptime”), an UPS installation and maintenance company providing customized preventive and emergency service programs for mission-critical data centers and other facilities, for a net cash purchase price of $116.3 million. The acquisition was accounted for under the acquisition method. Accordingly, the assets acquired and liabilities assumed were recognized on the date of acquisition at their estimated fair values, with the excess of the purchase price recorded as goodwill. The goodwill is amortizable over 15 years for income tax purposes. During the year ended October 31, 2025, we finalized the purchase price allocation for the Quality Uptime Acquisition, which resulted in immaterial measurement period adjustments to goodwill, and as of October 31, 2025, we recorded goodwill and intangibles of $77.4 million and $35.2 million, respectively. The total assets acquired, excluding goodwill and intangibles, and liabilities assumed amounted to $24.0 million and $20.3 million, respectively. Quality Uptime’s operations are included within our Technical Solutions segment.</w:t>
      </w:r>
    </w:p>
    <w:p>
      <w:pPr>
        <w:spacing w:after="0" w:line="328"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Acquisition of RavenVolt</w:t>
      </w:r>
    </w:p>
    <w:p>
      <w:pPr>
        <w:spacing w:after="0" w:line="167"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7"/>
          <w:szCs w:val="17"/>
          <w:color w:val="auto"/>
        </w:rPr>
        <w:t>On September 1, 2022, we completed the acquisition of all of the equity interests of RavenVolt, Inc. (“RavenVolt”), a nationwide provider of advanced turn-key microgrid systems utilized by diversified commercial and industrial customers, national retailers, utilities, and municipalities. RavenVolt’s operations are included within our Technical Solutions segment. The acquisition was accounted for under the acquisition method.</w:t>
      </w:r>
    </w:p>
    <w:p>
      <w:pPr>
        <w:spacing w:after="0" w:line="60"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The purchase price for the acquisition was approximately $ 170.0 million in cash at closing plus the potential of post-closing contingent consideration of up to $ 280.0 million. The estimate of the fair value of the contingent consideration on the date of acquisition was $59.0 million. The post closing contingent consideration would be payable in cash in calendar years 2024, 2025, and 2026 if RavenVolt’s earnings before interest, taxes, depreciation, and amortization (“EBITDA”), as defined in the RavenVolt merger agreement, meets or exceeds certain defined targets.</w:t>
      </w:r>
    </w:p>
    <w:p>
      <w:pPr>
        <w:spacing w:after="0" w:line="116"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7"/>
          <w:szCs w:val="17"/>
          <w:color w:val="auto"/>
        </w:rPr>
        <w:t>In 2024, defined EBITDA targets were not achieved, and as a result, no contingent consideration payment was made in 2024 for calendar year 2023. At October 31, 2024, the estimate of the fair value of the contingent consideration was $109.1 million. In the third quarter of 2025, we made a $75.0 million payment for calendar year 2024, of which $16.0 million was classified as an operating cash outflow.</w:t>
      </w:r>
    </w:p>
    <w:p>
      <w:pPr>
        <w:spacing w:after="0" w:line="111"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7"/>
          <w:szCs w:val="17"/>
          <w:color w:val="auto"/>
        </w:rPr>
        <w:t>The maximum contingent consideration that could be payable in 2026 related to the calendar year 2025 target is $130.0 million. If the EBITDA achieved for calendar years 2023-2025 cumulatively meets the defined EBITDA targets, the entire $280.0 million would be paid in calendar year 2026, minus the earn-out payment made in 2025.</w:t>
      </w:r>
    </w:p>
    <w:p>
      <w:pPr>
        <w:spacing w:after="0" w:line="111"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17"/>
          <w:szCs w:val="17"/>
          <w:color w:val="auto"/>
        </w:rPr>
        <w:t>There was no material change in the fair value of the contingent consideration during the year ended October 31, 2025, and at October 31, 2025, the estimate of the fair value of the remaining contingent consideration is $32.5 million.</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65" w:right="339" w:bottom="1440" w:gutter="0" w:footer="0" w:header="0"/>
        </w:sectPr>
      </w:pPr>
    </w:p>
    <w:bookmarkStart w:id="64" w:name="page65"/>
    <w:bookmarkEnd w:id="64"/>
    <w:p>
      <w:pPr>
        <w:spacing w:after="0"/>
        <w:rPr>
          <w:sz w:val="20"/>
          <w:szCs w:val="20"/>
          <w:color w:val="auto"/>
        </w:rPr>
      </w:pPr>
      <w:r>
        <w:rPr>
          <w:rFonts w:ascii="Arial" w:cs="Arial" w:eastAsia="Arial" w:hAnsi="Arial"/>
          <w:sz w:val="17"/>
          <w:szCs w:val="17"/>
          <w:b w:val="1"/>
          <w:bCs w:val="1"/>
          <w:color w:val="0046AD"/>
        </w:rPr>
        <w:t>4.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wp:posOffset>
            </wp:positionV>
            <wp:extent cx="712216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22160" cy="8255"/>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Disaggregation of Revenues</w:t>
      </w:r>
    </w:p>
    <w:p>
      <w:pPr>
        <w:spacing w:after="0" w:line="168" w:lineRule="exact"/>
        <w:rPr>
          <w:sz w:val="20"/>
          <w:szCs w:val="20"/>
          <w:color w:val="auto"/>
        </w:rPr>
      </w:pPr>
    </w:p>
    <w:p>
      <w:pPr>
        <w:jc w:val="both"/>
        <w:ind w:firstLine="619"/>
        <w:spacing w:after="0" w:line="260" w:lineRule="auto"/>
        <w:rPr>
          <w:sz w:val="20"/>
          <w:szCs w:val="20"/>
          <w:color w:val="auto"/>
        </w:rPr>
      </w:pPr>
      <w:r>
        <w:rPr>
          <w:rFonts w:ascii="Arial" w:cs="Arial" w:eastAsia="Arial" w:hAnsi="Arial"/>
          <w:sz w:val="17"/>
          <w:szCs w:val="17"/>
          <w:color w:val="auto"/>
        </w:rPr>
        <w:t>We generate revenues under several types of contracts, which are further described in Note 2, “Basis of Presentation and Significant Accounting Policies.” Generally, the type of contract is determined by the nature of the services provided by each of our major service lines throughout our reportable segments; therefore, we disaggregate revenues from contracts with customers into major service lines. We have determined that disaggregating revenues into these categories best depicts how the nature, amount, timing, and uncertainty of revenues and cash flows are affected by economic factors. Our reportable segments are B&amp;I, M&amp;D, Education, Aviation, and Technical Solutions, as described in Note 18, “Segment and Geographic Information.”</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340" w:type="dxa"/>
            <w:vAlign w:val="bottom"/>
            <w:tcBorders>
              <w:bottom w:val="single" w:sz="8" w:color="auto"/>
            </w:tcBorders>
            <w:gridSpan w:val="6"/>
          </w:tcPr>
          <w:p>
            <w:pPr>
              <w:ind w:left="100"/>
              <w:spacing w:after="0"/>
              <w:rPr>
                <w:sz w:val="20"/>
                <w:szCs w:val="20"/>
                <w:color w:val="auto"/>
              </w:rPr>
            </w:pPr>
            <w:r>
              <w:rPr>
                <w:rFonts w:ascii="Arial" w:cs="Arial" w:eastAsia="Arial" w:hAnsi="Arial"/>
                <w:sz w:val="15"/>
                <w:szCs w:val="15"/>
                <w:b w:val="1"/>
                <w:bCs w:val="1"/>
                <w:color w:val="auto"/>
              </w:rPr>
              <w:t>Year ended October 31, 2025</w:t>
            </w: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gridSpan w:val="2"/>
            <w:vMerge w:val="restart"/>
          </w:tcPr>
          <w:p>
            <w:pPr>
              <w:ind w:left="160"/>
              <w:spacing w:after="0"/>
              <w:rPr>
                <w:sz w:val="20"/>
                <w:szCs w:val="20"/>
                <w:color w:val="auto"/>
              </w:rPr>
            </w:pPr>
            <w:r>
              <w:rPr>
                <w:rFonts w:ascii="Arial" w:cs="Arial" w:eastAsia="Arial" w:hAnsi="Arial"/>
                <w:sz w:val="15"/>
                <w:szCs w:val="15"/>
                <w:b w:val="1"/>
                <w:bCs w:val="1"/>
                <w:color w:val="auto"/>
              </w:rPr>
              <w:t>B&amp;I</w:t>
            </w:r>
          </w:p>
        </w:tc>
        <w:tc>
          <w:tcPr>
            <w:tcW w:w="240" w:type="dxa"/>
            <w:vAlign w:val="bottom"/>
          </w:tcPr>
          <w:p>
            <w:pPr>
              <w:spacing w:after="0"/>
              <w:rPr>
                <w:sz w:val="12"/>
                <w:szCs w:val="12"/>
                <w:color w:val="auto"/>
              </w:rPr>
            </w:pPr>
          </w:p>
        </w:tc>
        <w:tc>
          <w:tcPr>
            <w:tcW w:w="920" w:type="dxa"/>
            <w:vAlign w:val="bottom"/>
            <w:gridSpan w:val="2"/>
            <w:vMerge w:val="restart"/>
          </w:tcPr>
          <w:p>
            <w:pPr>
              <w:ind w:left="140"/>
              <w:spacing w:after="0"/>
              <w:rPr>
                <w:sz w:val="20"/>
                <w:szCs w:val="20"/>
                <w:color w:val="auto"/>
              </w:rPr>
            </w:pPr>
            <w:r>
              <w:rPr>
                <w:rFonts w:ascii="Arial" w:cs="Arial" w:eastAsia="Arial" w:hAnsi="Arial"/>
                <w:sz w:val="15"/>
                <w:szCs w:val="15"/>
                <w:b w:val="1"/>
                <w:bCs w:val="1"/>
                <w:color w:val="auto"/>
              </w:rPr>
              <w:t>M&amp;D</w:t>
            </w:r>
          </w:p>
        </w:tc>
        <w:tc>
          <w:tcPr>
            <w:tcW w:w="180" w:type="dxa"/>
            <w:vAlign w:val="bottom"/>
          </w:tcPr>
          <w:p>
            <w:pPr>
              <w:spacing w:after="0"/>
              <w:rPr>
                <w:sz w:val="12"/>
                <w:szCs w:val="12"/>
                <w:color w:val="auto"/>
              </w:rPr>
            </w:pPr>
          </w:p>
        </w:tc>
        <w:tc>
          <w:tcPr>
            <w:tcW w:w="980" w:type="dxa"/>
            <w:vAlign w:val="bottom"/>
            <w:gridSpan w:val="2"/>
            <w:vMerge w:val="restart"/>
          </w:tcPr>
          <w:p>
            <w:pPr>
              <w:ind w:left="60"/>
              <w:spacing w:after="0"/>
              <w:rPr>
                <w:sz w:val="20"/>
                <w:szCs w:val="20"/>
                <w:color w:val="auto"/>
              </w:rPr>
            </w:pPr>
            <w:r>
              <w:rPr>
                <w:rFonts w:ascii="Arial" w:cs="Arial" w:eastAsia="Arial" w:hAnsi="Arial"/>
                <w:sz w:val="15"/>
                <w:szCs w:val="15"/>
                <w:b w:val="1"/>
                <w:bCs w:val="1"/>
                <w:color w:val="auto"/>
              </w:rPr>
              <w:t>Aviation</w:t>
            </w:r>
          </w:p>
        </w:tc>
        <w:tc>
          <w:tcPr>
            <w:tcW w:w="140" w:type="dxa"/>
            <w:vAlign w:val="bottom"/>
          </w:tcPr>
          <w:p>
            <w:pPr>
              <w:spacing w:after="0"/>
              <w:rPr>
                <w:sz w:val="12"/>
                <w:szCs w:val="12"/>
                <w:color w:val="auto"/>
              </w:rPr>
            </w:pPr>
          </w:p>
        </w:tc>
        <w:tc>
          <w:tcPr>
            <w:tcW w:w="1040" w:type="dxa"/>
            <w:vAlign w:val="bottom"/>
            <w:gridSpan w:val="2"/>
            <w:vMerge w:val="restart"/>
          </w:tcPr>
          <w:p>
            <w:pPr>
              <w:ind w:left="40"/>
              <w:spacing w:after="0"/>
              <w:rPr>
                <w:sz w:val="20"/>
                <w:szCs w:val="20"/>
                <w:color w:val="auto"/>
              </w:rPr>
            </w:pPr>
            <w:r>
              <w:rPr>
                <w:rFonts w:ascii="Arial" w:cs="Arial" w:eastAsia="Arial" w:hAnsi="Arial"/>
                <w:sz w:val="15"/>
                <w:szCs w:val="15"/>
                <w:b w:val="1"/>
                <w:bCs w:val="1"/>
                <w:color w:val="auto"/>
              </w:rPr>
              <w:t>Education</w:t>
            </w:r>
          </w:p>
        </w:tc>
        <w:tc>
          <w:tcPr>
            <w:tcW w:w="160" w:type="dxa"/>
            <w:vAlign w:val="bottom"/>
          </w:tcPr>
          <w:p>
            <w:pPr>
              <w:spacing w:after="0"/>
              <w:rPr>
                <w:sz w:val="12"/>
                <w:szCs w:val="12"/>
                <w:color w:val="auto"/>
              </w:rPr>
            </w:pPr>
          </w:p>
        </w:tc>
        <w:tc>
          <w:tcPr>
            <w:tcW w:w="1000" w:type="dxa"/>
            <w:vAlign w:val="bottom"/>
            <w:gridSpan w:val="2"/>
          </w:tcPr>
          <w:p>
            <w:pPr>
              <w:ind w:left="40"/>
              <w:spacing w:after="0" w:line="148" w:lineRule="exact"/>
              <w:rPr>
                <w:sz w:val="20"/>
                <w:szCs w:val="20"/>
                <w:color w:val="auto"/>
              </w:rPr>
            </w:pPr>
            <w:r>
              <w:rPr>
                <w:rFonts w:ascii="Arial" w:cs="Arial" w:eastAsia="Arial" w:hAnsi="Arial"/>
                <w:sz w:val="15"/>
                <w:szCs w:val="15"/>
                <w:b w:val="1"/>
                <w:bCs w:val="1"/>
                <w:color w:val="auto"/>
              </w:rPr>
              <w:t>Technical</w:t>
            </w:r>
          </w:p>
        </w:tc>
        <w:tc>
          <w:tcPr>
            <w:tcW w:w="240" w:type="dxa"/>
            <w:vAlign w:val="bottom"/>
          </w:tcPr>
          <w:p>
            <w:pPr>
              <w:spacing w:after="0"/>
              <w:rPr>
                <w:sz w:val="12"/>
                <w:szCs w:val="12"/>
                <w:color w:val="auto"/>
              </w:rPr>
            </w:pPr>
          </w:p>
        </w:tc>
        <w:tc>
          <w:tcPr>
            <w:tcW w:w="840" w:type="dxa"/>
            <w:vAlign w:val="bottom"/>
            <w:vMerge w:val="restart"/>
          </w:tcPr>
          <w:p>
            <w:pPr>
              <w:jc w:val="right"/>
              <w:ind w:right="283"/>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155"/>
        </w:trPr>
        <w:tc>
          <w:tcPr>
            <w:tcW w:w="4300" w:type="dxa"/>
            <w:vAlign w:val="bottom"/>
            <w:gridSpan w:val="3"/>
          </w:tcPr>
          <w:p>
            <w:pPr>
              <w:ind w:left="20"/>
              <w:spacing w:after="0"/>
              <w:rPr>
                <w:sz w:val="20"/>
                <w:szCs w:val="20"/>
                <w:color w:val="auto"/>
              </w:rPr>
            </w:pPr>
            <w:r>
              <w:rPr>
                <w:rFonts w:ascii="Times New Roman" w:cs="Times New Roman" w:eastAsia="Times New Roman" w:hAnsi="Times New Roman"/>
                <w:sz w:val="13"/>
                <w:szCs w:val="13"/>
                <w:i w:val="1"/>
                <w:iCs w:val="1"/>
                <w:color w:val="auto"/>
              </w:rPr>
              <w:t>(in millions)</w:t>
            </w:r>
          </w:p>
        </w:tc>
        <w:tc>
          <w:tcPr>
            <w:tcW w:w="260" w:type="dxa"/>
            <w:vAlign w:val="bottom"/>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gridSpan w:val="2"/>
          </w:tcPr>
          <w:p>
            <w:pPr>
              <w:ind w:left="40"/>
              <w:spacing w:after="0" w:line="155" w:lineRule="exact"/>
              <w:rPr>
                <w:sz w:val="20"/>
                <w:szCs w:val="20"/>
                <w:color w:val="auto"/>
              </w:rPr>
            </w:pPr>
            <w:r>
              <w:rPr>
                <w:rFonts w:ascii="Arial" w:cs="Arial" w:eastAsia="Arial" w:hAnsi="Arial"/>
                <w:sz w:val="15"/>
                <w:szCs w:val="15"/>
                <w:b w:val="1"/>
                <w:bCs w:val="1"/>
                <w:color w:val="auto"/>
              </w:rPr>
              <w:t>Solutions</w:t>
            </w:r>
          </w:p>
        </w:tc>
        <w:tc>
          <w:tcPr>
            <w:tcW w:w="24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DCE2EF"/>
            </w:tcBorders>
          </w:tcPr>
          <w:p>
            <w:pPr>
              <w:spacing w:after="0" w:line="20" w:lineRule="exact"/>
              <w:rPr>
                <w:sz w:val="1"/>
                <w:szCs w:val="1"/>
                <w:color w:val="auto"/>
              </w:rPr>
            </w:pPr>
          </w:p>
        </w:tc>
        <w:tc>
          <w:tcPr>
            <w:tcW w:w="640" w:type="dxa"/>
            <w:vAlign w:val="bottom"/>
            <w:tcBorders>
              <w:top w:val="single" w:sz="8" w:color="auto"/>
              <w:bottom w:val="single" w:sz="8" w:color="DCE2EF"/>
            </w:tcBorders>
          </w:tcPr>
          <w:p>
            <w:pPr>
              <w:spacing w:after="0" w:line="20" w:lineRule="exact"/>
              <w:rPr>
                <w:sz w:val="1"/>
                <w:szCs w:val="1"/>
                <w:color w:val="auto"/>
              </w:rPr>
            </w:pPr>
          </w:p>
        </w:tc>
        <w:tc>
          <w:tcPr>
            <w:tcW w:w="3640" w:type="dxa"/>
            <w:vAlign w:val="bottom"/>
            <w:tcBorders>
              <w:bottom w:val="single" w:sz="8" w:color="DCE2E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CE2E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CE2E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CE2E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CE2E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CE2E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4300" w:type="dxa"/>
            <w:vAlign w:val="bottom"/>
            <w:gridSpan w:val="3"/>
            <w:shd w:val="clear" w:color="auto" w:fill="DCE2EF"/>
          </w:tcPr>
          <w:p>
            <w:pPr>
              <w:ind w:left="20"/>
              <w:spacing w:after="0"/>
              <w:rPr>
                <w:sz w:val="20"/>
                <w:szCs w:val="20"/>
                <w:color w:val="auto"/>
              </w:rPr>
            </w:pPr>
            <w:r>
              <w:rPr>
                <w:rFonts w:ascii="Arial" w:cs="Arial" w:eastAsia="Arial" w:hAnsi="Arial"/>
                <w:sz w:val="15"/>
                <w:szCs w:val="15"/>
                <w:b w:val="1"/>
                <w:bCs w:val="1"/>
                <w:color w:val="auto"/>
              </w:rPr>
              <w:t>Major Service Line</w:t>
            </w:r>
          </w:p>
        </w:tc>
        <w:tc>
          <w:tcPr>
            <w:tcW w:w="260" w:type="dxa"/>
            <w:vAlign w:val="bottom"/>
            <w:shd w:val="clear" w:color="auto" w:fill="DCE2EF"/>
          </w:tcPr>
          <w:p>
            <w:pPr>
              <w:spacing w:after="0"/>
              <w:rPr>
                <w:sz w:val="16"/>
                <w:szCs w:val="16"/>
                <w:color w:val="auto"/>
              </w:rPr>
            </w:pPr>
          </w:p>
        </w:tc>
        <w:tc>
          <w:tcPr>
            <w:tcW w:w="820" w:type="dxa"/>
            <w:vAlign w:val="bottom"/>
            <w:shd w:val="clear" w:color="auto" w:fill="DCE2EF"/>
          </w:tcPr>
          <w:p>
            <w:pPr>
              <w:spacing w:after="0"/>
              <w:rPr>
                <w:sz w:val="16"/>
                <w:szCs w:val="16"/>
                <w:color w:val="auto"/>
              </w:rPr>
            </w:pPr>
          </w:p>
        </w:tc>
        <w:tc>
          <w:tcPr>
            <w:tcW w:w="80" w:type="dxa"/>
            <w:vAlign w:val="bottom"/>
            <w:shd w:val="clear" w:color="auto" w:fill="DCE2EF"/>
          </w:tcPr>
          <w:p>
            <w:pPr>
              <w:spacing w:after="0"/>
              <w:rPr>
                <w:sz w:val="16"/>
                <w:szCs w:val="16"/>
                <w:color w:val="auto"/>
              </w:rPr>
            </w:pPr>
          </w:p>
        </w:tc>
        <w:tc>
          <w:tcPr>
            <w:tcW w:w="240" w:type="dxa"/>
            <w:vAlign w:val="bottom"/>
            <w:shd w:val="clear" w:color="auto" w:fill="DCE2EF"/>
          </w:tcPr>
          <w:p>
            <w:pPr>
              <w:spacing w:after="0"/>
              <w:rPr>
                <w:sz w:val="16"/>
                <w:szCs w:val="16"/>
                <w:color w:val="auto"/>
              </w:rPr>
            </w:pPr>
          </w:p>
        </w:tc>
        <w:tc>
          <w:tcPr>
            <w:tcW w:w="840" w:type="dxa"/>
            <w:vAlign w:val="bottom"/>
            <w:shd w:val="clear" w:color="auto" w:fill="DCE2EF"/>
          </w:tcPr>
          <w:p>
            <w:pPr>
              <w:spacing w:after="0"/>
              <w:rPr>
                <w:sz w:val="16"/>
                <w:szCs w:val="16"/>
                <w:color w:val="auto"/>
              </w:rPr>
            </w:pPr>
          </w:p>
        </w:tc>
        <w:tc>
          <w:tcPr>
            <w:tcW w:w="80" w:type="dxa"/>
            <w:vAlign w:val="bottom"/>
            <w:shd w:val="clear" w:color="auto" w:fill="DCE2EF"/>
          </w:tcPr>
          <w:p>
            <w:pPr>
              <w:spacing w:after="0"/>
              <w:rPr>
                <w:sz w:val="16"/>
                <w:szCs w:val="16"/>
                <w:color w:val="auto"/>
              </w:rPr>
            </w:pPr>
          </w:p>
        </w:tc>
        <w:tc>
          <w:tcPr>
            <w:tcW w:w="180" w:type="dxa"/>
            <w:vAlign w:val="bottom"/>
            <w:shd w:val="clear" w:color="auto" w:fill="DCE2EF"/>
          </w:tcPr>
          <w:p>
            <w:pPr>
              <w:spacing w:after="0"/>
              <w:rPr>
                <w:sz w:val="16"/>
                <w:szCs w:val="16"/>
                <w:color w:val="auto"/>
              </w:rPr>
            </w:pPr>
          </w:p>
        </w:tc>
        <w:tc>
          <w:tcPr>
            <w:tcW w:w="900" w:type="dxa"/>
            <w:vAlign w:val="bottom"/>
            <w:shd w:val="clear" w:color="auto" w:fill="DCE2EF"/>
          </w:tcPr>
          <w:p>
            <w:pPr>
              <w:spacing w:after="0"/>
              <w:rPr>
                <w:sz w:val="16"/>
                <w:szCs w:val="16"/>
                <w:color w:val="auto"/>
              </w:rPr>
            </w:pPr>
          </w:p>
        </w:tc>
        <w:tc>
          <w:tcPr>
            <w:tcW w:w="80" w:type="dxa"/>
            <w:vAlign w:val="bottom"/>
            <w:shd w:val="clear" w:color="auto" w:fill="DCE2EF"/>
          </w:tcPr>
          <w:p>
            <w:pPr>
              <w:spacing w:after="0"/>
              <w:rPr>
                <w:sz w:val="16"/>
                <w:szCs w:val="16"/>
                <w:color w:val="auto"/>
              </w:rPr>
            </w:pPr>
          </w:p>
        </w:tc>
        <w:tc>
          <w:tcPr>
            <w:tcW w:w="140" w:type="dxa"/>
            <w:vAlign w:val="bottom"/>
            <w:shd w:val="clear" w:color="auto" w:fill="DCE2EF"/>
          </w:tcPr>
          <w:p>
            <w:pPr>
              <w:spacing w:after="0"/>
              <w:rPr>
                <w:sz w:val="16"/>
                <w:szCs w:val="16"/>
                <w:color w:val="auto"/>
              </w:rPr>
            </w:pPr>
          </w:p>
        </w:tc>
        <w:tc>
          <w:tcPr>
            <w:tcW w:w="960" w:type="dxa"/>
            <w:vAlign w:val="bottom"/>
            <w:shd w:val="clear" w:color="auto" w:fill="DCE2EF"/>
          </w:tcPr>
          <w:p>
            <w:pPr>
              <w:spacing w:after="0"/>
              <w:rPr>
                <w:sz w:val="16"/>
                <w:szCs w:val="16"/>
                <w:color w:val="auto"/>
              </w:rPr>
            </w:pPr>
          </w:p>
        </w:tc>
        <w:tc>
          <w:tcPr>
            <w:tcW w:w="80" w:type="dxa"/>
            <w:vAlign w:val="bottom"/>
            <w:shd w:val="clear" w:color="auto" w:fill="DCE2EF"/>
          </w:tcPr>
          <w:p>
            <w:pPr>
              <w:spacing w:after="0"/>
              <w:rPr>
                <w:sz w:val="16"/>
                <w:szCs w:val="16"/>
                <w:color w:val="auto"/>
              </w:rPr>
            </w:pPr>
          </w:p>
        </w:tc>
        <w:tc>
          <w:tcPr>
            <w:tcW w:w="160" w:type="dxa"/>
            <w:vAlign w:val="bottom"/>
            <w:shd w:val="clear" w:color="auto" w:fill="DCE2EF"/>
          </w:tcPr>
          <w:p>
            <w:pPr>
              <w:spacing w:after="0"/>
              <w:rPr>
                <w:sz w:val="16"/>
                <w:szCs w:val="16"/>
                <w:color w:val="auto"/>
              </w:rPr>
            </w:pPr>
          </w:p>
        </w:tc>
        <w:tc>
          <w:tcPr>
            <w:tcW w:w="920" w:type="dxa"/>
            <w:vAlign w:val="bottom"/>
            <w:shd w:val="clear" w:color="auto" w:fill="DCE2EF"/>
          </w:tcPr>
          <w:p>
            <w:pPr>
              <w:spacing w:after="0"/>
              <w:rPr>
                <w:sz w:val="16"/>
                <w:szCs w:val="16"/>
                <w:color w:val="auto"/>
              </w:rPr>
            </w:pPr>
          </w:p>
        </w:tc>
        <w:tc>
          <w:tcPr>
            <w:tcW w:w="80" w:type="dxa"/>
            <w:vAlign w:val="bottom"/>
            <w:shd w:val="clear" w:color="auto" w:fill="DCE2EF"/>
          </w:tcPr>
          <w:p>
            <w:pPr>
              <w:spacing w:after="0"/>
              <w:rPr>
                <w:sz w:val="16"/>
                <w:szCs w:val="16"/>
                <w:color w:val="auto"/>
              </w:rPr>
            </w:pPr>
          </w:p>
        </w:tc>
        <w:tc>
          <w:tcPr>
            <w:tcW w:w="240" w:type="dxa"/>
            <w:vAlign w:val="bottom"/>
            <w:shd w:val="clear" w:color="auto" w:fill="DCE2EF"/>
          </w:tcPr>
          <w:p>
            <w:pPr>
              <w:spacing w:after="0"/>
              <w:rPr>
                <w:sz w:val="16"/>
                <w:szCs w:val="16"/>
                <w:color w:val="auto"/>
              </w:rPr>
            </w:pPr>
          </w:p>
        </w:tc>
        <w:tc>
          <w:tcPr>
            <w:tcW w:w="840" w:type="dxa"/>
            <w:vAlign w:val="bottom"/>
            <w:shd w:val="clear" w:color="auto" w:fill="DCE2EF"/>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280" w:type="dxa"/>
            <w:vAlign w:val="bottom"/>
            <w:gridSpan w:val="2"/>
          </w:tcPr>
          <w:p>
            <w:pPr>
              <w:ind w:left="100"/>
              <w:spacing w:after="0" w:line="207" w:lineRule="exact"/>
              <w:rPr>
                <w:sz w:val="20"/>
                <w:szCs w:val="20"/>
                <w:color w:val="auto"/>
              </w:rPr>
            </w:pPr>
            <w:r>
              <w:rPr>
                <w:rFonts w:ascii="Arial" w:cs="Arial" w:eastAsia="Arial" w:hAnsi="Arial"/>
                <w:sz w:val="15"/>
                <w:szCs w:val="15"/>
                <w:color w:val="auto"/>
              </w:rPr>
              <w:t>Janitorial</w:t>
            </w:r>
            <w:r>
              <w:rPr>
                <w:rFonts w:ascii="Arial" w:cs="Arial" w:eastAsia="Arial" w:hAnsi="Arial"/>
                <w:sz w:val="20"/>
                <w:szCs w:val="20"/>
                <w:color w:val="auto"/>
                <w:vertAlign w:val="superscript"/>
              </w:rPr>
              <w:t>(1)</w:t>
            </w:r>
          </w:p>
        </w:tc>
        <w:tc>
          <w:tcPr>
            <w:tcW w:w="26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2,849.4</w:t>
            </w:r>
          </w:p>
        </w:tc>
        <w:tc>
          <w:tcPr>
            <w:tcW w:w="80" w:type="dxa"/>
            <w:vAlign w:val="bottom"/>
          </w:tcPr>
          <w:p>
            <w:pPr>
              <w:spacing w:after="0"/>
              <w:rPr>
                <w:sz w:val="17"/>
                <w:szCs w:val="17"/>
                <w:color w:val="auto"/>
              </w:rPr>
            </w:pPr>
          </w:p>
        </w:tc>
        <w:tc>
          <w:tcPr>
            <w:tcW w:w="24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1,350.5</w:t>
            </w:r>
          </w:p>
        </w:tc>
        <w:tc>
          <w:tcPr>
            <w:tcW w:w="8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228.1</w:t>
            </w: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960" w:type="dxa"/>
            <w:vAlign w:val="bottom"/>
          </w:tcPr>
          <w:p>
            <w:pPr>
              <w:jc w:val="right"/>
              <w:ind w:right="3"/>
              <w:spacing w:after="0"/>
              <w:rPr>
                <w:sz w:val="20"/>
                <w:szCs w:val="20"/>
                <w:color w:val="auto"/>
              </w:rPr>
            </w:pPr>
            <w:r>
              <w:rPr>
                <w:rFonts w:ascii="Arial" w:cs="Arial" w:eastAsia="Arial" w:hAnsi="Arial"/>
                <w:sz w:val="15"/>
                <w:szCs w:val="15"/>
                <w:color w:val="auto"/>
              </w:rPr>
              <w:t>805.0</w:t>
            </w:r>
          </w:p>
        </w:tc>
        <w:tc>
          <w:tcPr>
            <w:tcW w:w="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40" w:type="dxa"/>
            <w:vAlign w:val="bottom"/>
          </w:tcPr>
          <w:p>
            <w:pPr>
              <w:jc w:val="right"/>
              <w:ind w:right="63"/>
              <w:spacing w:after="0"/>
              <w:rPr>
                <w:sz w:val="20"/>
                <w:szCs w:val="20"/>
                <w:color w:val="auto"/>
              </w:rPr>
            </w:pPr>
            <w:r>
              <w:rPr>
                <w:rFonts w:ascii="Arial" w:cs="Arial" w:eastAsia="Arial" w:hAnsi="Arial"/>
                <w:sz w:val="15"/>
                <w:szCs w:val="15"/>
                <w:color w:val="auto"/>
                <w:w w:val="95"/>
              </w:rPr>
              <w:t>$</w:t>
            </w:r>
          </w:p>
        </w:tc>
        <w:tc>
          <w:tcPr>
            <w:tcW w:w="840" w:type="dxa"/>
            <w:vAlign w:val="bottom"/>
          </w:tcPr>
          <w:p>
            <w:pPr>
              <w:jc w:val="right"/>
              <w:ind w:right="3"/>
              <w:spacing w:after="0"/>
              <w:rPr>
                <w:sz w:val="20"/>
                <w:szCs w:val="20"/>
                <w:color w:val="auto"/>
              </w:rPr>
            </w:pPr>
            <w:r>
              <w:rPr>
                <w:rFonts w:ascii="Arial" w:cs="Arial" w:eastAsia="Arial" w:hAnsi="Arial"/>
                <w:sz w:val="15"/>
                <w:szCs w:val="15"/>
                <w:color w:val="auto"/>
              </w:rPr>
              <w:t>5,233.1</w:t>
            </w:r>
          </w:p>
        </w:tc>
        <w:tc>
          <w:tcPr>
            <w:tcW w:w="0" w:type="dxa"/>
            <w:vAlign w:val="bottom"/>
          </w:tcPr>
          <w:p>
            <w:pPr>
              <w:spacing w:after="0"/>
              <w:rPr>
                <w:sz w:val="1"/>
                <w:szCs w:val="1"/>
                <w:color w:val="auto"/>
              </w:rPr>
            </w:pPr>
          </w:p>
        </w:tc>
      </w:tr>
      <w:tr>
        <w:trPr>
          <w:trHeight w:val="206"/>
        </w:trPr>
        <w:tc>
          <w:tcPr>
            <w:tcW w:w="20" w:type="dxa"/>
            <w:vAlign w:val="bottom"/>
            <w:shd w:val="clear" w:color="auto" w:fill="DCE2EF"/>
          </w:tcPr>
          <w:p>
            <w:pPr>
              <w:spacing w:after="0"/>
              <w:rPr>
                <w:sz w:val="17"/>
                <w:szCs w:val="17"/>
                <w:color w:val="auto"/>
              </w:rPr>
            </w:pPr>
          </w:p>
        </w:tc>
        <w:tc>
          <w:tcPr>
            <w:tcW w:w="4280" w:type="dxa"/>
            <w:vAlign w:val="bottom"/>
            <w:gridSpan w:val="2"/>
            <w:shd w:val="clear" w:color="auto" w:fill="DCE2EF"/>
          </w:tcPr>
          <w:p>
            <w:pPr>
              <w:ind w:left="100"/>
              <w:spacing w:after="0" w:line="207" w:lineRule="exact"/>
              <w:rPr>
                <w:sz w:val="20"/>
                <w:szCs w:val="20"/>
                <w:color w:val="auto"/>
              </w:rPr>
            </w:pPr>
            <w:r>
              <w:rPr>
                <w:rFonts w:ascii="Arial" w:cs="Arial" w:eastAsia="Arial" w:hAnsi="Arial"/>
                <w:sz w:val="15"/>
                <w:szCs w:val="15"/>
                <w:color w:val="auto"/>
              </w:rPr>
              <w:t>Aviation Services</w:t>
            </w:r>
            <w:r>
              <w:rPr>
                <w:rFonts w:ascii="Arial" w:cs="Arial" w:eastAsia="Arial" w:hAnsi="Arial"/>
                <w:sz w:val="20"/>
                <w:szCs w:val="20"/>
                <w:color w:val="auto"/>
                <w:vertAlign w:val="superscript"/>
              </w:rPr>
              <w:t>(2)</w:t>
            </w:r>
          </w:p>
        </w:tc>
        <w:tc>
          <w:tcPr>
            <w:tcW w:w="260" w:type="dxa"/>
            <w:vAlign w:val="bottom"/>
            <w:shd w:val="clear" w:color="auto" w:fill="DCE2EF"/>
          </w:tcPr>
          <w:p>
            <w:pPr>
              <w:spacing w:after="0"/>
              <w:rPr>
                <w:sz w:val="17"/>
                <w:szCs w:val="17"/>
                <w:color w:val="auto"/>
              </w:rPr>
            </w:pPr>
          </w:p>
        </w:tc>
        <w:tc>
          <w:tcPr>
            <w:tcW w:w="900" w:type="dxa"/>
            <w:vAlign w:val="bottom"/>
            <w:gridSpan w:val="2"/>
            <w:shd w:val="clear" w:color="auto" w:fill="DCE2EF"/>
          </w:tcPr>
          <w:p>
            <w:pPr>
              <w:jc w:val="right"/>
              <w:ind w:right="140"/>
              <w:spacing w:after="0"/>
              <w:rPr>
                <w:sz w:val="20"/>
                <w:szCs w:val="20"/>
                <w:color w:val="auto"/>
              </w:rPr>
            </w:pPr>
            <w:r>
              <w:rPr>
                <w:rFonts w:ascii="Arial" w:cs="Arial" w:eastAsia="Arial" w:hAnsi="Arial"/>
                <w:sz w:val="15"/>
                <w:szCs w:val="15"/>
                <w:color w:val="auto"/>
              </w:rPr>
              <w:t>—</w:t>
            </w:r>
          </w:p>
        </w:tc>
        <w:tc>
          <w:tcPr>
            <w:tcW w:w="240" w:type="dxa"/>
            <w:vAlign w:val="bottom"/>
            <w:shd w:val="clear" w:color="auto" w:fill="DCE2EF"/>
          </w:tcPr>
          <w:p>
            <w:pPr>
              <w:spacing w:after="0"/>
              <w:rPr>
                <w:sz w:val="17"/>
                <w:szCs w:val="17"/>
                <w:color w:val="auto"/>
              </w:rPr>
            </w:pPr>
          </w:p>
        </w:tc>
        <w:tc>
          <w:tcPr>
            <w:tcW w:w="920" w:type="dxa"/>
            <w:vAlign w:val="bottom"/>
            <w:gridSpan w:val="2"/>
            <w:shd w:val="clear" w:color="auto" w:fill="DCE2EF"/>
          </w:tcPr>
          <w:p>
            <w:pPr>
              <w:jc w:val="right"/>
              <w:ind w:right="140"/>
              <w:spacing w:after="0"/>
              <w:rPr>
                <w:sz w:val="20"/>
                <w:szCs w:val="20"/>
                <w:color w:val="auto"/>
              </w:rPr>
            </w:pPr>
            <w:r>
              <w:rPr>
                <w:rFonts w:ascii="Arial" w:cs="Arial" w:eastAsia="Arial" w:hAnsi="Arial"/>
                <w:sz w:val="15"/>
                <w:szCs w:val="15"/>
                <w:color w:val="auto"/>
              </w:rPr>
              <w:t>—</w:t>
            </w:r>
          </w:p>
        </w:tc>
        <w:tc>
          <w:tcPr>
            <w:tcW w:w="180" w:type="dxa"/>
            <w:vAlign w:val="bottom"/>
            <w:shd w:val="clear" w:color="auto" w:fill="DCE2EF"/>
          </w:tcPr>
          <w:p>
            <w:pPr>
              <w:spacing w:after="0"/>
              <w:rPr>
                <w:sz w:val="17"/>
                <w:szCs w:val="17"/>
                <w:color w:val="auto"/>
              </w:rPr>
            </w:pPr>
          </w:p>
        </w:tc>
        <w:tc>
          <w:tcPr>
            <w:tcW w:w="900" w:type="dxa"/>
            <w:vAlign w:val="bottom"/>
            <w:shd w:val="clear" w:color="auto" w:fill="DCE2EF"/>
          </w:tcPr>
          <w:p>
            <w:pPr>
              <w:jc w:val="right"/>
              <w:spacing w:after="0"/>
              <w:rPr>
                <w:sz w:val="20"/>
                <w:szCs w:val="20"/>
                <w:color w:val="auto"/>
              </w:rPr>
            </w:pPr>
            <w:r>
              <w:rPr>
                <w:rFonts w:ascii="Arial" w:cs="Arial" w:eastAsia="Arial" w:hAnsi="Arial"/>
                <w:sz w:val="15"/>
                <w:szCs w:val="15"/>
                <w:color w:val="auto"/>
              </w:rPr>
              <w:t>502.6</w:t>
            </w:r>
          </w:p>
        </w:tc>
        <w:tc>
          <w:tcPr>
            <w:tcW w:w="80" w:type="dxa"/>
            <w:vAlign w:val="bottom"/>
            <w:shd w:val="clear" w:color="auto" w:fill="DCE2EF"/>
          </w:tcPr>
          <w:p>
            <w:pPr>
              <w:spacing w:after="0"/>
              <w:rPr>
                <w:sz w:val="17"/>
                <w:szCs w:val="17"/>
                <w:color w:val="auto"/>
              </w:rPr>
            </w:pPr>
          </w:p>
        </w:tc>
        <w:tc>
          <w:tcPr>
            <w:tcW w:w="140" w:type="dxa"/>
            <w:vAlign w:val="bottom"/>
            <w:shd w:val="clear" w:color="auto" w:fill="DCE2EF"/>
          </w:tcPr>
          <w:p>
            <w:pPr>
              <w:spacing w:after="0"/>
              <w:rPr>
                <w:sz w:val="17"/>
                <w:szCs w:val="17"/>
                <w:color w:val="auto"/>
              </w:rPr>
            </w:pPr>
          </w:p>
        </w:tc>
        <w:tc>
          <w:tcPr>
            <w:tcW w:w="1040" w:type="dxa"/>
            <w:vAlign w:val="bottom"/>
            <w:gridSpan w:val="2"/>
            <w:shd w:val="clear" w:color="auto" w:fill="DCE2EF"/>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shd w:val="clear" w:color="auto" w:fill="DCE2EF"/>
          </w:tcPr>
          <w:p>
            <w:pPr>
              <w:spacing w:after="0"/>
              <w:rPr>
                <w:sz w:val="17"/>
                <w:szCs w:val="17"/>
                <w:color w:val="auto"/>
              </w:rPr>
            </w:pPr>
          </w:p>
        </w:tc>
        <w:tc>
          <w:tcPr>
            <w:tcW w:w="1000" w:type="dxa"/>
            <w:vAlign w:val="bottom"/>
            <w:gridSpan w:val="2"/>
            <w:shd w:val="clear" w:color="auto" w:fill="DCE2EF"/>
          </w:tcPr>
          <w:p>
            <w:pPr>
              <w:jc w:val="right"/>
              <w:ind w:right="160"/>
              <w:spacing w:after="0"/>
              <w:rPr>
                <w:sz w:val="20"/>
                <w:szCs w:val="20"/>
                <w:color w:val="auto"/>
              </w:rPr>
            </w:pPr>
            <w:r>
              <w:rPr>
                <w:rFonts w:ascii="Arial" w:cs="Arial" w:eastAsia="Arial" w:hAnsi="Arial"/>
                <w:sz w:val="15"/>
                <w:szCs w:val="15"/>
                <w:color w:val="auto"/>
              </w:rPr>
              <w:t>—</w:t>
            </w:r>
          </w:p>
        </w:tc>
        <w:tc>
          <w:tcPr>
            <w:tcW w:w="240" w:type="dxa"/>
            <w:vAlign w:val="bottom"/>
            <w:shd w:val="clear" w:color="auto" w:fill="DCE2EF"/>
          </w:tcPr>
          <w:p>
            <w:pPr>
              <w:spacing w:after="0"/>
              <w:rPr>
                <w:sz w:val="17"/>
                <w:szCs w:val="17"/>
                <w:color w:val="auto"/>
              </w:rPr>
            </w:pPr>
          </w:p>
        </w:tc>
        <w:tc>
          <w:tcPr>
            <w:tcW w:w="840" w:type="dxa"/>
            <w:vAlign w:val="bottom"/>
            <w:shd w:val="clear" w:color="auto" w:fill="DCE2EF"/>
          </w:tcPr>
          <w:p>
            <w:pPr>
              <w:jc w:val="right"/>
              <w:ind w:right="3"/>
              <w:spacing w:after="0"/>
              <w:rPr>
                <w:sz w:val="20"/>
                <w:szCs w:val="20"/>
                <w:color w:val="auto"/>
              </w:rPr>
            </w:pPr>
            <w:r>
              <w:rPr>
                <w:rFonts w:ascii="Arial" w:cs="Arial" w:eastAsia="Arial" w:hAnsi="Arial"/>
                <w:sz w:val="15"/>
                <w:szCs w:val="15"/>
                <w:color w:val="auto"/>
              </w:rPr>
              <w:t>502.6</w:t>
            </w:r>
          </w:p>
        </w:tc>
        <w:tc>
          <w:tcPr>
            <w:tcW w:w="0" w:type="dxa"/>
            <w:vAlign w:val="bottom"/>
          </w:tcPr>
          <w:p>
            <w:pPr>
              <w:spacing w:after="0"/>
              <w:rPr>
                <w:sz w:val="1"/>
                <w:szCs w:val="1"/>
                <w:color w:val="auto"/>
              </w:rPr>
            </w:pPr>
          </w:p>
        </w:tc>
      </w:tr>
      <w:tr>
        <w:trPr>
          <w:trHeight w:val="206"/>
        </w:trPr>
        <w:tc>
          <w:tcPr>
            <w:tcW w:w="20" w:type="dxa"/>
            <w:vAlign w:val="bottom"/>
            <w:tcBorders>
              <w:bottom w:val="single" w:sz="8" w:color="DCE2EF"/>
            </w:tcBorders>
          </w:tcPr>
          <w:p>
            <w:pPr>
              <w:spacing w:after="0"/>
              <w:rPr>
                <w:sz w:val="17"/>
                <w:szCs w:val="17"/>
                <w:color w:val="auto"/>
              </w:rPr>
            </w:pPr>
          </w:p>
        </w:tc>
        <w:tc>
          <w:tcPr>
            <w:tcW w:w="4280" w:type="dxa"/>
            <w:vAlign w:val="bottom"/>
            <w:tcBorders>
              <w:bottom w:val="single" w:sz="8" w:color="DCE2EF"/>
            </w:tcBorders>
            <w:gridSpan w:val="2"/>
          </w:tcPr>
          <w:p>
            <w:pPr>
              <w:ind w:left="100"/>
              <w:spacing w:after="0" w:line="207" w:lineRule="exact"/>
              <w:rPr>
                <w:sz w:val="20"/>
                <w:szCs w:val="20"/>
                <w:color w:val="auto"/>
              </w:rPr>
            </w:pPr>
            <w:r>
              <w:rPr>
                <w:rFonts w:ascii="Arial" w:cs="Arial" w:eastAsia="Arial" w:hAnsi="Arial"/>
                <w:sz w:val="15"/>
                <w:szCs w:val="15"/>
                <w:color w:val="auto"/>
              </w:rPr>
              <w:t>Parking and Transportation</w:t>
            </w:r>
            <w:r>
              <w:rPr>
                <w:rFonts w:ascii="Arial" w:cs="Arial" w:eastAsia="Arial" w:hAnsi="Arial"/>
                <w:sz w:val="20"/>
                <w:szCs w:val="20"/>
                <w:color w:val="auto"/>
                <w:vertAlign w:val="superscript"/>
              </w:rPr>
              <w:t>(3)</w:t>
            </w:r>
          </w:p>
        </w:tc>
        <w:tc>
          <w:tcPr>
            <w:tcW w:w="2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430.3</w:t>
            </w:r>
          </w:p>
        </w:tc>
        <w:tc>
          <w:tcPr>
            <w:tcW w:w="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53.1</w:t>
            </w:r>
          </w:p>
        </w:tc>
        <w:tc>
          <w:tcPr>
            <w:tcW w:w="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335.0</w:t>
            </w:r>
          </w:p>
        </w:tc>
        <w:tc>
          <w:tcPr>
            <w:tcW w:w="80" w:type="dxa"/>
            <w:vAlign w:val="bottom"/>
            <w:tcBorders>
              <w:bottom w:val="single" w:sz="8" w:color="DCE2E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0.4</w:t>
            </w: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818.8</w:t>
            </w:r>
          </w:p>
        </w:tc>
        <w:tc>
          <w:tcPr>
            <w:tcW w:w="0" w:type="dxa"/>
            <w:vAlign w:val="bottom"/>
          </w:tcPr>
          <w:p>
            <w:pPr>
              <w:spacing w:after="0"/>
              <w:rPr>
                <w:sz w:val="1"/>
                <w:szCs w:val="1"/>
                <w:color w:val="auto"/>
              </w:rPr>
            </w:pPr>
          </w:p>
        </w:tc>
      </w:tr>
      <w:tr>
        <w:trPr>
          <w:trHeight w:val="199"/>
        </w:trPr>
        <w:tc>
          <w:tcPr>
            <w:tcW w:w="20" w:type="dxa"/>
            <w:vAlign w:val="bottom"/>
            <w:shd w:val="clear" w:color="auto" w:fill="DCE2EF"/>
          </w:tcPr>
          <w:p>
            <w:pPr>
              <w:spacing w:after="0"/>
              <w:rPr>
                <w:sz w:val="17"/>
                <w:szCs w:val="17"/>
                <w:color w:val="auto"/>
              </w:rPr>
            </w:pPr>
          </w:p>
        </w:tc>
        <w:tc>
          <w:tcPr>
            <w:tcW w:w="4280" w:type="dxa"/>
            <w:vAlign w:val="bottom"/>
            <w:gridSpan w:val="2"/>
            <w:shd w:val="clear" w:color="auto" w:fill="DCE2EF"/>
          </w:tcPr>
          <w:p>
            <w:pPr>
              <w:ind w:left="100"/>
              <w:spacing w:after="0"/>
              <w:rPr>
                <w:sz w:val="20"/>
                <w:szCs w:val="20"/>
                <w:color w:val="auto"/>
              </w:rPr>
            </w:pPr>
            <w:r>
              <w:rPr>
                <w:rFonts w:ascii="Arial" w:cs="Arial" w:eastAsia="Arial" w:hAnsi="Arial"/>
                <w:sz w:val="15"/>
                <w:szCs w:val="15"/>
                <w:b w:val="1"/>
                <w:bCs w:val="1"/>
                <w:color w:val="auto"/>
              </w:rPr>
              <w:t>Facility Solutions</w:t>
            </w:r>
          </w:p>
        </w:tc>
        <w:tc>
          <w:tcPr>
            <w:tcW w:w="260" w:type="dxa"/>
            <w:vAlign w:val="bottom"/>
            <w:shd w:val="clear" w:color="auto" w:fill="DCE2EF"/>
          </w:tcPr>
          <w:p>
            <w:pPr>
              <w:jc w:val="right"/>
              <w:ind w:right="63"/>
              <w:spacing w:after="0"/>
              <w:rPr>
                <w:sz w:val="20"/>
                <w:szCs w:val="20"/>
                <w:color w:val="auto"/>
              </w:rPr>
            </w:pPr>
            <w:r>
              <w:rPr>
                <w:rFonts w:ascii="Arial" w:cs="Arial" w:eastAsia="Arial" w:hAnsi="Arial"/>
                <w:sz w:val="15"/>
                <w:szCs w:val="15"/>
                <w:b w:val="1"/>
                <w:bCs w:val="1"/>
                <w:color w:val="auto"/>
              </w:rPr>
              <w:t>$</w:t>
            </w:r>
          </w:p>
        </w:tc>
        <w:tc>
          <w:tcPr>
            <w:tcW w:w="820" w:type="dxa"/>
            <w:vAlign w:val="bottom"/>
            <w:shd w:val="clear" w:color="auto" w:fill="DCE2EF"/>
          </w:tcPr>
          <w:p>
            <w:pPr>
              <w:jc w:val="right"/>
              <w:spacing w:after="0"/>
              <w:rPr>
                <w:sz w:val="20"/>
                <w:szCs w:val="20"/>
                <w:color w:val="auto"/>
              </w:rPr>
            </w:pPr>
            <w:r>
              <w:rPr>
                <w:rFonts w:ascii="Arial" w:cs="Arial" w:eastAsia="Arial" w:hAnsi="Arial"/>
                <w:sz w:val="15"/>
                <w:szCs w:val="15"/>
                <w:b w:val="1"/>
                <w:bCs w:val="1"/>
                <w:color w:val="auto"/>
              </w:rPr>
              <w:t>3,279.7</w:t>
            </w:r>
          </w:p>
        </w:tc>
        <w:tc>
          <w:tcPr>
            <w:tcW w:w="80" w:type="dxa"/>
            <w:vAlign w:val="bottom"/>
            <w:shd w:val="clear" w:color="auto" w:fill="DCE2EF"/>
          </w:tcPr>
          <w:p>
            <w:pPr>
              <w:spacing w:after="0"/>
              <w:rPr>
                <w:sz w:val="17"/>
                <w:szCs w:val="17"/>
                <w:color w:val="auto"/>
              </w:rPr>
            </w:pPr>
          </w:p>
        </w:tc>
        <w:tc>
          <w:tcPr>
            <w:tcW w:w="240" w:type="dxa"/>
            <w:vAlign w:val="bottom"/>
            <w:shd w:val="clear" w:color="auto" w:fill="DCE2EF"/>
          </w:tcPr>
          <w:p>
            <w:pPr>
              <w:jc w:val="right"/>
              <w:ind w:right="43"/>
              <w:spacing w:after="0"/>
              <w:rPr>
                <w:sz w:val="20"/>
                <w:szCs w:val="20"/>
                <w:color w:val="auto"/>
              </w:rPr>
            </w:pPr>
            <w:r>
              <w:rPr>
                <w:rFonts w:ascii="Arial" w:cs="Arial" w:eastAsia="Arial" w:hAnsi="Arial"/>
                <w:sz w:val="15"/>
                <w:szCs w:val="15"/>
                <w:b w:val="1"/>
                <w:bCs w:val="1"/>
                <w:color w:val="auto"/>
              </w:rPr>
              <w:t>$</w:t>
            </w:r>
          </w:p>
        </w:tc>
        <w:tc>
          <w:tcPr>
            <w:tcW w:w="840" w:type="dxa"/>
            <w:vAlign w:val="bottom"/>
            <w:shd w:val="clear" w:color="auto" w:fill="DCE2EF"/>
          </w:tcPr>
          <w:p>
            <w:pPr>
              <w:jc w:val="right"/>
              <w:spacing w:after="0"/>
              <w:rPr>
                <w:sz w:val="20"/>
                <w:szCs w:val="20"/>
                <w:color w:val="auto"/>
              </w:rPr>
            </w:pPr>
            <w:r>
              <w:rPr>
                <w:rFonts w:ascii="Arial" w:cs="Arial" w:eastAsia="Arial" w:hAnsi="Arial"/>
                <w:sz w:val="15"/>
                <w:szCs w:val="15"/>
                <w:b w:val="1"/>
                <w:bCs w:val="1"/>
                <w:color w:val="auto"/>
              </w:rPr>
              <w:t>1,403.6</w:t>
            </w:r>
          </w:p>
        </w:tc>
        <w:tc>
          <w:tcPr>
            <w:tcW w:w="80" w:type="dxa"/>
            <w:vAlign w:val="bottom"/>
            <w:shd w:val="clear" w:color="auto" w:fill="DCE2EF"/>
          </w:tcPr>
          <w:p>
            <w:pPr>
              <w:spacing w:after="0"/>
              <w:rPr>
                <w:sz w:val="17"/>
                <w:szCs w:val="17"/>
                <w:color w:val="auto"/>
              </w:rPr>
            </w:pPr>
          </w:p>
        </w:tc>
        <w:tc>
          <w:tcPr>
            <w:tcW w:w="180" w:type="dxa"/>
            <w:vAlign w:val="bottom"/>
            <w:shd w:val="clear" w:color="auto" w:fill="DCE2EF"/>
          </w:tcPr>
          <w:p>
            <w:pPr>
              <w:jc w:val="right"/>
              <w:spacing w:after="0"/>
              <w:rPr>
                <w:sz w:val="20"/>
                <w:szCs w:val="20"/>
                <w:color w:val="auto"/>
              </w:rPr>
            </w:pPr>
            <w:r>
              <w:rPr>
                <w:rFonts w:ascii="Arial" w:cs="Arial" w:eastAsia="Arial" w:hAnsi="Arial"/>
                <w:sz w:val="15"/>
                <w:szCs w:val="15"/>
                <w:b w:val="1"/>
                <w:bCs w:val="1"/>
                <w:color w:val="auto"/>
              </w:rPr>
              <w:t>$</w:t>
            </w:r>
          </w:p>
        </w:tc>
        <w:tc>
          <w:tcPr>
            <w:tcW w:w="900" w:type="dxa"/>
            <w:vAlign w:val="bottom"/>
            <w:shd w:val="clear" w:color="auto" w:fill="DCE2EF"/>
          </w:tcPr>
          <w:p>
            <w:pPr>
              <w:jc w:val="right"/>
              <w:spacing w:after="0"/>
              <w:rPr>
                <w:sz w:val="20"/>
                <w:szCs w:val="20"/>
                <w:color w:val="auto"/>
              </w:rPr>
            </w:pPr>
            <w:r>
              <w:rPr>
                <w:rFonts w:ascii="Arial" w:cs="Arial" w:eastAsia="Arial" w:hAnsi="Arial"/>
                <w:sz w:val="15"/>
                <w:szCs w:val="15"/>
                <w:b w:val="1"/>
                <w:bCs w:val="1"/>
                <w:color w:val="auto"/>
              </w:rPr>
              <w:t>1,065.8</w:t>
            </w:r>
          </w:p>
        </w:tc>
        <w:tc>
          <w:tcPr>
            <w:tcW w:w="80" w:type="dxa"/>
            <w:vAlign w:val="bottom"/>
            <w:shd w:val="clear" w:color="auto" w:fill="DCE2EF"/>
          </w:tcPr>
          <w:p>
            <w:pPr>
              <w:spacing w:after="0"/>
              <w:rPr>
                <w:sz w:val="17"/>
                <w:szCs w:val="17"/>
                <w:color w:val="auto"/>
              </w:rPr>
            </w:pPr>
          </w:p>
        </w:tc>
        <w:tc>
          <w:tcPr>
            <w:tcW w:w="140" w:type="dxa"/>
            <w:vAlign w:val="bottom"/>
            <w:shd w:val="clear" w:color="auto" w:fill="DCE2EF"/>
          </w:tcPr>
          <w:p>
            <w:pPr>
              <w:jc w:val="right"/>
              <w:spacing w:after="0"/>
              <w:rPr>
                <w:sz w:val="20"/>
                <w:szCs w:val="20"/>
                <w:color w:val="auto"/>
              </w:rPr>
            </w:pPr>
            <w:r>
              <w:rPr>
                <w:rFonts w:ascii="Arial" w:cs="Arial" w:eastAsia="Arial" w:hAnsi="Arial"/>
                <w:sz w:val="15"/>
                <w:szCs w:val="15"/>
                <w:b w:val="1"/>
                <w:bCs w:val="1"/>
                <w:color w:val="auto"/>
              </w:rPr>
              <w:t>$</w:t>
            </w:r>
          </w:p>
        </w:tc>
        <w:tc>
          <w:tcPr>
            <w:tcW w:w="960" w:type="dxa"/>
            <w:vAlign w:val="bottom"/>
            <w:shd w:val="clear" w:color="auto" w:fill="DCE2EF"/>
          </w:tcPr>
          <w:p>
            <w:pPr>
              <w:jc w:val="right"/>
              <w:ind w:right="3"/>
              <w:spacing w:after="0"/>
              <w:rPr>
                <w:sz w:val="20"/>
                <w:szCs w:val="20"/>
                <w:color w:val="auto"/>
              </w:rPr>
            </w:pPr>
            <w:r>
              <w:rPr>
                <w:rFonts w:ascii="Arial" w:cs="Arial" w:eastAsia="Arial" w:hAnsi="Arial"/>
                <w:sz w:val="15"/>
                <w:szCs w:val="15"/>
                <w:b w:val="1"/>
                <w:bCs w:val="1"/>
                <w:color w:val="auto"/>
              </w:rPr>
              <w:t>805.4</w:t>
            </w:r>
          </w:p>
        </w:tc>
        <w:tc>
          <w:tcPr>
            <w:tcW w:w="80" w:type="dxa"/>
            <w:vAlign w:val="bottom"/>
            <w:shd w:val="clear" w:color="auto" w:fill="DCE2EF"/>
          </w:tcPr>
          <w:p>
            <w:pPr>
              <w:spacing w:after="0"/>
              <w:rPr>
                <w:sz w:val="17"/>
                <w:szCs w:val="17"/>
                <w:color w:val="auto"/>
              </w:rPr>
            </w:pPr>
          </w:p>
        </w:tc>
        <w:tc>
          <w:tcPr>
            <w:tcW w:w="160" w:type="dxa"/>
            <w:vAlign w:val="bottom"/>
            <w:shd w:val="clear" w:color="auto" w:fill="DCE2EF"/>
          </w:tcPr>
          <w:p>
            <w:pPr>
              <w:jc w:val="right"/>
              <w:spacing w:after="0"/>
              <w:rPr>
                <w:sz w:val="20"/>
                <w:szCs w:val="20"/>
                <w:color w:val="auto"/>
              </w:rPr>
            </w:pPr>
            <w:r>
              <w:rPr>
                <w:rFonts w:ascii="Arial" w:cs="Arial" w:eastAsia="Arial" w:hAnsi="Arial"/>
                <w:sz w:val="15"/>
                <w:szCs w:val="15"/>
                <w:b w:val="1"/>
                <w:bCs w:val="1"/>
                <w:color w:val="auto"/>
                <w:w w:val="95"/>
              </w:rPr>
              <w:t>$</w:t>
            </w:r>
          </w:p>
        </w:tc>
        <w:tc>
          <w:tcPr>
            <w:tcW w:w="1000" w:type="dxa"/>
            <w:vAlign w:val="bottom"/>
            <w:gridSpan w:val="2"/>
            <w:shd w:val="clear" w:color="auto" w:fill="DCE2EF"/>
          </w:tcPr>
          <w:p>
            <w:pPr>
              <w:jc w:val="right"/>
              <w:ind w:right="160"/>
              <w:spacing w:after="0"/>
              <w:rPr>
                <w:sz w:val="20"/>
                <w:szCs w:val="20"/>
                <w:color w:val="auto"/>
              </w:rPr>
            </w:pPr>
            <w:r>
              <w:rPr>
                <w:rFonts w:ascii="Arial" w:cs="Arial" w:eastAsia="Arial" w:hAnsi="Arial"/>
                <w:sz w:val="15"/>
                <w:szCs w:val="15"/>
                <w:b w:val="1"/>
                <w:bCs w:val="1"/>
                <w:color w:val="auto"/>
              </w:rPr>
              <w:t>—</w:t>
            </w:r>
          </w:p>
        </w:tc>
        <w:tc>
          <w:tcPr>
            <w:tcW w:w="240" w:type="dxa"/>
            <w:vAlign w:val="bottom"/>
            <w:shd w:val="clear" w:color="auto" w:fill="DCE2EF"/>
          </w:tcPr>
          <w:p>
            <w:pPr>
              <w:jc w:val="right"/>
              <w:ind w:right="63"/>
              <w:spacing w:after="0"/>
              <w:rPr>
                <w:sz w:val="20"/>
                <w:szCs w:val="20"/>
                <w:color w:val="auto"/>
              </w:rPr>
            </w:pPr>
            <w:r>
              <w:rPr>
                <w:rFonts w:ascii="Arial" w:cs="Arial" w:eastAsia="Arial" w:hAnsi="Arial"/>
                <w:sz w:val="15"/>
                <w:szCs w:val="15"/>
                <w:b w:val="1"/>
                <w:bCs w:val="1"/>
                <w:color w:val="auto"/>
                <w:w w:val="95"/>
              </w:rPr>
              <w:t>$</w:t>
            </w:r>
          </w:p>
        </w:tc>
        <w:tc>
          <w:tcPr>
            <w:tcW w:w="840" w:type="dxa"/>
            <w:vAlign w:val="bottom"/>
            <w:shd w:val="clear" w:color="auto" w:fill="DCE2EF"/>
          </w:tcPr>
          <w:p>
            <w:pPr>
              <w:jc w:val="right"/>
              <w:ind w:right="3"/>
              <w:spacing w:after="0"/>
              <w:rPr>
                <w:sz w:val="20"/>
                <w:szCs w:val="20"/>
                <w:color w:val="auto"/>
              </w:rPr>
            </w:pPr>
            <w:r>
              <w:rPr>
                <w:rFonts w:ascii="Arial" w:cs="Arial" w:eastAsia="Arial" w:hAnsi="Arial"/>
                <w:sz w:val="15"/>
                <w:szCs w:val="15"/>
                <w:b w:val="1"/>
                <w:bCs w:val="1"/>
                <w:color w:val="auto"/>
              </w:rPr>
              <w:t>6,554.5</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shd w:val="clear" w:color="auto" w:fill="DCE2EF"/>
          </w:tcPr>
          <w:p>
            <w:pPr>
              <w:spacing w:after="0"/>
              <w:rPr>
                <w:sz w:val="17"/>
                <w:szCs w:val="17"/>
                <w:color w:val="auto"/>
              </w:rPr>
            </w:pPr>
          </w:p>
        </w:tc>
        <w:tc>
          <w:tcPr>
            <w:tcW w:w="4280" w:type="dxa"/>
            <w:vAlign w:val="bottom"/>
            <w:gridSpan w:val="2"/>
            <w:shd w:val="clear" w:color="auto" w:fill="DCE2EF"/>
          </w:tcPr>
          <w:p>
            <w:pPr>
              <w:ind w:left="100"/>
              <w:spacing w:after="0" w:line="207" w:lineRule="exact"/>
              <w:rPr>
                <w:sz w:val="20"/>
                <w:szCs w:val="20"/>
                <w:color w:val="auto"/>
              </w:rPr>
            </w:pPr>
            <w:r>
              <w:rPr>
                <w:rFonts w:ascii="Arial" w:cs="Arial" w:eastAsia="Arial" w:hAnsi="Arial"/>
                <w:sz w:val="15"/>
                <w:szCs w:val="15"/>
                <w:color w:val="auto"/>
              </w:rPr>
              <w:t>Operations and Maintenance</w:t>
            </w:r>
            <w:r>
              <w:rPr>
                <w:rFonts w:ascii="Arial" w:cs="Arial" w:eastAsia="Arial" w:hAnsi="Arial"/>
                <w:sz w:val="20"/>
                <w:szCs w:val="20"/>
                <w:color w:val="auto"/>
                <w:vertAlign w:val="superscript"/>
              </w:rPr>
              <w:t>(4)</w:t>
            </w:r>
          </w:p>
        </w:tc>
        <w:tc>
          <w:tcPr>
            <w:tcW w:w="260" w:type="dxa"/>
            <w:vAlign w:val="bottom"/>
            <w:shd w:val="clear" w:color="auto" w:fill="DCE2EF"/>
          </w:tcPr>
          <w:p>
            <w:pPr>
              <w:spacing w:after="0"/>
              <w:rPr>
                <w:sz w:val="17"/>
                <w:szCs w:val="17"/>
                <w:color w:val="auto"/>
              </w:rPr>
            </w:pPr>
          </w:p>
        </w:tc>
        <w:tc>
          <w:tcPr>
            <w:tcW w:w="820" w:type="dxa"/>
            <w:vAlign w:val="bottom"/>
            <w:shd w:val="clear" w:color="auto" w:fill="DCE2EF"/>
          </w:tcPr>
          <w:p>
            <w:pPr>
              <w:jc w:val="right"/>
              <w:spacing w:after="0"/>
              <w:rPr>
                <w:sz w:val="20"/>
                <w:szCs w:val="20"/>
                <w:color w:val="auto"/>
              </w:rPr>
            </w:pPr>
            <w:r>
              <w:rPr>
                <w:rFonts w:ascii="Arial" w:cs="Arial" w:eastAsia="Arial" w:hAnsi="Arial"/>
                <w:sz w:val="15"/>
                <w:szCs w:val="15"/>
                <w:color w:val="auto"/>
              </w:rPr>
              <w:t>841.0</w:t>
            </w:r>
          </w:p>
        </w:tc>
        <w:tc>
          <w:tcPr>
            <w:tcW w:w="80" w:type="dxa"/>
            <w:vAlign w:val="bottom"/>
            <w:shd w:val="clear" w:color="auto" w:fill="DCE2EF"/>
          </w:tcPr>
          <w:p>
            <w:pPr>
              <w:spacing w:after="0"/>
              <w:rPr>
                <w:sz w:val="17"/>
                <w:szCs w:val="17"/>
                <w:color w:val="auto"/>
              </w:rPr>
            </w:pPr>
          </w:p>
        </w:tc>
        <w:tc>
          <w:tcPr>
            <w:tcW w:w="240" w:type="dxa"/>
            <w:vAlign w:val="bottom"/>
            <w:shd w:val="clear" w:color="auto" w:fill="DCE2EF"/>
          </w:tcPr>
          <w:p>
            <w:pPr>
              <w:spacing w:after="0"/>
              <w:rPr>
                <w:sz w:val="17"/>
                <w:szCs w:val="17"/>
                <w:color w:val="auto"/>
              </w:rPr>
            </w:pPr>
          </w:p>
        </w:tc>
        <w:tc>
          <w:tcPr>
            <w:tcW w:w="840" w:type="dxa"/>
            <w:vAlign w:val="bottom"/>
            <w:shd w:val="clear" w:color="auto" w:fill="DCE2EF"/>
          </w:tcPr>
          <w:p>
            <w:pPr>
              <w:jc w:val="right"/>
              <w:spacing w:after="0"/>
              <w:rPr>
                <w:sz w:val="20"/>
                <w:szCs w:val="20"/>
                <w:color w:val="auto"/>
              </w:rPr>
            </w:pPr>
            <w:r>
              <w:rPr>
                <w:rFonts w:ascii="Arial" w:cs="Arial" w:eastAsia="Arial" w:hAnsi="Arial"/>
                <w:sz w:val="15"/>
                <w:szCs w:val="15"/>
                <w:color w:val="auto"/>
              </w:rPr>
              <w:t>213.5</w:t>
            </w:r>
          </w:p>
        </w:tc>
        <w:tc>
          <w:tcPr>
            <w:tcW w:w="80" w:type="dxa"/>
            <w:vAlign w:val="bottom"/>
            <w:shd w:val="clear" w:color="auto" w:fill="DCE2EF"/>
          </w:tcPr>
          <w:p>
            <w:pPr>
              <w:spacing w:after="0"/>
              <w:rPr>
                <w:sz w:val="17"/>
                <w:szCs w:val="17"/>
                <w:color w:val="auto"/>
              </w:rPr>
            </w:pPr>
          </w:p>
        </w:tc>
        <w:tc>
          <w:tcPr>
            <w:tcW w:w="180" w:type="dxa"/>
            <w:vAlign w:val="bottom"/>
            <w:shd w:val="clear" w:color="auto" w:fill="DCE2EF"/>
          </w:tcPr>
          <w:p>
            <w:pPr>
              <w:spacing w:after="0"/>
              <w:rPr>
                <w:sz w:val="17"/>
                <w:szCs w:val="17"/>
                <w:color w:val="auto"/>
              </w:rPr>
            </w:pPr>
          </w:p>
        </w:tc>
        <w:tc>
          <w:tcPr>
            <w:tcW w:w="900" w:type="dxa"/>
            <w:vAlign w:val="bottom"/>
            <w:shd w:val="clear" w:color="auto" w:fill="DCE2EF"/>
          </w:tcPr>
          <w:p>
            <w:pPr>
              <w:jc w:val="right"/>
              <w:spacing w:after="0"/>
              <w:rPr>
                <w:sz w:val="20"/>
                <w:szCs w:val="20"/>
                <w:color w:val="auto"/>
              </w:rPr>
            </w:pPr>
            <w:r>
              <w:rPr>
                <w:rFonts w:ascii="Arial" w:cs="Arial" w:eastAsia="Arial" w:hAnsi="Arial"/>
                <w:sz w:val="15"/>
                <w:szCs w:val="15"/>
                <w:color w:val="auto"/>
              </w:rPr>
              <w:t>52.9</w:t>
            </w:r>
          </w:p>
        </w:tc>
        <w:tc>
          <w:tcPr>
            <w:tcW w:w="80" w:type="dxa"/>
            <w:vAlign w:val="bottom"/>
            <w:shd w:val="clear" w:color="auto" w:fill="DCE2EF"/>
          </w:tcPr>
          <w:p>
            <w:pPr>
              <w:spacing w:after="0"/>
              <w:rPr>
                <w:sz w:val="17"/>
                <w:szCs w:val="17"/>
                <w:color w:val="auto"/>
              </w:rPr>
            </w:pPr>
          </w:p>
        </w:tc>
        <w:tc>
          <w:tcPr>
            <w:tcW w:w="140" w:type="dxa"/>
            <w:vAlign w:val="bottom"/>
            <w:shd w:val="clear" w:color="auto" w:fill="DCE2EF"/>
          </w:tcPr>
          <w:p>
            <w:pPr>
              <w:spacing w:after="0"/>
              <w:rPr>
                <w:sz w:val="17"/>
                <w:szCs w:val="17"/>
                <w:color w:val="auto"/>
              </w:rPr>
            </w:pPr>
          </w:p>
        </w:tc>
        <w:tc>
          <w:tcPr>
            <w:tcW w:w="960" w:type="dxa"/>
            <w:vAlign w:val="bottom"/>
            <w:shd w:val="clear" w:color="auto" w:fill="DCE2EF"/>
          </w:tcPr>
          <w:p>
            <w:pPr>
              <w:jc w:val="right"/>
              <w:ind w:right="3"/>
              <w:spacing w:after="0"/>
              <w:rPr>
                <w:sz w:val="20"/>
                <w:szCs w:val="20"/>
                <w:color w:val="auto"/>
              </w:rPr>
            </w:pPr>
            <w:r>
              <w:rPr>
                <w:rFonts w:ascii="Arial" w:cs="Arial" w:eastAsia="Arial" w:hAnsi="Arial"/>
                <w:sz w:val="15"/>
                <w:szCs w:val="15"/>
                <w:color w:val="auto"/>
              </w:rPr>
              <w:t>116.5</w:t>
            </w:r>
          </w:p>
        </w:tc>
        <w:tc>
          <w:tcPr>
            <w:tcW w:w="80" w:type="dxa"/>
            <w:vAlign w:val="bottom"/>
            <w:shd w:val="clear" w:color="auto" w:fill="DCE2EF"/>
          </w:tcPr>
          <w:p>
            <w:pPr>
              <w:spacing w:after="0"/>
              <w:rPr>
                <w:sz w:val="17"/>
                <w:szCs w:val="17"/>
                <w:color w:val="auto"/>
              </w:rPr>
            </w:pPr>
          </w:p>
        </w:tc>
        <w:tc>
          <w:tcPr>
            <w:tcW w:w="160" w:type="dxa"/>
            <w:vAlign w:val="bottom"/>
            <w:shd w:val="clear" w:color="auto" w:fill="DCE2EF"/>
          </w:tcPr>
          <w:p>
            <w:pPr>
              <w:spacing w:after="0"/>
              <w:rPr>
                <w:sz w:val="17"/>
                <w:szCs w:val="17"/>
                <w:color w:val="auto"/>
              </w:rPr>
            </w:pPr>
          </w:p>
        </w:tc>
        <w:tc>
          <w:tcPr>
            <w:tcW w:w="1000" w:type="dxa"/>
            <w:vAlign w:val="bottom"/>
            <w:gridSpan w:val="2"/>
            <w:shd w:val="clear" w:color="auto" w:fill="DCE2EF"/>
          </w:tcPr>
          <w:p>
            <w:pPr>
              <w:jc w:val="right"/>
              <w:ind w:right="160"/>
              <w:spacing w:after="0"/>
              <w:rPr>
                <w:sz w:val="20"/>
                <w:szCs w:val="20"/>
                <w:color w:val="auto"/>
              </w:rPr>
            </w:pPr>
            <w:r>
              <w:rPr>
                <w:rFonts w:ascii="Arial" w:cs="Arial" w:eastAsia="Arial" w:hAnsi="Arial"/>
                <w:sz w:val="15"/>
                <w:szCs w:val="15"/>
                <w:color w:val="auto"/>
              </w:rPr>
              <w:t>—</w:t>
            </w:r>
          </w:p>
        </w:tc>
        <w:tc>
          <w:tcPr>
            <w:tcW w:w="240" w:type="dxa"/>
            <w:vAlign w:val="bottom"/>
            <w:shd w:val="clear" w:color="auto" w:fill="DCE2EF"/>
          </w:tcPr>
          <w:p>
            <w:pPr>
              <w:spacing w:after="0"/>
              <w:rPr>
                <w:sz w:val="17"/>
                <w:szCs w:val="17"/>
                <w:color w:val="auto"/>
              </w:rPr>
            </w:pPr>
          </w:p>
        </w:tc>
        <w:tc>
          <w:tcPr>
            <w:tcW w:w="840" w:type="dxa"/>
            <w:vAlign w:val="bottom"/>
            <w:shd w:val="clear" w:color="auto" w:fill="DCE2EF"/>
          </w:tcPr>
          <w:p>
            <w:pPr>
              <w:jc w:val="right"/>
              <w:ind w:right="3"/>
              <w:spacing w:after="0"/>
              <w:rPr>
                <w:sz w:val="20"/>
                <w:szCs w:val="20"/>
                <w:color w:val="auto"/>
              </w:rPr>
            </w:pPr>
            <w:r>
              <w:rPr>
                <w:rFonts w:ascii="Arial" w:cs="Arial" w:eastAsia="Arial" w:hAnsi="Arial"/>
                <w:sz w:val="15"/>
                <w:szCs w:val="15"/>
                <w:color w:val="auto"/>
              </w:rPr>
              <w:t>1,224.0</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280" w:type="dxa"/>
            <w:vAlign w:val="bottom"/>
            <w:gridSpan w:val="2"/>
          </w:tcPr>
          <w:p>
            <w:pPr>
              <w:ind w:left="100"/>
              <w:spacing w:after="0" w:line="207" w:lineRule="exact"/>
              <w:rPr>
                <w:sz w:val="20"/>
                <w:szCs w:val="20"/>
                <w:color w:val="auto"/>
              </w:rPr>
            </w:pPr>
            <w:r>
              <w:rPr>
                <w:rFonts w:ascii="Arial" w:cs="Arial" w:eastAsia="Arial" w:hAnsi="Arial"/>
                <w:sz w:val="15"/>
                <w:szCs w:val="15"/>
                <w:color w:val="auto"/>
              </w:rPr>
              <w:t>Building &amp; Energy Solutions</w:t>
            </w:r>
            <w:r>
              <w:rPr>
                <w:rFonts w:ascii="Arial" w:cs="Arial" w:eastAsia="Arial" w:hAnsi="Arial"/>
                <w:sz w:val="20"/>
                <w:szCs w:val="20"/>
                <w:color w:val="auto"/>
                <w:vertAlign w:val="superscript"/>
              </w:rPr>
              <w:t>(5)</w:t>
            </w:r>
          </w:p>
        </w:tc>
        <w:tc>
          <w:tcPr>
            <w:tcW w:w="2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5.3</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1.5</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920" w:type="dxa"/>
            <w:vAlign w:val="bottom"/>
          </w:tcPr>
          <w:p>
            <w:pPr>
              <w:jc w:val="right"/>
              <w:ind w:right="3"/>
              <w:spacing w:after="0"/>
              <w:rPr>
                <w:sz w:val="20"/>
                <w:szCs w:val="20"/>
                <w:color w:val="auto"/>
              </w:rPr>
            </w:pPr>
            <w:r>
              <w:rPr>
                <w:rFonts w:ascii="Arial" w:cs="Arial" w:eastAsia="Arial" w:hAnsi="Arial"/>
                <w:sz w:val="15"/>
                <w:szCs w:val="15"/>
                <w:color w:val="auto"/>
              </w:rPr>
              <w:t>960.6</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ind w:right="3"/>
              <w:spacing w:after="0"/>
              <w:rPr>
                <w:sz w:val="20"/>
                <w:szCs w:val="20"/>
                <w:color w:val="auto"/>
              </w:rPr>
            </w:pPr>
            <w:r>
              <w:rPr>
                <w:rFonts w:ascii="Arial" w:cs="Arial" w:eastAsia="Arial" w:hAnsi="Arial"/>
                <w:sz w:val="15"/>
                <w:szCs w:val="15"/>
                <w:color w:val="auto"/>
              </w:rPr>
              <w:t>967.4</w:t>
            </w:r>
          </w:p>
        </w:tc>
        <w:tc>
          <w:tcPr>
            <w:tcW w:w="0" w:type="dxa"/>
            <w:vAlign w:val="bottom"/>
          </w:tcPr>
          <w:p>
            <w:pPr>
              <w:spacing w:after="0"/>
              <w:rPr>
                <w:sz w:val="1"/>
                <w:szCs w:val="1"/>
                <w:color w:val="auto"/>
              </w:rPr>
            </w:pPr>
          </w:p>
        </w:tc>
      </w:tr>
      <w:tr>
        <w:trPr>
          <w:trHeight w:val="199"/>
        </w:trPr>
        <w:tc>
          <w:tcPr>
            <w:tcW w:w="20" w:type="dxa"/>
            <w:vAlign w:val="bottom"/>
            <w:tcBorders>
              <w:top w:val="single" w:sz="8" w:color="DCE2EF"/>
            </w:tcBorders>
            <w:shd w:val="clear" w:color="auto" w:fill="DCE2EF"/>
          </w:tcPr>
          <w:p>
            <w:pPr>
              <w:spacing w:after="0"/>
              <w:rPr>
                <w:sz w:val="17"/>
                <w:szCs w:val="17"/>
                <w:color w:val="auto"/>
              </w:rPr>
            </w:pPr>
          </w:p>
        </w:tc>
        <w:tc>
          <w:tcPr>
            <w:tcW w:w="4280" w:type="dxa"/>
            <w:vAlign w:val="bottom"/>
            <w:tcBorders>
              <w:top w:val="single" w:sz="8" w:color="DCE2EF"/>
            </w:tcBorders>
            <w:gridSpan w:val="2"/>
            <w:shd w:val="clear" w:color="auto" w:fill="DCE2EF"/>
          </w:tcPr>
          <w:p>
            <w:pPr>
              <w:ind w:left="100"/>
              <w:spacing w:after="0"/>
              <w:rPr>
                <w:sz w:val="20"/>
                <w:szCs w:val="20"/>
                <w:color w:val="auto"/>
              </w:rPr>
            </w:pPr>
            <w:r>
              <w:rPr>
                <w:rFonts w:ascii="Arial" w:cs="Arial" w:eastAsia="Arial" w:hAnsi="Arial"/>
                <w:sz w:val="15"/>
                <w:szCs w:val="15"/>
                <w:b w:val="1"/>
                <w:bCs w:val="1"/>
                <w:color w:val="auto"/>
              </w:rPr>
              <w:t>Engineering and Infrastructure Solutions</w:t>
            </w:r>
          </w:p>
        </w:tc>
        <w:tc>
          <w:tcPr>
            <w:tcW w:w="260" w:type="dxa"/>
            <w:vAlign w:val="bottom"/>
            <w:tcBorders>
              <w:top w:val="single" w:sz="8" w:color="auto"/>
            </w:tcBorders>
            <w:shd w:val="clear" w:color="auto" w:fill="DCE2EF"/>
          </w:tcPr>
          <w:p>
            <w:pPr>
              <w:jc w:val="right"/>
              <w:ind w:right="63"/>
              <w:spacing w:after="0"/>
              <w:rPr>
                <w:sz w:val="20"/>
                <w:szCs w:val="20"/>
                <w:color w:val="auto"/>
              </w:rPr>
            </w:pPr>
            <w:r>
              <w:rPr>
                <w:rFonts w:ascii="Arial" w:cs="Arial" w:eastAsia="Arial" w:hAnsi="Arial"/>
                <w:sz w:val="15"/>
                <w:szCs w:val="15"/>
                <w:b w:val="1"/>
                <w:bCs w:val="1"/>
                <w:color w:val="auto"/>
              </w:rPr>
              <w:t>$</w:t>
            </w:r>
          </w:p>
        </w:tc>
        <w:tc>
          <w:tcPr>
            <w:tcW w:w="820" w:type="dxa"/>
            <w:vAlign w:val="bottom"/>
            <w:tcBorders>
              <w:top w:val="single" w:sz="8" w:color="auto"/>
            </w:tcBorders>
            <w:shd w:val="clear" w:color="auto" w:fill="DCE2EF"/>
          </w:tcPr>
          <w:p>
            <w:pPr>
              <w:jc w:val="right"/>
              <w:spacing w:after="0"/>
              <w:rPr>
                <w:sz w:val="20"/>
                <w:szCs w:val="20"/>
                <w:color w:val="auto"/>
              </w:rPr>
            </w:pPr>
            <w:r>
              <w:rPr>
                <w:rFonts w:ascii="Arial" w:cs="Arial" w:eastAsia="Arial" w:hAnsi="Arial"/>
                <w:sz w:val="15"/>
                <w:szCs w:val="15"/>
                <w:b w:val="1"/>
                <w:bCs w:val="1"/>
                <w:color w:val="auto"/>
              </w:rPr>
              <w:t>846.3</w:t>
            </w:r>
          </w:p>
        </w:tc>
        <w:tc>
          <w:tcPr>
            <w:tcW w:w="80" w:type="dxa"/>
            <w:vAlign w:val="bottom"/>
            <w:tcBorders>
              <w:top w:val="single" w:sz="8" w:color="auto"/>
            </w:tcBorders>
            <w:shd w:val="clear" w:color="auto" w:fill="DCE2EF"/>
          </w:tcPr>
          <w:p>
            <w:pPr>
              <w:spacing w:after="0"/>
              <w:rPr>
                <w:sz w:val="17"/>
                <w:szCs w:val="17"/>
                <w:color w:val="auto"/>
              </w:rPr>
            </w:pPr>
          </w:p>
        </w:tc>
        <w:tc>
          <w:tcPr>
            <w:tcW w:w="240" w:type="dxa"/>
            <w:vAlign w:val="bottom"/>
            <w:tcBorders>
              <w:top w:val="single" w:sz="8" w:color="auto"/>
            </w:tcBorders>
            <w:shd w:val="clear" w:color="auto" w:fill="DCE2EF"/>
          </w:tcPr>
          <w:p>
            <w:pPr>
              <w:jc w:val="right"/>
              <w:ind w:right="43"/>
              <w:spacing w:after="0"/>
              <w:rPr>
                <w:sz w:val="20"/>
                <w:szCs w:val="20"/>
                <w:color w:val="auto"/>
              </w:rPr>
            </w:pPr>
            <w:r>
              <w:rPr>
                <w:rFonts w:ascii="Arial" w:cs="Arial" w:eastAsia="Arial" w:hAnsi="Arial"/>
                <w:sz w:val="15"/>
                <w:szCs w:val="15"/>
                <w:b w:val="1"/>
                <w:bCs w:val="1"/>
                <w:color w:val="auto"/>
              </w:rPr>
              <w:t>$</w:t>
            </w:r>
          </w:p>
        </w:tc>
        <w:tc>
          <w:tcPr>
            <w:tcW w:w="840" w:type="dxa"/>
            <w:vAlign w:val="bottom"/>
            <w:tcBorders>
              <w:top w:val="single" w:sz="8" w:color="auto"/>
            </w:tcBorders>
            <w:shd w:val="clear" w:color="auto" w:fill="DCE2EF"/>
          </w:tcPr>
          <w:p>
            <w:pPr>
              <w:jc w:val="right"/>
              <w:spacing w:after="0"/>
              <w:rPr>
                <w:sz w:val="20"/>
                <w:szCs w:val="20"/>
                <w:color w:val="auto"/>
              </w:rPr>
            </w:pPr>
            <w:r>
              <w:rPr>
                <w:rFonts w:ascii="Arial" w:cs="Arial" w:eastAsia="Arial" w:hAnsi="Arial"/>
                <w:sz w:val="15"/>
                <w:szCs w:val="15"/>
                <w:b w:val="1"/>
                <w:bCs w:val="1"/>
                <w:color w:val="auto"/>
              </w:rPr>
              <w:t>215.0</w:t>
            </w:r>
          </w:p>
        </w:tc>
        <w:tc>
          <w:tcPr>
            <w:tcW w:w="80" w:type="dxa"/>
            <w:vAlign w:val="bottom"/>
            <w:tcBorders>
              <w:top w:val="single" w:sz="8" w:color="auto"/>
            </w:tcBorders>
            <w:shd w:val="clear" w:color="auto" w:fill="DCE2EF"/>
          </w:tcPr>
          <w:p>
            <w:pPr>
              <w:spacing w:after="0"/>
              <w:rPr>
                <w:sz w:val="17"/>
                <w:szCs w:val="17"/>
                <w:color w:val="auto"/>
              </w:rPr>
            </w:pPr>
          </w:p>
        </w:tc>
        <w:tc>
          <w:tcPr>
            <w:tcW w:w="180" w:type="dxa"/>
            <w:vAlign w:val="bottom"/>
            <w:tcBorders>
              <w:top w:val="single" w:sz="8" w:color="auto"/>
            </w:tcBorders>
            <w:shd w:val="clear" w:color="auto" w:fill="DCE2EF"/>
          </w:tcPr>
          <w:p>
            <w:pPr>
              <w:jc w:val="right"/>
              <w:spacing w:after="0"/>
              <w:rPr>
                <w:sz w:val="20"/>
                <w:szCs w:val="20"/>
                <w:color w:val="auto"/>
              </w:rPr>
            </w:pPr>
            <w:r>
              <w:rPr>
                <w:rFonts w:ascii="Arial" w:cs="Arial" w:eastAsia="Arial" w:hAnsi="Arial"/>
                <w:sz w:val="15"/>
                <w:szCs w:val="15"/>
                <w:b w:val="1"/>
                <w:bCs w:val="1"/>
                <w:color w:val="auto"/>
              </w:rPr>
              <w:t>$</w:t>
            </w:r>
          </w:p>
        </w:tc>
        <w:tc>
          <w:tcPr>
            <w:tcW w:w="900" w:type="dxa"/>
            <w:vAlign w:val="bottom"/>
            <w:tcBorders>
              <w:top w:val="single" w:sz="8" w:color="auto"/>
            </w:tcBorders>
            <w:shd w:val="clear" w:color="auto" w:fill="DCE2EF"/>
          </w:tcPr>
          <w:p>
            <w:pPr>
              <w:jc w:val="right"/>
              <w:spacing w:after="0"/>
              <w:rPr>
                <w:sz w:val="20"/>
                <w:szCs w:val="20"/>
                <w:color w:val="auto"/>
              </w:rPr>
            </w:pPr>
            <w:r>
              <w:rPr>
                <w:rFonts w:ascii="Arial" w:cs="Arial" w:eastAsia="Arial" w:hAnsi="Arial"/>
                <w:sz w:val="15"/>
                <w:szCs w:val="15"/>
                <w:b w:val="1"/>
                <w:bCs w:val="1"/>
                <w:color w:val="auto"/>
              </w:rPr>
              <w:t>52.9</w:t>
            </w:r>
          </w:p>
        </w:tc>
        <w:tc>
          <w:tcPr>
            <w:tcW w:w="80" w:type="dxa"/>
            <w:vAlign w:val="bottom"/>
            <w:tcBorders>
              <w:top w:val="single" w:sz="8" w:color="DCE2EF"/>
            </w:tcBorders>
            <w:shd w:val="clear" w:color="auto" w:fill="DCE2EF"/>
          </w:tcPr>
          <w:p>
            <w:pPr>
              <w:spacing w:after="0"/>
              <w:rPr>
                <w:sz w:val="17"/>
                <w:szCs w:val="17"/>
                <w:color w:val="auto"/>
              </w:rPr>
            </w:pPr>
          </w:p>
        </w:tc>
        <w:tc>
          <w:tcPr>
            <w:tcW w:w="140" w:type="dxa"/>
            <w:vAlign w:val="bottom"/>
            <w:tcBorders>
              <w:top w:val="single" w:sz="8" w:color="auto"/>
            </w:tcBorders>
            <w:shd w:val="clear" w:color="auto" w:fill="DCE2EF"/>
          </w:tcPr>
          <w:p>
            <w:pPr>
              <w:jc w:val="right"/>
              <w:spacing w:after="0"/>
              <w:rPr>
                <w:sz w:val="20"/>
                <w:szCs w:val="20"/>
                <w:color w:val="auto"/>
              </w:rPr>
            </w:pPr>
            <w:r>
              <w:rPr>
                <w:rFonts w:ascii="Arial" w:cs="Arial" w:eastAsia="Arial" w:hAnsi="Arial"/>
                <w:sz w:val="15"/>
                <w:szCs w:val="15"/>
                <w:b w:val="1"/>
                <w:bCs w:val="1"/>
                <w:color w:val="auto"/>
              </w:rPr>
              <w:t>$</w:t>
            </w:r>
          </w:p>
        </w:tc>
        <w:tc>
          <w:tcPr>
            <w:tcW w:w="960" w:type="dxa"/>
            <w:vAlign w:val="bottom"/>
            <w:tcBorders>
              <w:top w:val="single" w:sz="8" w:color="auto"/>
            </w:tcBorders>
            <w:shd w:val="clear" w:color="auto" w:fill="DCE2EF"/>
          </w:tcPr>
          <w:p>
            <w:pPr>
              <w:jc w:val="right"/>
              <w:ind w:right="3"/>
              <w:spacing w:after="0"/>
              <w:rPr>
                <w:sz w:val="20"/>
                <w:szCs w:val="20"/>
                <w:color w:val="auto"/>
              </w:rPr>
            </w:pPr>
            <w:r>
              <w:rPr>
                <w:rFonts w:ascii="Arial" w:cs="Arial" w:eastAsia="Arial" w:hAnsi="Arial"/>
                <w:sz w:val="15"/>
                <w:szCs w:val="15"/>
                <w:b w:val="1"/>
                <w:bCs w:val="1"/>
                <w:color w:val="auto"/>
              </w:rPr>
              <w:t>116.5</w:t>
            </w:r>
          </w:p>
        </w:tc>
        <w:tc>
          <w:tcPr>
            <w:tcW w:w="80" w:type="dxa"/>
            <w:vAlign w:val="bottom"/>
            <w:tcBorders>
              <w:top w:val="single" w:sz="8" w:color="auto"/>
            </w:tcBorders>
            <w:shd w:val="clear" w:color="auto" w:fill="DCE2EF"/>
          </w:tcPr>
          <w:p>
            <w:pPr>
              <w:spacing w:after="0"/>
              <w:rPr>
                <w:sz w:val="17"/>
                <w:szCs w:val="17"/>
                <w:color w:val="auto"/>
              </w:rPr>
            </w:pPr>
          </w:p>
        </w:tc>
        <w:tc>
          <w:tcPr>
            <w:tcW w:w="160" w:type="dxa"/>
            <w:vAlign w:val="bottom"/>
            <w:tcBorders>
              <w:top w:val="single" w:sz="8" w:color="auto"/>
            </w:tcBorders>
            <w:shd w:val="clear" w:color="auto" w:fill="DCE2EF"/>
          </w:tcPr>
          <w:p>
            <w:pPr>
              <w:jc w:val="right"/>
              <w:spacing w:after="0"/>
              <w:rPr>
                <w:sz w:val="20"/>
                <w:szCs w:val="20"/>
                <w:color w:val="auto"/>
              </w:rPr>
            </w:pPr>
            <w:r>
              <w:rPr>
                <w:rFonts w:ascii="Arial" w:cs="Arial" w:eastAsia="Arial" w:hAnsi="Arial"/>
                <w:sz w:val="15"/>
                <w:szCs w:val="15"/>
                <w:b w:val="1"/>
                <w:bCs w:val="1"/>
                <w:color w:val="auto"/>
                <w:w w:val="95"/>
              </w:rPr>
              <w:t>$</w:t>
            </w:r>
          </w:p>
        </w:tc>
        <w:tc>
          <w:tcPr>
            <w:tcW w:w="920" w:type="dxa"/>
            <w:vAlign w:val="bottom"/>
            <w:tcBorders>
              <w:top w:val="single" w:sz="8" w:color="auto"/>
            </w:tcBorders>
            <w:shd w:val="clear" w:color="auto" w:fill="DCE2EF"/>
          </w:tcPr>
          <w:p>
            <w:pPr>
              <w:jc w:val="right"/>
              <w:ind w:right="3"/>
              <w:spacing w:after="0"/>
              <w:rPr>
                <w:sz w:val="20"/>
                <w:szCs w:val="20"/>
                <w:color w:val="auto"/>
              </w:rPr>
            </w:pPr>
            <w:r>
              <w:rPr>
                <w:rFonts w:ascii="Arial" w:cs="Arial" w:eastAsia="Arial" w:hAnsi="Arial"/>
                <w:sz w:val="15"/>
                <w:szCs w:val="15"/>
                <w:b w:val="1"/>
                <w:bCs w:val="1"/>
                <w:color w:val="auto"/>
              </w:rPr>
              <w:t>960.6</w:t>
            </w:r>
          </w:p>
        </w:tc>
        <w:tc>
          <w:tcPr>
            <w:tcW w:w="80" w:type="dxa"/>
            <w:vAlign w:val="bottom"/>
            <w:tcBorders>
              <w:top w:val="single" w:sz="8" w:color="auto"/>
            </w:tcBorders>
            <w:shd w:val="clear" w:color="auto" w:fill="DCE2EF"/>
          </w:tcPr>
          <w:p>
            <w:pPr>
              <w:spacing w:after="0"/>
              <w:rPr>
                <w:sz w:val="17"/>
                <w:szCs w:val="17"/>
                <w:color w:val="auto"/>
              </w:rPr>
            </w:pPr>
          </w:p>
        </w:tc>
        <w:tc>
          <w:tcPr>
            <w:tcW w:w="240" w:type="dxa"/>
            <w:vAlign w:val="bottom"/>
            <w:tcBorders>
              <w:top w:val="single" w:sz="8" w:color="auto"/>
            </w:tcBorders>
            <w:shd w:val="clear" w:color="auto" w:fill="DCE2EF"/>
          </w:tcPr>
          <w:p>
            <w:pPr>
              <w:jc w:val="right"/>
              <w:ind w:right="63"/>
              <w:spacing w:after="0"/>
              <w:rPr>
                <w:sz w:val="20"/>
                <w:szCs w:val="20"/>
                <w:color w:val="auto"/>
              </w:rPr>
            </w:pPr>
            <w:r>
              <w:rPr>
                <w:rFonts w:ascii="Arial" w:cs="Arial" w:eastAsia="Arial" w:hAnsi="Arial"/>
                <w:sz w:val="15"/>
                <w:szCs w:val="15"/>
                <w:b w:val="1"/>
                <w:bCs w:val="1"/>
                <w:color w:val="auto"/>
                <w:w w:val="95"/>
              </w:rPr>
              <w:t>$</w:t>
            </w:r>
          </w:p>
        </w:tc>
        <w:tc>
          <w:tcPr>
            <w:tcW w:w="840" w:type="dxa"/>
            <w:vAlign w:val="bottom"/>
            <w:tcBorders>
              <w:top w:val="single" w:sz="8" w:color="auto"/>
            </w:tcBorders>
            <w:shd w:val="clear" w:color="auto" w:fill="DCE2EF"/>
          </w:tcPr>
          <w:p>
            <w:pPr>
              <w:jc w:val="right"/>
              <w:ind w:right="3"/>
              <w:spacing w:after="0"/>
              <w:rPr>
                <w:sz w:val="20"/>
                <w:szCs w:val="20"/>
                <w:color w:val="auto"/>
              </w:rPr>
            </w:pPr>
            <w:r>
              <w:rPr>
                <w:rFonts w:ascii="Arial" w:cs="Arial" w:eastAsia="Arial" w:hAnsi="Arial"/>
                <w:sz w:val="15"/>
                <w:szCs w:val="15"/>
                <w:b w:val="1"/>
                <w:bCs w:val="1"/>
                <w:color w:val="auto"/>
              </w:rPr>
              <w:t>2,191.4</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4300" w:type="dxa"/>
            <w:vAlign w:val="bottom"/>
            <w:tcBorders>
              <w:bottom w:val="single" w:sz="8" w:color="DCE2EF"/>
            </w:tcBorders>
            <w:gridSpan w:val="3"/>
            <w:shd w:val="clear" w:color="auto" w:fill="DCE2EF"/>
          </w:tcPr>
          <w:p>
            <w:pPr>
              <w:ind w:left="20"/>
              <w:spacing w:after="0"/>
              <w:rPr>
                <w:sz w:val="20"/>
                <w:szCs w:val="20"/>
                <w:color w:val="auto"/>
              </w:rPr>
            </w:pPr>
            <w:r>
              <w:rPr>
                <w:rFonts w:ascii="Arial" w:cs="Arial" w:eastAsia="Arial" w:hAnsi="Arial"/>
                <w:sz w:val="15"/>
                <w:szCs w:val="15"/>
                <w:b w:val="1"/>
                <w:bCs w:val="1"/>
                <w:color w:val="auto"/>
              </w:rPr>
              <w:t>Total</w:t>
            </w:r>
          </w:p>
        </w:tc>
        <w:tc>
          <w:tcPr>
            <w:tcW w:w="260" w:type="dxa"/>
            <w:vAlign w:val="bottom"/>
            <w:tcBorders>
              <w:bottom w:val="single" w:sz="8" w:color="auto"/>
            </w:tcBorders>
            <w:shd w:val="clear" w:color="auto" w:fill="DCE2EF"/>
          </w:tcPr>
          <w:p>
            <w:pPr>
              <w:jc w:val="right"/>
              <w:ind w:right="63"/>
              <w:spacing w:after="0"/>
              <w:rPr>
                <w:sz w:val="20"/>
                <w:szCs w:val="20"/>
                <w:color w:val="auto"/>
              </w:rPr>
            </w:pPr>
            <w:r>
              <w:rPr>
                <w:rFonts w:ascii="Arial" w:cs="Arial" w:eastAsia="Arial" w:hAnsi="Arial"/>
                <w:sz w:val="15"/>
                <w:szCs w:val="15"/>
                <w:b w:val="1"/>
                <w:bCs w:val="1"/>
                <w:color w:val="auto"/>
              </w:rPr>
              <w:t>$</w:t>
            </w:r>
          </w:p>
        </w:tc>
        <w:tc>
          <w:tcPr>
            <w:tcW w:w="82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5"/>
                <w:szCs w:val="15"/>
                <w:b w:val="1"/>
                <w:bCs w:val="1"/>
                <w:color w:val="auto"/>
              </w:rPr>
              <w:t>4,126.0</w:t>
            </w:r>
          </w:p>
        </w:tc>
        <w:tc>
          <w:tcPr>
            <w:tcW w:w="80" w:type="dxa"/>
            <w:vAlign w:val="bottom"/>
            <w:tcBorders>
              <w:bottom w:val="single" w:sz="8" w:color="DCE2EF"/>
            </w:tcBorders>
            <w:shd w:val="clear" w:color="auto" w:fill="DCE2EF"/>
          </w:tcPr>
          <w:p>
            <w:pPr>
              <w:spacing w:after="0"/>
              <w:rPr>
                <w:sz w:val="19"/>
                <w:szCs w:val="19"/>
                <w:color w:val="auto"/>
              </w:rPr>
            </w:pPr>
          </w:p>
        </w:tc>
        <w:tc>
          <w:tcPr>
            <w:tcW w:w="240" w:type="dxa"/>
            <w:vAlign w:val="bottom"/>
            <w:tcBorders>
              <w:bottom w:val="single" w:sz="8" w:color="auto"/>
            </w:tcBorders>
            <w:shd w:val="clear" w:color="auto" w:fill="DCE2EF"/>
          </w:tcPr>
          <w:p>
            <w:pPr>
              <w:jc w:val="right"/>
              <w:ind w:right="43"/>
              <w:spacing w:after="0"/>
              <w:rPr>
                <w:sz w:val="20"/>
                <w:szCs w:val="20"/>
                <w:color w:val="auto"/>
              </w:rPr>
            </w:pPr>
            <w:r>
              <w:rPr>
                <w:rFonts w:ascii="Arial" w:cs="Arial" w:eastAsia="Arial" w:hAnsi="Arial"/>
                <w:sz w:val="15"/>
                <w:szCs w:val="15"/>
                <w:b w:val="1"/>
                <w:bCs w:val="1"/>
                <w:color w:val="auto"/>
              </w:rPr>
              <w:t>$</w:t>
            </w:r>
          </w:p>
        </w:tc>
        <w:tc>
          <w:tcPr>
            <w:tcW w:w="84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5"/>
                <w:szCs w:val="15"/>
                <w:b w:val="1"/>
                <w:bCs w:val="1"/>
                <w:color w:val="auto"/>
              </w:rPr>
              <w:t>1,618.6</w:t>
            </w:r>
          </w:p>
        </w:tc>
        <w:tc>
          <w:tcPr>
            <w:tcW w:w="80" w:type="dxa"/>
            <w:vAlign w:val="bottom"/>
            <w:tcBorders>
              <w:bottom w:val="single" w:sz="8" w:color="DCE2EF"/>
            </w:tcBorders>
            <w:shd w:val="clear" w:color="auto" w:fill="DCE2EF"/>
          </w:tcPr>
          <w:p>
            <w:pPr>
              <w:spacing w:after="0"/>
              <w:rPr>
                <w:sz w:val="19"/>
                <w:szCs w:val="19"/>
                <w:color w:val="auto"/>
              </w:rPr>
            </w:pPr>
          </w:p>
        </w:tc>
        <w:tc>
          <w:tcPr>
            <w:tcW w:w="1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5"/>
                <w:szCs w:val="15"/>
                <w:b w:val="1"/>
                <w:bCs w:val="1"/>
                <w:color w:val="auto"/>
              </w:rPr>
              <w:t>$</w:t>
            </w:r>
          </w:p>
        </w:tc>
        <w:tc>
          <w:tcPr>
            <w:tcW w:w="90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5"/>
                <w:szCs w:val="15"/>
                <w:b w:val="1"/>
                <w:bCs w:val="1"/>
                <w:color w:val="auto"/>
              </w:rPr>
              <w:t>1,118.7</w:t>
            </w:r>
          </w:p>
        </w:tc>
        <w:tc>
          <w:tcPr>
            <w:tcW w:w="80" w:type="dxa"/>
            <w:vAlign w:val="bottom"/>
            <w:tcBorders>
              <w:bottom w:val="single" w:sz="8" w:color="DCE2EF"/>
            </w:tcBorders>
            <w:shd w:val="clear" w:color="auto" w:fill="DCE2EF"/>
          </w:tcPr>
          <w:p>
            <w:pPr>
              <w:spacing w:after="0"/>
              <w:rPr>
                <w:sz w:val="19"/>
                <w:szCs w:val="19"/>
                <w:color w:val="auto"/>
              </w:rPr>
            </w:pPr>
          </w:p>
        </w:tc>
        <w:tc>
          <w:tcPr>
            <w:tcW w:w="14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5"/>
                <w:szCs w:val="15"/>
                <w:b w:val="1"/>
                <w:bCs w:val="1"/>
                <w:color w:val="auto"/>
              </w:rPr>
              <w:t>$</w:t>
            </w:r>
          </w:p>
        </w:tc>
        <w:tc>
          <w:tcPr>
            <w:tcW w:w="960" w:type="dxa"/>
            <w:vAlign w:val="bottom"/>
            <w:tcBorders>
              <w:bottom w:val="single" w:sz="8" w:color="auto"/>
            </w:tcBorders>
            <w:shd w:val="clear" w:color="auto" w:fill="DCE2EF"/>
          </w:tcPr>
          <w:p>
            <w:pPr>
              <w:jc w:val="right"/>
              <w:ind w:right="3"/>
              <w:spacing w:after="0"/>
              <w:rPr>
                <w:sz w:val="20"/>
                <w:szCs w:val="20"/>
                <w:color w:val="auto"/>
              </w:rPr>
            </w:pPr>
            <w:r>
              <w:rPr>
                <w:rFonts w:ascii="Arial" w:cs="Arial" w:eastAsia="Arial" w:hAnsi="Arial"/>
                <w:sz w:val="15"/>
                <w:szCs w:val="15"/>
                <w:b w:val="1"/>
                <w:bCs w:val="1"/>
                <w:color w:val="auto"/>
              </w:rPr>
              <w:t>922.0</w:t>
            </w:r>
          </w:p>
        </w:tc>
        <w:tc>
          <w:tcPr>
            <w:tcW w:w="80" w:type="dxa"/>
            <w:vAlign w:val="bottom"/>
            <w:tcBorders>
              <w:bottom w:val="single" w:sz="8" w:color="DCE2EF"/>
            </w:tcBorders>
            <w:shd w:val="clear" w:color="auto" w:fill="DCE2EF"/>
          </w:tcPr>
          <w:p>
            <w:pPr>
              <w:spacing w:after="0"/>
              <w:rPr>
                <w:sz w:val="19"/>
                <w:szCs w:val="19"/>
                <w:color w:val="auto"/>
              </w:rPr>
            </w:pPr>
          </w:p>
        </w:tc>
        <w:tc>
          <w:tcPr>
            <w:tcW w:w="16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5"/>
                <w:szCs w:val="15"/>
                <w:b w:val="1"/>
                <w:bCs w:val="1"/>
                <w:color w:val="auto"/>
                <w:w w:val="95"/>
              </w:rPr>
              <w:t>$</w:t>
            </w:r>
          </w:p>
        </w:tc>
        <w:tc>
          <w:tcPr>
            <w:tcW w:w="920" w:type="dxa"/>
            <w:vAlign w:val="bottom"/>
            <w:tcBorders>
              <w:bottom w:val="single" w:sz="8" w:color="auto"/>
            </w:tcBorders>
            <w:shd w:val="clear" w:color="auto" w:fill="DCE2EF"/>
          </w:tcPr>
          <w:p>
            <w:pPr>
              <w:jc w:val="right"/>
              <w:ind w:right="3"/>
              <w:spacing w:after="0"/>
              <w:rPr>
                <w:sz w:val="20"/>
                <w:szCs w:val="20"/>
                <w:color w:val="auto"/>
              </w:rPr>
            </w:pPr>
            <w:r>
              <w:rPr>
                <w:rFonts w:ascii="Arial" w:cs="Arial" w:eastAsia="Arial" w:hAnsi="Arial"/>
                <w:sz w:val="15"/>
                <w:szCs w:val="15"/>
                <w:b w:val="1"/>
                <w:bCs w:val="1"/>
                <w:color w:val="auto"/>
              </w:rPr>
              <w:t>960.6</w:t>
            </w:r>
          </w:p>
        </w:tc>
        <w:tc>
          <w:tcPr>
            <w:tcW w:w="80" w:type="dxa"/>
            <w:vAlign w:val="bottom"/>
            <w:tcBorders>
              <w:bottom w:val="single" w:sz="8" w:color="DCE2EF"/>
            </w:tcBorders>
            <w:shd w:val="clear" w:color="auto" w:fill="DCE2EF"/>
          </w:tcPr>
          <w:p>
            <w:pPr>
              <w:spacing w:after="0"/>
              <w:rPr>
                <w:sz w:val="19"/>
                <w:szCs w:val="19"/>
                <w:color w:val="auto"/>
              </w:rPr>
            </w:pPr>
          </w:p>
        </w:tc>
        <w:tc>
          <w:tcPr>
            <w:tcW w:w="240" w:type="dxa"/>
            <w:vAlign w:val="bottom"/>
            <w:tcBorders>
              <w:bottom w:val="single" w:sz="8" w:color="auto"/>
            </w:tcBorders>
            <w:shd w:val="clear" w:color="auto" w:fill="DCE2EF"/>
          </w:tcPr>
          <w:p>
            <w:pPr>
              <w:jc w:val="right"/>
              <w:ind w:right="63"/>
              <w:spacing w:after="0"/>
              <w:rPr>
                <w:sz w:val="20"/>
                <w:szCs w:val="20"/>
                <w:color w:val="auto"/>
              </w:rPr>
            </w:pPr>
            <w:r>
              <w:rPr>
                <w:rFonts w:ascii="Arial" w:cs="Arial" w:eastAsia="Arial" w:hAnsi="Arial"/>
                <w:sz w:val="15"/>
                <w:szCs w:val="15"/>
                <w:b w:val="1"/>
                <w:bCs w:val="1"/>
                <w:color w:val="auto"/>
                <w:w w:val="95"/>
              </w:rPr>
              <w:t>$</w:t>
            </w:r>
          </w:p>
        </w:tc>
        <w:tc>
          <w:tcPr>
            <w:tcW w:w="840" w:type="dxa"/>
            <w:vAlign w:val="bottom"/>
            <w:tcBorders>
              <w:bottom w:val="single" w:sz="8" w:color="auto"/>
            </w:tcBorders>
            <w:shd w:val="clear" w:color="auto" w:fill="DCE2EF"/>
          </w:tcPr>
          <w:p>
            <w:pPr>
              <w:jc w:val="right"/>
              <w:ind w:right="3"/>
              <w:spacing w:after="0"/>
              <w:rPr>
                <w:sz w:val="20"/>
                <w:szCs w:val="20"/>
                <w:color w:val="auto"/>
              </w:rPr>
            </w:pPr>
            <w:r>
              <w:rPr>
                <w:rFonts w:ascii="Arial" w:cs="Arial" w:eastAsia="Arial" w:hAnsi="Arial"/>
                <w:sz w:val="15"/>
                <w:szCs w:val="15"/>
                <w:b w:val="1"/>
                <w:bCs w:val="1"/>
                <w:color w:val="auto"/>
              </w:rPr>
              <w:t>8,745.9</w:t>
            </w:r>
          </w:p>
        </w:tc>
        <w:tc>
          <w:tcPr>
            <w:tcW w:w="0" w:type="dxa"/>
            <w:vAlign w:val="bottom"/>
          </w:tcPr>
          <w:p>
            <w:pPr>
              <w:spacing w:after="0"/>
              <w:rPr>
                <w:sz w:val="1"/>
                <w:szCs w:val="1"/>
                <w:color w:val="auto"/>
              </w:rPr>
            </w:pPr>
          </w:p>
        </w:tc>
      </w:tr>
      <w:tr>
        <w:trPr>
          <w:trHeight w:val="20"/>
        </w:trPr>
        <w:tc>
          <w:tcPr>
            <w:tcW w:w="20" w:type="dxa"/>
            <w:vAlign w:val="bottom"/>
            <w:tcBorders>
              <w:top w:val="single" w:sz="8" w:color="DCE2EF"/>
            </w:tcBorders>
          </w:tcPr>
          <w:p>
            <w:pPr>
              <w:spacing w:after="0" w:line="20" w:lineRule="exact"/>
              <w:rPr>
                <w:sz w:val="1"/>
                <w:szCs w:val="1"/>
                <w:color w:val="auto"/>
              </w:rPr>
            </w:pPr>
          </w:p>
        </w:tc>
        <w:tc>
          <w:tcPr>
            <w:tcW w:w="640" w:type="dxa"/>
            <w:vAlign w:val="bottom"/>
            <w:tcBorders>
              <w:top w:val="single" w:sz="8" w:color="DCE2EF"/>
            </w:tcBorders>
          </w:tcPr>
          <w:p>
            <w:pPr>
              <w:spacing w:after="0" w:line="20" w:lineRule="exact"/>
              <w:rPr>
                <w:sz w:val="1"/>
                <w:szCs w:val="1"/>
                <w:color w:val="auto"/>
              </w:rPr>
            </w:pPr>
          </w:p>
        </w:tc>
        <w:tc>
          <w:tcPr>
            <w:tcW w:w="3640" w:type="dxa"/>
            <w:vAlign w:val="bottom"/>
            <w:tcBorders>
              <w:top w:val="single" w:sz="8" w:color="DCE2EF"/>
            </w:tcBorders>
          </w:tcPr>
          <w:p>
            <w:pPr>
              <w:spacing w:after="0" w:line="20" w:lineRule="exact"/>
              <w:rPr>
                <w:sz w:val="1"/>
                <w:szCs w:val="1"/>
                <w:color w:val="auto"/>
              </w:rPr>
            </w:pPr>
          </w:p>
        </w:tc>
        <w:tc>
          <w:tcPr>
            <w:tcW w:w="260" w:type="dxa"/>
            <w:vAlign w:val="bottom"/>
            <w:tcBorders>
              <w:top w:val="single" w:sz="8" w:color="DCE2EF"/>
              <w:bottom w:val="single" w:sz="8" w:color="auto"/>
            </w:tcBorders>
          </w:tcPr>
          <w:p>
            <w:pPr>
              <w:spacing w:after="0" w:line="20" w:lineRule="exact"/>
              <w:rPr>
                <w:sz w:val="1"/>
                <w:szCs w:val="1"/>
                <w:color w:val="auto"/>
              </w:rPr>
            </w:pPr>
          </w:p>
        </w:tc>
        <w:tc>
          <w:tcPr>
            <w:tcW w:w="820" w:type="dxa"/>
            <w:vAlign w:val="bottom"/>
            <w:tcBorders>
              <w:top w:val="single" w:sz="8" w:color="DCE2EF"/>
              <w:bottom w:val="single" w:sz="8" w:color="auto"/>
            </w:tcBorders>
          </w:tcPr>
          <w:p>
            <w:pPr>
              <w:spacing w:after="0" w:line="20" w:lineRule="exact"/>
              <w:rPr>
                <w:sz w:val="1"/>
                <w:szCs w:val="1"/>
                <w:color w:val="auto"/>
              </w:rPr>
            </w:pPr>
          </w:p>
        </w:tc>
        <w:tc>
          <w:tcPr>
            <w:tcW w:w="80" w:type="dxa"/>
            <w:vAlign w:val="bottom"/>
            <w:tcBorders>
              <w:top w:val="single" w:sz="8" w:color="DCE2EF"/>
            </w:tcBorders>
          </w:tcPr>
          <w:p>
            <w:pPr>
              <w:spacing w:after="0" w:line="20" w:lineRule="exact"/>
              <w:rPr>
                <w:sz w:val="1"/>
                <w:szCs w:val="1"/>
                <w:color w:val="auto"/>
              </w:rPr>
            </w:pPr>
          </w:p>
        </w:tc>
        <w:tc>
          <w:tcPr>
            <w:tcW w:w="240" w:type="dxa"/>
            <w:vAlign w:val="bottom"/>
            <w:tcBorders>
              <w:top w:val="single" w:sz="8" w:color="DCE2EF"/>
              <w:bottom w:val="single" w:sz="8" w:color="auto"/>
            </w:tcBorders>
          </w:tcPr>
          <w:p>
            <w:pPr>
              <w:spacing w:after="0" w:line="20" w:lineRule="exact"/>
              <w:rPr>
                <w:sz w:val="1"/>
                <w:szCs w:val="1"/>
                <w:color w:val="auto"/>
              </w:rPr>
            </w:pPr>
          </w:p>
        </w:tc>
        <w:tc>
          <w:tcPr>
            <w:tcW w:w="840" w:type="dxa"/>
            <w:vAlign w:val="bottom"/>
            <w:tcBorders>
              <w:top w:val="single" w:sz="8" w:color="DCE2EF"/>
              <w:bottom w:val="single" w:sz="8" w:color="auto"/>
            </w:tcBorders>
          </w:tcPr>
          <w:p>
            <w:pPr>
              <w:spacing w:after="0" w:line="20" w:lineRule="exact"/>
              <w:rPr>
                <w:sz w:val="1"/>
                <w:szCs w:val="1"/>
                <w:color w:val="auto"/>
              </w:rPr>
            </w:pPr>
          </w:p>
        </w:tc>
        <w:tc>
          <w:tcPr>
            <w:tcW w:w="80" w:type="dxa"/>
            <w:vAlign w:val="bottom"/>
            <w:tcBorders>
              <w:top w:val="single" w:sz="8" w:color="DCE2EF"/>
            </w:tcBorders>
          </w:tcPr>
          <w:p>
            <w:pPr>
              <w:spacing w:after="0" w:line="20" w:lineRule="exact"/>
              <w:rPr>
                <w:sz w:val="1"/>
                <w:szCs w:val="1"/>
                <w:color w:val="auto"/>
              </w:rPr>
            </w:pPr>
          </w:p>
        </w:tc>
        <w:tc>
          <w:tcPr>
            <w:tcW w:w="1080" w:type="dxa"/>
            <w:vAlign w:val="bottom"/>
            <w:tcBorders>
              <w:top w:val="single" w:sz="8" w:color="DCE2EF"/>
              <w:bottom w:val="single" w:sz="8" w:color="auto"/>
            </w:tcBorders>
            <w:gridSpan w:val="2"/>
          </w:tcPr>
          <w:p>
            <w:pPr>
              <w:spacing w:after="0" w:line="20" w:lineRule="exact"/>
              <w:rPr>
                <w:sz w:val="1"/>
                <w:szCs w:val="1"/>
                <w:color w:val="auto"/>
              </w:rPr>
            </w:pPr>
          </w:p>
        </w:tc>
        <w:tc>
          <w:tcPr>
            <w:tcW w:w="80" w:type="dxa"/>
            <w:vAlign w:val="bottom"/>
            <w:tcBorders>
              <w:top w:val="single" w:sz="8" w:color="DCE2EF"/>
            </w:tcBorders>
          </w:tcPr>
          <w:p>
            <w:pPr>
              <w:spacing w:after="0" w:line="20" w:lineRule="exact"/>
              <w:rPr>
                <w:sz w:val="1"/>
                <w:szCs w:val="1"/>
                <w:color w:val="auto"/>
              </w:rPr>
            </w:pPr>
          </w:p>
        </w:tc>
        <w:tc>
          <w:tcPr>
            <w:tcW w:w="1100" w:type="dxa"/>
            <w:vAlign w:val="bottom"/>
            <w:tcBorders>
              <w:top w:val="single" w:sz="8" w:color="DCE2EF"/>
              <w:bottom w:val="single" w:sz="8" w:color="auto"/>
            </w:tcBorders>
            <w:gridSpan w:val="2"/>
          </w:tcPr>
          <w:p>
            <w:pPr>
              <w:spacing w:after="0" w:line="20" w:lineRule="exact"/>
              <w:rPr>
                <w:sz w:val="1"/>
                <w:szCs w:val="1"/>
                <w:color w:val="auto"/>
              </w:rPr>
            </w:pPr>
          </w:p>
        </w:tc>
        <w:tc>
          <w:tcPr>
            <w:tcW w:w="80" w:type="dxa"/>
            <w:vAlign w:val="bottom"/>
            <w:tcBorders>
              <w:top w:val="single" w:sz="8" w:color="DCE2EF"/>
            </w:tcBorders>
          </w:tcPr>
          <w:p>
            <w:pPr>
              <w:spacing w:after="0" w:line="20" w:lineRule="exact"/>
              <w:rPr>
                <w:sz w:val="1"/>
                <w:szCs w:val="1"/>
                <w:color w:val="auto"/>
              </w:rPr>
            </w:pPr>
          </w:p>
        </w:tc>
        <w:tc>
          <w:tcPr>
            <w:tcW w:w="160" w:type="dxa"/>
            <w:vAlign w:val="bottom"/>
            <w:tcBorders>
              <w:top w:val="single" w:sz="8" w:color="DCE2EF"/>
              <w:bottom w:val="single" w:sz="8" w:color="auto"/>
            </w:tcBorders>
          </w:tcPr>
          <w:p>
            <w:pPr>
              <w:spacing w:after="0" w:line="20" w:lineRule="exact"/>
              <w:rPr>
                <w:sz w:val="1"/>
                <w:szCs w:val="1"/>
                <w:color w:val="auto"/>
              </w:rPr>
            </w:pPr>
          </w:p>
        </w:tc>
        <w:tc>
          <w:tcPr>
            <w:tcW w:w="920" w:type="dxa"/>
            <w:vAlign w:val="bottom"/>
            <w:tcBorders>
              <w:top w:val="single" w:sz="8" w:color="DCE2EF"/>
              <w:bottom w:val="single" w:sz="8" w:color="auto"/>
            </w:tcBorders>
          </w:tcPr>
          <w:p>
            <w:pPr>
              <w:spacing w:after="0" w:line="20" w:lineRule="exact"/>
              <w:rPr>
                <w:sz w:val="1"/>
                <w:szCs w:val="1"/>
                <w:color w:val="auto"/>
              </w:rPr>
            </w:pPr>
          </w:p>
        </w:tc>
        <w:tc>
          <w:tcPr>
            <w:tcW w:w="80" w:type="dxa"/>
            <w:vAlign w:val="bottom"/>
            <w:tcBorders>
              <w:top w:val="single" w:sz="8" w:color="DCE2EF"/>
            </w:tcBorders>
          </w:tcPr>
          <w:p>
            <w:pPr>
              <w:spacing w:after="0" w:line="20" w:lineRule="exact"/>
              <w:rPr>
                <w:sz w:val="1"/>
                <w:szCs w:val="1"/>
                <w:color w:val="auto"/>
              </w:rPr>
            </w:pPr>
          </w:p>
        </w:tc>
        <w:tc>
          <w:tcPr>
            <w:tcW w:w="240" w:type="dxa"/>
            <w:vAlign w:val="bottom"/>
            <w:tcBorders>
              <w:top w:val="single" w:sz="8" w:color="DCE2EF"/>
              <w:bottom w:val="single" w:sz="8" w:color="auto"/>
            </w:tcBorders>
          </w:tcPr>
          <w:p>
            <w:pPr>
              <w:spacing w:after="0" w:line="20" w:lineRule="exact"/>
              <w:rPr>
                <w:sz w:val="1"/>
                <w:szCs w:val="1"/>
                <w:color w:val="auto"/>
              </w:rPr>
            </w:pPr>
          </w:p>
        </w:tc>
        <w:tc>
          <w:tcPr>
            <w:tcW w:w="840" w:type="dxa"/>
            <w:vAlign w:val="bottom"/>
            <w:tcBorders>
              <w:top w:val="single" w:sz="8" w:color="DCE2E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6"/>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6"/>
          </w:tcPr>
          <w:p>
            <w:pPr>
              <w:ind w:left="100"/>
              <w:spacing w:after="0"/>
              <w:rPr>
                <w:sz w:val="20"/>
                <w:szCs w:val="20"/>
                <w:color w:val="auto"/>
              </w:rPr>
            </w:pPr>
            <w:r>
              <w:rPr>
                <w:rFonts w:ascii="Arial" w:cs="Arial" w:eastAsia="Arial" w:hAnsi="Arial"/>
                <w:sz w:val="15"/>
                <w:szCs w:val="15"/>
                <w:b w:val="1"/>
                <w:bCs w:val="1"/>
                <w:color w:val="auto"/>
              </w:rPr>
              <w:t>Year ended October 31, 2024</w:t>
            </w:r>
          </w:p>
        </w:tc>
        <w:tc>
          <w:tcPr>
            <w:tcW w:w="1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gridSpan w:val="2"/>
            <w:vMerge w:val="restart"/>
          </w:tcPr>
          <w:p>
            <w:pPr>
              <w:ind w:left="160"/>
              <w:spacing w:after="0"/>
              <w:rPr>
                <w:sz w:val="20"/>
                <w:szCs w:val="20"/>
                <w:color w:val="auto"/>
              </w:rPr>
            </w:pPr>
            <w:r>
              <w:rPr>
                <w:rFonts w:ascii="Arial" w:cs="Arial" w:eastAsia="Arial" w:hAnsi="Arial"/>
                <w:sz w:val="15"/>
                <w:szCs w:val="15"/>
                <w:b w:val="1"/>
                <w:bCs w:val="1"/>
                <w:color w:val="auto"/>
              </w:rPr>
              <w:t>B&amp;I</w:t>
            </w:r>
          </w:p>
        </w:tc>
        <w:tc>
          <w:tcPr>
            <w:tcW w:w="240" w:type="dxa"/>
            <w:vAlign w:val="bottom"/>
          </w:tcPr>
          <w:p>
            <w:pPr>
              <w:spacing w:after="0"/>
              <w:rPr>
                <w:sz w:val="13"/>
                <w:szCs w:val="13"/>
                <w:color w:val="auto"/>
              </w:rPr>
            </w:pPr>
          </w:p>
        </w:tc>
        <w:tc>
          <w:tcPr>
            <w:tcW w:w="920" w:type="dxa"/>
            <w:vAlign w:val="bottom"/>
            <w:gridSpan w:val="2"/>
            <w:vMerge w:val="restart"/>
          </w:tcPr>
          <w:p>
            <w:pPr>
              <w:ind w:left="140"/>
              <w:spacing w:after="0"/>
              <w:rPr>
                <w:sz w:val="20"/>
                <w:szCs w:val="20"/>
                <w:color w:val="auto"/>
              </w:rPr>
            </w:pPr>
            <w:r>
              <w:rPr>
                <w:rFonts w:ascii="Arial" w:cs="Arial" w:eastAsia="Arial" w:hAnsi="Arial"/>
                <w:sz w:val="15"/>
                <w:szCs w:val="15"/>
                <w:b w:val="1"/>
                <w:bCs w:val="1"/>
                <w:color w:val="auto"/>
              </w:rPr>
              <w:t>M&amp;D</w:t>
            </w:r>
          </w:p>
        </w:tc>
        <w:tc>
          <w:tcPr>
            <w:tcW w:w="180" w:type="dxa"/>
            <w:vAlign w:val="bottom"/>
          </w:tcPr>
          <w:p>
            <w:pPr>
              <w:spacing w:after="0"/>
              <w:rPr>
                <w:sz w:val="13"/>
                <w:szCs w:val="13"/>
                <w:color w:val="auto"/>
              </w:rPr>
            </w:pPr>
          </w:p>
        </w:tc>
        <w:tc>
          <w:tcPr>
            <w:tcW w:w="980" w:type="dxa"/>
            <w:vAlign w:val="bottom"/>
            <w:gridSpan w:val="2"/>
            <w:vMerge w:val="restart"/>
          </w:tcPr>
          <w:p>
            <w:pPr>
              <w:ind w:left="60"/>
              <w:spacing w:after="0"/>
              <w:rPr>
                <w:sz w:val="20"/>
                <w:szCs w:val="20"/>
                <w:color w:val="auto"/>
              </w:rPr>
            </w:pPr>
            <w:r>
              <w:rPr>
                <w:rFonts w:ascii="Arial" w:cs="Arial" w:eastAsia="Arial" w:hAnsi="Arial"/>
                <w:sz w:val="15"/>
                <w:szCs w:val="15"/>
                <w:b w:val="1"/>
                <w:bCs w:val="1"/>
                <w:color w:val="auto"/>
              </w:rPr>
              <w:t>Aviation</w:t>
            </w:r>
          </w:p>
        </w:tc>
        <w:tc>
          <w:tcPr>
            <w:tcW w:w="140" w:type="dxa"/>
            <w:vAlign w:val="bottom"/>
          </w:tcPr>
          <w:p>
            <w:pPr>
              <w:spacing w:after="0"/>
              <w:rPr>
                <w:sz w:val="13"/>
                <w:szCs w:val="13"/>
                <w:color w:val="auto"/>
              </w:rPr>
            </w:pPr>
          </w:p>
        </w:tc>
        <w:tc>
          <w:tcPr>
            <w:tcW w:w="1040" w:type="dxa"/>
            <w:vAlign w:val="bottom"/>
            <w:gridSpan w:val="2"/>
            <w:vMerge w:val="restart"/>
          </w:tcPr>
          <w:p>
            <w:pPr>
              <w:ind w:left="40"/>
              <w:spacing w:after="0"/>
              <w:rPr>
                <w:sz w:val="20"/>
                <w:szCs w:val="20"/>
                <w:color w:val="auto"/>
              </w:rPr>
            </w:pPr>
            <w:r>
              <w:rPr>
                <w:rFonts w:ascii="Arial" w:cs="Arial" w:eastAsia="Arial" w:hAnsi="Arial"/>
                <w:sz w:val="15"/>
                <w:szCs w:val="15"/>
                <w:b w:val="1"/>
                <w:bCs w:val="1"/>
                <w:color w:val="auto"/>
              </w:rPr>
              <w:t>Education</w:t>
            </w:r>
          </w:p>
        </w:tc>
        <w:tc>
          <w:tcPr>
            <w:tcW w:w="160" w:type="dxa"/>
            <w:vAlign w:val="bottom"/>
          </w:tcPr>
          <w:p>
            <w:pPr>
              <w:spacing w:after="0"/>
              <w:rPr>
                <w:sz w:val="13"/>
                <w:szCs w:val="13"/>
                <w:color w:val="auto"/>
              </w:rPr>
            </w:pPr>
          </w:p>
        </w:tc>
        <w:tc>
          <w:tcPr>
            <w:tcW w:w="1000" w:type="dxa"/>
            <w:vAlign w:val="bottom"/>
            <w:gridSpan w:val="2"/>
          </w:tcPr>
          <w:p>
            <w:pPr>
              <w:ind w:left="40"/>
              <w:spacing w:after="0" w:line="151" w:lineRule="exact"/>
              <w:rPr>
                <w:sz w:val="20"/>
                <w:szCs w:val="20"/>
                <w:color w:val="auto"/>
              </w:rPr>
            </w:pPr>
            <w:r>
              <w:rPr>
                <w:rFonts w:ascii="Arial" w:cs="Arial" w:eastAsia="Arial" w:hAnsi="Arial"/>
                <w:sz w:val="15"/>
                <w:szCs w:val="15"/>
                <w:b w:val="1"/>
                <w:bCs w:val="1"/>
                <w:color w:val="auto"/>
              </w:rPr>
              <w:t>Technical</w:t>
            </w:r>
          </w:p>
        </w:tc>
        <w:tc>
          <w:tcPr>
            <w:tcW w:w="240" w:type="dxa"/>
            <w:vAlign w:val="bottom"/>
          </w:tcPr>
          <w:p>
            <w:pPr>
              <w:spacing w:after="0"/>
              <w:rPr>
                <w:sz w:val="13"/>
                <w:szCs w:val="13"/>
                <w:color w:val="auto"/>
              </w:rPr>
            </w:pPr>
          </w:p>
        </w:tc>
        <w:tc>
          <w:tcPr>
            <w:tcW w:w="840" w:type="dxa"/>
            <w:vAlign w:val="bottom"/>
            <w:vMerge w:val="restart"/>
          </w:tcPr>
          <w:p>
            <w:pPr>
              <w:jc w:val="right"/>
              <w:ind w:right="283"/>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151"/>
        </w:trPr>
        <w:tc>
          <w:tcPr>
            <w:tcW w:w="4300" w:type="dxa"/>
            <w:vAlign w:val="bottom"/>
            <w:gridSpan w:val="3"/>
          </w:tcPr>
          <w:p>
            <w:pPr>
              <w:ind w:left="20"/>
              <w:spacing w:after="0" w:line="131" w:lineRule="exact"/>
              <w:rPr>
                <w:sz w:val="20"/>
                <w:szCs w:val="20"/>
                <w:color w:val="auto"/>
              </w:rPr>
            </w:pPr>
            <w:r>
              <w:rPr>
                <w:rFonts w:ascii="Times New Roman" w:cs="Times New Roman" w:eastAsia="Times New Roman" w:hAnsi="Times New Roman"/>
                <w:sz w:val="13"/>
                <w:szCs w:val="13"/>
                <w:i w:val="1"/>
                <w:iCs w:val="1"/>
                <w:color w:val="auto"/>
              </w:rPr>
              <w:t>(in millions)</w:t>
            </w:r>
          </w:p>
        </w:tc>
        <w:tc>
          <w:tcPr>
            <w:tcW w:w="260" w:type="dxa"/>
            <w:vAlign w:val="bottom"/>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gridSpan w:val="2"/>
          </w:tcPr>
          <w:p>
            <w:pPr>
              <w:ind w:left="40"/>
              <w:spacing w:after="0" w:line="131" w:lineRule="exact"/>
              <w:rPr>
                <w:sz w:val="20"/>
                <w:szCs w:val="20"/>
                <w:color w:val="auto"/>
              </w:rPr>
            </w:pPr>
            <w:r>
              <w:rPr>
                <w:rFonts w:ascii="Arial" w:cs="Arial" w:eastAsia="Arial" w:hAnsi="Arial"/>
                <w:sz w:val="15"/>
                <w:szCs w:val="15"/>
                <w:b w:val="1"/>
                <w:bCs w:val="1"/>
                <w:color w:val="auto"/>
              </w:rPr>
              <w:t>Solutions</w:t>
            </w:r>
          </w:p>
        </w:tc>
        <w:tc>
          <w:tcPr>
            <w:tcW w:w="24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DCE2EF"/>
            </w:tcBorders>
          </w:tcPr>
          <w:p>
            <w:pPr>
              <w:spacing w:after="0" w:line="20" w:lineRule="exact"/>
              <w:rPr>
                <w:sz w:val="1"/>
                <w:szCs w:val="1"/>
                <w:color w:val="auto"/>
              </w:rPr>
            </w:pPr>
          </w:p>
        </w:tc>
        <w:tc>
          <w:tcPr>
            <w:tcW w:w="640" w:type="dxa"/>
            <w:vAlign w:val="bottom"/>
            <w:tcBorders>
              <w:top w:val="single" w:sz="8" w:color="auto"/>
              <w:bottom w:val="single" w:sz="8" w:color="DCE2EF"/>
            </w:tcBorders>
          </w:tcPr>
          <w:p>
            <w:pPr>
              <w:spacing w:after="0" w:line="20" w:lineRule="exact"/>
              <w:rPr>
                <w:sz w:val="1"/>
                <w:szCs w:val="1"/>
                <w:color w:val="auto"/>
              </w:rPr>
            </w:pPr>
          </w:p>
        </w:tc>
        <w:tc>
          <w:tcPr>
            <w:tcW w:w="3640" w:type="dxa"/>
            <w:vAlign w:val="bottom"/>
            <w:tcBorders>
              <w:bottom w:val="single" w:sz="8" w:color="DCE2E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CE2E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CE2E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CE2E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CE2E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CE2E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4300" w:type="dxa"/>
            <w:vAlign w:val="bottom"/>
            <w:gridSpan w:val="3"/>
            <w:shd w:val="clear" w:color="auto" w:fill="DCE2EF"/>
          </w:tcPr>
          <w:p>
            <w:pPr>
              <w:ind w:left="20"/>
              <w:spacing w:after="0"/>
              <w:rPr>
                <w:sz w:val="20"/>
                <w:szCs w:val="20"/>
                <w:color w:val="auto"/>
              </w:rPr>
            </w:pPr>
            <w:r>
              <w:rPr>
                <w:rFonts w:ascii="Arial" w:cs="Arial" w:eastAsia="Arial" w:hAnsi="Arial"/>
                <w:sz w:val="15"/>
                <w:szCs w:val="15"/>
                <w:b w:val="1"/>
                <w:bCs w:val="1"/>
                <w:color w:val="auto"/>
              </w:rPr>
              <w:t>Major Service Line</w:t>
            </w:r>
          </w:p>
        </w:tc>
        <w:tc>
          <w:tcPr>
            <w:tcW w:w="260" w:type="dxa"/>
            <w:vAlign w:val="bottom"/>
            <w:shd w:val="clear" w:color="auto" w:fill="DCE2EF"/>
          </w:tcPr>
          <w:p>
            <w:pPr>
              <w:spacing w:after="0"/>
              <w:rPr>
                <w:sz w:val="16"/>
                <w:szCs w:val="16"/>
                <w:color w:val="auto"/>
              </w:rPr>
            </w:pPr>
          </w:p>
        </w:tc>
        <w:tc>
          <w:tcPr>
            <w:tcW w:w="820" w:type="dxa"/>
            <w:vAlign w:val="bottom"/>
            <w:shd w:val="clear" w:color="auto" w:fill="DCE2EF"/>
          </w:tcPr>
          <w:p>
            <w:pPr>
              <w:spacing w:after="0"/>
              <w:rPr>
                <w:sz w:val="16"/>
                <w:szCs w:val="16"/>
                <w:color w:val="auto"/>
              </w:rPr>
            </w:pPr>
          </w:p>
        </w:tc>
        <w:tc>
          <w:tcPr>
            <w:tcW w:w="80" w:type="dxa"/>
            <w:vAlign w:val="bottom"/>
            <w:shd w:val="clear" w:color="auto" w:fill="DCE2EF"/>
          </w:tcPr>
          <w:p>
            <w:pPr>
              <w:spacing w:after="0"/>
              <w:rPr>
                <w:sz w:val="16"/>
                <w:szCs w:val="16"/>
                <w:color w:val="auto"/>
              </w:rPr>
            </w:pPr>
          </w:p>
        </w:tc>
        <w:tc>
          <w:tcPr>
            <w:tcW w:w="240" w:type="dxa"/>
            <w:vAlign w:val="bottom"/>
            <w:shd w:val="clear" w:color="auto" w:fill="DCE2EF"/>
          </w:tcPr>
          <w:p>
            <w:pPr>
              <w:spacing w:after="0"/>
              <w:rPr>
                <w:sz w:val="16"/>
                <w:szCs w:val="16"/>
                <w:color w:val="auto"/>
              </w:rPr>
            </w:pPr>
          </w:p>
        </w:tc>
        <w:tc>
          <w:tcPr>
            <w:tcW w:w="840" w:type="dxa"/>
            <w:vAlign w:val="bottom"/>
            <w:shd w:val="clear" w:color="auto" w:fill="DCE2EF"/>
          </w:tcPr>
          <w:p>
            <w:pPr>
              <w:spacing w:after="0"/>
              <w:rPr>
                <w:sz w:val="16"/>
                <w:szCs w:val="16"/>
                <w:color w:val="auto"/>
              </w:rPr>
            </w:pPr>
          </w:p>
        </w:tc>
        <w:tc>
          <w:tcPr>
            <w:tcW w:w="80" w:type="dxa"/>
            <w:vAlign w:val="bottom"/>
            <w:shd w:val="clear" w:color="auto" w:fill="DCE2EF"/>
          </w:tcPr>
          <w:p>
            <w:pPr>
              <w:spacing w:after="0"/>
              <w:rPr>
                <w:sz w:val="16"/>
                <w:szCs w:val="16"/>
                <w:color w:val="auto"/>
              </w:rPr>
            </w:pPr>
          </w:p>
        </w:tc>
        <w:tc>
          <w:tcPr>
            <w:tcW w:w="180" w:type="dxa"/>
            <w:vAlign w:val="bottom"/>
            <w:shd w:val="clear" w:color="auto" w:fill="DCE2EF"/>
          </w:tcPr>
          <w:p>
            <w:pPr>
              <w:spacing w:after="0"/>
              <w:rPr>
                <w:sz w:val="16"/>
                <w:szCs w:val="16"/>
                <w:color w:val="auto"/>
              </w:rPr>
            </w:pPr>
          </w:p>
        </w:tc>
        <w:tc>
          <w:tcPr>
            <w:tcW w:w="900" w:type="dxa"/>
            <w:vAlign w:val="bottom"/>
            <w:shd w:val="clear" w:color="auto" w:fill="DCE2EF"/>
          </w:tcPr>
          <w:p>
            <w:pPr>
              <w:spacing w:after="0"/>
              <w:rPr>
                <w:sz w:val="16"/>
                <w:szCs w:val="16"/>
                <w:color w:val="auto"/>
              </w:rPr>
            </w:pPr>
          </w:p>
        </w:tc>
        <w:tc>
          <w:tcPr>
            <w:tcW w:w="80" w:type="dxa"/>
            <w:vAlign w:val="bottom"/>
            <w:shd w:val="clear" w:color="auto" w:fill="DCE2EF"/>
          </w:tcPr>
          <w:p>
            <w:pPr>
              <w:spacing w:after="0"/>
              <w:rPr>
                <w:sz w:val="16"/>
                <w:szCs w:val="16"/>
                <w:color w:val="auto"/>
              </w:rPr>
            </w:pPr>
          </w:p>
        </w:tc>
        <w:tc>
          <w:tcPr>
            <w:tcW w:w="140" w:type="dxa"/>
            <w:vAlign w:val="bottom"/>
            <w:shd w:val="clear" w:color="auto" w:fill="DCE2EF"/>
          </w:tcPr>
          <w:p>
            <w:pPr>
              <w:spacing w:after="0"/>
              <w:rPr>
                <w:sz w:val="16"/>
                <w:szCs w:val="16"/>
                <w:color w:val="auto"/>
              </w:rPr>
            </w:pPr>
          </w:p>
        </w:tc>
        <w:tc>
          <w:tcPr>
            <w:tcW w:w="960" w:type="dxa"/>
            <w:vAlign w:val="bottom"/>
            <w:shd w:val="clear" w:color="auto" w:fill="DCE2EF"/>
          </w:tcPr>
          <w:p>
            <w:pPr>
              <w:spacing w:after="0"/>
              <w:rPr>
                <w:sz w:val="16"/>
                <w:szCs w:val="16"/>
                <w:color w:val="auto"/>
              </w:rPr>
            </w:pPr>
          </w:p>
        </w:tc>
        <w:tc>
          <w:tcPr>
            <w:tcW w:w="80" w:type="dxa"/>
            <w:vAlign w:val="bottom"/>
            <w:shd w:val="clear" w:color="auto" w:fill="DCE2EF"/>
          </w:tcPr>
          <w:p>
            <w:pPr>
              <w:spacing w:after="0"/>
              <w:rPr>
                <w:sz w:val="16"/>
                <w:szCs w:val="16"/>
                <w:color w:val="auto"/>
              </w:rPr>
            </w:pPr>
          </w:p>
        </w:tc>
        <w:tc>
          <w:tcPr>
            <w:tcW w:w="160" w:type="dxa"/>
            <w:vAlign w:val="bottom"/>
            <w:shd w:val="clear" w:color="auto" w:fill="DCE2EF"/>
          </w:tcPr>
          <w:p>
            <w:pPr>
              <w:spacing w:after="0"/>
              <w:rPr>
                <w:sz w:val="16"/>
                <w:szCs w:val="16"/>
                <w:color w:val="auto"/>
              </w:rPr>
            </w:pPr>
          </w:p>
        </w:tc>
        <w:tc>
          <w:tcPr>
            <w:tcW w:w="920" w:type="dxa"/>
            <w:vAlign w:val="bottom"/>
            <w:shd w:val="clear" w:color="auto" w:fill="DCE2EF"/>
          </w:tcPr>
          <w:p>
            <w:pPr>
              <w:spacing w:after="0"/>
              <w:rPr>
                <w:sz w:val="16"/>
                <w:szCs w:val="16"/>
                <w:color w:val="auto"/>
              </w:rPr>
            </w:pPr>
          </w:p>
        </w:tc>
        <w:tc>
          <w:tcPr>
            <w:tcW w:w="80" w:type="dxa"/>
            <w:vAlign w:val="bottom"/>
            <w:shd w:val="clear" w:color="auto" w:fill="DCE2EF"/>
          </w:tcPr>
          <w:p>
            <w:pPr>
              <w:spacing w:after="0"/>
              <w:rPr>
                <w:sz w:val="16"/>
                <w:szCs w:val="16"/>
                <w:color w:val="auto"/>
              </w:rPr>
            </w:pPr>
          </w:p>
        </w:tc>
        <w:tc>
          <w:tcPr>
            <w:tcW w:w="240" w:type="dxa"/>
            <w:vAlign w:val="bottom"/>
            <w:shd w:val="clear" w:color="auto" w:fill="DCE2EF"/>
          </w:tcPr>
          <w:p>
            <w:pPr>
              <w:spacing w:after="0"/>
              <w:rPr>
                <w:sz w:val="16"/>
                <w:szCs w:val="16"/>
                <w:color w:val="auto"/>
              </w:rPr>
            </w:pPr>
          </w:p>
        </w:tc>
        <w:tc>
          <w:tcPr>
            <w:tcW w:w="840" w:type="dxa"/>
            <w:vAlign w:val="bottom"/>
            <w:shd w:val="clear" w:color="auto" w:fill="DCE2EF"/>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280" w:type="dxa"/>
            <w:vAlign w:val="bottom"/>
            <w:gridSpan w:val="2"/>
          </w:tcPr>
          <w:p>
            <w:pPr>
              <w:ind w:left="100"/>
              <w:spacing w:after="0" w:line="207" w:lineRule="exact"/>
              <w:rPr>
                <w:sz w:val="20"/>
                <w:szCs w:val="20"/>
                <w:color w:val="auto"/>
              </w:rPr>
            </w:pPr>
            <w:r>
              <w:rPr>
                <w:rFonts w:ascii="Arial" w:cs="Arial" w:eastAsia="Arial" w:hAnsi="Arial"/>
                <w:sz w:val="15"/>
                <w:szCs w:val="15"/>
                <w:color w:val="auto"/>
              </w:rPr>
              <w:t>Janitorial</w:t>
            </w:r>
            <w:r>
              <w:rPr>
                <w:rFonts w:ascii="Arial" w:cs="Arial" w:eastAsia="Arial" w:hAnsi="Arial"/>
                <w:sz w:val="20"/>
                <w:szCs w:val="20"/>
                <w:color w:val="auto"/>
                <w:vertAlign w:val="superscript"/>
              </w:rPr>
              <w:t>(1)</w:t>
            </w:r>
          </w:p>
        </w:tc>
        <w:tc>
          <w:tcPr>
            <w:tcW w:w="26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2,781.4</w:t>
            </w:r>
          </w:p>
        </w:tc>
        <w:tc>
          <w:tcPr>
            <w:tcW w:w="80" w:type="dxa"/>
            <w:vAlign w:val="bottom"/>
          </w:tcPr>
          <w:p>
            <w:pPr>
              <w:spacing w:after="0"/>
              <w:rPr>
                <w:sz w:val="17"/>
                <w:szCs w:val="17"/>
                <w:color w:val="auto"/>
              </w:rPr>
            </w:pPr>
          </w:p>
        </w:tc>
        <w:tc>
          <w:tcPr>
            <w:tcW w:w="24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1,347.0</w:t>
            </w:r>
          </w:p>
        </w:tc>
        <w:tc>
          <w:tcPr>
            <w:tcW w:w="8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189.0</w:t>
            </w: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960" w:type="dxa"/>
            <w:vAlign w:val="bottom"/>
          </w:tcPr>
          <w:p>
            <w:pPr>
              <w:jc w:val="right"/>
              <w:ind w:right="3"/>
              <w:spacing w:after="0"/>
              <w:rPr>
                <w:sz w:val="20"/>
                <w:szCs w:val="20"/>
                <w:color w:val="auto"/>
              </w:rPr>
            </w:pPr>
            <w:r>
              <w:rPr>
                <w:rFonts w:ascii="Arial" w:cs="Arial" w:eastAsia="Arial" w:hAnsi="Arial"/>
                <w:sz w:val="15"/>
                <w:szCs w:val="15"/>
                <w:color w:val="auto"/>
              </w:rPr>
              <w:t>798.7</w:t>
            </w:r>
          </w:p>
        </w:tc>
        <w:tc>
          <w:tcPr>
            <w:tcW w:w="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40" w:type="dxa"/>
            <w:vAlign w:val="bottom"/>
          </w:tcPr>
          <w:p>
            <w:pPr>
              <w:jc w:val="right"/>
              <w:ind w:right="63"/>
              <w:spacing w:after="0"/>
              <w:rPr>
                <w:sz w:val="20"/>
                <w:szCs w:val="20"/>
                <w:color w:val="auto"/>
              </w:rPr>
            </w:pPr>
            <w:r>
              <w:rPr>
                <w:rFonts w:ascii="Arial" w:cs="Arial" w:eastAsia="Arial" w:hAnsi="Arial"/>
                <w:sz w:val="15"/>
                <w:szCs w:val="15"/>
                <w:color w:val="auto"/>
                <w:w w:val="95"/>
              </w:rPr>
              <w:t>$</w:t>
            </w:r>
          </w:p>
        </w:tc>
        <w:tc>
          <w:tcPr>
            <w:tcW w:w="840" w:type="dxa"/>
            <w:vAlign w:val="bottom"/>
          </w:tcPr>
          <w:p>
            <w:pPr>
              <w:jc w:val="right"/>
              <w:ind w:right="3"/>
              <w:spacing w:after="0"/>
              <w:rPr>
                <w:sz w:val="20"/>
                <w:szCs w:val="20"/>
                <w:color w:val="auto"/>
              </w:rPr>
            </w:pPr>
            <w:r>
              <w:rPr>
                <w:rFonts w:ascii="Arial" w:cs="Arial" w:eastAsia="Arial" w:hAnsi="Arial"/>
                <w:sz w:val="15"/>
                <w:szCs w:val="15"/>
                <w:color w:val="auto"/>
              </w:rPr>
              <w:t>5,116.1</w:t>
            </w:r>
          </w:p>
        </w:tc>
        <w:tc>
          <w:tcPr>
            <w:tcW w:w="0" w:type="dxa"/>
            <w:vAlign w:val="bottom"/>
          </w:tcPr>
          <w:p>
            <w:pPr>
              <w:spacing w:after="0"/>
              <w:rPr>
                <w:sz w:val="1"/>
                <w:szCs w:val="1"/>
                <w:color w:val="auto"/>
              </w:rPr>
            </w:pPr>
          </w:p>
        </w:tc>
      </w:tr>
      <w:tr>
        <w:trPr>
          <w:trHeight w:val="206"/>
        </w:trPr>
        <w:tc>
          <w:tcPr>
            <w:tcW w:w="20" w:type="dxa"/>
            <w:vAlign w:val="bottom"/>
            <w:shd w:val="clear" w:color="auto" w:fill="DCE2EF"/>
          </w:tcPr>
          <w:p>
            <w:pPr>
              <w:spacing w:after="0"/>
              <w:rPr>
                <w:sz w:val="17"/>
                <w:szCs w:val="17"/>
                <w:color w:val="auto"/>
              </w:rPr>
            </w:pPr>
          </w:p>
        </w:tc>
        <w:tc>
          <w:tcPr>
            <w:tcW w:w="4280" w:type="dxa"/>
            <w:vAlign w:val="bottom"/>
            <w:gridSpan w:val="2"/>
            <w:shd w:val="clear" w:color="auto" w:fill="DCE2EF"/>
          </w:tcPr>
          <w:p>
            <w:pPr>
              <w:ind w:left="100"/>
              <w:spacing w:after="0" w:line="207" w:lineRule="exact"/>
              <w:rPr>
                <w:sz w:val="20"/>
                <w:szCs w:val="20"/>
                <w:color w:val="auto"/>
              </w:rPr>
            </w:pPr>
            <w:r>
              <w:rPr>
                <w:rFonts w:ascii="Arial" w:cs="Arial" w:eastAsia="Arial" w:hAnsi="Arial"/>
                <w:sz w:val="15"/>
                <w:szCs w:val="15"/>
                <w:color w:val="auto"/>
              </w:rPr>
              <w:t>Aviation Services</w:t>
            </w:r>
            <w:r>
              <w:rPr>
                <w:rFonts w:ascii="Arial" w:cs="Arial" w:eastAsia="Arial" w:hAnsi="Arial"/>
                <w:sz w:val="20"/>
                <w:szCs w:val="20"/>
                <w:color w:val="auto"/>
                <w:vertAlign w:val="superscript"/>
              </w:rPr>
              <w:t>(2)</w:t>
            </w:r>
          </w:p>
        </w:tc>
        <w:tc>
          <w:tcPr>
            <w:tcW w:w="260" w:type="dxa"/>
            <w:vAlign w:val="bottom"/>
            <w:shd w:val="clear" w:color="auto" w:fill="DCE2EF"/>
          </w:tcPr>
          <w:p>
            <w:pPr>
              <w:spacing w:after="0"/>
              <w:rPr>
                <w:sz w:val="17"/>
                <w:szCs w:val="17"/>
                <w:color w:val="auto"/>
              </w:rPr>
            </w:pPr>
          </w:p>
        </w:tc>
        <w:tc>
          <w:tcPr>
            <w:tcW w:w="900" w:type="dxa"/>
            <w:vAlign w:val="bottom"/>
            <w:gridSpan w:val="2"/>
            <w:shd w:val="clear" w:color="auto" w:fill="DCE2EF"/>
          </w:tcPr>
          <w:p>
            <w:pPr>
              <w:jc w:val="right"/>
              <w:ind w:right="140"/>
              <w:spacing w:after="0"/>
              <w:rPr>
                <w:sz w:val="20"/>
                <w:szCs w:val="20"/>
                <w:color w:val="auto"/>
              </w:rPr>
            </w:pPr>
            <w:r>
              <w:rPr>
                <w:rFonts w:ascii="Arial" w:cs="Arial" w:eastAsia="Arial" w:hAnsi="Arial"/>
                <w:sz w:val="15"/>
                <w:szCs w:val="15"/>
                <w:color w:val="auto"/>
              </w:rPr>
              <w:t>—</w:t>
            </w:r>
          </w:p>
        </w:tc>
        <w:tc>
          <w:tcPr>
            <w:tcW w:w="240" w:type="dxa"/>
            <w:vAlign w:val="bottom"/>
            <w:shd w:val="clear" w:color="auto" w:fill="DCE2EF"/>
          </w:tcPr>
          <w:p>
            <w:pPr>
              <w:spacing w:after="0"/>
              <w:rPr>
                <w:sz w:val="17"/>
                <w:szCs w:val="17"/>
                <w:color w:val="auto"/>
              </w:rPr>
            </w:pPr>
          </w:p>
        </w:tc>
        <w:tc>
          <w:tcPr>
            <w:tcW w:w="920" w:type="dxa"/>
            <w:vAlign w:val="bottom"/>
            <w:gridSpan w:val="2"/>
            <w:shd w:val="clear" w:color="auto" w:fill="DCE2EF"/>
          </w:tcPr>
          <w:p>
            <w:pPr>
              <w:jc w:val="right"/>
              <w:ind w:right="140"/>
              <w:spacing w:after="0"/>
              <w:rPr>
                <w:sz w:val="20"/>
                <w:szCs w:val="20"/>
                <w:color w:val="auto"/>
              </w:rPr>
            </w:pPr>
            <w:r>
              <w:rPr>
                <w:rFonts w:ascii="Arial" w:cs="Arial" w:eastAsia="Arial" w:hAnsi="Arial"/>
                <w:sz w:val="15"/>
                <w:szCs w:val="15"/>
                <w:color w:val="auto"/>
              </w:rPr>
              <w:t>—</w:t>
            </w:r>
          </w:p>
        </w:tc>
        <w:tc>
          <w:tcPr>
            <w:tcW w:w="180" w:type="dxa"/>
            <w:vAlign w:val="bottom"/>
            <w:shd w:val="clear" w:color="auto" w:fill="DCE2EF"/>
          </w:tcPr>
          <w:p>
            <w:pPr>
              <w:spacing w:after="0"/>
              <w:rPr>
                <w:sz w:val="17"/>
                <w:szCs w:val="17"/>
                <w:color w:val="auto"/>
              </w:rPr>
            </w:pPr>
          </w:p>
        </w:tc>
        <w:tc>
          <w:tcPr>
            <w:tcW w:w="900" w:type="dxa"/>
            <w:vAlign w:val="bottom"/>
            <w:shd w:val="clear" w:color="auto" w:fill="DCE2EF"/>
          </w:tcPr>
          <w:p>
            <w:pPr>
              <w:jc w:val="right"/>
              <w:spacing w:after="0"/>
              <w:rPr>
                <w:sz w:val="20"/>
                <w:szCs w:val="20"/>
                <w:color w:val="auto"/>
              </w:rPr>
            </w:pPr>
            <w:r>
              <w:rPr>
                <w:rFonts w:ascii="Arial" w:cs="Arial" w:eastAsia="Arial" w:hAnsi="Arial"/>
                <w:sz w:val="15"/>
                <w:szCs w:val="15"/>
                <w:color w:val="auto"/>
              </w:rPr>
              <w:t>461.8</w:t>
            </w:r>
          </w:p>
        </w:tc>
        <w:tc>
          <w:tcPr>
            <w:tcW w:w="80" w:type="dxa"/>
            <w:vAlign w:val="bottom"/>
            <w:shd w:val="clear" w:color="auto" w:fill="DCE2EF"/>
          </w:tcPr>
          <w:p>
            <w:pPr>
              <w:spacing w:after="0"/>
              <w:rPr>
                <w:sz w:val="17"/>
                <w:szCs w:val="17"/>
                <w:color w:val="auto"/>
              </w:rPr>
            </w:pPr>
          </w:p>
        </w:tc>
        <w:tc>
          <w:tcPr>
            <w:tcW w:w="140" w:type="dxa"/>
            <w:vAlign w:val="bottom"/>
            <w:shd w:val="clear" w:color="auto" w:fill="DCE2EF"/>
          </w:tcPr>
          <w:p>
            <w:pPr>
              <w:spacing w:after="0"/>
              <w:rPr>
                <w:sz w:val="17"/>
                <w:szCs w:val="17"/>
                <w:color w:val="auto"/>
              </w:rPr>
            </w:pPr>
          </w:p>
        </w:tc>
        <w:tc>
          <w:tcPr>
            <w:tcW w:w="1040" w:type="dxa"/>
            <w:vAlign w:val="bottom"/>
            <w:gridSpan w:val="2"/>
            <w:shd w:val="clear" w:color="auto" w:fill="DCE2EF"/>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shd w:val="clear" w:color="auto" w:fill="DCE2EF"/>
          </w:tcPr>
          <w:p>
            <w:pPr>
              <w:spacing w:after="0"/>
              <w:rPr>
                <w:sz w:val="17"/>
                <w:szCs w:val="17"/>
                <w:color w:val="auto"/>
              </w:rPr>
            </w:pPr>
          </w:p>
        </w:tc>
        <w:tc>
          <w:tcPr>
            <w:tcW w:w="1000" w:type="dxa"/>
            <w:vAlign w:val="bottom"/>
            <w:gridSpan w:val="2"/>
            <w:shd w:val="clear" w:color="auto" w:fill="DCE2EF"/>
          </w:tcPr>
          <w:p>
            <w:pPr>
              <w:jc w:val="right"/>
              <w:ind w:right="160"/>
              <w:spacing w:after="0"/>
              <w:rPr>
                <w:sz w:val="20"/>
                <w:szCs w:val="20"/>
                <w:color w:val="auto"/>
              </w:rPr>
            </w:pPr>
            <w:r>
              <w:rPr>
                <w:rFonts w:ascii="Arial" w:cs="Arial" w:eastAsia="Arial" w:hAnsi="Arial"/>
                <w:sz w:val="15"/>
                <w:szCs w:val="15"/>
                <w:color w:val="auto"/>
              </w:rPr>
              <w:t>—</w:t>
            </w:r>
          </w:p>
        </w:tc>
        <w:tc>
          <w:tcPr>
            <w:tcW w:w="240" w:type="dxa"/>
            <w:vAlign w:val="bottom"/>
            <w:shd w:val="clear" w:color="auto" w:fill="DCE2EF"/>
          </w:tcPr>
          <w:p>
            <w:pPr>
              <w:spacing w:after="0"/>
              <w:rPr>
                <w:sz w:val="17"/>
                <w:szCs w:val="17"/>
                <w:color w:val="auto"/>
              </w:rPr>
            </w:pPr>
          </w:p>
        </w:tc>
        <w:tc>
          <w:tcPr>
            <w:tcW w:w="840" w:type="dxa"/>
            <w:vAlign w:val="bottom"/>
            <w:shd w:val="clear" w:color="auto" w:fill="DCE2EF"/>
          </w:tcPr>
          <w:p>
            <w:pPr>
              <w:jc w:val="right"/>
              <w:ind w:right="3"/>
              <w:spacing w:after="0"/>
              <w:rPr>
                <w:sz w:val="20"/>
                <w:szCs w:val="20"/>
                <w:color w:val="auto"/>
              </w:rPr>
            </w:pPr>
            <w:r>
              <w:rPr>
                <w:rFonts w:ascii="Arial" w:cs="Arial" w:eastAsia="Arial" w:hAnsi="Arial"/>
                <w:sz w:val="15"/>
                <w:szCs w:val="15"/>
                <w:color w:val="auto"/>
              </w:rPr>
              <w:t>461.8</w:t>
            </w:r>
          </w:p>
        </w:tc>
        <w:tc>
          <w:tcPr>
            <w:tcW w:w="0" w:type="dxa"/>
            <w:vAlign w:val="bottom"/>
          </w:tcPr>
          <w:p>
            <w:pPr>
              <w:spacing w:after="0"/>
              <w:rPr>
                <w:sz w:val="1"/>
                <w:szCs w:val="1"/>
                <w:color w:val="auto"/>
              </w:rPr>
            </w:pPr>
          </w:p>
        </w:tc>
      </w:tr>
      <w:tr>
        <w:trPr>
          <w:trHeight w:val="206"/>
        </w:trPr>
        <w:tc>
          <w:tcPr>
            <w:tcW w:w="20" w:type="dxa"/>
            <w:vAlign w:val="bottom"/>
            <w:tcBorders>
              <w:bottom w:val="single" w:sz="8" w:color="DCE2EF"/>
            </w:tcBorders>
          </w:tcPr>
          <w:p>
            <w:pPr>
              <w:spacing w:after="0"/>
              <w:rPr>
                <w:sz w:val="17"/>
                <w:szCs w:val="17"/>
                <w:color w:val="auto"/>
              </w:rPr>
            </w:pPr>
          </w:p>
        </w:tc>
        <w:tc>
          <w:tcPr>
            <w:tcW w:w="4280" w:type="dxa"/>
            <w:vAlign w:val="bottom"/>
            <w:tcBorders>
              <w:bottom w:val="single" w:sz="8" w:color="DCE2EF"/>
            </w:tcBorders>
            <w:gridSpan w:val="2"/>
          </w:tcPr>
          <w:p>
            <w:pPr>
              <w:ind w:left="100"/>
              <w:spacing w:after="0" w:line="207" w:lineRule="exact"/>
              <w:rPr>
                <w:sz w:val="20"/>
                <w:szCs w:val="20"/>
                <w:color w:val="auto"/>
              </w:rPr>
            </w:pPr>
            <w:r>
              <w:rPr>
                <w:rFonts w:ascii="Arial" w:cs="Arial" w:eastAsia="Arial" w:hAnsi="Arial"/>
                <w:sz w:val="15"/>
                <w:szCs w:val="15"/>
                <w:color w:val="auto"/>
              </w:rPr>
              <w:t>Parking and Transportation</w:t>
            </w:r>
            <w:r>
              <w:rPr>
                <w:rFonts w:ascii="Arial" w:cs="Arial" w:eastAsia="Arial" w:hAnsi="Arial"/>
                <w:sz w:val="20"/>
                <w:szCs w:val="20"/>
                <w:color w:val="auto"/>
                <w:vertAlign w:val="superscript"/>
              </w:rPr>
              <w:t>(3)</w:t>
            </w:r>
          </w:p>
        </w:tc>
        <w:tc>
          <w:tcPr>
            <w:tcW w:w="2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418.9</w:t>
            </w:r>
          </w:p>
        </w:tc>
        <w:tc>
          <w:tcPr>
            <w:tcW w:w="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51.2</w:t>
            </w:r>
          </w:p>
        </w:tc>
        <w:tc>
          <w:tcPr>
            <w:tcW w:w="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334.5</w:t>
            </w:r>
          </w:p>
        </w:tc>
        <w:tc>
          <w:tcPr>
            <w:tcW w:w="80" w:type="dxa"/>
            <w:vAlign w:val="bottom"/>
            <w:tcBorders>
              <w:bottom w:val="single" w:sz="8" w:color="DCE2E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0.4</w:t>
            </w: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804.9</w:t>
            </w:r>
          </w:p>
        </w:tc>
        <w:tc>
          <w:tcPr>
            <w:tcW w:w="0" w:type="dxa"/>
            <w:vAlign w:val="bottom"/>
          </w:tcPr>
          <w:p>
            <w:pPr>
              <w:spacing w:after="0"/>
              <w:rPr>
                <w:sz w:val="1"/>
                <w:szCs w:val="1"/>
                <w:color w:val="auto"/>
              </w:rPr>
            </w:pPr>
          </w:p>
        </w:tc>
      </w:tr>
      <w:tr>
        <w:trPr>
          <w:trHeight w:val="199"/>
        </w:trPr>
        <w:tc>
          <w:tcPr>
            <w:tcW w:w="20" w:type="dxa"/>
            <w:vAlign w:val="bottom"/>
            <w:shd w:val="clear" w:color="auto" w:fill="DCE2EF"/>
          </w:tcPr>
          <w:p>
            <w:pPr>
              <w:spacing w:after="0"/>
              <w:rPr>
                <w:sz w:val="17"/>
                <w:szCs w:val="17"/>
                <w:color w:val="auto"/>
              </w:rPr>
            </w:pPr>
          </w:p>
        </w:tc>
        <w:tc>
          <w:tcPr>
            <w:tcW w:w="4280" w:type="dxa"/>
            <w:vAlign w:val="bottom"/>
            <w:gridSpan w:val="2"/>
            <w:shd w:val="clear" w:color="auto" w:fill="DCE2EF"/>
          </w:tcPr>
          <w:p>
            <w:pPr>
              <w:ind w:left="100"/>
              <w:spacing w:after="0"/>
              <w:rPr>
                <w:sz w:val="20"/>
                <w:szCs w:val="20"/>
                <w:color w:val="auto"/>
              </w:rPr>
            </w:pPr>
            <w:r>
              <w:rPr>
                <w:rFonts w:ascii="Arial" w:cs="Arial" w:eastAsia="Arial" w:hAnsi="Arial"/>
                <w:sz w:val="15"/>
                <w:szCs w:val="15"/>
                <w:b w:val="1"/>
                <w:bCs w:val="1"/>
                <w:color w:val="auto"/>
              </w:rPr>
              <w:t>Facility Solutions</w:t>
            </w:r>
          </w:p>
        </w:tc>
        <w:tc>
          <w:tcPr>
            <w:tcW w:w="260" w:type="dxa"/>
            <w:vAlign w:val="bottom"/>
            <w:shd w:val="clear" w:color="auto" w:fill="DCE2EF"/>
          </w:tcPr>
          <w:p>
            <w:pPr>
              <w:jc w:val="right"/>
              <w:ind w:right="63"/>
              <w:spacing w:after="0"/>
              <w:rPr>
                <w:sz w:val="20"/>
                <w:szCs w:val="20"/>
                <w:color w:val="auto"/>
              </w:rPr>
            </w:pPr>
            <w:r>
              <w:rPr>
                <w:rFonts w:ascii="Arial" w:cs="Arial" w:eastAsia="Arial" w:hAnsi="Arial"/>
                <w:sz w:val="15"/>
                <w:szCs w:val="15"/>
                <w:b w:val="1"/>
                <w:bCs w:val="1"/>
                <w:color w:val="auto"/>
              </w:rPr>
              <w:t>$</w:t>
            </w:r>
          </w:p>
        </w:tc>
        <w:tc>
          <w:tcPr>
            <w:tcW w:w="820" w:type="dxa"/>
            <w:vAlign w:val="bottom"/>
            <w:shd w:val="clear" w:color="auto" w:fill="DCE2EF"/>
          </w:tcPr>
          <w:p>
            <w:pPr>
              <w:jc w:val="right"/>
              <w:spacing w:after="0"/>
              <w:rPr>
                <w:sz w:val="20"/>
                <w:szCs w:val="20"/>
                <w:color w:val="auto"/>
              </w:rPr>
            </w:pPr>
            <w:r>
              <w:rPr>
                <w:rFonts w:ascii="Arial" w:cs="Arial" w:eastAsia="Arial" w:hAnsi="Arial"/>
                <w:sz w:val="15"/>
                <w:szCs w:val="15"/>
                <w:b w:val="1"/>
                <w:bCs w:val="1"/>
                <w:color w:val="auto"/>
              </w:rPr>
              <w:t>3,200.2</w:t>
            </w:r>
          </w:p>
        </w:tc>
        <w:tc>
          <w:tcPr>
            <w:tcW w:w="80" w:type="dxa"/>
            <w:vAlign w:val="bottom"/>
            <w:shd w:val="clear" w:color="auto" w:fill="DCE2EF"/>
          </w:tcPr>
          <w:p>
            <w:pPr>
              <w:spacing w:after="0"/>
              <w:rPr>
                <w:sz w:val="17"/>
                <w:szCs w:val="17"/>
                <w:color w:val="auto"/>
              </w:rPr>
            </w:pPr>
          </w:p>
        </w:tc>
        <w:tc>
          <w:tcPr>
            <w:tcW w:w="240" w:type="dxa"/>
            <w:vAlign w:val="bottom"/>
            <w:shd w:val="clear" w:color="auto" w:fill="DCE2EF"/>
          </w:tcPr>
          <w:p>
            <w:pPr>
              <w:jc w:val="right"/>
              <w:ind w:right="43"/>
              <w:spacing w:after="0"/>
              <w:rPr>
                <w:sz w:val="20"/>
                <w:szCs w:val="20"/>
                <w:color w:val="auto"/>
              </w:rPr>
            </w:pPr>
            <w:r>
              <w:rPr>
                <w:rFonts w:ascii="Arial" w:cs="Arial" w:eastAsia="Arial" w:hAnsi="Arial"/>
                <w:sz w:val="15"/>
                <w:szCs w:val="15"/>
                <w:b w:val="1"/>
                <w:bCs w:val="1"/>
                <w:color w:val="auto"/>
              </w:rPr>
              <w:t>$</w:t>
            </w:r>
          </w:p>
        </w:tc>
        <w:tc>
          <w:tcPr>
            <w:tcW w:w="840" w:type="dxa"/>
            <w:vAlign w:val="bottom"/>
            <w:shd w:val="clear" w:color="auto" w:fill="DCE2EF"/>
          </w:tcPr>
          <w:p>
            <w:pPr>
              <w:jc w:val="right"/>
              <w:spacing w:after="0"/>
              <w:rPr>
                <w:sz w:val="20"/>
                <w:szCs w:val="20"/>
                <w:color w:val="auto"/>
              </w:rPr>
            </w:pPr>
            <w:r>
              <w:rPr>
                <w:rFonts w:ascii="Arial" w:cs="Arial" w:eastAsia="Arial" w:hAnsi="Arial"/>
                <w:sz w:val="15"/>
                <w:szCs w:val="15"/>
                <w:b w:val="1"/>
                <w:bCs w:val="1"/>
                <w:color w:val="auto"/>
              </w:rPr>
              <w:t>1,398.2</w:t>
            </w:r>
          </w:p>
        </w:tc>
        <w:tc>
          <w:tcPr>
            <w:tcW w:w="80" w:type="dxa"/>
            <w:vAlign w:val="bottom"/>
            <w:shd w:val="clear" w:color="auto" w:fill="DCE2EF"/>
          </w:tcPr>
          <w:p>
            <w:pPr>
              <w:spacing w:after="0"/>
              <w:rPr>
                <w:sz w:val="17"/>
                <w:szCs w:val="17"/>
                <w:color w:val="auto"/>
              </w:rPr>
            </w:pPr>
          </w:p>
        </w:tc>
        <w:tc>
          <w:tcPr>
            <w:tcW w:w="180" w:type="dxa"/>
            <w:vAlign w:val="bottom"/>
            <w:shd w:val="clear" w:color="auto" w:fill="DCE2EF"/>
          </w:tcPr>
          <w:p>
            <w:pPr>
              <w:jc w:val="right"/>
              <w:spacing w:after="0"/>
              <w:rPr>
                <w:sz w:val="20"/>
                <w:szCs w:val="20"/>
                <w:color w:val="auto"/>
              </w:rPr>
            </w:pPr>
            <w:r>
              <w:rPr>
                <w:rFonts w:ascii="Arial" w:cs="Arial" w:eastAsia="Arial" w:hAnsi="Arial"/>
                <w:sz w:val="15"/>
                <w:szCs w:val="15"/>
                <w:b w:val="1"/>
                <w:bCs w:val="1"/>
                <w:color w:val="auto"/>
              </w:rPr>
              <w:t>$</w:t>
            </w:r>
          </w:p>
        </w:tc>
        <w:tc>
          <w:tcPr>
            <w:tcW w:w="900" w:type="dxa"/>
            <w:vAlign w:val="bottom"/>
            <w:shd w:val="clear" w:color="auto" w:fill="DCE2EF"/>
          </w:tcPr>
          <w:p>
            <w:pPr>
              <w:jc w:val="right"/>
              <w:spacing w:after="0"/>
              <w:rPr>
                <w:sz w:val="20"/>
                <w:szCs w:val="20"/>
                <w:color w:val="auto"/>
              </w:rPr>
            </w:pPr>
            <w:r>
              <w:rPr>
                <w:rFonts w:ascii="Arial" w:cs="Arial" w:eastAsia="Arial" w:hAnsi="Arial"/>
                <w:sz w:val="15"/>
                <w:szCs w:val="15"/>
                <w:b w:val="1"/>
                <w:bCs w:val="1"/>
                <w:color w:val="auto"/>
              </w:rPr>
              <w:t>985.3</w:t>
            </w:r>
          </w:p>
        </w:tc>
        <w:tc>
          <w:tcPr>
            <w:tcW w:w="80" w:type="dxa"/>
            <w:vAlign w:val="bottom"/>
            <w:shd w:val="clear" w:color="auto" w:fill="DCE2EF"/>
          </w:tcPr>
          <w:p>
            <w:pPr>
              <w:spacing w:after="0"/>
              <w:rPr>
                <w:sz w:val="17"/>
                <w:szCs w:val="17"/>
                <w:color w:val="auto"/>
              </w:rPr>
            </w:pPr>
          </w:p>
        </w:tc>
        <w:tc>
          <w:tcPr>
            <w:tcW w:w="140" w:type="dxa"/>
            <w:vAlign w:val="bottom"/>
            <w:shd w:val="clear" w:color="auto" w:fill="DCE2EF"/>
          </w:tcPr>
          <w:p>
            <w:pPr>
              <w:jc w:val="right"/>
              <w:spacing w:after="0"/>
              <w:rPr>
                <w:sz w:val="20"/>
                <w:szCs w:val="20"/>
                <w:color w:val="auto"/>
              </w:rPr>
            </w:pPr>
            <w:r>
              <w:rPr>
                <w:rFonts w:ascii="Arial" w:cs="Arial" w:eastAsia="Arial" w:hAnsi="Arial"/>
                <w:sz w:val="15"/>
                <w:szCs w:val="15"/>
                <w:b w:val="1"/>
                <w:bCs w:val="1"/>
                <w:color w:val="auto"/>
              </w:rPr>
              <w:t>$</w:t>
            </w:r>
          </w:p>
        </w:tc>
        <w:tc>
          <w:tcPr>
            <w:tcW w:w="960" w:type="dxa"/>
            <w:vAlign w:val="bottom"/>
            <w:shd w:val="clear" w:color="auto" w:fill="DCE2EF"/>
          </w:tcPr>
          <w:p>
            <w:pPr>
              <w:jc w:val="right"/>
              <w:ind w:right="3"/>
              <w:spacing w:after="0"/>
              <w:rPr>
                <w:sz w:val="20"/>
                <w:szCs w:val="20"/>
                <w:color w:val="auto"/>
              </w:rPr>
            </w:pPr>
            <w:r>
              <w:rPr>
                <w:rFonts w:ascii="Arial" w:cs="Arial" w:eastAsia="Arial" w:hAnsi="Arial"/>
                <w:sz w:val="15"/>
                <w:szCs w:val="15"/>
                <w:b w:val="1"/>
                <w:bCs w:val="1"/>
                <w:color w:val="auto"/>
              </w:rPr>
              <w:t>799.1</w:t>
            </w:r>
          </w:p>
        </w:tc>
        <w:tc>
          <w:tcPr>
            <w:tcW w:w="80" w:type="dxa"/>
            <w:vAlign w:val="bottom"/>
            <w:shd w:val="clear" w:color="auto" w:fill="DCE2EF"/>
          </w:tcPr>
          <w:p>
            <w:pPr>
              <w:spacing w:after="0"/>
              <w:rPr>
                <w:sz w:val="17"/>
                <w:szCs w:val="17"/>
                <w:color w:val="auto"/>
              </w:rPr>
            </w:pPr>
          </w:p>
        </w:tc>
        <w:tc>
          <w:tcPr>
            <w:tcW w:w="160" w:type="dxa"/>
            <w:vAlign w:val="bottom"/>
            <w:shd w:val="clear" w:color="auto" w:fill="DCE2EF"/>
          </w:tcPr>
          <w:p>
            <w:pPr>
              <w:jc w:val="right"/>
              <w:spacing w:after="0"/>
              <w:rPr>
                <w:sz w:val="20"/>
                <w:szCs w:val="20"/>
                <w:color w:val="auto"/>
              </w:rPr>
            </w:pPr>
            <w:r>
              <w:rPr>
                <w:rFonts w:ascii="Arial" w:cs="Arial" w:eastAsia="Arial" w:hAnsi="Arial"/>
                <w:sz w:val="15"/>
                <w:szCs w:val="15"/>
                <w:b w:val="1"/>
                <w:bCs w:val="1"/>
                <w:color w:val="auto"/>
                <w:w w:val="95"/>
              </w:rPr>
              <w:t>$</w:t>
            </w:r>
          </w:p>
        </w:tc>
        <w:tc>
          <w:tcPr>
            <w:tcW w:w="1000" w:type="dxa"/>
            <w:vAlign w:val="bottom"/>
            <w:gridSpan w:val="2"/>
            <w:shd w:val="clear" w:color="auto" w:fill="DCE2EF"/>
          </w:tcPr>
          <w:p>
            <w:pPr>
              <w:jc w:val="right"/>
              <w:ind w:right="160"/>
              <w:spacing w:after="0"/>
              <w:rPr>
                <w:sz w:val="20"/>
                <w:szCs w:val="20"/>
                <w:color w:val="auto"/>
              </w:rPr>
            </w:pPr>
            <w:r>
              <w:rPr>
                <w:rFonts w:ascii="Arial" w:cs="Arial" w:eastAsia="Arial" w:hAnsi="Arial"/>
                <w:sz w:val="15"/>
                <w:szCs w:val="15"/>
                <w:b w:val="1"/>
                <w:bCs w:val="1"/>
                <w:color w:val="auto"/>
              </w:rPr>
              <w:t>—</w:t>
            </w:r>
          </w:p>
        </w:tc>
        <w:tc>
          <w:tcPr>
            <w:tcW w:w="240" w:type="dxa"/>
            <w:vAlign w:val="bottom"/>
            <w:shd w:val="clear" w:color="auto" w:fill="DCE2EF"/>
          </w:tcPr>
          <w:p>
            <w:pPr>
              <w:jc w:val="right"/>
              <w:ind w:right="63"/>
              <w:spacing w:after="0"/>
              <w:rPr>
                <w:sz w:val="20"/>
                <w:szCs w:val="20"/>
                <w:color w:val="auto"/>
              </w:rPr>
            </w:pPr>
            <w:r>
              <w:rPr>
                <w:rFonts w:ascii="Arial" w:cs="Arial" w:eastAsia="Arial" w:hAnsi="Arial"/>
                <w:sz w:val="15"/>
                <w:szCs w:val="15"/>
                <w:b w:val="1"/>
                <w:bCs w:val="1"/>
                <w:color w:val="auto"/>
                <w:w w:val="95"/>
              </w:rPr>
              <w:t>$</w:t>
            </w:r>
          </w:p>
        </w:tc>
        <w:tc>
          <w:tcPr>
            <w:tcW w:w="840" w:type="dxa"/>
            <w:vAlign w:val="bottom"/>
            <w:shd w:val="clear" w:color="auto" w:fill="DCE2EF"/>
          </w:tcPr>
          <w:p>
            <w:pPr>
              <w:jc w:val="right"/>
              <w:ind w:right="3"/>
              <w:spacing w:after="0"/>
              <w:rPr>
                <w:sz w:val="20"/>
                <w:szCs w:val="20"/>
                <w:color w:val="auto"/>
              </w:rPr>
            </w:pPr>
            <w:r>
              <w:rPr>
                <w:rFonts w:ascii="Arial" w:cs="Arial" w:eastAsia="Arial" w:hAnsi="Arial"/>
                <w:sz w:val="15"/>
                <w:szCs w:val="15"/>
                <w:b w:val="1"/>
                <w:bCs w:val="1"/>
                <w:color w:val="auto"/>
              </w:rPr>
              <w:t>6,382.8</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280" w:type="dxa"/>
            <w:vAlign w:val="bottom"/>
            <w:gridSpan w:val="2"/>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2"/>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shd w:val="clear" w:color="auto" w:fill="DCE2EF"/>
          </w:tcPr>
          <w:p>
            <w:pPr>
              <w:spacing w:after="0"/>
              <w:rPr>
                <w:sz w:val="17"/>
                <w:szCs w:val="17"/>
                <w:color w:val="auto"/>
              </w:rPr>
            </w:pPr>
          </w:p>
        </w:tc>
        <w:tc>
          <w:tcPr>
            <w:tcW w:w="4280" w:type="dxa"/>
            <w:vAlign w:val="bottom"/>
            <w:gridSpan w:val="2"/>
            <w:shd w:val="clear" w:color="auto" w:fill="DCE2EF"/>
          </w:tcPr>
          <w:p>
            <w:pPr>
              <w:ind w:left="100"/>
              <w:spacing w:after="0" w:line="207" w:lineRule="exact"/>
              <w:rPr>
                <w:sz w:val="20"/>
                <w:szCs w:val="20"/>
                <w:color w:val="auto"/>
              </w:rPr>
            </w:pPr>
            <w:r>
              <w:rPr>
                <w:rFonts w:ascii="Arial" w:cs="Arial" w:eastAsia="Arial" w:hAnsi="Arial"/>
                <w:sz w:val="15"/>
                <w:szCs w:val="15"/>
                <w:color w:val="auto"/>
              </w:rPr>
              <w:t>Operations and Maintenance</w:t>
            </w:r>
            <w:r>
              <w:rPr>
                <w:rFonts w:ascii="Arial" w:cs="Arial" w:eastAsia="Arial" w:hAnsi="Arial"/>
                <w:sz w:val="20"/>
                <w:szCs w:val="20"/>
                <w:color w:val="auto"/>
                <w:vertAlign w:val="superscript"/>
              </w:rPr>
              <w:t>(4)</w:t>
            </w:r>
          </w:p>
        </w:tc>
        <w:tc>
          <w:tcPr>
            <w:tcW w:w="260" w:type="dxa"/>
            <w:vAlign w:val="bottom"/>
            <w:shd w:val="clear" w:color="auto" w:fill="DCE2EF"/>
          </w:tcPr>
          <w:p>
            <w:pPr>
              <w:spacing w:after="0"/>
              <w:rPr>
                <w:sz w:val="17"/>
                <w:szCs w:val="17"/>
                <w:color w:val="auto"/>
              </w:rPr>
            </w:pPr>
          </w:p>
        </w:tc>
        <w:tc>
          <w:tcPr>
            <w:tcW w:w="820" w:type="dxa"/>
            <w:vAlign w:val="bottom"/>
            <w:shd w:val="clear" w:color="auto" w:fill="DCE2EF"/>
          </w:tcPr>
          <w:p>
            <w:pPr>
              <w:jc w:val="right"/>
              <w:spacing w:after="0"/>
              <w:rPr>
                <w:sz w:val="20"/>
                <w:szCs w:val="20"/>
                <w:color w:val="auto"/>
              </w:rPr>
            </w:pPr>
            <w:r>
              <w:rPr>
                <w:rFonts w:ascii="Arial" w:cs="Arial" w:eastAsia="Arial" w:hAnsi="Arial"/>
                <w:sz w:val="15"/>
                <w:szCs w:val="15"/>
                <w:color w:val="auto"/>
              </w:rPr>
              <w:t>858.9</w:t>
            </w:r>
          </w:p>
        </w:tc>
        <w:tc>
          <w:tcPr>
            <w:tcW w:w="80" w:type="dxa"/>
            <w:vAlign w:val="bottom"/>
            <w:shd w:val="clear" w:color="auto" w:fill="DCE2EF"/>
          </w:tcPr>
          <w:p>
            <w:pPr>
              <w:spacing w:after="0"/>
              <w:rPr>
                <w:sz w:val="17"/>
                <w:szCs w:val="17"/>
                <w:color w:val="auto"/>
              </w:rPr>
            </w:pPr>
          </w:p>
        </w:tc>
        <w:tc>
          <w:tcPr>
            <w:tcW w:w="240" w:type="dxa"/>
            <w:vAlign w:val="bottom"/>
            <w:shd w:val="clear" w:color="auto" w:fill="DCE2EF"/>
          </w:tcPr>
          <w:p>
            <w:pPr>
              <w:spacing w:after="0"/>
              <w:rPr>
                <w:sz w:val="17"/>
                <w:szCs w:val="17"/>
                <w:color w:val="auto"/>
              </w:rPr>
            </w:pPr>
          </w:p>
        </w:tc>
        <w:tc>
          <w:tcPr>
            <w:tcW w:w="840" w:type="dxa"/>
            <w:vAlign w:val="bottom"/>
            <w:shd w:val="clear" w:color="auto" w:fill="DCE2EF"/>
          </w:tcPr>
          <w:p>
            <w:pPr>
              <w:jc w:val="right"/>
              <w:spacing w:after="0"/>
              <w:rPr>
                <w:sz w:val="20"/>
                <w:szCs w:val="20"/>
                <w:color w:val="auto"/>
              </w:rPr>
            </w:pPr>
            <w:r>
              <w:rPr>
                <w:rFonts w:ascii="Arial" w:cs="Arial" w:eastAsia="Arial" w:hAnsi="Arial"/>
                <w:sz w:val="15"/>
                <w:szCs w:val="15"/>
                <w:color w:val="auto"/>
              </w:rPr>
              <w:t>156.1</w:t>
            </w:r>
          </w:p>
        </w:tc>
        <w:tc>
          <w:tcPr>
            <w:tcW w:w="80" w:type="dxa"/>
            <w:vAlign w:val="bottom"/>
            <w:shd w:val="clear" w:color="auto" w:fill="DCE2EF"/>
          </w:tcPr>
          <w:p>
            <w:pPr>
              <w:spacing w:after="0"/>
              <w:rPr>
                <w:sz w:val="17"/>
                <w:szCs w:val="17"/>
                <w:color w:val="auto"/>
              </w:rPr>
            </w:pPr>
          </w:p>
        </w:tc>
        <w:tc>
          <w:tcPr>
            <w:tcW w:w="180" w:type="dxa"/>
            <w:vAlign w:val="bottom"/>
            <w:shd w:val="clear" w:color="auto" w:fill="DCE2EF"/>
          </w:tcPr>
          <w:p>
            <w:pPr>
              <w:spacing w:after="0"/>
              <w:rPr>
                <w:sz w:val="17"/>
                <w:szCs w:val="17"/>
                <w:color w:val="auto"/>
              </w:rPr>
            </w:pPr>
          </w:p>
        </w:tc>
        <w:tc>
          <w:tcPr>
            <w:tcW w:w="900" w:type="dxa"/>
            <w:vAlign w:val="bottom"/>
            <w:shd w:val="clear" w:color="auto" w:fill="DCE2EF"/>
          </w:tcPr>
          <w:p>
            <w:pPr>
              <w:jc w:val="right"/>
              <w:spacing w:after="0"/>
              <w:rPr>
                <w:sz w:val="20"/>
                <w:szCs w:val="20"/>
                <w:color w:val="auto"/>
              </w:rPr>
            </w:pPr>
            <w:r>
              <w:rPr>
                <w:rFonts w:ascii="Arial" w:cs="Arial" w:eastAsia="Arial" w:hAnsi="Arial"/>
                <w:sz w:val="15"/>
                <w:szCs w:val="15"/>
                <w:color w:val="auto"/>
              </w:rPr>
              <w:t>47.3</w:t>
            </w:r>
          </w:p>
        </w:tc>
        <w:tc>
          <w:tcPr>
            <w:tcW w:w="80" w:type="dxa"/>
            <w:vAlign w:val="bottom"/>
            <w:shd w:val="clear" w:color="auto" w:fill="DCE2EF"/>
          </w:tcPr>
          <w:p>
            <w:pPr>
              <w:spacing w:after="0"/>
              <w:rPr>
                <w:sz w:val="17"/>
                <w:szCs w:val="17"/>
                <w:color w:val="auto"/>
              </w:rPr>
            </w:pPr>
          </w:p>
        </w:tc>
        <w:tc>
          <w:tcPr>
            <w:tcW w:w="140" w:type="dxa"/>
            <w:vAlign w:val="bottom"/>
            <w:shd w:val="clear" w:color="auto" w:fill="DCE2EF"/>
          </w:tcPr>
          <w:p>
            <w:pPr>
              <w:spacing w:after="0"/>
              <w:rPr>
                <w:sz w:val="17"/>
                <w:szCs w:val="17"/>
                <w:color w:val="auto"/>
              </w:rPr>
            </w:pPr>
          </w:p>
        </w:tc>
        <w:tc>
          <w:tcPr>
            <w:tcW w:w="960" w:type="dxa"/>
            <w:vAlign w:val="bottom"/>
            <w:shd w:val="clear" w:color="auto" w:fill="DCE2EF"/>
          </w:tcPr>
          <w:p>
            <w:pPr>
              <w:jc w:val="right"/>
              <w:ind w:right="3"/>
              <w:spacing w:after="0"/>
              <w:rPr>
                <w:sz w:val="20"/>
                <w:szCs w:val="20"/>
                <w:color w:val="auto"/>
              </w:rPr>
            </w:pPr>
            <w:r>
              <w:rPr>
                <w:rFonts w:ascii="Arial" w:cs="Arial" w:eastAsia="Arial" w:hAnsi="Arial"/>
                <w:sz w:val="15"/>
                <w:szCs w:val="15"/>
                <w:color w:val="auto"/>
              </w:rPr>
              <w:t>105.0</w:t>
            </w:r>
          </w:p>
        </w:tc>
        <w:tc>
          <w:tcPr>
            <w:tcW w:w="80" w:type="dxa"/>
            <w:vAlign w:val="bottom"/>
            <w:shd w:val="clear" w:color="auto" w:fill="DCE2EF"/>
          </w:tcPr>
          <w:p>
            <w:pPr>
              <w:spacing w:after="0"/>
              <w:rPr>
                <w:sz w:val="17"/>
                <w:szCs w:val="17"/>
                <w:color w:val="auto"/>
              </w:rPr>
            </w:pPr>
          </w:p>
        </w:tc>
        <w:tc>
          <w:tcPr>
            <w:tcW w:w="160" w:type="dxa"/>
            <w:vAlign w:val="bottom"/>
            <w:shd w:val="clear" w:color="auto" w:fill="DCE2EF"/>
          </w:tcPr>
          <w:p>
            <w:pPr>
              <w:spacing w:after="0"/>
              <w:rPr>
                <w:sz w:val="17"/>
                <w:szCs w:val="17"/>
                <w:color w:val="auto"/>
              </w:rPr>
            </w:pPr>
          </w:p>
        </w:tc>
        <w:tc>
          <w:tcPr>
            <w:tcW w:w="1000" w:type="dxa"/>
            <w:vAlign w:val="bottom"/>
            <w:gridSpan w:val="2"/>
            <w:shd w:val="clear" w:color="auto" w:fill="DCE2EF"/>
          </w:tcPr>
          <w:p>
            <w:pPr>
              <w:jc w:val="right"/>
              <w:ind w:right="160"/>
              <w:spacing w:after="0"/>
              <w:rPr>
                <w:sz w:val="20"/>
                <w:szCs w:val="20"/>
                <w:color w:val="auto"/>
              </w:rPr>
            </w:pPr>
            <w:r>
              <w:rPr>
                <w:rFonts w:ascii="Arial" w:cs="Arial" w:eastAsia="Arial" w:hAnsi="Arial"/>
                <w:sz w:val="15"/>
                <w:szCs w:val="15"/>
                <w:color w:val="auto"/>
              </w:rPr>
              <w:t>—</w:t>
            </w:r>
          </w:p>
        </w:tc>
        <w:tc>
          <w:tcPr>
            <w:tcW w:w="240" w:type="dxa"/>
            <w:vAlign w:val="bottom"/>
            <w:shd w:val="clear" w:color="auto" w:fill="DCE2EF"/>
          </w:tcPr>
          <w:p>
            <w:pPr>
              <w:spacing w:after="0"/>
              <w:rPr>
                <w:sz w:val="17"/>
                <w:szCs w:val="17"/>
                <w:color w:val="auto"/>
              </w:rPr>
            </w:pPr>
          </w:p>
        </w:tc>
        <w:tc>
          <w:tcPr>
            <w:tcW w:w="840" w:type="dxa"/>
            <w:vAlign w:val="bottom"/>
            <w:shd w:val="clear" w:color="auto" w:fill="DCE2EF"/>
          </w:tcPr>
          <w:p>
            <w:pPr>
              <w:jc w:val="right"/>
              <w:ind w:right="3"/>
              <w:spacing w:after="0"/>
              <w:rPr>
                <w:sz w:val="20"/>
                <w:szCs w:val="20"/>
                <w:color w:val="auto"/>
              </w:rPr>
            </w:pPr>
            <w:r>
              <w:rPr>
                <w:rFonts w:ascii="Arial" w:cs="Arial" w:eastAsia="Arial" w:hAnsi="Arial"/>
                <w:sz w:val="15"/>
                <w:szCs w:val="15"/>
                <w:color w:val="auto"/>
              </w:rPr>
              <w:t>1,167.2</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280" w:type="dxa"/>
            <w:vAlign w:val="bottom"/>
            <w:gridSpan w:val="2"/>
          </w:tcPr>
          <w:p>
            <w:pPr>
              <w:ind w:left="100"/>
              <w:spacing w:after="0" w:line="207" w:lineRule="exact"/>
              <w:rPr>
                <w:sz w:val="20"/>
                <w:szCs w:val="20"/>
                <w:color w:val="auto"/>
              </w:rPr>
            </w:pPr>
            <w:r>
              <w:rPr>
                <w:rFonts w:ascii="Arial" w:cs="Arial" w:eastAsia="Arial" w:hAnsi="Arial"/>
                <w:sz w:val="15"/>
                <w:szCs w:val="15"/>
                <w:color w:val="auto"/>
              </w:rPr>
              <w:t>Building &amp; Energy Solutions</w:t>
            </w:r>
            <w:r>
              <w:rPr>
                <w:rFonts w:ascii="Arial" w:cs="Arial" w:eastAsia="Arial" w:hAnsi="Arial"/>
                <w:sz w:val="20"/>
                <w:szCs w:val="20"/>
                <w:color w:val="auto"/>
                <w:vertAlign w:val="superscript"/>
              </w:rPr>
              <w:t>(5)</w:t>
            </w:r>
          </w:p>
        </w:tc>
        <w:tc>
          <w:tcPr>
            <w:tcW w:w="26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920" w:type="dxa"/>
            <w:vAlign w:val="bottom"/>
          </w:tcPr>
          <w:p>
            <w:pPr>
              <w:jc w:val="right"/>
              <w:ind w:right="3"/>
              <w:spacing w:after="0"/>
              <w:rPr>
                <w:sz w:val="20"/>
                <w:szCs w:val="20"/>
                <w:color w:val="auto"/>
              </w:rPr>
            </w:pPr>
            <w:r>
              <w:rPr>
                <w:rFonts w:ascii="Arial" w:cs="Arial" w:eastAsia="Arial" w:hAnsi="Arial"/>
                <w:sz w:val="15"/>
                <w:szCs w:val="15"/>
                <w:color w:val="auto"/>
              </w:rPr>
              <w:t>809.3</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ind w:right="3"/>
              <w:spacing w:after="0"/>
              <w:rPr>
                <w:sz w:val="20"/>
                <w:szCs w:val="20"/>
                <w:color w:val="auto"/>
              </w:rPr>
            </w:pPr>
            <w:r>
              <w:rPr>
                <w:rFonts w:ascii="Arial" w:cs="Arial" w:eastAsia="Arial" w:hAnsi="Arial"/>
                <w:sz w:val="15"/>
                <w:szCs w:val="15"/>
                <w:color w:val="auto"/>
              </w:rPr>
              <w:t>809.3</w:t>
            </w:r>
          </w:p>
        </w:tc>
        <w:tc>
          <w:tcPr>
            <w:tcW w:w="0" w:type="dxa"/>
            <w:vAlign w:val="bottom"/>
          </w:tcPr>
          <w:p>
            <w:pPr>
              <w:spacing w:after="0"/>
              <w:rPr>
                <w:sz w:val="1"/>
                <w:szCs w:val="1"/>
                <w:color w:val="auto"/>
              </w:rPr>
            </w:pPr>
          </w:p>
        </w:tc>
      </w:tr>
      <w:tr>
        <w:trPr>
          <w:trHeight w:val="199"/>
        </w:trPr>
        <w:tc>
          <w:tcPr>
            <w:tcW w:w="20" w:type="dxa"/>
            <w:vAlign w:val="bottom"/>
            <w:tcBorders>
              <w:top w:val="single" w:sz="8" w:color="DCE2EF"/>
            </w:tcBorders>
            <w:shd w:val="clear" w:color="auto" w:fill="DCE2EF"/>
          </w:tcPr>
          <w:p>
            <w:pPr>
              <w:spacing w:after="0"/>
              <w:rPr>
                <w:sz w:val="17"/>
                <w:szCs w:val="17"/>
                <w:color w:val="auto"/>
              </w:rPr>
            </w:pPr>
          </w:p>
        </w:tc>
        <w:tc>
          <w:tcPr>
            <w:tcW w:w="4280" w:type="dxa"/>
            <w:vAlign w:val="bottom"/>
            <w:tcBorders>
              <w:top w:val="single" w:sz="8" w:color="DCE2EF"/>
            </w:tcBorders>
            <w:gridSpan w:val="2"/>
            <w:shd w:val="clear" w:color="auto" w:fill="DCE2EF"/>
          </w:tcPr>
          <w:p>
            <w:pPr>
              <w:ind w:left="100"/>
              <w:spacing w:after="0"/>
              <w:rPr>
                <w:sz w:val="20"/>
                <w:szCs w:val="20"/>
                <w:color w:val="auto"/>
              </w:rPr>
            </w:pPr>
            <w:r>
              <w:rPr>
                <w:rFonts w:ascii="Arial" w:cs="Arial" w:eastAsia="Arial" w:hAnsi="Arial"/>
                <w:sz w:val="15"/>
                <w:szCs w:val="15"/>
                <w:b w:val="1"/>
                <w:bCs w:val="1"/>
                <w:color w:val="auto"/>
              </w:rPr>
              <w:t>Engineering and Infrastructure Solutions</w:t>
            </w:r>
          </w:p>
        </w:tc>
        <w:tc>
          <w:tcPr>
            <w:tcW w:w="260" w:type="dxa"/>
            <w:vAlign w:val="bottom"/>
            <w:tcBorders>
              <w:top w:val="single" w:sz="8" w:color="auto"/>
            </w:tcBorders>
            <w:shd w:val="clear" w:color="auto" w:fill="DCE2EF"/>
          </w:tcPr>
          <w:p>
            <w:pPr>
              <w:jc w:val="right"/>
              <w:ind w:right="63"/>
              <w:spacing w:after="0"/>
              <w:rPr>
                <w:sz w:val="20"/>
                <w:szCs w:val="20"/>
                <w:color w:val="auto"/>
              </w:rPr>
            </w:pPr>
            <w:r>
              <w:rPr>
                <w:rFonts w:ascii="Arial" w:cs="Arial" w:eastAsia="Arial" w:hAnsi="Arial"/>
                <w:sz w:val="15"/>
                <w:szCs w:val="15"/>
                <w:b w:val="1"/>
                <w:bCs w:val="1"/>
                <w:color w:val="auto"/>
              </w:rPr>
              <w:t>$</w:t>
            </w:r>
          </w:p>
        </w:tc>
        <w:tc>
          <w:tcPr>
            <w:tcW w:w="820" w:type="dxa"/>
            <w:vAlign w:val="bottom"/>
            <w:tcBorders>
              <w:top w:val="single" w:sz="8" w:color="auto"/>
            </w:tcBorders>
            <w:shd w:val="clear" w:color="auto" w:fill="DCE2EF"/>
          </w:tcPr>
          <w:p>
            <w:pPr>
              <w:jc w:val="right"/>
              <w:spacing w:after="0"/>
              <w:rPr>
                <w:sz w:val="20"/>
                <w:szCs w:val="20"/>
                <w:color w:val="auto"/>
              </w:rPr>
            </w:pPr>
            <w:r>
              <w:rPr>
                <w:rFonts w:ascii="Arial" w:cs="Arial" w:eastAsia="Arial" w:hAnsi="Arial"/>
                <w:sz w:val="15"/>
                <w:szCs w:val="15"/>
                <w:b w:val="1"/>
                <w:bCs w:val="1"/>
                <w:color w:val="auto"/>
              </w:rPr>
              <w:t>858.9</w:t>
            </w:r>
          </w:p>
        </w:tc>
        <w:tc>
          <w:tcPr>
            <w:tcW w:w="80" w:type="dxa"/>
            <w:vAlign w:val="bottom"/>
            <w:tcBorders>
              <w:top w:val="single" w:sz="8" w:color="auto"/>
            </w:tcBorders>
            <w:shd w:val="clear" w:color="auto" w:fill="DCE2EF"/>
          </w:tcPr>
          <w:p>
            <w:pPr>
              <w:spacing w:after="0"/>
              <w:rPr>
                <w:sz w:val="17"/>
                <w:szCs w:val="17"/>
                <w:color w:val="auto"/>
              </w:rPr>
            </w:pPr>
          </w:p>
        </w:tc>
        <w:tc>
          <w:tcPr>
            <w:tcW w:w="240" w:type="dxa"/>
            <w:vAlign w:val="bottom"/>
            <w:tcBorders>
              <w:top w:val="single" w:sz="8" w:color="auto"/>
            </w:tcBorders>
            <w:shd w:val="clear" w:color="auto" w:fill="DCE2EF"/>
          </w:tcPr>
          <w:p>
            <w:pPr>
              <w:jc w:val="right"/>
              <w:ind w:right="43"/>
              <w:spacing w:after="0"/>
              <w:rPr>
                <w:sz w:val="20"/>
                <w:szCs w:val="20"/>
                <w:color w:val="auto"/>
              </w:rPr>
            </w:pPr>
            <w:r>
              <w:rPr>
                <w:rFonts w:ascii="Arial" w:cs="Arial" w:eastAsia="Arial" w:hAnsi="Arial"/>
                <w:sz w:val="15"/>
                <w:szCs w:val="15"/>
                <w:b w:val="1"/>
                <w:bCs w:val="1"/>
                <w:color w:val="auto"/>
              </w:rPr>
              <w:t>$</w:t>
            </w:r>
          </w:p>
        </w:tc>
        <w:tc>
          <w:tcPr>
            <w:tcW w:w="840" w:type="dxa"/>
            <w:vAlign w:val="bottom"/>
            <w:tcBorders>
              <w:top w:val="single" w:sz="8" w:color="auto"/>
            </w:tcBorders>
            <w:shd w:val="clear" w:color="auto" w:fill="DCE2EF"/>
          </w:tcPr>
          <w:p>
            <w:pPr>
              <w:jc w:val="right"/>
              <w:spacing w:after="0"/>
              <w:rPr>
                <w:sz w:val="20"/>
                <w:szCs w:val="20"/>
                <w:color w:val="auto"/>
              </w:rPr>
            </w:pPr>
            <w:r>
              <w:rPr>
                <w:rFonts w:ascii="Arial" w:cs="Arial" w:eastAsia="Arial" w:hAnsi="Arial"/>
                <w:sz w:val="15"/>
                <w:szCs w:val="15"/>
                <w:b w:val="1"/>
                <w:bCs w:val="1"/>
                <w:color w:val="auto"/>
              </w:rPr>
              <w:t>156.1</w:t>
            </w:r>
          </w:p>
        </w:tc>
        <w:tc>
          <w:tcPr>
            <w:tcW w:w="80" w:type="dxa"/>
            <w:vAlign w:val="bottom"/>
            <w:tcBorders>
              <w:top w:val="single" w:sz="8" w:color="auto"/>
            </w:tcBorders>
            <w:shd w:val="clear" w:color="auto" w:fill="DCE2EF"/>
          </w:tcPr>
          <w:p>
            <w:pPr>
              <w:spacing w:after="0"/>
              <w:rPr>
                <w:sz w:val="17"/>
                <w:szCs w:val="17"/>
                <w:color w:val="auto"/>
              </w:rPr>
            </w:pPr>
          </w:p>
        </w:tc>
        <w:tc>
          <w:tcPr>
            <w:tcW w:w="180" w:type="dxa"/>
            <w:vAlign w:val="bottom"/>
            <w:tcBorders>
              <w:top w:val="single" w:sz="8" w:color="auto"/>
            </w:tcBorders>
            <w:shd w:val="clear" w:color="auto" w:fill="DCE2EF"/>
          </w:tcPr>
          <w:p>
            <w:pPr>
              <w:jc w:val="right"/>
              <w:spacing w:after="0"/>
              <w:rPr>
                <w:sz w:val="20"/>
                <w:szCs w:val="20"/>
                <w:color w:val="auto"/>
              </w:rPr>
            </w:pPr>
            <w:r>
              <w:rPr>
                <w:rFonts w:ascii="Arial" w:cs="Arial" w:eastAsia="Arial" w:hAnsi="Arial"/>
                <w:sz w:val="15"/>
                <w:szCs w:val="15"/>
                <w:b w:val="1"/>
                <w:bCs w:val="1"/>
                <w:color w:val="auto"/>
              </w:rPr>
              <w:t>$</w:t>
            </w:r>
          </w:p>
        </w:tc>
        <w:tc>
          <w:tcPr>
            <w:tcW w:w="900" w:type="dxa"/>
            <w:vAlign w:val="bottom"/>
            <w:tcBorders>
              <w:top w:val="single" w:sz="8" w:color="auto"/>
            </w:tcBorders>
            <w:shd w:val="clear" w:color="auto" w:fill="DCE2EF"/>
          </w:tcPr>
          <w:p>
            <w:pPr>
              <w:jc w:val="right"/>
              <w:spacing w:after="0"/>
              <w:rPr>
                <w:sz w:val="20"/>
                <w:szCs w:val="20"/>
                <w:color w:val="auto"/>
              </w:rPr>
            </w:pPr>
            <w:r>
              <w:rPr>
                <w:rFonts w:ascii="Arial" w:cs="Arial" w:eastAsia="Arial" w:hAnsi="Arial"/>
                <w:sz w:val="15"/>
                <w:szCs w:val="15"/>
                <w:b w:val="1"/>
                <w:bCs w:val="1"/>
                <w:color w:val="auto"/>
              </w:rPr>
              <w:t>47.3</w:t>
            </w:r>
          </w:p>
        </w:tc>
        <w:tc>
          <w:tcPr>
            <w:tcW w:w="80" w:type="dxa"/>
            <w:vAlign w:val="bottom"/>
            <w:tcBorders>
              <w:top w:val="single" w:sz="8" w:color="DCE2EF"/>
            </w:tcBorders>
            <w:shd w:val="clear" w:color="auto" w:fill="DCE2EF"/>
          </w:tcPr>
          <w:p>
            <w:pPr>
              <w:spacing w:after="0"/>
              <w:rPr>
                <w:sz w:val="17"/>
                <w:szCs w:val="17"/>
                <w:color w:val="auto"/>
              </w:rPr>
            </w:pPr>
          </w:p>
        </w:tc>
        <w:tc>
          <w:tcPr>
            <w:tcW w:w="140" w:type="dxa"/>
            <w:vAlign w:val="bottom"/>
            <w:tcBorders>
              <w:top w:val="single" w:sz="8" w:color="auto"/>
            </w:tcBorders>
            <w:shd w:val="clear" w:color="auto" w:fill="DCE2EF"/>
          </w:tcPr>
          <w:p>
            <w:pPr>
              <w:jc w:val="right"/>
              <w:spacing w:after="0"/>
              <w:rPr>
                <w:sz w:val="20"/>
                <w:szCs w:val="20"/>
                <w:color w:val="auto"/>
              </w:rPr>
            </w:pPr>
            <w:r>
              <w:rPr>
                <w:rFonts w:ascii="Arial" w:cs="Arial" w:eastAsia="Arial" w:hAnsi="Arial"/>
                <w:sz w:val="15"/>
                <w:szCs w:val="15"/>
                <w:b w:val="1"/>
                <w:bCs w:val="1"/>
                <w:color w:val="auto"/>
              </w:rPr>
              <w:t>$</w:t>
            </w:r>
          </w:p>
        </w:tc>
        <w:tc>
          <w:tcPr>
            <w:tcW w:w="960" w:type="dxa"/>
            <w:vAlign w:val="bottom"/>
            <w:tcBorders>
              <w:top w:val="single" w:sz="8" w:color="auto"/>
            </w:tcBorders>
            <w:shd w:val="clear" w:color="auto" w:fill="DCE2EF"/>
          </w:tcPr>
          <w:p>
            <w:pPr>
              <w:jc w:val="right"/>
              <w:ind w:right="3"/>
              <w:spacing w:after="0"/>
              <w:rPr>
                <w:sz w:val="20"/>
                <w:szCs w:val="20"/>
                <w:color w:val="auto"/>
              </w:rPr>
            </w:pPr>
            <w:r>
              <w:rPr>
                <w:rFonts w:ascii="Arial" w:cs="Arial" w:eastAsia="Arial" w:hAnsi="Arial"/>
                <w:sz w:val="15"/>
                <w:szCs w:val="15"/>
                <w:b w:val="1"/>
                <w:bCs w:val="1"/>
                <w:color w:val="auto"/>
              </w:rPr>
              <w:t>105.0</w:t>
            </w:r>
          </w:p>
        </w:tc>
        <w:tc>
          <w:tcPr>
            <w:tcW w:w="80" w:type="dxa"/>
            <w:vAlign w:val="bottom"/>
            <w:tcBorders>
              <w:top w:val="single" w:sz="8" w:color="auto"/>
            </w:tcBorders>
            <w:shd w:val="clear" w:color="auto" w:fill="DCE2EF"/>
          </w:tcPr>
          <w:p>
            <w:pPr>
              <w:spacing w:after="0"/>
              <w:rPr>
                <w:sz w:val="17"/>
                <w:szCs w:val="17"/>
                <w:color w:val="auto"/>
              </w:rPr>
            </w:pPr>
          </w:p>
        </w:tc>
        <w:tc>
          <w:tcPr>
            <w:tcW w:w="160" w:type="dxa"/>
            <w:vAlign w:val="bottom"/>
            <w:tcBorders>
              <w:top w:val="single" w:sz="8" w:color="auto"/>
            </w:tcBorders>
            <w:shd w:val="clear" w:color="auto" w:fill="DCE2EF"/>
          </w:tcPr>
          <w:p>
            <w:pPr>
              <w:jc w:val="right"/>
              <w:spacing w:after="0"/>
              <w:rPr>
                <w:sz w:val="20"/>
                <w:szCs w:val="20"/>
                <w:color w:val="auto"/>
              </w:rPr>
            </w:pPr>
            <w:r>
              <w:rPr>
                <w:rFonts w:ascii="Arial" w:cs="Arial" w:eastAsia="Arial" w:hAnsi="Arial"/>
                <w:sz w:val="15"/>
                <w:szCs w:val="15"/>
                <w:b w:val="1"/>
                <w:bCs w:val="1"/>
                <w:color w:val="auto"/>
                <w:w w:val="95"/>
              </w:rPr>
              <w:t>$</w:t>
            </w:r>
          </w:p>
        </w:tc>
        <w:tc>
          <w:tcPr>
            <w:tcW w:w="920" w:type="dxa"/>
            <w:vAlign w:val="bottom"/>
            <w:tcBorders>
              <w:top w:val="single" w:sz="8" w:color="auto"/>
            </w:tcBorders>
            <w:shd w:val="clear" w:color="auto" w:fill="DCE2EF"/>
          </w:tcPr>
          <w:p>
            <w:pPr>
              <w:jc w:val="right"/>
              <w:ind w:right="3"/>
              <w:spacing w:after="0"/>
              <w:rPr>
                <w:sz w:val="20"/>
                <w:szCs w:val="20"/>
                <w:color w:val="auto"/>
              </w:rPr>
            </w:pPr>
            <w:r>
              <w:rPr>
                <w:rFonts w:ascii="Arial" w:cs="Arial" w:eastAsia="Arial" w:hAnsi="Arial"/>
                <w:sz w:val="15"/>
                <w:szCs w:val="15"/>
                <w:b w:val="1"/>
                <w:bCs w:val="1"/>
                <w:color w:val="auto"/>
              </w:rPr>
              <w:t>809.3</w:t>
            </w:r>
          </w:p>
        </w:tc>
        <w:tc>
          <w:tcPr>
            <w:tcW w:w="80" w:type="dxa"/>
            <w:vAlign w:val="bottom"/>
            <w:tcBorders>
              <w:top w:val="single" w:sz="8" w:color="auto"/>
            </w:tcBorders>
            <w:shd w:val="clear" w:color="auto" w:fill="DCE2EF"/>
          </w:tcPr>
          <w:p>
            <w:pPr>
              <w:spacing w:after="0"/>
              <w:rPr>
                <w:sz w:val="17"/>
                <w:szCs w:val="17"/>
                <w:color w:val="auto"/>
              </w:rPr>
            </w:pPr>
          </w:p>
        </w:tc>
        <w:tc>
          <w:tcPr>
            <w:tcW w:w="240" w:type="dxa"/>
            <w:vAlign w:val="bottom"/>
            <w:tcBorders>
              <w:top w:val="single" w:sz="8" w:color="auto"/>
            </w:tcBorders>
            <w:shd w:val="clear" w:color="auto" w:fill="DCE2EF"/>
          </w:tcPr>
          <w:p>
            <w:pPr>
              <w:jc w:val="right"/>
              <w:ind w:right="63"/>
              <w:spacing w:after="0"/>
              <w:rPr>
                <w:sz w:val="20"/>
                <w:szCs w:val="20"/>
                <w:color w:val="auto"/>
              </w:rPr>
            </w:pPr>
            <w:r>
              <w:rPr>
                <w:rFonts w:ascii="Arial" w:cs="Arial" w:eastAsia="Arial" w:hAnsi="Arial"/>
                <w:sz w:val="15"/>
                <w:szCs w:val="15"/>
                <w:b w:val="1"/>
                <w:bCs w:val="1"/>
                <w:color w:val="auto"/>
                <w:w w:val="95"/>
              </w:rPr>
              <w:t>$</w:t>
            </w:r>
          </w:p>
        </w:tc>
        <w:tc>
          <w:tcPr>
            <w:tcW w:w="840" w:type="dxa"/>
            <w:vAlign w:val="bottom"/>
            <w:tcBorders>
              <w:top w:val="single" w:sz="8" w:color="auto"/>
            </w:tcBorders>
            <w:shd w:val="clear" w:color="auto" w:fill="DCE2EF"/>
          </w:tcPr>
          <w:p>
            <w:pPr>
              <w:jc w:val="right"/>
              <w:ind w:right="3"/>
              <w:spacing w:after="0"/>
              <w:rPr>
                <w:sz w:val="20"/>
                <w:szCs w:val="20"/>
                <w:color w:val="auto"/>
              </w:rPr>
            </w:pPr>
            <w:r>
              <w:rPr>
                <w:rFonts w:ascii="Arial" w:cs="Arial" w:eastAsia="Arial" w:hAnsi="Arial"/>
                <w:sz w:val="15"/>
                <w:szCs w:val="15"/>
                <w:b w:val="1"/>
                <w:bCs w:val="1"/>
                <w:color w:val="auto"/>
              </w:rPr>
              <w:t>1,976.5</w:t>
            </w:r>
          </w:p>
        </w:tc>
        <w:tc>
          <w:tcPr>
            <w:tcW w:w="0" w:type="dxa"/>
            <w:vAlign w:val="bottom"/>
          </w:tcPr>
          <w:p>
            <w:pPr>
              <w:spacing w:after="0"/>
              <w:rPr>
                <w:sz w:val="1"/>
                <w:szCs w:val="1"/>
                <w:color w:val="auto"/>
              </w:rPr>
            </w:pPr>
          </w:p>
        </w:tc>
      </w:tr>
      <w:tr>
        <w:trPr>
          <w:trHeight w:val="206"/>
        </w:trPr>
        <w:tc>
          <w:tcPr>
            <w:tcW w:w="4300" w:type="dxa"/>
            <w:vAlign w:val="bottom"/>
            <w:gridSpan w:val="3"/>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4300" w:type="dxa"/>
            <w:vAlign w:val="bottom"/>
            <w:tcBorders>
              <w:bottom w:val="single" w:sz="8" w:color="DCE2EF"/>
            </w:tcBorders>
            <w:gridSpan w:val="3"/>
            <w:shd w:val="clear" w:color="auto" w:fill="DCE2EF"/>
          </w:tcPr>
          <w:p>
            <w:pPr>
              <w:ind w:left="20"/>
              <w:spacing w:after="0"/>
              <w:rPr>
                <w:sz w:val="20"/>
                <w:szCs w:val="20"/>
                <w:color w:val="auto"/>
              </w:rPr>
            </w:pPr>
            <w:r>
              <w:rPr>
                <w:rFonts w:ascii="Arial" w:cs="Arial" w:eastAsia="Arial" w:hAnsi="Arial"/>
                <w:sz w:val="15"/>
                <w:szCs w:val="15"/>
                <w:b w:val="1"/>
                <w:bCs w:val="1"/>
                <w:color w:val="auto"/>
              </w:rPr>
              <w:t>Total</w:t>
            </w:r>
          </w:p>
        </w:tc>
        <w:tc>
          <w:tcPr>
            <w:tcW w:w="260" w:type="dxa"/>
            <w:vAlign w:val="bottom"/>
            <w:tcBorders>
              <w:bottom w:val="single" w:sz="8" w:color="auto"/>
            </w:tcBorders>
            <w:shd w:val="clear" w:color="auto" w:fill="DCE2EF"/>
          </w:tcPr>
          <w:p>
            <w:pPr>
              <w:jc w:val="right"/>
              <w:ind w:right="63"/>
              <w:spacing w:after="0"/>
              <w:rPr>
                <w:sz w:val="20"/>
                <w:szCs w:val="20"/>
                <w:color w:val="auto"/>
              </w:rPr>
            </w:pPr>
            <w:r>
              <w:rPr>
                <w:rFonts w:ascii="Arial" w:cs="Arial" w:eastAsia="Arial" w:hAnsi="Arial"/>
                <w:sz w:val="15"/>
                <w:szCs w:val="15"/>
                <w:b w:val="1"/>
                <w:bCs w:val="1"/>
                <w:color w:val="auto"/>
              </w:rPr>
              <w:t>$</w:t>
            </w:r>
          </w:p>
        </w:tc>
        <w:tc>
          <w:tcPr>
            <w:tcW w:w="82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5"/>
                <w:szCs w:val="15"/>
                <w:b w:val="1"/>
                <w:bCs w:val="1"/>
                <w:color w:val="auto"/>
              </w:rPr>
              <w:t>4,059.1</w:t>
            </w:r>
          </w:p>
        </w:tc>
        <w:tc>
          <w:tcPr>
            <w:tcW w:w="80" w:type="dxa"/>
            <w:vAlign w:val="bottom"/>
            <w:tcBorders>
              <w:bottom w:val="single" w:sz="8" w:color="DCE2EF"/>
            </w:tcBorders>
            <w:shd w:val="clear" w:color="auto" w:fill="DCE2EF"/>
          </w:tcPr>
          <w:p>
            <w:pPr>
              <w:spacing w:after="0"/>
              <w:rPr>
                <w:sz w:val="19"/>
                <w:szCs w:val="19"/>
                <w:color w:val="auto"/>
              </w:rPr>
            </w:pPr>
          </w:p>
        </w:tc>
        <w:tc>
          <w:tcPr>
            <w:tcW w:w="240" w:type="dxa"/>
            <w:vAlign w:val="bottom"/>
            <w:tcBorders>
              <w:bottom w:val="single" w:sz="8" w:color="auto"/>
            </w:tcBorders>
            <w:shd w:val="clear" w:color="auto" w:fill="DCE2EF"/>
          </w:tcPr>
          <w:p>
            <w:pPr>
              <w:jc w:val="right"/>
              <w:ind w:right="43"/>
              <w:spacing w:after="0"/>
              <w:rPr>
                <w:sz w:val="20"/>
                <w:szCs w:val="20"/>
                <w:color w:val="auto"/>
              </w:rPr>
            </w:pPr>
            <w:r>
              <w:rPr>
                <w:rFonts w:ascii="Arial" w:cs="Arial" w:eastAsia="Arial" w:hAnsi="Arial"/>
                <w:sz w:val="15"/>
                <w:szCs w:val="15"/>
                <w:b w:val="1"/>
                <w:bCs w:val="1"/>
                <w:color w:val="auto"/>
              </w:rPr>
              <w:t>$</w:t>
            </w:r>
          </w:p>
        </w:tc>
        <w:tc>
          <w:tcPr>
            <w:tcW w:w="84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5"/>
                <w:szCs w:val="15"/>
                <w:b w:val="1"/>
                <w:bCs w:val="1"/>
                <w:color w:val="auto"/>
              </w:rPr>
              <w:t>1,554.3</w:t>
            </w:r>
          </w:p>
        </w:tc>
        <w:tc>
          <w:tcPr>
            <w:tcW w:w="80" w:type="dxa"/>
            <w:vAlign w:val="bottom"/>
            <w:tcBorders>
              <w:bottom w:val="single" w:sz="8" w:color="DCE2EF"/>
            </w:tcBorders>
            <w:shd w:val="clear" w:color="auto" w:fill="DCE2EF"/>
          </w:tcPr>
          <w:p>
            <w:pPr>
              <w:spacing w:after="0"/>
              <w:rPr>
                <w:sz w:val="19"/>
                <w:szCs w:val="19"/>
                <w:color w:val="auto"/>
              </w:rPr>
            </w:pPr>
          </w:p>
        </w:tc>
        <w:tc>
          <w:tcPr>
            <w:tcW w:w="1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5"/>
                <w:szCs w:val="15"/>
                <w:b w:val="1"/>
                <w:bCs w:val="1"/>
                <w:color w:val="auto"/>
              </w:rPr>
              <w:t>$</w:t>
            </w:r>
          </w:p>
        </w:tc>
        <w:tc>
          <w:tcPr>
            <w:tcW w:w="90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5"/>
                <w:szCs w:val="15"/>
                <w:b w:val="1"/>
                <w:bCs w:val="1"/>
                <w:color w:val="auto"/>
              </w:rPr>
              <w:t>1,032.6</w:t>
            </w:r>
          </w:p>
        </w:tc>
        <w:tc>
          <w:tcPr>
            <w:tcW w:w="80" w:type="dxa"/>
            <w:vAlign w:val="bottom"/>
            <w:tcBorders>
              <w:bottom w:val="single" w:sz="8" w:color="DCE2EF"/>
            </w:tcBorders>
            <w:shd w:val="clear" w:color="auto" w:fill="DCE2EF"/>
          </w:tcPr>
          <w:p>
            <w:pPr>
              <w:spacing w:after="0"/>
              <w:rPr>
                <w:sz w:val="19"/>
                <w:szCs w:val="19"/>
                <w:color w:val="auto"/>
              </w:rPr>
            </w:pPr>
          </w:p>
        </w:tc>
        <w:tc>
          <w:tcPr>
            <w:tcW w:w="14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5"/>
                <w:szCs w:val="15"/>
                <w:b w:val="1"/>
                <w:bCs w:val="1"/>
                <w:color w:val="auto"/>
              </w:rPr>
              <w:t>$</w:t>
            </w:r>
          </w:p>
        </w:tc>
        <w:tc>
          <w:tcPr>
            <w:tcW w:w="960" w:type="dxa"/>
            <w:vAlign w:val="bottom"/>
            <w:tcBorders>
              <w:bottom w:val="single" w:sz="8" w:color="auto"/>
            </w:tcBorders>
            <w:shd w:val="clear" w:color="auto" w:fill="DCE2EF"/>
          </w:tcPr>
          <w:p>
            <w:pPr>
              <w:jc w:val="right"/>
              <w:ind w:right="3"/>
              <w:spacing w:after="0"/>
              <w:rPr>
                <w:sz w:val="20"/>
                <w:szCs w:val="20"/>
                <w:color w:val="auto"/>
              </w:rPr>
            </w:pPr>
            <w:r>
              <w:rPr>
                <w:rFonts w:ascii="Arial" w:cs="Arial" w:eastAsia="Arial" w:hAnsi="Arial"/>
                <w:sz w:val="15"/>
                <w:szCs w:val="15"/>
                <w:b w:val="1"/>
                <w:bCs w:val="1"/>
                <w:color w:val="auto"/>
              </w:rPr>
              <w:t>904.0</w:t>
            </w:r>
          </w:p>
        </w:tc>
        <w:tc>
          <w:tcPr>
            <w:tcW w:w="80" w:type="dxa"/>
            <w:vAlign w:val="bottom"/>
            <w:tcBorders>
              <w:bottom w:val="single" w:sz="8" w:color="DCE2EF"/>
            </w:tcBorders>
            <w:shd w:val="clear" w:color="auto" w:fill="DCE2EF"/>
          </w:tcPr>
          <w:p>
            <w:pPr>
              <w:spacing w:after="0"/>
              <w:rPr>
                <w:sz w:val="19"/>
                <w:szCs w:val="19"/>
                <w:color w:val="auto"/>
              </w:rPr>
            </w:pPr>
          </w:p>
        </w:tc>
        <w:tc>
          <w:tcPr>
            <w:tcW w:w="16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5"/>
                <w:szCs w:val="15"/>
                <w:b w:val="1"/>
                <w:bCs w:val="1"/>
                <w:color w:val="auto"/>
                <w:w w:val="95"/>
              </w:rPr>
              <w:t>$</w:t>
            </w:r>
          </w:p>
        </w:tc>
        <w:tc>
          <w:tcPr>
            <w:tcW w:w="920" w:type="dxa"/>
            <w:vAlign w:val="bottom"/>
            <w:tcBorders>
              <w:bottom w:val="single" w:sz="8" w:color="auto"/>
            </w:tcBorders>
            <w:shd w:val="clear" w:color="auto" w:fill="DCE2EF"/>
          </w:tcPr>
          <w:p>
            <w:pPr>
              <w:jc w:val="right"/>
              <w:ind w:right="3"/>
              <w:spacing w:after="0"/>
              <w:rPr>
                <w:sz w:val="20"/>
                <w:szCs w:val="20"/>
                <w:color w:val="auto"/>
              </w:rPr>
            </w:pPr>
            <w:r>
              <w:rPr>
                <w:rFonts w:ascii="Arial" w:cs="Arial" w:eastAsia="Arial" w:hAnsi="Arial"/>
                <w:sz w:val="15"/>
                <w:szCs w:val="15"/>
                <w:b w:val="1"/>
                <w:bCs w:val="1"/>
                <w:color w:val="auto"/>
              </w:rPr>
              <w:t>809.3</w:t>
            </w:r>
          </w:p>
        </w:tc>
        <w:tc>
          <w:tcPr>
            <w:tcW w:w="80" w:type="dxa"/>
            <w:vAlign w:val="bottom"/>
            <w:tcBorders>
              <w:bottom w:val="single" w:sz="8" w:color="DCE2EF"/>
            </w:tcBorders>
            <w:shd w:val="clear" w:color="auto" w:fill="DCE2EF"/>
          </w:tcPr>
          <w:p>
            <w:pPr>
              <w:spacing w:after="0"/>
              <w:rPr>
                <w:sz w:val="19"/>
                <w:szCs w:val="19"/>
                <w:color w:val="auto"/>
              </w:rPr>
            </w:pPr>
          </w:p>
        </w:tc>
        <w:tc>
          <w:tcPr>
            <w:tcW w:w="240" w:type="dxa"/>
            <w:vAlign w:val="bottom"/>
            <w:tcBorders>
              <w:bottom w:val="single" w:sz="8" w:color="auto"/>
            </w:tcBorders>
            <w:shd w:val="clear" w:color="auto" w:fill="DCE2EF"/>
          </w:tcPr>
          <w:p>
            <w:pPr>
              <w:jc w:val="right"/>
              <w:ind w:right="63"/>
              <w:spacing w:after="0"/>
              <w:rPr>
                <w:sz w:val="20"/>
                <w:szCs w:val="20"/>
                <w:color w:val="auto"/>
              </w:rPr>
            </w:pPr>
            <w:r>
              <w:rPr>
                <w:rFonts w:ascii="Arial" w:cs="Arial" w:eastAsia="Arial" w:hAnsi="Arial"/>
                <w:sz w:val="15"/>
                <w:szCs w:val="15"/>
                <w:b w:val="1"/>
                <w:bCs w:val="1"/>
                <w:color w:val="auto"/>
                <w:w w:val="95"/>
              </w:rPr>
              <w:t>$</w:t>
            </w:r>
          </w:p>
        </w:tc>
        <w:tc>
          <w:tcPr>
            <w:tcW w:w="840" w:type="dxa"/>
            <w:vAlign w:val="bottom"/>
            <w:tcBorders>
              <w:bottom w:val="single" w:sz="8" w:color="auto"/>
            </w:tcBorders>
            <w:shd w:val="clear" w:color="auto" w:fill="DCE2EF"/>
          </w:tcPr>
          <w:p>
            <w:pPr>
              <w:jc w:val="right"/>
              <w:ind w:right="3"/>
              <w:spacing w:after="0"/>
              <w:rPr>
                <w:sz w:val="20"/>
                <w:szCs w:val="20"/>
                <w:color w:val="auto"/>
              </w:rPr>
            </w:pPr>
            <w:r>
              <w:rPr>
                <w:rFonts w:ascii="Arial" w:cs="Arial" w:eastAsia="Arial" w:hAnsi="Arial"/>
                <w:sz w:val="15"/>
                <w:szCs w:val="15"/>
                <w:b w:val="1"/>
                <w:bCs w:val="1"/>
                <w:color w:val="auto"/>
              </w:rPr>
              <w:t>8,359.4</w:t>
            </w:r>
          </w:p>
        </w:tc>
        <w:tc>
          <w:tcPr>
            <w:tcW w:w="0" w:type="dxa"/>
            <w:vAlign w:val="bottom"/>
          </w:tcPr>
          <w:p>
            <w:pPr>
              <w:spacing w:after="0"/>
              <w:rPr>
                <w:sz w:val="1"/>
                <w:szCs w:val="1"/>
                <w:color w:val="auto"/>
              </w:rPr>
            </w:pPr>
          </w:p>
        </w:tc>
      </w:tr>
      <w:tr>
        <w:trPr>
          <w:trHeight w:val="20"/>
        </w:trPr>
        <w:tc>
          <w:tcPr>
            <w:tcW w:w="20" w:type="dxa"/>
            <w:vAlign w:val="bottom"/>
            <w:tcBorders>
              <w:top w:val="single" w:sz="8" w:color="DCE2EF"/>
            </w:tcBorders>
          </w:tcPr>
          <w:p>
            <w:pPr>
              <w:spacing w:after="0" w:line="20" w:lineRule="exact"/>
              <w:rPr>
                <w:sz w:val="1"/>
                <w:szCs w:val="1"/>
                <w:color w:val="auto"/>
              </w:rPr>
            </w:pPr>
          </w:p>
        </w:tc>
        <w:tc>
          <w:tcPr>
            <w:tcW w:w="640" w:type="dxa"/>
            <w:vAlign w:val="bottom"/>
            <w:tcBorders>
              <w:top w:val="single" w:sz="8" w:color="DCE2EF"/>
            </w:tcBorders>
          </w:tcPr>
          <w:p>
            <w:pPr>
              <w:spacing w:after="0" w:line="20" w:lineRule="exact"/>
              <w:rPr>
                <w:sz w:val="1"/>
                <w:szCs w:val="1"/>
                <w:color w:val="auto"/>
              </w:rPr>
            </w:pPr>
          </w:p>
        </w:tc>
        <w:tc>
          <w:tcPr>
            <w:tcW w:w="3640" w:type="dxa"/>
            <w:vAlign w:val="bottom"/>
            <w:tcBorders>
              <w:top w:val="single" w:sz="8" w:color="DCE2EF"/>
            </w:tcBorders>
          </w:tcPr>
          <w:p>
            <w:pPr>
              <w:spacing w:after="0" w:line="20" w:lineRule="exact"/>
              <w:rPr>
                <w:sz w:val="1"/>
                <w:szCs w:val="1"/>
                <w:color w:val="auto"/>
              </w:rPr>
            </w:pPr>
          </w:p>
        </w:tc>
        <w:tc>
          <w:tcPr>
            <w:tcW w:w="260" w:type="dxa"/>
            <w:vAlign w:val="bottom"/>
            <w:tcBorders>
              <w:top w:val="single" w:sz="8" w:color="DCE2EF"/>
              <w:bottom w:val="single" w:sz="8" w:color="auto"/>
            </w:tcBorders>
          </w:tcPr>
          <w:p>
            <w:pPr>
              <w:spacing w:after="0" w:line="20" w:lineRule="exact"/>
              <w:rPr>
                <w:sz w:val="1"/>
                <w:szCs w:val="1"/>
                <w:color w:val="auto"/>
              </w:rPr>
            </w:pPr>
          </w:p>
        </w:tc>
        <w:tc>
          <w:tcPr>
            <w:tcW w:w="820" w:type="dxa"/>
            <w:vAlign w:val="bottom"/>
            <w:tcBorders>
              <w:top w:val="single" w:sz="8" w:color="DCE2EF"/>
              <w:bottom w:val="single" w:sz="8" w:color="auto"/>
            </w:tcBorders>
          </w:tcPr>
          <w:p>
            <w:pPr>
              <w:spacing w:after="0" w:line="20" w:lineRule="exact"/>
              <w:rPr>
                <w:sz w:val="1"/>
                <w:szCs w:val="1"/>
                <w:color w:val="auto"/>
              </w:rPr>
            </w:pPr>
          </w:p>
        </w:tc>
        <w:tc>
          <w:tcPr>
            <w:tcW w:w="80" w:type="dxa"/>
            <w:vAlign w:val="bottom"/>
            <w:tcBorders>
              <w:top w:val="single" w:sz="8" w:color="DCE2EF"/>
            </w:tcBorders>
          </w:tcPr>
          <w:p>
            <w:pPr>
              <w:spacing w:after="0" w:line="20" w:lineRule="exact"/>
              <w:rPr>
                <w:sz w:val="1"/>
                <w:szCs w:val="1"/>
                <w:color w:val="auto"/>
              </w:rPr>
            </w:pPr>
          </w:p>
        </w:tc>
        <w:tc>
          <w:tcPr>
            <w:tcW w:w="240" w:type="dxa"/>
            <w:vAlign w:val="bottom"/>
            <w:tcBorders>
              <w:top w:val="single" w:sz="8" w:color="DCE2EF"/>
              <w:bottom w:val="single" w:sz="8" w:color="auto"/>
            </w:tcBorders>
          </w:tcPr>
          <w:p>
            <w:pPr>
              <w:spacing w:after="0" w:line="20" w:lineRule="exact"/>
              <w:rPr>
                <w:sz w:val="1"/>
                <w:szCs w:val="1"/>
                <w:color w:val="auto"/>
              </w:rPr>
            </w:pPr>
          </w:p>
        </w:tc>
        <w:tc>
          <w:tcPr>
            <w:tcW w:w="840" w:type="dxa"/>
            <w:vAlign w:val="bottom"/>
            <w:tcBorders>
              <w:top w:val="single" w:sz="8" w:color="DCE2EF"/>
              <w:bottom w:val="single" w:sz="8" w:color="auto"/>
            </w:tcBorders>
          </w:tcPr>
          <w:p>
            <w:pPr>
              <w:spacing w:after="0" w:line="20" w:lineRule="exact"/>
              <w:rPr>
                <w:sz w:val="1"/>
                <w:szCs w:val="1"/>
                <w:color w:val="auto"/>
              </w:rPr>
            </w:pPr>
          </w:p>
        </w:tc>
        <w:tc>
          <w:tcPr>
            <w:tcW w:w="80" w:type="dxa"/>
            <w:vAlign w:val="bottom"/>
            <w:tcBorders>
              <w:top w:val="single" w:sz="8" w:color="DCE2EF"/>
            </w:tcBorders>
          </w:tcPr>
          <w:p>
            <w:pPr>
              <w:spacing w:after="0" w:line="20" w:lineRule="exact"/>
              <w:rPr>
                <w:sz w:val="1"/>
                <w:szCs w:val="1"/>
                <w:color w:val="auto"/>
              </w:rPr>
            </w:pPr>
          </w:p>
        </w:tc>
        <w:tc>
          <w:tcPr>
            <w:tcW w:w="180" w:type="dxa"/>
            <w:vAlign w:val="bottom"/>
            <w:tcBorders>
              <w:top w:val="single" w:sz="8" w:color="DCE2EF"/>
              <w:bottom w:val="single" w:sz="8" w:color="auto"/>
            </w:tcBorders>
          </w:tcPr>
          <w:p>
            <w:pPr>
              <w:spacing w:after="0" w:line="20" w:lineRule="exact"/>
              <w:rPr>
                <w:sz w:val="1"/>
                <w:szCs w:val="1"/>
                <w:color w:val="auto"/>
              </w:rPr>
            </w:pPr>
          </w:p>
        </w:tc>
        <w:tc>
          <w:tcPr>
            <w:tcW w:w="900" w:type="dxa"/>
            <w:vAlign w:val="bottom"/>
            <w:tcBorders>
              <w:top w:val="single" w:sz="8" w:color="DCE2EF"/>
              <w:bottom w:val="single" w:sz="8" w:color="auto"/>
            </w:tcBorders>
          </w:tcPr>
          <w:p>
            <w:pPr>
              <w:spacing w:after="0" w:line="20" w:lineRule="exact"/>
              <w:rPr>
                <w:sz w:val="1"/>
                <w:szCs w:val="1"/>
                <w:color w:val="auto"/>
              </w:rPr>
            </w:pPr>
          </w:p>
        </w:tc>
        <w:tc>
          <w:tcPr>
            <w:tcW w:w="80" w:type="dxa"/>
            <w:vAlign w:val="bottom"/>
            <w:tcBorders>
              <w:top w:val="single" w:sz="8" w:color="DCE2EF"/>
            </w:tcBorders>
          </w:tcPr>
          <w:p>
            <w:pPr>
              <w:spacing w:after="0" w:line="20" w:lineRule="exact"/>
              <w:rPr>
                <w:sz w:val="1"/>
                <w:szCs w:val="1"/>
                <w:color w:val="auto"/>
              </w:rPr>
            </w:pPr>
          </w:p>
        </w:tc>
        <w:tc>
          <w:tcPr>
            <w:tcW w:w="140" w:type="dxa"/>
            <w:vAlign w:val="bottom"/>
            <w:tcBorders>
              <w:top w:val="single" w:sz="8" w:color="DCE2EF"/>
              <w:bottom w:val="single" w:sz="8" w:color="auto"/>
            </w:tcBorders>
          </w:tcPr>
          <w:p>
            <w:pPr>
              <w:spacing w:after="0" w:line="20" w:lineRule="exact"/>
              <w:rPr>
                <w:sz w:val="1"/>
                <w:szCs w:val="1"/>
                <w:color w:val="auto"/>
              </w:rPr>
            </w:pPr>
          </w:p>
        </w:tc>
        <w:tc>
          <w:tcPr>
            <w:tcW w:w="960" w:type="dxa"/>
            <w:vAlign w:val="bottom"/>
            <w:tcBorders>
              <w:top w:val="single" w:sz="8" w:color="DCE2EF"/>
              <w:bottom w:val="single" w:sz="8" w:color="auto"/>
            </w:tcBorders>
          </w:tcPr>
          <w:p>
            <w:pPr>
              <w:spacing w:after="0" w:line="20" w:lineRule="exact"/>
              <w:rPr>
                <w:sz w:val="1"/>
                <w:szCs w:val="1"/>
                <w:color w:val="auto"/>
              </w:rPr>
            </w:pPr>
          </w:p>
        </w:tc>
        <w:tc>
          <w:tcPr>
            <w:tcW w:w="80" w:type="dxa"/>
            <w:vAlign w:val="bottom"/>
            <w:tcBorders>
              <w:top w:val="single" w:sz="8" w:color="DCE2EF"/>
            </w:tcBorders>
          </w:tcPr>
          <w:p>
            <w:pPr>
              <w:spacing w:after="0" w:line="20" w:lineRule="exact"/>
              <w:rPr>
                <w:sz w:val="1"/>
                <w:szCs w:val="1"/>
                <w:color w:val="auto"/>
              </w:rPr>
            </w:pPr>
          </w:p>
        </w:tc>
        <w:tc>
          <w:tcPr>
            <w:tcW w:w="160" w:type="dxa"/>
            <w:vAlign w:val="bottom"/>
            <w:tcBorders>
              <w:top w:val="single" w:sz="8" w:color="DCE2EF"/>
              <w:bottom w:val="single" w:sz="8" w:color="auto"/>
            </w:tcBorders>
          </w:tcPr>
          <w:p>
            <w:pPr>
              <w:spacing w:after="0" w:line="20" w:lineRule="exact"/>
              <w:rPr>
                <w:sz w:val="1"/>
                <w:szCs w:val="1"/>
                <w:color w:val="auto"/>
              </w:rPr>
            </w:pPr>
          </w:p>
        </w:tc>
        <w:tc>
          <w:tcPr>
            <w:tcW w:w="920" w:type="dxa"/>
            <w:vAlign w:val="bottom"/>
            <w:tcBorders>
              <w:top w:val="single" w:sz="8" w:color="DCE2EF"/>
              <w:bottom w:val="single" w:sz="8" w:color="auto"/>
            </w:tcBorders>
          </w:tcPr>
          <w:p>
            <w:pPr>
              <w:spacing w:after="0" w:line="20" w:lineRule="exact"/>
              <w:rPr>
                <w:sz w:val="1"/>
                <w:szCs w:val="1"/>
                <w:color w:val="auto"/>
              </w:rPr>
            </w:pPr>
          </w:p>
        </w:tc>
        <w:tc>
          <w:tcPr>
            <w:tcW w:w="80" w:type="dxa"/>
            <w:vAlign w:val="bottom"/>
            <w:tcBorders>
              <w:top w:val="single" w:sz="8" w:color="DCE2EF"/>
            </w:tcBorders>
          </w:tcPr>
          <w:p>
            <w:pPr>
              <w:spacing w:after="0" w:line="20" w:lineRule="exact"/>
              <w:rPr>
                <w:sz w:val="1"/>
                <w:szCs w:val="1"/>
                <w:color w:val="auto"/>
              </w:rPr>
            </w:pPr>
          </w:p>
        </w:tc>
        <w:tc>
          <w:tcPr>
            <w:tcW w:w="240" w:type="dxa"/>
            <w:vAlign w:val="bottom"/>
            <w:tcBorders>
              <w:top w:val="single" w:sz="8" w:color="DCE2EF"/>
              <w:bottom w:val="single" w:sz="8" w:color="auto"/>
            </w:tcBorders>
          </w:tcPr>
          <w:p>
            <w:pPr>
              <w:spacing w:after="0" w:line="20" w:lineRule="exact"/>
              <w:rPr>
                <w:sz w:val="1"/>
                <w:szCs w:val="1"/>
                <w:color w:val="auto"/>
              </w:rPr>
            </w:pPr>
          </w:p>
        </w:tc>
        <w:tc>
          <w:tcPr>
            <w:tcW w:w="840" w:type="dxa"/>
            <w:vAlign w:val="bottom"/>
            <w:tcBorders>
              <w:top w:val="single" w:sz="8" w:color="DCE2E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16" w:lineRule="exact"/>
        <w:rPr>
          <w:sz w:val="20"/>
          <w:szCs w:val="20"/>
          <w:color w:val="auto"/>
        </w:rPr>
      </w:pPr>
    </w:p>
    <w:p>
      <w:pPr>
        <w:jc w:val="both"/>
        <w:ind w:left="160" w:hanging="157"/>
        <w:spacing w:after="0" w:line="241" w:lineRule="auto"/>
        <w:tabs>
          <w:tab w:leader="none" w:pos="175" w:val="left"/>
        </w:tabs>
        <w:numPr>
          <w:ilvl w:val="0"/>
          <w:numId w:val="22"/>
        </w:numPr>
        <w:rPr>
          <w:rFonts w:ascii="Arial" w:cs="Arial" w:eastAsia="Arial" w:hAnsi="Arial"/>
          <w:sz w:val="20"/>
          <w:szCs w:val="20"/>
          <w:color w:val="auto"/>
          <w:vertAlign w:val="superscript"/>
        </w:rPr>
      </w:pPr>
      <w:r>
        <w:rPr>
          <w:rFonts w:ascii="Arial" w:cs="Arial" w:eastAsia="Arial" w:hAnsi="Arial"/>
          <w:sz w:val="15"/>
          <w:szCs w:val="15"/>
          <w:color w:val="auto"/>
        </w:rPr>
        <w:t>Janitorial arrangements provide a wide range of essential cleaning services for commercial office buildings, airports and other transportation centers, educational institutions, government buildings, health facilities, industrial buildings, retail stores, and stadiums and arenas. These arrangements are often structured as monthly fixed-price, square-foot, cost-plus, and work order contracts.</w:t>
      </w:r>
    </w:p>
    <w:p>
      <w:pPr>
        <w:spacing w:after="0" w:line="80" w:lineRule="exact"/>
        <w:rPr>
          <w:rFonts w:ascii="Arial" w:cs="Arial" w:eastAsia="Arial" w:hAnsi="Arial"/>
          <w:sz w:val="20"/>
          <w:szCs w:val="20"/>
          <w:color w:val="auto"/>
          <w:vertAlign w:val="superscript"/>
        </w:rPr>
      </w:pPr>
    </w:p>
    <w:p>
      <w:pPr>
        <w:ind w:left="160" w:hanging="157"/>
        <w:spacing w:after="0" w:line="236" w:lineRule="auto"/>
        <w:tabs>
          <w:tab w:leader="none" w:pos="189" w:val="left"/>
        </w:tabs>
        <w:numPr>
          <w:ilvl w:val="0"/>
          <w:numId w:val="22"/>
        </w:numPr>
        <w:rPr>
          <w:rFonts w:ascii="Arial" w:cs="Arial" w:eastAsia="Arial" w:hAnsi="Arial"/>
          <w:sz w:val="20"/>
          <w:szCs w:val="20"/>
          <w:color w:val="auto"/>
          <w:vertAlign w:val="superscript"/>
        </w:rPr>
      </w:pPr>
      <w:r>
        <w:rPr>
          <w:rFonts w:ascii="Arial" w:cs="Arial" w:eastAsia="Arial" w:hAnsi="Arial"/>
          <w:sz w:val="15"/>
          <w:szCs w:val="15"/>
          <w:color w:val="auto"/>
        </w:rPr>
        <w:t>Aviation Services arrangements support airlines and airports with services such as passenger assistance, catering logistics, and airplane cabin maintenance. These arrangements are often structured as monthly fixed-price, cost-plus, transaction price, and hourly contracts.</w:t>
      </w:r>
    </w:p>
    <w:p>
      <w:pPr>
        <w:spacing w:after="0" w:line="81" w:lineRule="exact"/>
        <w:rPr>
          <w:rFonts w:ascii="Arial" w:cs="Arial" w:eastAsia="Arial" w:hAnsi="Arial"/>
          <w:sz w:val="20"/>
          <w:szCs w:val="20"/>
          <w:color w:val="auto"/>
          <w:vertAlign w:val="superscript"/>
        </w:rPr>
      </w:pPr>
    </w:p>
    <w:p>
      <w:pPr>
        <w:jc w:val="both"/>
        <w:ind w:left="160" w:hanging="157"/>
        <w:spacing w:after="0" w:line="352" w:lineRule="auto"/>
        <w:tabs>
          <w:tab w:leader="none" w:pos="156" w:val="left"/>
        </w:tabs>
        <w:numPr>
          <w:ilvl w:val="0"/>
          <w:numId w:val="22"/>
        </w:numPr>
        <w:rPr>
          <w:rFonts w:ascii="Arial" w:cs="Arial" w:eastAsia="Arial" w:hAnsi="Arial"/>
          <w:sz w:val="18"/>
          <w:szCs w:val="18"/>
          <w:color w:val="auto"/>
          <w:vertAlign w:val="superscript"/>
        </w:rPr>
      </w:pPr>
      <w:r>
        <w:rPr>
          <w:rFonts w:ascii="Arial" w:cs="Arial" w:eastAsia="Arial" w:hAnsi="Arial"/>
          <w:sz w:val="14"/>
          <w:szCs w:val="14"/>
          <w:color w:val="auto"/>
        </w:rPr>
        <w:t>Parking and Transportation arrangements provide parking and transportation services for clients at various locations, including airports and other transportation centers, commercial office buildings, educational institutions, health facilities, hotels, and stadiums and arenas. These arrangements are structured as management reimbursement, leased location, and allowance contracts. Certain of these arrangements are considered service concession agreements and are accounted for under the guidance of Topic 853; accordingly, service concession expense related to these arrangements is recorded as a reduction of the related parking service revenues.</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65" w:right="339" w:bottom="1440" w:gutter="0" w:footer="0" w:header="0"/>
        </w:sectPr>
      </w:pPr>
    </w:p>
    <w:bookmarkStart w:id="65" w:name="page66"/>
    <w:bookmarkEnd w:id="65"/>
    <w:p>
      <w:pPr>
        <w:jc w:val="both"/>
        <w:ind w:left="160" w:hanging="157"/>
        <w:spacing w:after="0" w:line="265" w:lineRule="auto"/>
        <w:tabs>
          <w:tab w:leader="none" w:pos="156" w:val="left"/>
        </w:tabs>
        <w:numPr>
          <w:ilvl w:val="0"/>
          <w:numId w:val="23"/>
        </w:numPr>
        <w:rPr>
          <w:rFonts w:ascii="Arial" w:cs="Arial" w:eastAsia="Arial" w:hAnsi="Arial"/>
          <w:sz w:val="18"/>
          <w:szCs w:val="18"/>
          <w:color w:val="auto"/>
          <w:vertAlign w:val="superscript"/>
        </w:rPr>
      </w:pPr>
      <w:r>
        <w:rPr>
          <w:rFonts w:ascii="Arial" w:cs="Arial" w:eastAsia="Arial" w:hAnsi="Arial"/>
          <w:sz w:val="14"/>
          <w:szCs w:val="14"/>
          <w:color w:val="auto"/>
        </w:rPr>
        <w:t>Operations and Maintenance arrangements provide onsite mechanical engineering and technical services and solutions relating to a broad range of facilities and infrastructure systems that are designed to extend the useful life of facility fixed assets, improve equipment operating efficiencies, reduce energy consumption, lower overall operational costs for clients, and enhance the sustainability of client locations. These arrangements are generally structured as monthly fixed-price, cost-plus, and work order contracts.</w:t>
      </w:r>
    </w:p>
    <w:p>
      <w:pPr>
        <w:spacing w:after="0" w:line="266" w:lineRule="exact"/>
        <w:rPr>
          <w:rFonts w:ascii="Arial" w:cs="Arial" w:eastAsia="Arial" w:hAnsi="Arial"/>
          <w:sz w:val="18"/>
          <w:szCs w:val="18"/>
          <w:color w:val="auto"/>
          <w:vertAlign w:val="superscript"/>
        </w:rPr>
      </w:pPr>
    </w:p>
    <w:p>
      <w:pPr>
        <w:jc w:val="both"/>
        <w:ind w:left="160" w:hanging="157"/>
        <w:spacing w:after="0" w:line="244" w:lineRule="auto"/>
        <w:tabs>
          <w:tab w:leader="none" w:pos="169" w:val="left"/>
        </w:tabs>
        <w:numPr>
          <w:ilvl w:val="0"/>
          <w:numId w:val="23"/>
        </w:numPr>
        <w:rPr>
          <w:rFonts w:ascii="Arial" w:cs="Arial" w:eastAsia="Arial" w:hAnsi="Arial"/>
          <w:sz w:val="20"/>
          <w:szCs w:val="20"/>
          <w:color w:val="auto"/>
          <w:vertAlign w:val="superscript"/>
        </w:rPr>
      </w:pPr>
      <w:r>
        <w:rPr>
          <w:rFonts w:ascii="Arial" w:cs="Arial" w:eastAsia="Arial" w:hAnsi="Arial"/>
          <w:sz w:val="15"/>
          <w:szCs w:val="15"/>
          <w:color w:val="auto"/>
        </w:rPr>
        <w:t>Building &amp; Energy Solutions arrangements provide custom energy solutions, including microgrid systems installation, electrical, HVAC, lighting, electric vehicle charging station installation, uninterrupted power supply services, and other general maintenance and repair services for clients in the public and private sectors and are generally structured as Energy Savings, Fixed-Price Repair, and Refurbishment contracts. We also franchise certain operations under franchise agreements relating to our Linc Network and TEGG brands pursuant to franchise contracts.</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Remaining Performance Obligations</w:t>
      </w:r>
    </w:p>
    <w:p>
      <w:pPr>
        <w:spacing w:after="0" w:line="168"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7"/>
          <w:szCs w:val="17"/>
          <w:color w:val="auto"/>
        </w:rPr>
        <w:t>At October 31, 2025, performance obligations that were unsatisfied or partially unsatisfied for which we expect to recognize revenue totaled $234.9 million. We expect to recognize revenue on approximately 79% of the remaining performance obligations over the next 12 months, with the remainder recognized thereafter, based on our estimates of project timing.</w:t>
      </w:r>
    </w:p>
    <w:p>
      <w:pPr>
        <w:spacing w:after="0" w:line="111"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These amounts exclude variable consideration primarily related to: (i) contracts where we have determined that the contract consists of a series of distinct service periods and revenues are based on future performance that cannot be estimated at contract inception; (ii) parking contracts where we and the customer share the gross revenues or operating profit for the location; and (iii) contracts where transaction prices include performance incentives that are based on future performance and therefore cannot be estimated at contract inception. We apply the practical expedient that permits exclusion of information about the remaining performance obligations with original expected durations of one year or less.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color w:val="164FA2"/>
        </w:rPr>
        <w:t>Contract Balances</w:t>
      </w:r>
    </w:p>
    <w:p>
      <w:pPr>
        <w:spacing w:after="0" w:line="168"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tables present the balances in our contract assets and contract liabilities: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36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242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rPr>
              <w:t>As of October 31,</w:t>
            </w:r>
          </w:p>
        </w:tc>
        <w:tc>
          <w:tcPr>
            <w:tcW w:w="1300" w:type="dxa"/>
            <w:vAlign w:val="bottom"/>
            <w:tcBorders>
              <w:bottom w:val="single" w:sz="8" w:color="auto"/>
            </w:tcBorders>
          </w:tcPr>
          <w:p>
            <w:pPr>
              <w:spacing w:after="0"/>
              <w:rPr>
                <w:sz w:val="19"/>
                <w:szCs w:val="19"/>
                <w:color w:val="auto"/>
              </w:rPr>
            </w:pPr>
          </w:p>
        </w:tc>
      </w:tr>
      <w:tr>
        <w:trPr>
          <w:trHeight w:val="160"/>
        </w:trPr>
        <w:tc>
          <w:tcPr>
            <w:tcW w:w="7060" w:type="dxa"/>
            <w:vAlign w:val="bottom"/>
            <w:gridSpan w:val="3"/>
          </w:tcPr>
          <w:p>
            <w:pPr>
              <w:ind w:left="20"/>
              <w:spacing w:after="0" w:line="148" w:lineRule="exact"/>
              <w:rPr>
                <w:sz w:val="20"/>
                <w:szCs w:val="20"/>
                <w:color w:val="auto"/>
              </w:rPr>
            </w:pPr>
            <w:r>
              <w:rPr>
                <w:rFonts w:ascii="Times New Roman" w:cs="Times New Roman" w:eastAsia="Times New Roman" w:hAnsi="Times New Roman"/>
                <w:sz w:val="14"/>
                <w:szCs w:val="14"/>
                <w:i w:val="1"/>
                <w:iCs w:val="1"/>
                <w:color w:val="auto"/>
              </w:rPr>
              <w:t>(in millions)</w:t>
            </w:r>
          </w:p>
        </w:tc>
        <w:tc>
          <w:tcPr>
            <w:tcW w:w="460" w:type="dxa"/>
            <w:vAlign w:val="bottom"/>
          </w:tcPr>
          <w:p>
            <w:pPr>
              <w:spacing w:after="0"/>
              <w:rPr>
                <w:sz w:val="13"/>
                <w:szCs w:val="13"/>
                <w:color w:val="auto"/>
              </w:rPr>
            </w:pPr>
          </w:p>
        </w:tc>
        <w:tc>
          <w:tcPr>
            <w:tcW w:w="1580" w:type="dxa"/>
            <w:vAlign w:val="bottom"/>
          </w:tcPr>
          <w:p>
            <w:pPr>
              <w:jc w:val="right"/>
              <w:ind w:right="734"/>
              <w:spacing w:after="0" w:line="148" w:lineRule="exact"/>
              <w:rPr>
                <w:sz w:val="20"/>
                <w:szCs w:val="20"/>
                <w:color w:val="auto"/>
              </w:rPr>
            </w:pPr>
            <w:r>
              <w:rPr>
                <w:rFonts w:ascii="Arial" w:cs="Arial" w:eastAsia="Arial" w:hAnsi="Arial"/>
                <w:sz w:val="17"/>
                <w:szCs w:val="17"/>
                <w:b w:val="1"/>
                <w:bCs w:val="1"/>
                <w:color w:val="auto"/>
              </w:rPr>
              <w:t>2025</w:t>
            </w: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300" w:type="dxa"/>
            <w:vAlign w:val="bottom"/>
          </w:tcPr>
          <w:p>
            <w:pPr>
              <w:jc w:val="right"/>
              <w:ind w:right="734"/>
              <w:spacing w:after="0" w:line="148" w:lineRule="exact"/>
              <w:rPr>
                <w:sz w:val="20"/>
                <w:szCs w:val="20"/>
                <w:color w:val="auto"/>
              </w:rPr>
            </w:pPr>
            <w:r>
              <w:rPr>
                <w:rFonts w:ascii="Arial" w:cs="Arial" w:eastAsia="Arial" w:hAnsi="Arial"/>
                <w:sz w:val="17"/>
                <w:szCs w:val="17"/>
                <w:b w:val="1"/>
                <w:bCs w:val="1"/>
                <w:color w:val="auto"/>
              </w:rPr>
              <w:t>2024</w:t>
            </w:r>
          </w:p>
        </w:tc>
      </w:tr>
      <w:tr>
        <w:trPr>
          <w:trHeight w:val="32"/>
        </w:trPr>
        <w:tc>
          <w:tcPr>
            <w:tcW w:w="20" w:type="dxa"/>
            <w:vAlign w:val="bottom"/>
            <w:tcBorders>
              <w:bottom w:val="single" w:sz="8" w:color="DCE2EF"/>
            </w:tcBorders>
          </w:tcPr>
          <w:p>
            <w:pPr>
              <w:spacing w:after="0"/>
              <w:rPr>
                <w:sz w:val="2"/>
                <w:szCs w:val="2"/>
                <w:color w:val="auto"/>
              </w:rPr>
            </w:pPr>
          </w:p>
        </w:tc>
        <w:tc>
          <w:tcPr>
            <w:tcW w:w="680" w:type="dxa"/>
            <w:vAlign w:val="bottom"/>
            <w:tcBorders>
              <w:top w:val="single" w:sz="8" w:color="auto"/>
              <w:bottom w:val="single" w:sz="8" w:color="DCE2EF"/>
            </w:tcBorders>
          </w:tcPr>
          <w:p>
            <w:pPr>
              <w:spacing w:after="0"/>
              <w:rPr>
                <w:sz w:val="2"/>
                <w:szCs w:val="2"/>
                <w:color w:val="auto"/>
              </w:rPr>
            </w:pPr>
          </w:p>
        </w:tc>
        <w:tc>
          <w:tcPr>
            <w:tcW w:w="6360" w:type="dxa"/>
            <w:vAlign w:val="bottom"/>
            <w:tcBorders>
              <w:bottom w:val="single" w:sz="8" w:color="DCE2E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99"/>
        </w:trPr>
        <w:tc>
          <w:tcPr>
            <w:tcW w:w="7060" w:type="dxa"/>
            <w:vAlign w:val="bottom"/>
            <w:gridSpan w:val="3"/>
            <w:shd w:val="clear" w:color="auto" w:fill="DCE2EF"/>
          </w:tcPr>
          <w:p>
            <w:pPr>
              <w:ind w:left="20"/>
              <w:spacing w:after="0"/>
              <w:rPr>
                <w:sz w:val="20"/>
                <w:szCs w:val="20"/>
                <w:color w:val="auto"/>
              </w:rPr>
            </w:pPr>
            <w:r>
              <w:rPr>
                <w:rFonts w:ascii="Arial" w:cs="Arial" w:eastAsia="Arial" w:hAnsi="Arial"/>
                <w:sz w:val="17"/>
                <w:szCs w:val="17"/>
                <w:b w:val="1"/>
                <w:bCs w:val="1"/>
                <w:color w:val="auto"/>
              </w:rPr>
              <w:t>Contract assets</w:t>
            </w:r>
          </w:p>
        </w:tc>
        <w:tc>
          <w:tcPr>
            <w:tcW w:w="460" w:type="dxa"/>
            <w:vAlign w:val="bottom"/>
            <w:shd w:val="clear" w:color="auto" w:fill="DCE2EF"/>
          </w:tcPr>
          <w:p>
            <w:pPr>
              <w:spacing w:after="0"/>
              <w:rPr>
                <w:sz w:val="17"/>
                <w:szCs w:val="17"/>
                <w:color w:val="auto"/>
              </w:rPr>
            </w:pPr>
          </w:p>
        </w:tc>
        <w:tc>
          <w:tcPr>
            <w:tcW w:w="1580" w:type="dxa"/>
            <w:vAlign w:val="bottom"/>
            <w:shd w:val="clear" w:color="auto" w:fill="DCE2EF"/>
          </w:tcPr>
          <w:p>
            <w:pPr>
              <w:spacing w:after="0"/>
              <w:rPr>
                <w:sz w:val="17"/>
                <w:szCs w:val="17"/>
                <w:color w:val="auto"/>
              </w:rPr>
            </w:pPr>
          </w:p>
        </w:tc>
        <w:tc>
          <w:tcPr>
            <w:tcW w:w="100" w:type="dxa"/>
            <w:vAlign w:val="bottom"/>
            <w:shd w:val="clear" w:color="auto" w:fill="DCE2EF"/>
          </w:tcPr>
          <w:p>
            <w:pPr>
              <w:spacing w:after="0"/>
              <w:rPr>
                <w:sz w:val="17"/>
                <w:szCs w:val="17"/>
                <w:color w:val="auto"/>
              </w:rPr>
            </w:pPr>
          </w:p>
        </w:tc>
        <w:tc>
          <w:tcPr>
            <w:tcW w:w="740" w:type="dxa"/>
            <w:vAlign w:val="bottom"/>
            <w:shd w:val="clear" w:color="auto" w:fill="DCE2EF"/>
          </w:tcPr>
          <w:p>
            <w:pPr>
              <w:spacing w:after="0"/>
              <w:rPr>
                <w:sz w:val="17"/>
                <w:szCs w:val="17"/>
                <w:color w:val="auto"/>
              </w:rPr>
            </w:pPr>
          </w:p>
        </w:tc>
        <w:tc>
          <w:tcPr>
            <w:tcW w:w="1300" w:type="dxa"/>
            <w:vAlign w:val="bottom"/>
            <w:shd w:val="clear" w:color="auto" w:fill="DCE2EF"/>
          </w:tcPr>
          <w:p>
            <w:pPr>
              <w:spacing w:after="0"/>
              <w:rPr>
                <w:sz w:val="17"/>
                <w:szCs w:val="17"/>
                <w:color w:val="auto"/>
              </w:rPr>
            </w:pPr>
          </w:p>
        </w:tc>
      </w:tr>
      <w:tr>
        <w:trPr>
          <w:trHeight w:val="219"/>
        </w:trPr>
        <w:tc>
          <w:tcPr>
            <w:tcW w:w="20" w:type="dxa"/>
            <w:vAlign w:val="bottom"/>
          </w:tcPr>
          <w:p>
            <w:pPr>
              <w:spacing w:after="0"/>
              <w:rPr>
                <w:sz w:val="19"/>
                <w:szCs w:val="19"/>
                <w:color w:val="auto"/>
              </w:rPr>
            </w:pPr>
          </w:p>
        </w:tc>
        <w:tc>
          <w:tcPr>
            <w:tcW w:w="7040" w:type="dxa"/>
            <w:vAlign w:val="bottom"/>
            <w:gridSpan w:val="2"/>
          </w:tcPr>
          <w:p>
            <w:pPr>
              <w:ind w:left="200"/>
              <w:spacing w:after="0" w:line="219" w:lineRule="exact"/>
              <w:rPr>
                <w:sz w:val="20"/>
                <w:szCs w:val="20"/>
                <w:color w:val="auto"/>
              </w:rPr>
            </w:pPr>
            <w:r>
              <w:rPr>
                <w:rFonts w:ascii="Arial" w:cs="Arial" w:eastAsia="Arial" w:hAnsi="Arial"/>
                <w:sz w:val="17"/>
                <w:szCs w:val="17"/>
                <w:color w:val="auto"/>
              </w:rPr>
              <w:t>Billed trade receivables</w:t>
            </w:r>
            <w:r>
              <w:rPr>
                <w:rFonts w:ascii="Arial" w:cs="Arial" w:eastAsia="Arial" w:hAnsi="Arial"/>
                <w:sz w:val="22"/>
                <w:szCs w:val="22"/>
                <w:color w:val="auto"/>
                <w:vertAlign w:val="superscript"/>
              </w:rPr>
              <w:t>(1)</w:t>
            </w:r>
          </w:p>
        </w:tc>
        <w:tc>
          <w:tcPr>
            <w:tcW w:w="460" w:type="dxa"/>
            <w:vAlign w:val="bottom"/>
          </w:tcPr>
          <w:p>
            <w:pPr>
              <w:jc w:val="right"/>
              <w:ind w:right="274"/>
              <w:spacing w:after="0"/>
              <w:rPr>
                <w:sz w:val="20"/>
                <w:szCs w:val="20"/>
                <w:color w:val="auto"/>
              </w:rPr>
            </w:pPr>
            <w:r>
              <w:rPr>
                <w:rFonts w:ascii="Arial" w:cs="Arial" w:eastAsia="Arial" w:hAnsi="Arial"/>
                <w:sz w:val="17"/>
                <w:szCs w:val="17"/>
                <w:color w:val="auto"/>
                <w:w w:val="84"/>
              </w:rPr>
              <w:t>$</w:t>
            </w:r>
          </w:p>
        </w:tc>
        <w:tc>
          <w:tcPr>
            <w:tcW w:w="1580" w:type="dxa"/>
            <w:vAlign w:val="bottom"/>
          </w:tcPr>
          <w:p>
            <w:pPr>
              <w:jc w:val="right"/>
              <w:spacing w:after="0"/>
              <w:rPr>
                <w:sz w:val="20"/>
                <w:szCs w:val="20"/>
                <w:color w:val="auto"/>
              </w:rPr>
            </w:pPr>
            <w:r>
              <w:rPr>
                <w:rFonts w:ascii="Arial" w:cs="Arial" w:eastAsia="Arial" w:hAnsi="Arial"/>
                <w:sz w:val="17"/>
                <w:szCs w:val="17"/>
                <w:color w:val="auto"/>
              </w:rPr>
              <w:t>1,223.0</w:t>
            </w:r>
          </w:p>
        </w:tc>
        <w:tc>
          <w:tcPr>
            <w:tcW w:w="100" w:type="dxa"/>
            <w:vAlign w:val="bottom"/>
          </w:tcPr>
          <w:p>
            <w:pPr>
              <w:spacing w:after="0"/>
              <w:rPr>
                <w:sz w:val="19"/>
                <w:szCs w:val="19"/>
                <w:color w:val="auto"/>
              </w:rPr>
            </w:pPr>
          </w:p>
        </w:tc>
        <w:tc>
          <w:tcPr>
            <w:tcW w:w="740" w:type="dxa"/>
            <w:vAlign w:val="bottom"/>
          </w:tcPr>
          <w:p>
            <w:pPr>
              <w:jc w:val="right"/>
              <w:ind w:right="554"/>
              <w:spacing w:after="0"/>
              <w:rPr>
                <w:sz w:val="20"/>
                <w:szCs w:val="20"/>
                <w:color w:val="auto"/>
              </w:rPr>
            </w:pPr>
            <w:r>
              <w:rPr>
                <w:rFonts w:ascii="Arial" w:cs="Arial" w:eastAsia="Arial" w:hAnsi="Arial"/>
                <w:sz w:val="17"/>
                <w:szCs w:val="17"/>
                <w:color w:val="auto"/>
                <w:w w:val="84"/>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1,282.9</w:t>
            </w:r>
          </w:p>
        </w:tc>
      </w:tr>
      <w:tr>
        <w:trPr>
          <w:trHeight w:val="219"/>
        </w:trPr>
        <w:tc>
          <w:tcPr>
            <w:tcW w:w="20" w:type="dxa"/>
            <w:vAlign w:val="bottom"/>
            <w:shd w:val="clear" w:color="auto" w:fill="DCE2EF"/>
          </w:tcPr>
          <w:p>
            <w:pPr>
              <w:spacing w:after="0"/>
              <w:rPr>
                <w:sz w:val="19"/>
                <w:szCs w:val="19"/>
                <w:color w:val="auto"/>
              </w:rPr>
            </w:pPr>
          </w:p>
        </w:tc>
        <w:tc>
          <w:tcPr>
            <w:tcW w:w="7040" w:type="dxa"/>
            <w:vAlign w:val="bottom"/>
            <w:gridSpan w:val="2"/>
            <w:shd w:val="clear" w:color="auto" w:fill="DCE2EF"/>
          </w:tcPr>
          <w:p>
            <w:pPr>
              <w:ind w:left="200"/>
              <w:spacing w:after="0" w:line="219" w:lineRule="exact"/>
              <w:rPr>
                <w:sz w:val="20"/>
                <w:szCs w:val="20"/>
                <w:color w:val="auto"/>
              </w:rPr>
            </w:pPr>
            <w:r>
              <w:rPr>
                <w:rFonts w:ascii="Arial" w:cs="Arial" w:eastAsia="Arial" w:hAnsi="Arial"/>
                <w:sz w:val="17"/>
                <w:szCs w:val="17"/>
                <w:color w:val="auto"/>
              </w:rPr>
              <w:t>Unbilled trade receivables</w:t>
            </w:r>
            <w:r>
              <w:rPr>
                <w:rFonts w:ascii="Arial" w:cs="Arial" w:eastAsia="Arial" w:hAnsi="Arial"/>
                <w:sz w:val="22"/>
                <w:szCs w:val="22"/>
                <w:color w:val="auto"/>
                <w:vertAlign w:val="superscript"/>
              </w:rPr>
              <w:t>(1)</w:t>
            </w:r>
          </w:p>
        </w:tc>
        <w:tc>
          <w:tcPr>
            <w:tcW w:w="460" w:type="dxa"/>
            <w:vAlign w:val="bottom"/>
            <w:shd w:val="clear" w:color="auto" w:fill="DCE2EF"/>
          </w:tcPr>
          <w:p>
            <w:pPr>
              <w:spacing w:after="0"/>
              <w:rPr>
                <w:sz w:val="19"/>
                <w:szCs w:val="19"/>
                <w:color w:val="auto"/>
              </w:rPr>
            </w:pPr>
          </w:p>
        </w:tc>
        <w:tc>
          <w:tcPr>
            <w:tcW w:w="1580" w:type="dxa"/>
            <w:vAlign w:val="bottom"/>
            <w:shd w:val="clear" w:color="auto" w:fill="DCE2EF"/>
          </w:tcPr>
          <w:p>
            <w:pPr>
              <w:jc w:val="right"/>
              <w:spacing w:after="0"/>
              <w:rPr>
                <w:sz w:val="20"/>
                <w:szCs w:val="20"/>
                <w:color w:val="auto"/>
              </w:rPr>
            </w:pPr>
            <w:r>
              <w:rPr>
                <w:rFonts w:ascii="Arial" w:cs="Arial" w:eastAsia="Arial" w:hAnsi="Arial"/>
                <w:sz w:val="17"/>
                <w:szCs w:val="17"/>
                <w:color w:val="auto"/>
              </w:rPr>
              <w:t>273.6</w:t>
            </w:r>
          </w:p>
        </w:tc>
        <w:tc>
          <w:tcPr>
            <w:tcW w:w="100" w:type="dxa"/>
            <w:vAlign w:val="bottom"/>
            <w:shd w:val="clear" w:color="auto" w:fill="DCE2EF"/>
          </w:tcPr>
          <w:p>
            <w:pPr>
              <w:spacing w:after="0"/>
              <w:rPr>
                <w:sz w:val="19"/>
                <w:szCs w:val="19"/>
                <w:color w:val="auto"/>
              </w:rPr>
            </w:pPr>
          </w:p>
        </w:tc>
        <w:tc>
          <w:tcPr>
            <w:tcW w:w="740" w:type="dxa"/>
            <w:vAlign w:val="bottom"/>
            <w:shd w:val="clear" w:color="auto" w:fill="DCE2EF"/>
          </w:tcPr>
          <w:p>
            <w:pPr>
              <w:spacing w:after="0"/>
              <w:rPr>
                <w:sz w:val="19"/>
                <w:szCs w:val="19"/>
                <w:color w:val="auto"/>
              </w:rPr>
            </w:pPr>
          </w:p>
        </w:tc>
        <w:tc>
          <w:tcPr>
            <w:tcW w:w="1300" w:type="dxa"/>
            <w:vAlign w:val="bottom"/>
            <w:shd w:val="clear" w:color="auto" w:fill="DCE2EF"/>
          </w:tcPr>
          <w:p>
            <w:pPr>
              <w:jc w:val="right"/>
              <w:spacing w:after="0"/>
              <w:rPr>
                <w:sz w:val="20"/>
                <w:szCs w:val="20"/>
                <w:color w:val="auto"/>
              </w:rPr>
            </w:pPr>
            <w:r>
              <w:rPr>
                <w:rFonts w:ascii="Arial" w:cs="Arial" w:eastAsia="Arial" w:hAnsi="Arial"/>
                <w:sz w:val="17"/>
                <w:szCs w:val="17"/>
                <w:color w:val="auto"/>
              </w:rPr>
              <w:t>124.0</w:t>
            </w:r>
          </w:p>
        </w:tc>
      </w:tr>
      <w:tr>
        <w:trPr>
          <w:trHeight w:val="219"/>
        </w:trPr>
        <w:tc>
          <w:tcPr>
            <w:tcW w:w="20" w:type="dxa"/>
            <w:vAlign w:val="bottom"/>
          </w:tcPr>
          <w:p>
            <w:pPr>
              <w:spacing w:after="0"/>
              <w:rPr>
                <w:sz w:val="19"/>
                <w:szCs w:val="19"/>
                <w:color w:val="auto"/>
              </w:rPr>
            </w:pPr>
          </w:p>
        </w:tc>
        <w:tc>
          <w:tcPr>
            <w:tcW w:w="7040" w:type="dxa"/>
            <w:vAlign w:val="bottom"/>
            <w:gridSpan w:val="2"/>
          </w:tcPr>
          <w:p>
            <w:pPr>
              <w:ind w:left="200"/>
              <w:spacing w:after="0"/>
              <w:rPr>
                <w:sz w:val="20"/>
                <w:szCs w:val="20"/>
                <w:color w:val="auto"/>
              </w:rPr>
            </w:pPr>
            <w:r>
              <w:rPr>
                <w:rFonts w:ascii="Arial" w:cs="Arial" w:eastAsia="Arial" w:hAnsi="Arial"/>
                <w:sz w:val="17"/>
                <w:szCs w:val="17"/>
                <w:color w:val="auto"/>
              </w:rPr>
              <w:t>Costs incurred in excess of amounts billed</w:t>
            </w:r>
          </w:p>
        </w:tc>
        <w:tc>
          <w:tcPr>
            <w:tcW w:w="4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193.7</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162.1</w:t>
            </w:r>
          </w:p>
        </w:tc>
      </w:tr>
      <w:tr>
        <w:trPr>
          <w:trHeight w:val="219"/>
        </w:trPr>
        <w:tc>
          <w:tcPr>
            <w:tcW w:w="20" w:type="dxa"/>
            <w:vAlign w:val="bottom"/>
            <w:shd w:val="clear" w:color="auto" w:fill="DCE2EF"/>
          </w:tcPr>
          <w:p>
            <w:pPr>
              <w:spacing w:after="0"/>
              <w:rPr>
                <w:sz w:val="19"/>
                <w:szCs w:val="19"/>
                <w:color w:val="auto"/>
              </w:rPr>
            </w:pPr>
          </w:p>
        </w:tc>
        <w:tc>
          <w:tcPr>
            <w:tcW w:w="7040" w:type="dxa"/>
            <w:vAlign w:val="bottom"/>
            <w:gridSpan w:val="2"/>
            <w:shd w:val="clear" w:color="auto" w:fill="DCE2EF"/>
          </w:tcPr>
          <w:p>
            <w:pPr>
              <w:ind w:left="200"/>
              <w:spacing w:after="0" w:line="219" w:lineRule="exact"/>
              <w:rPr>
                <w:sz w:val="20"/>
                <w:szCs w:val="20"/>
                <w:color w:val="auto"/>
              </w:rPr>
            </w:pPr>
            <w:r>
              <w:rPr>
                <w:rFonts w:ascii="Arial" w:cs="Arial" w:eastAsia="Arial" w:hAnsi="Arial"/>
                <w:sz w:val="17"/>
                <w:szCs w:val="17"/>
                <w:color w:val="auto"/>
              </w:rPr>
              <w:t>Capitalized commissions</w:t>
            </w:r>
            <w:r>
              <w:rPr>
                <w:rFonts w:ascii="Arial" w:cs="Arial" w:eastAsia="Arial" w:hAnsi="Arial"/>
                <w:sz w:val="22"/>
                <w:szCs w:val="22"/>
                <w:color w:val="auto"/>
                <w:vertAlign w:val="superscript"/>
              </w:rPr>
              <w:t>(2)</w:t>
            </w:r>
          </w:p>
        </w:tc>
        <w:tc>
          <w:tcPr>
            <w:tcW w:w="460" w:type="dxa"/>
            <w:vAlign w:val="bottom"/>
            <w:shd w:val="clear" w:color="auto" w:fill="DCE2EF"/>
          </w:tcPr>
          <w:p>
            <w:pPr>
              <w:spacing w:after="0"/>
              <w:rPr>
                <w:sz w:val="19"/>
                <w:szCs w:val="19"/>
                <w:color w:val="auto"/>
              </w:rPr>
            </w:pPr>
          </w:p>
        </w:tc>
        <w:tc>
          <w:tcPr>
            <w:tcW w:w="1580" w:type="dxa"/>
            <w:vAlign w:val="bottom"/>
            <w:shd w:val="clear" w:color="auto" w:fill="DCE2EF"/>
          </w:tcPr>
          <w:p>
            <w:pPr>
              <w:jc w:val="right"/>
              <w:spacing w:after="0"/>
              <w:rPr>
                <w:sz w:val="20"/>
                <w:szCs w:val="20"/>
                <w:color w:val="auto"/>
              </w:rPr>
            </w:pPr>
            <w:r>
              <w:rPr>
                <w:rFonts w:ascii="Arial" w:cs="Arial" w:eastAsia="Arial" w:hAnsi="Arial"/>
                <w:sz w:val="17"/>
                <w:szCs w:val="17"/>
                <w:color w:val="auto"/>
              </w:rPr>
              <w:t>32.3</w:t>
            </w:r>
          </w:p>
        </w:tc>
        <w:tc>
          <w:tcPr>
            <w:tcW w:w="100" w:type="dxa"/>
            <w:vAlign w:val="bottom"/>
            <w:shd w:val="clear" w:color="auto" w:fill="DCE2EF"/>
          </w:tcPr>
          <w:p>
            <w:pPr>
              <w:spacing w:after="0"/>
              <w:rPr>
                <w:sz w:val="19"/>
                <w:szCs w:val="19"/>
                <w:color w:val="auto"/>
              </w:rPr>
            </w:pPr>
          </w:p>
        </w:tc>
        <w:tc>
          <w:tcPr>
            <w:tcW w:w="740" w:type="dxa"/>
            <w:vAlign w:val="bottom"/>
            <w:shd w:val="clear" w:color="auto" w:fill="DCE2EF"/>
          </w:tcPr>
          <w:p>
            <w:pPr>
              <w:spacing w:after="0"/>
              <w:rPr>
                <w:sz w:val="19"/>
                <w:szCs w:val="19"/>
                <w:color w:val="auto"/>
              </w:rPr>
            </w:pPr>
          </w:p>
        </w:tc>
        <w:tc>
          <w:tcPr>
            <w:tcW w:w="1300" w:type="dxa"/>
            <w:vAlign w:val="bottom"/>
            <w:shd w:val="clear" w:color="auto" w:fill="DCE2EF"/>
          </w:tcPr>
          <w:p>
            <w:pPr>
              <w:jc w:val="right"/>
              <w:spacing w:after="0"/>
              <w:rPr>
                <w:sz w:val="20"/>
                <w:szCs w:val="20"/>
                <w:color w:val="auto"/>
              </w:rPr>
            </w:pPr>
            <w:r>
              <w:rPr>
                <w:rFonts w:ascii="Arial" w:cs="Arial" w:eastAsia="Arial" w:hAnsi="Arial"/>
                <w:sz w:val="17"/>
                <w:szCs w:val="17"/>
                <w:color w:val="auto"/>
              </w:rPr>
              <w:t>30.8</w:t>
            </w:r>
          </w:p>
        </w:tc>
      </w:tr>
    </w:tbl>
    <w:p>
      <w:pPr>
        <w:spacing w:after="0" w:line="167" w:lineRule="exact"/>
        <w:rPr>
          <w:sz w:val="20"/>
          <w:szCs w:val="20"/>
          <w:color w:val="auto"/>
        </w:rPr>
      </w:pPr>
    </w:p>
    <w:p>
      <w:pPr>
        <w:ind w:left="160" w:hanging="157"/>
        <w:spacing w:after="0"/>
        <w:tabs>
          <w:tab w:leader="none" w:pos="160" w:val="left"/>
        </w:tabs>
        <w:numPr>
          <w:ilvl w:val="0"/>
          <w:numId w:val="24"/>
        </w:numPr>
        <w:rPr>
          <w:rFonts w:ascii="Arial" w:cs="Arial" w:eastAsia="Arial" w:hAnsi="Arial"/>
          <w:sz w:val="19"/>
          <w:szCs w:val="19"/>
          <w:color w:val="auto"/>
          <w:vertAlign w:val="superscript"/>
        </w:rPr>
      </w:pPr>
      <w:r>
        <w:rPr>
          <w:rFonts w:ascii="Arial" w:cs="Arial" w:eastAsia="Arial" w:hAnsi="Arial"/>
          <w:sz w:val="15"/>
          <w:szCs w:val="15"/>
          <w:color w:val="auto"/>
        </w:rPr>
        <w:t>Included in “Trade accounts receivable, net,” on the Consolidated Balance Sheets.</w:t>
      </w:r>
    </w:p>
    <w:p>
      <w:pPr>
        <w:spacing w:after="0" w:line="79" w:lineRule="exact"/>
        <w:rPr>
          <w:rFonts w:ascii="Arial" w:cs="Arial" w:eastAsia="Arial" w:hAnsi="Arial"/>
          <w:sz w:val="19"/>
          <w:szCs w:val="19"/>
          <w:color w:val="auto"/>
          <w:vertAlign w:val="superscript"/>
        </w:rPr>
      </w:pPr>
    </w:p>
    <w:p>
      <w:pPr>
        <w:ind w:left="160" w:hanging="157"/>
        <w:spacing w:after="0" w:line="236" w:lineRule="auto"/>
        <w:tabs>
          <w:tab w:leader="none" w:pos="180" w:val="left"/>
        </w:tabs>
        <w:numPr>
          <w:ilvl w:val="0"/>
          <w:numId w:val="24"/>
        </w:numPr>
        <w:rPr>
          <w:rFonts w:ascii="Arial" w:cs="Arial" w:eastAsia="Arial" w:hAnsi="Arial"/>
          <w:sz w:val="20"/>
          <w:szCs w:val="20"/>
          <w:color w:val="auto"/>
          <w:vertAlign w:val="superscript"/>
        </w:rPr>
      </w:pPr>
      <w:r>
        <w:rPr>
          <w:rFonts w:ascii="Arial" w:cs="Arial" w:eastAsia="Arial" w:hAnsi="Arial"/>
          <w:sz w:val="15"/>
          <w:szCs w:val="15"/>
          <w:color w:val="auto"/>
        </w:rPr>
        <w:t>Included in “Other current assets” and “Other noncurrent assets” on the Consolidated Balance Sheets. During the year ended October 31, 2025, we capitalized $20.1 million of new costs and amortized $18.6 million of previously capitalized costs. There was no impairment loss recorded on the costs capitalized.</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20" w:type="dxa"/>
            <w:vAlign w:val="bottom"/>
          </w:tcPr>
          <w:p>
            <w:pPr>
              <w:jc w:val="right"/>
              <w:ind w:right="474"/>
              <w:spacing w:after="0"/>
              <w:rPr>
                <w:sz w:val="20"/>
                <w:szCs w:val="20"/>
                <w:color w:val="auto"/>
              </w:rPr>
            </w:pPr>
            <w:r>
              <w:rPr>
                <w:rFonts w:ascii="Arial" w:cs="Arial" w:eastAsia="Arial" w:hAnsi="Arial"/>
                <w:sz w:val="17"/>
                <w:szCs w:val="17"/>
                <w:b w:val="1"/>
                <w:bCs w:val="1"/>
                <w:color w:val="auto"/>
              </w:rPr>
              <w:t>Year Ended</w:t>
            </w:r>
          </w:p>
        </w:tc>
      </w:tr>
      <w:tr>
        <w:trPr>
          <w:trHeight w:val="180"/>
        </w:trPr>
        <w:tc>
          <w:tcPr>
            <w:tcW w:w="9020" w:type="dxa"/>
            <w:vAlign w:val="bottom"/>
            <w:gridSpan w:val="3"/>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20" w:type="dxa"/>
            <w:vAlign w:val="bottom"/>
          </w:tcPr>
          <w:p>
            <w:pPr>
              <w:spacing w:after="0"/>
              <w:rPr>
                <w:sz w:val="15"/>
                <w:szCs w:val="15"/>
                <w:color w:val="auto"/>
              </w:rPr>
            </w:pPr>
          </w:p>
        </w:tc>
        <w:tc>
          <w:tcPr>
            <w:tcW w:w="1820" w:type="dxa"/>
            <w:vAlign w:val="bottom"/>
          </w:tcPr>
          <w:p>
            <w:pPr>
              <w:jc w:val="right"/>
              <w:ind w:right="254"/>
              <w:spacing w:after="0" w:line="180" w:lineRule="exact"/>
              <w:rPr>
                <w:sz w:val="20"/>
                <w:szCs w:val="20"/>
                <w:color w:val="auto"/>
              </w:rPr>
            </w:pPr>
            <w:r>
              <w:rPr>
                <w:rFonts w:ascii="Arial" w:cs="Arial" w:eastAsia="Arial" w:hAnsi="Arial"/>
                <w:sz w:val="17"/>
                <w:szCs w:val="17"/>
                <w:b w:val="1"/>
                <w:bCs w:val="1"/>
                <w:color w:val="auto"/>
              </w:rPr>
              <w:t>October 31, 2025</w:t>
            </w:r>
          </w:p>
        </w:tc>
      </w:tr>
      <w:tr>
        <w:trPr>
          <w:trHeight w:val="32"/>
        </w:trPr>
        <w:tc>
          <w:tcPr>
            <w:tcW w:w="20" w:type="dxa"/>
            <w:vAlign w:val="bottom"/>
            <w:tcBorders>
              <w:bottom w:val="single" w:sz="8" w:color="DCE2EF"/>
            </w:tcBorders>
          </w:tcPr>
          <w:p>
            <w:pPr>
              <w:spacing w:after="0"/>
              <w:rPr>
                <w:sz w:val="2"/>
                <w:szCs w:val="2"/>
                <w:color w:val="auto"/>
              </w:rPr>
            </w:pPr>
          </w:p>
        </w:tc>
        <w:tc>
          <w:tcPr>
            <w:tcW w:w="680" w:type="dxa"/>
            <w:vAlign w:val="bottom"/>
            <w:tcBorders>
              <w:top w:val="single" w:sz="8" w:color="auto"/>
              <w:bottom w:val="single" w:sz="8" w:color="DCE2EF"/>
            </w:tcBorders>
          </w:tcPr>
          <w:p>
            <w:pPr>
              <w:spacing w:after="0"/>
              <w:rPr>
                <w:sz w:val="2"/>
                <w:szCs w:val="2"/>
                <w:color w:val="auto"/>
              </w:rPr>
            </w:pPr>
          </w:p>
        </w:tc>
        <w:tc>
          <w:tcPr>
            <w:tcW w:w="8320" w:type="dxa"/>
            <w:vAlign w:val="bottom"/>
            <w:tcBorders>
              <w:bottom w:val="single" w:sz="8" w:color="DCE2E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199"/>
        </w:trPr>
        <w:tc>
          <w:tcPr>
            <w:tcW w:w="9020" w:type="dxa"/>
            <w:vAlign w:val="bottom"/>
            <w:gridSpan w:val="3"/>
            <w:shd w:val="clear" w:color="auto" w:fill="DCE2EF"/>
          </w:tcPr>
          <w:p>
            <w:pPr>
              <w:ind w:left="20"/>
              <w:spacing w:after="0" w:line="199" w:lineRule="exact"/>
              <w:rPr>
                <w:sz w:val="20"/>
                <w:szCs w:val="20"/>
                <w:color w:val="auto"/>
              </w:rPr>
            </w:pPr>
            <w:r>
              <w:rPr>
                <w:rFonts w:ascii="Arial" w:cs="Arial" w:eastAsia="Arial" w:hAnsi="Arial"/>
                <w:sz w:val="17"/>
                <w:szCs w:val="17"/>
                <w:b w:val="1"/>
                <w:bCs w:val="1"/>
                <w:color w:val="auto"/>
              </w:rPr>
              <w:t>Contract liabilities</w:t>
            </w:r>
            <w:r>
              <w:rPr>
                <w:rFonts w:ascii="Arial" w:cs="Arial" w:eastAsia="Arial" w:hAnsi="Arial"/>
                <w:sz w:val="22"/>
                <w:szCs w:val="22"/>
                <w:color w:val="auto"/>
                <w:vertAlign w:val="superscript"/>
              </w:rPr>
              <w:t>(1)</w:t>
            </w:r>
          </w:p>
        </w:tc>
        <w:tc>
          <w:tcPr>
            <w:tcW w:w="220" w:type="dxa"/>
            <w:vAlign w:val="bottom"/>
            <w:shd w:val="clear" w:color="auto" w:fill="DCE2EF"/>
          </w:tcPr>
          <w:p>
            <w:pPr>
              <w:spacing w:after="0"/>
              <w:rPr>
                <w:sz w:val="17"/>
                <w:szCs w:val="17"/>
                <w:color w:val="auto"/>
              </w:rPr>
            </w:pPr>
          </w:p>
        </w:tc>
        <w:tc>
          <w:tcPr>
            <w:tcW w:w="1820" w:type="dxa"/>
            <w:vAlign w:val="bottom"/>
            <w:shd w:val="clear" w:color="auto" w:fill="DCE2EF"/>
          </w:tcPr>
          <w:p>
            <w:pPr>
              <w:spacing w:after="0"/>
              <w:rPr>
                <w:sz w:val="17"/>
                <w:szCs w:val="17"/>
                <w:color w:val="auto"/>
              </w:rPr>
            </w:pPr>
          </w:p>
        </w:tc>
      </w:tr>
      <w:tr>
        <w:trPr>
          <w:trHeight w:val="219"/>
        </w:trPr>
        <w:tc>
          <w:tcPr>
            <w:tcW w:w="20" w:type="dxa"/>
            <w:vAlign w:val="bottom"/>
          </w:tcPr>
          <w:p>
            <w:pPr>
              <w:spacing w:after="0"/>
              <w:rPr>
                <w:sz w:val="19"/>
                <w:szCs w:val="19"/>
                <w:color w:val="auto"/>
              </w:rPr>
            </w:pPr>
          </w:p>
        </w:tc>
        <w:tc>
          <w:tcPr>
            <w:tcW w:w="9000" w:type="dxa"/>
            <w:vAlign w:val="bottom"/>
            <w:gridSpan w:val="2"/>
          </w:tcPr>
          <w:p>
            <w:pPr>
              <w:ind w:left="200"/>
              <w:spacing w:after="0"/>
              <w:rPr>
                <w:sz w:val="20"/>
                <w:szCs w:val="20"/>
                <w:color w:val="auto"/>
              </w:rPr>
            </w:pPr>
            <w:r>
              <w:rPr>
                <w:rFonts w:ascii="Arial" w:cs="Arial" w:eastAsia="Arial" w:hAnsi="Arial"/>
                <w:sz w:val="17"/>
                <w:szCs w:val="17"/>
                <w:color w:val="auto"/>
              </w:rPr>
              <w:t>Balance at beginning of year</w:t>
            </w:r>
          </w:p>
        </w:tc>
        <w:tc>
          <w:tcPr>
            <w:tcW w:w="220" w:type="dxa"/>
            <w:vAlign w:val="bottom"/>
          </w:tcPr>
          <w:p>
            <w:pPr>
              <w:jc w:val="right"/>
              <w:ind w:right="14"/>
              <w:spacing w:after="0"/>
              <w:rPr>
                <w:sz w:val="20"/>
                <w:szCs w:val="20"/>
                <w:color w:val="auto"/>
              </w:rPr>
            </w:pPr>
            <w:r>
              <w:rPr>
                <w:rFonts w:ascii="Arial" w:cs="Arial" w:eastAsia="Arial" w:hAnsi="Arial"/>
                <w:sz w:val="17"/>
                <w:szCs w:val="17"/>
                <w:color w:val="auto"/>
              </w:rPr>
              <w:t>$</w:t>
            </w:r>
          </w:p>
        </w:tc>
        <w:tc>
          <w:tcPr>
            <w:tcW w:w="1820" w:type="dxa"/>
            <w:vAlign w:val="bottom"/>
          </w:tcPr>
          <w:p>
            <w:pPr>
              <w:jc w:val="right"/>
              <w:spacing w:after="0"/>
              <w:rPr>
                <w:sz w:val="20"/>
                <w:szCs w:val="20"/>
                <w:color w:val="auto"/>
              </w:rPr>
            </w:pPr>
            <w:r>
              <w:rPr>
                <w:rFonts w:ascii="Arial" w:cs="Arial" w:eastAsia="Arial" w:hAnsi="Arial"/>
                <w:sz w:val="17"/>
                <w:szCs w:val="17"/>
                <w:color w:val="auto"/>
              </w:rPr>
              <w:t>118.2</w:t>
            </w:r>
          </w:p>
        </w:tc>
      </w:tr>
      <w:tr>
        <w:trPr>
          <w:trHeight w:val="219"/>
        </w:trPr>
        <w:tc>
          <w:tcPr>
            <w:tcW w:w="20" w:type="dxa"/>
            <w:vAlign w:val="bottom"/>
            <w:shd w:val="clear" w:color="auto" w:fill="DCE2EF"/>
          </w:tcPr>
          <w:p>
            <w:pPr>
              <w:spacing w:after="0"/>
              <w:rPr>
                <w:sz w:val="19"/>
                <w:szCs w:val="19"/>
                <w:color w:val="auto"/>
              </w:rPr>
            </w:pPr>
          </w:p>
        </w:tc>
        <w:tc>
          <w:tcPr>
            <w:tcW w:w="9000" w:type="dxa"/>
            <w:vAlign w:val="bottom"/>
            <w:gridSpan w:val="2"/>
            <w:shd w:val="clear" w:color="auto" w:fill="DCE2EF"/>
          </w:tcPr>
          <w:p>
            <w:pPr>
              <w:ind w:left="200"/>
              <w:spacing w:after="0"/>
              <w:rPr>
                <w:sz w:val="20"/>
                <w:szCs w:val="20"/>
                <w:color w:val="auto"/>
              </w:rPr>
            </w:pPr>
            <w:r>
              <w:rPr>
                <w:rFonts w:ascii="Arial" w:cs="Arial" w:eastAsia="Arial" w:hAnsi="Arial"/>
                <w:sz w:val="17"/>
                <w:szCs w:val="17"/>
                <w:color w:val="auto"/>
              </w:rPr>
              <w:t>Additional contract liabilities</w:t>
            </w:r>
          </w:p>
        </w:tc>
        <w:tc>
          <w:tcPr>
            <w:tcW w:w="220" w:type="dxa"/>
            <w:vAlign w:val="bottom"/>
            <w:shd w:val="clear" w:color="auto" w:fill="DCE2EF"/>
          </w:tcPr>
          <w:p>
            <w:pPr>
              <w:spacing w:after="0"/>
              <w:rPr>
                <w:sz w:val="19"/>
                <w:szCs w:val="19"/>
                <w:color w:val="auto"/>
              </w:rPr>
            </w:pPr>
          </w:p>
        </w:tc>
        <w:tc>
          <w:tcPr>
            <w:tcW w:w="1820" w:type="dxa"/>
            <w:vAlign w:val="bottom"/>
            <w:shd w:val="clear" w:color="auto" w:fill="DCE2EF"/>
          </w:tcPr>
          <w:p>
            <w:pPr>
              <w:jc w:val="right"/>
              <w:spacing w:after="0"/>
              <w:rPr>
                <w:sz w:val="20"/>
                <w:szCs w:val="20"/>
                <w:color w:val="auto"/>
              </w:rPr>
            </w:pPr>
            <w:r>
              <w:rPr>
                <w:rFonts w:ascii="Arial" w:cs="Arial" w:eastAsia="Arial" w:hAnsi="Arial"/>
                <w:sz w:val="17"/>
                <w:szCs w:val="17"/>
                <w:color w:val="auto"/>
              </w:rPr>
              <w:t>415.0</w:t>
            </w:r>
          </w:p>
        </w:tc>
      </w:tr>
      <w:tr>
        <w:trPr>
          <w:trHeight w:val="271"/>
        </w:trPr>
        <w:tc>
          <w:tcPr>
            <w:tcW w:w="20" w:type="dxa"/>
            <w:vAlign w:val="bottom"/>
            <w:tcBorders>
              <w:bottom w:val="single" w:sz="8" w:color="DCE2EF"/>
            </w:tcBorders>
          </w:tcPr>
          <w:p>
            <w:pPr>
              <w:spacing w:after="0"/>
              <w:rPr>
                <w:sz w:val="23"/>
                <w:szCs w:val="23"/>
                <w:color w:val="auto"/>
              </w:rPr>
            </w:pPr>
          </w:p>
        </w:tc>
        <w:tc>
          <w:tcPr>
            <w:tcW w:w="9000" w:type="dxa"/>
            <w:vAlign w:val="bottom"/>
            <w:tcBorders>
              <w:bottom w:val="single" w:sz="8" w:color="DCE2EF"/>
            </w:tcBorders>
            <w:gridSpan w:val="2"/>
          </w:tcPr>
          <w:p>
            <w:pPr>
              <w:ind w:left="200"/>
              <w:spacing w:after="0"/>
              <w:rPr>
                <w:sz w:val="20"/>
                <w:szCs w:val="20"/>
                <w:color w:val="auto"/>
              </w:rPr>
            </w:pPr>
            <w:r>
              <w:rPr>
                <w:rFonts w:ascii="Arial" w:cs="Arial" w:eastAsia="Arial" w:hAnsi="Arial"/>
                <w:sz w:val="17"/>
                <w:szCs w:val="17"/>
                <w:color w:val="auto"/>
              </w:rPr>
              <w:t>Recognition of deferred revenue</w:t>
            </w:r>
          </w:p>
        </w:tc>
        <w:tc>
          <w:tcPr>
            <w:tcW w:w="220" w:type="dxa"/>
            <w:vAlign w:val="bottom"/>
            <w:tcBorders>
              <w:bottom w:val="single" w:sz="8" w:color="auto"/>
            </w:tcBorders>
          </w:tcPr>
          <w:p>
            <w:pPr>
              <w:spacing w:after="0"/>
              <w:rPr>
                <w:sz w:val="23"/>
                <w:szCs w:val="23"/>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(384.6)</w:t>
            </w:r>
          </w:p>
        </w:tc>
      </w:tr>
      <w:tr>
        <w:trPr>
          <w:trHeight w:val="250"/>
        </w:trPr>
        <w:tc>
          <w:tcPr>
            <w:tcW w:w="20" w:type="dxa"/>
            <w:vAlign w:val="bottom"/>
            <w:tcBorders>
              <w:bottom w:val="single" w:sz="8" w:color="DCE2EF"/>
            </w:tcBorders>
            <w:shd w:val="clear" w:color="auto" w:fill="DCE2EF"/>
          </w:tcPr>
          <w:p>
            <w:pPr>
              <w:spacing w:after="0"/>
              <w:rPr>
                <w:sz w:val="21"/>
                <w:szCs w:val="21"/>
                <w:color w:val="auto"/>
              </w:rPr>
            </w:pPr>
          </w:p>
        </w:tc>
        <w:tc>
          <w:tcPr>
            <w:tcW w:w="9000" w:type="dxa"/>
            <w:vAlign w:val="bottom"/>
            <w:tcBorders>
              <w:bottom w:val="single" w:sz="8" w:color="DCE2EF"/>
            </w:tcBorders>
            <w:gridSpan w:val="2"/>
            <w:shd w:val="clear" w:color="auto" w:fill="DCE2EF"/>
          </w:tcPr>
          <w:p>
            <w:pPr>
              <w:ind w:left="200"/>
              <w:spacing w:after="0"/>
              <w:rPr>
                <w:sz w:val="20"/>
                <w:szCs w:val="20"/>
                <w:color w:val="auto"/>
              </w:rPr>
            </w:pPr>
            <w:r>
              <w:rPr>
                <w:rFonts w:ascii="Arial" w:cs="Arial" w:eastAsia="Arial" w:hAnsi="Arial"/>
                <w:sz w:val="17"/>
                <w:szCs w:val="17"/>
                <w:color w:val="auto"/>
              </w:rPr>
              <w:t>Balance at end of year</w:t>
            </w:r>
          </w:p>
        </w:tc>
        <w:tc>
          <w:tcPr>
            <w:tcW w:w="220" w:type="dxa"/>
            <w:vAlign w:val="bottom"/>
            <w:tcBorders>
              <w:bottom w:val="single" w:sz="8" w:color="auto"/>
            </w:tcBorders>
            <w:shd w:val="clear" w:color="auto" w:fill="DCE2EF"/>
          </w:tcPr>
          <w:p>
            <w:pPr>
              <w:jc w:val="right"/>
              <w:ind w:right="14"/>
              <w:spacing w:after="0"/>
              <w:rPr>
                <w:sz w:val="20"/>
                <w:szCs w:val="20"/>
                <w:color w:val="auto"/>
              </w:rPr>
            </w:pPr>
            <w:r>
              <w:rPr>
                <w:rFonts w:ascii="Arial" w:cs="Arial" w:eastAsia="Arial" w:hAnsi="Arial"/>
                <w:sz w:val="17"/>
                <w:szCs w:val="17"/>
                <w:color w:val="auto"/>
              </w:rPr>
              <w:t>$</w:t>
            </w:r>
          </w:p>
        </w:tc>
        <w:tc>
          <w:tcPr>
            <w:tcW w:w="182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7"/>
                <w:szCs w:val="17"/>
                <w:color w:val="auto"/>
              </w:rPr>
              <w:t>148.6</w:t>
            </w:r>
          </w:p>
        </w:tc>
      </w:tr>
      <w:tr>
        <w:trPr>
          <w:trHeight w:val="20"/>
        </w:trPr>
        <w:tc>
          <w:tcPr>
            <w:tcW w:w="20" w:type="dxa"/>
            <w:vAlign w:val="bottom"/>
            <w:tcBorders>
              <w:top w:val="single" w:sz="8" w:color="DCE2EF"/>
            </w:tcBorders>
          </w:tcPr>
          <w:p>
            <w:pPr>
              <w:spacing w:after="0" w:line="20" w:lineRule="exact"/>
              <w:rPr>
                <w:sz w:val="1"/>
                <w:szCs w:val="1"/>
                <w:color w:val="auto"/>
              </w:rPr>
            </w:pPr>
          </w:p>
        </w:tc>
        <w:tc>
          <w:tcPr>
            <w:tcW w:w="680" w:type="dxa"/>
            <w:vAlign w:val="bottom"/>
            <w:tcBorders>
              <w:top w:val="single" w:sz="8" w:color="DCE2EF"/>
            </w:tcBorders>
          </w:tcPr>
          <w:p>
            <w:pPr>
              <w:spacing w:after="0" w:line="20" w:lineRule="exact"/>
              <w:rPr>
                <w:sz w:val="1"/>
                <w:szCs w:val="1"/>
                <w:color w:val="auto"/>
              </w:rPr>
            </w:pPr>
          </w:p>
        </w:tc>
        <w:tc>
          <w:tcPr>
            <w:tcW w:w="8320" w:type="dxa"/>
            <w:vAlign w:val="bottom"/>
            <w:tcBorders>
              <w:top w:val="single" w:sz="8" w:color="DCE2EF"/>
            </w:tcBorders>
          </w:tcPr>
          <w:p>
            <w:pPr>
              <w:spacing w:after="0" w:line="20" w:lineRule="exact"/>
              <w:rPr>
                <w:sz w:val="1"/>
                <w:szCs w:val="1"/>
                <w:color w:val="auto"/>
              </w:rPr>
            </w:pPr>
          </w:p>
        </w:tc>
        <w:tc>
          <w:tcPr>
            <w:tcW w:w="220" w:type="dxa"/>
            <w:vAlign w:val="bottom"/>
            <w:tcBorders>
              <w:top w:val="single" w:sz="8" w:color="DCE2EF"/>
              <w:bottom w:val="single" w:sz="8" w:color="auto"/>
            </w:tcBorders>
          </w:tcPr>
          <w:p>
            <w:pPr>
              <w:spacing w:after="0" w:line="20" w:lineRule="exact"/>
              <w:rPr>
                <w:sz w:val="1"/>
                <w:szCs w:val="1"/>
                <w:color w:val="auto"/>
              </w:rPr>
            </w:pPr>
          </w:p>
        </w:tc>
        <w:tc>
          <w:tcPr>
            <w:tcW w:w="1820" w:type="dxa"/>
            <w:vAlign w:val="bottom"/>
            <w:tcBorders>
              <w:top w:val="single" w:sz="8" w:color="DCE2EF"/>
              <w:bottom w:val="single" w:sz="8" w:color="auto"/>
            </w:tcBorders>
          </w:tcPr>
          <w:p>
            <w:pPr>
              <w:spacing w:after="0" w:line="20" w:lineRule="exact"/>
              <w:rPr>
                <w:sz w:val="1"/>
                <w:szCs w:val="1"/>
                <w:color w:val="auto"/>
              </w:rPr>
            </w:pPr>
          </w:p>
        </w:tc>
      </w:tr>
    </w:tbl>
    <w:p>
      <w:pPr>
        <w:spacing w:after="0" w:line="115" w:lineRule="exact"/>
        <w:rPr>
          <w:sz w:val="20"/>
          <w:szCs w:val="20"/>
          <w:color w:val="auto"/>
        </w:rPr>
      </w:pPr>
    </w:p>
    <w:p>
      <w:pPr>
        <w:ind w:left="160" w:hanging="157"/>
        <w:spacing w:after="0"/>
        <w:tabs>
          <w:tab w:leader="none" w:pos="160" w:val="left"/>
        </w:tabs>
        <w:numPr>
          <w:ilvl w:val="0"/>
          <w:numId w:val="25"/>
        </w:numPr>
        <w:rPr>
          <w:rFonts w:ascii="Arial" w:cs="Arial" w:eastAsia="Arial" w:hAnsi="Arial"/>
          <w:sz w:val="19"/>
          <w:szCs w:val="19"/>
          <w:color w:val="auto"/>
          <w:vertAlign w:val="superscript"/>
        </w:rPr>
      </w:pPr>
      <w:r>
        <w:rPr>
          <w:rFonts w:ascii="Arial" w:cs="Arial" w:eastAsia="Arial" w:hAnsi="Arial"/>
          <w:sz w:val="15"/>
          <w:szCs w:val="15"/>
          <w:color w:val="auto"/>
        </w:rPr>
        <w:t>Included in other accrued liabilities and deferred revenue on the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66" w:name="page67"/>
    <w:bookmarkEnd w:id="66"/>
    <w:p>
      <w:pPr>
        <w:spacing w:after="0"/>
        <w:rPr>
          <w:sz w:val="20"/>
          <w:szCs w:val="20"/>
          <w:color w:val="auto"/>
        </w:rPr>
      </w:pPr>
      <w:r>
        <w:rPr>
          <w:rFonts w:ascii="Arial" w:cs="Arial" w:eastAsia="Arial" w:hAnsi="Arial"/>
          <w:sz w:val="17"/>
          <w:szCs w:val="17"/>
          <w:b w:val="1"/>
          <w:bCs w:val="1"/>
          <w:color w:val="0046AD"/>
        </w:rPr>
        <w:t>5.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wp:posOffset>
            </wp:positionV>
            <wp:extent cx="712216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22160" cy="8255"/>
                    </a:xfrm>
                    <a:prstGeom prst="rect">
                      <a:avLst/>
                    </a:prstGeom>
                    <a:noFill/>
                  </pic:spPr>
                </pic:pic>
              </a:graphicData>
            </a:graphic>
          </wp:anchor>
        </w:drawing>
      </w:r>
    </w:p>
    <w:p>
      <w:pPr>
        <w:spacing w:after="0" w:line="31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components of lease assets and liabilities and their classification on our Consolidated Balance Sheets were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3680" w:type="dxa"/>
            <w:vAlign w:val="bottom"/>
            <w:gridSpan w:val="2"/>
            <w:vMerge w:val="restart"/>
          </w:tcPr>
          <w:p>
            <w:pPr>
              <w:ind w:left="1220"/>
              <w:spacing w:after="0"/>
              <w:rPr>
                <w:sz w:val="20"/>
                <w:szCs w:val="20"/>
                <w:color w:val="auto"/>
              </w:rPr>
            </w:pPr>
            <w:r>
              <w:rPr>
                <w:rFonts w:ascii="Arial" w:cs="Arial" w:eastAsia="Arial" w:hAnsi="Arial"/>
                <w:sz w:val="17"/>
                <w:szCs w:val="17"/>
                <w:b w:val="1"/>
                <w:bCs w:val="1"/>
                <w:color w:val="auto"/>
              </w:rPr>
              <w:t>Classification</w:t>
            </w:r>
          </w:p>
        </w:tc>
        <w:tc>
          <w:tcPr>
            <w:tcW w:w="520" w:type="dxa"/>
            <w:vAlign w:val="bottom"/>
            <w:tcBorders>
              <w:bottom w:val="single" w:sz="8" w:color="auto"/>
            </w:tcBorders>
          </w:tcPr>
          <w:p>
            <w:pPr>
              <w:spacing w:after="0"/>
              <w:rPr>
                <w:sz w:val="19"/>
                <w:szCs w:val="19"/>
                <w:color w:val="auto"/>
              </w:rPr>
            </w:pPr>
          </w:p>
        </w:tc>
        <w:tc>
          <w:tcPr>
            <w:tcW w:w="2620" w:type="dxa"/>
            <w:vAlign w:val="bottom"/>
            <w:tcBorders>
              <w:bottom w:val="single" w:sz="8" w:color="auto"/>
            </w:tcBorders>
            <w:gridSpan w:val="3"/>
          </w:tcPr>
          <w:p>
            <w:pPr>
              <w:jc w:val="right"/>
              <w:ind w:right="54"/>
              <w:spacing w:after="0"/>
              <w:rPr>
                <w:sz w:val="20"/>
                <w:szCs w:val="20"/>
                <w:color w:val="auto"/>
              </w:rPr>
            </w:pPr>
            <w:r>
              <w:rPr>
                <w:rFonts w:ascii="Arial" w:cs="Arial" w:eastAsia="Arial" w:hAnsi="Arial"/>
                <w:sz w:val="17"/>
                <w:szCs w:val="17"/>
                <w:b w:val="1"/>
                <w:bCs w:val="1"/>
                <w:color w:val="auto"/>
              </w:rPr>
              <w:t>As of October 31,</w:t>
            </w:r>
          </w:p>
        </w:tc>
        <w:tc>
          <w:tcPr>
            <w:tcW w:w="14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0"/>
        </w:trPr>
        <w:tc>
          <w:tcPr>
            <w:tcW w:w="2820" w:type="dxa"/>
            <w:vAlign w:val="bottom"/>
            <w:gridSpan w:val="3"/>
          </w:tcPr>
          <w:p>
            <w:pPr>
              <w:ind w:left="20"/>
              <w:spacing w:after="0" w:line="148" w:lineRule="exact"/>
              <w:rPr>
                <w:sz w:val="20"/>
                <w:szCs w:val="20"/>
                <w:color w:val="auto"/>
              </w:rPr>
            </w:pPr>
            <w:r>
              <w:rPr>
                <w:rFonts w:ascii="Times New Roman" w:cs="Times New Roman" w:eastAsia="Times New Roman" w:hAnsi="Times New Roman"/>
                <w:sz w:val="14"/>
                <w:szCs w:val="14"/>
                <w:i w:val="1"/>
                <w:iCs w:val="1"/>
                <w:color w:val="auto"/>
              </w:rPr>
              <w:t>(in millions)</w:t>
            </w:r>
          </w:p>
        </w:tc>
        <w:tc>
          <w:tcPr>
            <w:tcW w:w="3680" w:type="dxa"/>
            <w:vAlign w:val="bottom"/>
            <w:gridSpan w:val="2"/>
            <w:vMerge w:val="continue"/>
          </w:tcPr>
          <w:p>
            <w:pPr>
              <w:spacing w:after="0"/>
              <w:rPr>
                <w:sz w:val="13"/>
                <w:szCs w:val="13"/>
                <w:color w:val="auto"/>
              </w:rPr>
            </w:pPr>
          </w:p>
        </w:tc>
        <w:tc>
          <w:tcPr>
            <w:tcW w:w="520" w:type="dxa"/>
            <w:vAlign w:val="bottom"/>
          </w:tcPr>
          <w:p>
            <w:pPr>
              <w:spacing w:after="0"/>
              <w:rPr>
                <w:sz w:val="13"/>
                <w:szCs w:val="13"/>
                <w:color w:val="auto"/>
              </w:rPr>
            </w:pPr>
          </w:p>
        </w:tc>
        <w:tc>
          <w:tcPr>
            <w:tcW w:w="1720" w:type="dxa"/>
            <w:vAlign w:val="bottom"/>
          </w:tcPr>
          <w:p>
            <w:pPr>
              <w:jc w:val="right"/>
              <w:ind w:right="834"/>
              <w:spacing w:after="0" w:line="148" w:lineRule="exact"/>
              <w:rPr>
                <w:sz w:val="20"/>
                <w:szCs w:val="20"/>
                <w:color w:val="auto"/>
              </w:rPr>
            </w:pPr>
            <w:r>
              <w:rPr>
                <w:rFonts w:ascii="Arial" w:cs="Arial" w:eastAsia="Arial" w:hAnsi="Arial"/>
                <w:sz w:val="17"/>
                <w:szCs w:val="17"/>
                <w:b w:val="1"/>
                <w:bCs w:val="1"/>
                <w:color w:val="auto"/>
              </w:rPr>
              <w:t>2025</w:t>
            </w: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60" w:type="dxa"/>
            <w:vAlign w:val="bottom"/>
          </w:tcPr>
          <w:p>
            <w:pPr>
              <w:jc w:val="right"/>
              <w:ind w:right="854"/>
              <w:spacing w:after="0" w:line="148" w:lineRule="exact"/>
              <w:rPr>
                <w:sz w:val="20"/>
                <w:szCs w:val="20"/>
                <w:color w:val="auto"/>
              </w:rPr>
            </w:pPr>
            <w:r>
              <w:rPr>
                <w:rFonts w:ascii="Arial" w:cs="Arial" w:eastAsia="Arial" w:hAnsi="Arial"/>
                <w:sz w:val="17"/>
                <w:szCs w:val="17"/>
                <w:b w:val="1"/>
                <w:bCs w:val="1"/>
                <w:color w:val="auto"/>
              </w:rPr>
              <w:t>2024</w:t>
            </w:r>
          </w:p>
        </w:tc>
        <w:tc>
          <w:tcPr>
            <w:tcW w:w="0" w:type="dxa"/>
            <w:vAlign w:val="bottom"/>
          </w:tcPr>
          <w:p>
            <w:pPr>
              <w:spacing w:after="0"/>
              <w:rPr>
                <w:sz w:val="1"/>
                <w:szCs w:val="1"/>
                <w:color w:val="auto"/>
              </w:rPr>
            </w:pPr>
          </w:p>
        </w:tc>
      </w:tr>
      <w:tr>
        <w:trPr>
          <w:trHeight w:val="32"/>
        </w:trPr>
        <w:tc>
          <w:tcPr>
            <w:tcW w:w="20" w:type="dxa"/>
            <w:vAlign w:val="bottom"/>
            <w:tcBorders>
              <w:bottom w:val="single" w:sz="8" w:color="DCE2EF"/>
            </w:tcBorders>
          </w:tcPr>
          <w:p>
            <w:pPr>
              <w:spacing w:after="0"/>
              <w:rPr>
                <w:sz w:val="2"/>
                <w:szCs w:val="2"/>
                <w:color w:val="auto"/>
              </w:rPr>
            </w:pPr>
          </w:p>
        </w:tc>
        <w:tc>
          <w:tcPr>
            <w:tcW w:w="680" w:type="dxa"/>
            <w:vAlign w:val="bottom"/>
            <w:tcBorders>
              <w:top w:val="single" w:sz="8" w:color="auto"/>
              <w:bottom w:val="single" w:sz="8" w:color="DCE2EF"/>
            </w:tcBorders>
          </w:tcPr>
          <w:p>
            <w:pPr>
              <w:spacing w:after="0"/>
              <w:rPr>
                <w:sz w:val="2"/>
                <w:szCs w:val="2"/>
                <w:color w:val="auto"/>
              </w:rPr>
            </w:pPr>
          </w:p>
        </w:tc>
        <w:tc>
          <w:tcPr>
            <w:tcW w:w="2120" w:type="dxa"/>
            <w:vAlign w:val="bottom"/>
            <w:tcBorders>
              <w:bottom w:val="single" w:sz="8" w:color="DCE2EF"/>
            </w:tcBorders>
          </w:tcPr>
          <w:p>
            <w:pPr>
              <w:spacing w:after="0"/>
              <w:rPr>
                <w:sz w:val="2"/>
                <w:szCs w:val="2"/>
                <w:color w:val="auto"/>
              </w:rPr>
            </w:pPr>
          </w:p>
        </w:tc>
        <w:tc>
          <w:tcPr>
            <w:tcW w:w="358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9"/>
        </w:trPr>
        <w:tc>
          <w:tcPr>
            <w:tcW w:w="2820" w:type="dxa"/>
            <w:vAlign w:val="bottom"/>
            <w:gridSpan w:val="3"/>
            <w:shd w:val="clear" w:color="auto" w:fill="DCE2EF"/>
          </w:tcPr>
          <w:p>
            <w:pPr>
              <w:ind w:left="20"/>
              <w:spacing w:after="0"/>
              <w:rPr>
                <w:sz w:val="20"/>
                <w:szCs w:val="20"/>
                <w:color w:val="auto"/>
              </w:rPr>
            </w:pPr>
            <w:r>
              <w:rPr>
                <w:rFonts w:ascii="Arial" w:cs="Arial" w:eastAsia="Arial" w:hAnsi="Arial"/>
                <w:sz w:val="17"/>
                <w:szCs w:val="17"/>
                <w:b w:val="1"/>
                <w:bCs w:val="1"/>
                <w:color w:val="auto"/>
              </w:rPr>
              <w:t>Lease assets</w:t>
            </w:r>
          </w:p>
        </w:tc>
        <w:tc>
          <w:tcPr>
            <w:tcW w:w="3580" w:type="dxa"/>
            <w:vAlign w:val="bottom"/>
            <w:shd w:val="clear" w:color="auto" w:fill="DCE2EF"/>
          </w:tcPr>
          <w:p>
            <w:pPr>
              <w:spacing w:after="0"/>
              <w:rPr>
                <w:sz w:val="17"/>
                <w:szCs w:val="17"/>
                <w:color w:val="auto"/>
              </w:rPr>
            </w:pPr>
          </w:p>
        </w:tc>
        <w:tc>
          <w:tcPr>
            <w:tcW w:w="100" w:type="dxa"/>
            <w:vAlign w:val="bottom"/>
            <w:shd w:val="clear" w:color="auto" w:fill="DCE2EF"/>
          </w:tcPr>
          <w:p>
            <w:pPr>
              <w:spacing w:after="0"/>
              <w:rPr>
                <w:sz w:val="17"/>
                <w:szCs w:val="17"/>
                <w:color w:val="auto"/>
              </w:rPr>
            </w:pPr>
          </w:p>
        </w:tc>
        <w:tc>
          <w:tcPr>
            <w:tcW w:w="520" w:type="dxa"/>
            <w:vAlign w:val="bottom"/>
            <w:shd w:val="clear" w:color="auto" w:fill="DCE2EF"/>
          </w:tcPr>
          <w:p>
            <w:pPr>
              <w:spacing w:after="0"/>
              <w:rPr>
                <w:sz w:val="17"/>
                <w:szCs w:val="17"/>
                <w:color w:val="auto"/>
              </w:rPr>
            </w:pPr>
          </w:p>
        </w:tc>
        <w:tc>
          <w:tcPr>
            <w:tcW w:w="1720" w:type="dxa"/>
            <w:vAlign w:val="bottom"/>
            <w:shd w:val="clear" w:color="auto" w:fill="DCE2EF"/>
          </w:tcPr>
          <w:p>
            <w:pPr>
              <w:spacing w:after="0"/>
              <w:rPr>
                <w:sz w:val="17"/>
                <w:szCs w:val="17"/>
                <w:color w:val="auto"/>
              </w:rPr>
            </w:pPr>
          </w:p>
        </w:tc>
        <w:tc>
          <w:tcPr>
            <w:tcW w:w="100" w:type="dxa"/>
            <w:vAlign w:val="bottom"/>
            <w:shd w:val="clear" w:color="auto" w:fill="DCE2EF"/>
          </w:tcPr>
          <w:p>
            <w:pPr>
              <w:spacing w:after="0"/>
              <w:rPr>
                <w:sz w:val="17"/>
                <w:szCs w:val="17"/>
                <w:color w:val="auto"/>
              </w:rPr>
            </w:pPr>
          </w:p>
        </w:tc>
        <w:tc>
          <w:tcPr>
            <w:tcW w:w="800" w:type="dxa"/>
            <w:vAlign w:val="bottom"/>
            <w:shd w:val="clear" w:color="auto" w:fill="DCE2EF"/>
          </w:tcPr>
          <w:p>
            <w:pPr>
              <w:spacing w:after="0"/>
              <w:rPr>
                <w:sz w:val="17"/>
                <w:szCs w:val="17"/>
                <w:color w:val="auto"/>
              </w:rPr>
            </w:pPr>
          </w:p>
        </w:tc>
        <w:tc>
          <w:tcPr>
            <w:tcW w:w="1460" w:type="dxa"/>
            <w:vAlign w:val="bottom"/>
            <w:shd w:val="clear" w:color="auto" w:fill="DCE2E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820" w:type="dxa"/>
            <w:vAlign w:val="bottom"/>
            <w:gridSpan w:val="3"/>
          </w:tcPr>
          <w:p>
            <w:pPr>
              <w:ind w:left="20"/>
              <w:spacing w:after="0"/>
              <w:rPr>
                <w:sz w:val="20"/>
                <w:szCs w:val="20"/>
                <w:color w:val="auto"/>
              </w:rPr>
            </w:pPr>
            <w:r>
              <w:rPr>
                <w:rFonts w:ascii="Arial" w:cs="Arial" w:eastAsia="Arial" w:hAnsi="Arial"/>
                <w:sz w:val="17"/>
                <w:szCs w:val="17"/>
                <w:color w:val="auto"/>
              </w:rPr>
              <w:t>Operating leases</w:t>
            </w:r>
          </w:p>
        </w:tc>
        <w:tc>
          <w:tcPr>
            <w:tcW w:w="3680" w:type="dxa"/>
            <w:vAlign w:val="bottom"/>
            <w:gridSpan w:val="2"/>
          </w:tcPr>
          <w:p>
            <w:pPr>
              <w:ind w:left="20"/>
              <w:spacing w:after="0"/>
              <w:rPr>
                <w:sz w:val="20"/>
                <w:szCs w:val="20"/>
                <w:color w:val="auto"/>
              </w:rPr>
            </w:pPr>
            <w:r>
              <w:rPr>
                <w:rFonts w:ascii="Arial" w:cs="Arial" w:eastAsia="Arial" w:hAnsi="Arial"/>
                <w:sz w:val="17"/>
                <w:szCs w:val="17"/>
                <w:color w:val="auto"/>
              </w:rPr>
              <w:t>Right-of-use assets</w:t>
            </w:r>
          </w:p>
        </w:tc>
        <w:tc>
          <w:tcPr>
            <w:tcW w:w="520" w:type="dxa"/>
            <w:vAlign w:val="bottom"/>
          </w:tcPr>
          <w:p>
            <w:pPr>
              <w:jc w:val="right"/>
              <w:ind w:right="314"/>
              <w:spacing w:after="0"/>
              <w:rPr>
                <w:sz w:val="20"/>
                <w:szCs w:val="20"/>
                <w:color w:val="auto"/>
              </w:rPr>
            </w:pPr>
            <w:r>
              <w:rPr>
                <w:rFonts w:ascii="Arial" w:cs="Arial" w:eastAsia="Arial" w:hAnsi="Arial"/>
                <w:sz w:val="17"/>
                <w:szCs w:val="17"/>
                <w:color w:val="auto"/>
              </w:rPr>
              <w:t>$</w:t>
            </w:r>
          </w:p>
        </w:tc>
        <w:tc>
          <w:tcPr>
            <w:tcW w:w="1720" w:type="dxa"/>
            <w:vAlign w:val="bottom"/>
          </w:tcPr>
          <w:p>
            <w:pPr>
              <w:jc w:val="right"/>
              <w:spacing w:after="0"/>
              <w:rPr>
                <w:sz w:val="20"/>
                <w:szCs w:val="20"/>
                <w:color w:val="auto"/>
              </w:rPr>
            </w:pPr>
            <w:r>
              <w:rPr>
                <w:rFonts w:ascii="Arial" w:cs="Arial" w:eastAsia="Arial" w:hAnsi="Arial"/>
                <w:sz w:val="17"/>
                <w:szCs w:val="17"/>
                <w:color w:val="auto"/>
              </w:rPr>
              <w:t>95.1</w:t>
            </w:r>
          </w:p>
        </w:tc>
        <w:tc>
          <w:tcPr>
            <w:tcW w:w="100" w:type="dxa"/>
            <w:vAlign w:val="bottom"/>
          </w:tcPr>
          <w:p>
            <w:pPr>
              <w:spacing w:after="0"/>
              <w:rPr>
                <w:sz w:val="19"/>
                <w:szCs w:val="19"/>
                <w:color w:val="auto"/>
              </w:rPr>
            </w:pPr>
          </w:p>
        </w:tc>
        <w:tc>
          <w:tcPr>
            <w:tcW w:w="800" w:type="dxa"/>
            <w:vAlign w:val="bottom"/>
          </w:tcPr>
          <w:p>
            <w:pPr>
              <w:jc w:val="right"/>
              <w:ind w:right="594"/>
              <w:spacing w:after="0"/>
              <w:rPr>
                <w:sz w:val="20"/>
                <w:szCs w:val="20"/>
                <w:color w:val="auto"/>
              </w:rPr>
            </w:pPr>
            <w:r>
              <w:rPr>
                <w:rFonts w:ascii="Arial" w:cs="Arial" w:eastAsia="Arial" w:hAnsi="Arial"/>
                <w:sz w:val="17"/>
                <w:szCs w:val="17"/>
                <w:color w:val="auto"/>
              </w:rPr>
              <w:t>$</w:t>
            </w:r>
          </w:p>
        </w:tc>
        <w:tc>
          <w:tcPr>
            <w:tcW w:w="1460" w:type="dxa"/>
            <w:vAlign w:val="bottom"/>
          </w:tcPr>
          <w:p>
            <w:pPr>
              <w:jc w:val="right"/>
              <w:spacing w:after="0"/>
              <w:rPr>
                <w:sz w:val="20"/>
                <w:szCs w:val="20"/>
                <w:color w:val="auto"/>
              </w:rPr>
            </w:pPr>
            <w:r>
              <w:rPr>
                <w:rFonts w:ascii="Arial" w:cs="Arial" w:eastAsia="Arial" w:hAnsi="Arial"/>
                <w:sz w:val="17"/>
                <w:szCs w:val="17"/>
                <w:color w:val="auto"/>
              </w:rPr>
              <w:t>101.2</w:t>
            </w:r>
          </w:p>
        </w:tc>
        <w:tc>
          <w:tcPr>
            <w:tcW w:w="0" w:type="dxa"/>
            <w:vAlign w:val="bottom"/>
          </w:tcPr>
          <w:p>
            <w:pPr>
              <w:spacing w:after="0"/>
              <w:rPr>
                <w:sz w:val="1"/>
                <w:szCs w:val="1"/>
                <w:color w:val="auto"/>
              </w:rPr>
            </w:pPr>
          </w:p>
        </w:tc>
      </w:tr>
      <w:tr>
        <w:trPr>
          <w:trHeight w:val="219"/>
        </w:trPr>
        <w:tc>
          <w:tcPr>
            <w:tcW w:w="2820" w:type="dxa"/>
            <w:vAlign w:val="bottom"/>
            <w:gridSpan w:val="3"/>
            <w:shd w:val="clear" w:color="auto" w:fill="DCE2EF"/>
          </w:tcPr>
          <w:p>
            <w:pPr>
              <w:ind w:left="20"/>
              <w:spacing w:after="0"/>
              <w:rPr>
                <w:sz w:val="20"/>
                <w:szCs w:val="20"/>
                <w:color w:val="auto"/>
              </w:rPr>
            </w:pPr>
            <w:r>
              <w:rPr>
                <w:rFonts w:ascii="Arial" w:cs="Arial" w:eastAsia="Arial" w:hAnsi="Arial"/>
                <w:sz w:val="17"/>
                <w:szCs w:val="17"/>
                <w:color w:val="auto"/>
              </w:rPr>
              <w:t>Finance leases</w:t>
            </w:r>
          </w:p>
        </w:tc>
        <w:tc>
          <w:tcPr>
            <w:tcW w:w="3680" w:type="dxa"/>
            <w:vAlign w:val="bottom"/>
            <w:gridSpan w:val="2"/>
            <w:shd w:val="clear" w:color="auto" w:fill="DCE2EF"/>
          </w:tcPr>
          <w:p>
            <w:pPr>
              <w:ind w:left="20"/>
              <w:spacing w:after="0" w:line="219" w:lineRule="exact"/>
              <w:rPr>
                <w:sz w:val="20"/>
                <w:szCs w:val="20"/>
                <w:color w:val="auto"/>
              </w:rPr>
            </w:pPr>
            <w:r>
              <w:rPr>
                <w:rFonts w:ascii="Arial" w:cs="Arial" w:eastAsia="Arial" w:hAnsi="Arial"/>
                <w:sz w:val="17"/>
                <w:szCs w:val="17"/>
                <w:color w:val="auto"/>
              </w:rPr>
              <w:t>Property, plant and equipment, net</w:t>
            </w:r>
            <w:r>
              <w:rPr>
                <w:rFonts w:ascii="Arial" w:cs="Arial" w:eastAsia="Arial" w:hAnsi="Arial"/>
                <w:sz w:val="22"/>
                <w:szCs w:val="22"/>
                <w:color w:val="auto"/>
                <w:vertAlign w:val="superscript"/>
              </w:rPr>
              <w:t>(1)</w:t>
            </w:r>
          </w:p>
        </w:tc>
        <w:tc>
          <w:tcPr>
            <w:tcW w:w="520" w:type="dxa"/>
            <w:vAlign w:val="bottom"/>
            <w:tcBorders>
              <w:bottom w:val="single" w:sz="8" w:color="auto"/>
            </w:tcBorders>
            <w:shd w:val="clear" w:color="auto" w:fill="DCE2EF"/>
          </w:tcPr>
          <w:p>
            <w:pPr>
              <w:spacing w:after="0"/>
              <w:rPr>
                <w:sz w:val="19"/>
                <w:szCs w:val="19"/>
                <w:color w:val="auto"/>
              </w:rPr>
            </w:pPr>
          </w:p>
        </w:tc>
        <w:tc>
          <w:tcPr>
            <w:tcW w:w="172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7"/>
                <w:szCs w:val="17"/>
                <w:color w:val="auto"/>
              </w:rPr>
              <w:t>15.6</w:t>
            </w:r>
          </w:p>
        </w:tc>
        <w:tc>
          <w:tcPr>
            <w:tcW w:w="100" w:type="dxa"/>
            <w:vAlign w:val="bottom"/>
            <w:shd w:val="clear" w:color="auto" w:fill="DCE2EF"/>
          </w:tcPr>
          <w:p>
            <w:pPr>
              <w:spacing w:after="0"/>
              <w:rPr>
                <w:sz w:val="19"/>
                <w:szCs w:val="19"/>
                <w:color w:val="auto"/>
              </w:rPr>
            </w:pPr>
          </w:p>
        </w:tc>
        <w:tc>
          <w:tcPr>
            <w:tcW w:w="800" w:type="dxa"/>
            <w:vAlign w:val="bottom"/>
            <w:tcBorders>
              <w:bottom w:val="single" w:sz="8" w:color="auto"/>
            </w:tcBorders>
            <w:shd w:val="clear" w:color="auto" w:fill="DCE2EF"/>
          </w:tcPr>
          <w:p>
            <w:pPr>
              <w:spacing w:after="0"/>
              <w:rPr>
                <w:sz w:val="19"/>
                <w:szCs w:val="19"/>
                <w:color w:val="auto"/>
              </w:rPr>
            </w:pPr>
          </w:p>
        </w:tc>
        <w:tc>
          <w:tcPr>
            <w:tcW w:w="146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7"/>
                <w:szCs w:val="17"/>
                <w:color w:val="auto"/>
              </w:rPr>
              <w:t>20.5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800" w:type="dxa"/>
            <w:vAlign w:val="bottom"/>
            <w:gridSpan w:val="2"/>
          </w:tcPr>
          <w:p>
            <w:pPr>
              <w:ind w:left="420"/>
              <w:spacing w:after="0"/>
              <w:rPr>
                <w:sz w:val="20"/>
                <w:szCs w:val="20"/>
                <w:color w:val="auto"/>
              </w:rPr>
            </w:pPr>
            <w:r>
              <w:rPr>
                <w:rFonts w:ascii="Arial" w:cs="Arial" w:eastAsia="Arial" w:hAnsi="Arial"/>
                <w:sz w:val="17"/>
                <w:szCs w:val="17"/>
                <w:b w:val="1"/>
                <w:bCs w:val="1"/>
                <w:color w:val="auto"/>
              </w:rPr>
              <w:t>Total lease assets</w:t>
            </w:r>
          </w:p>
        </w:tc>
        <w:tc>
          <w:tcPr>
            <w:tcW w:w="3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color w:val="auto"/>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110.7</w:t>
            </w:r>
          </w:p>
        </w:tc>
        <w:tc>
          <w:tcPr>
            <w:tcW w:w="100" w:type="dxa"/>
            <w:vAlign w:val="bottom"/>
          </w:tcPr>
          <w:p>
            <w:pPr>
              <w:spacing w:after="0"/>
              <w:rPr>
                <w:sz w:val="18"/>
                <w:szCs w:val="18"/>
                <w:color w:val="auto"/>
              </w:rPr>
            </w:pPr>
          </w:p>
        </w:tc>
        <w:tc>
          <w:tcPr>
            <w:tcW w:w="800" w:type="dxa"/>
            <w:vAlign w:val="bottom"/>
            <w:tcBorders>
              <w:bottom w:val="single" w:sz="8" w:color="auto"/>
            </w:tcBorders>
          </w:tcPr>
          <w:p>
            <w:pPr>
              <w:jc w:val="right"/>
              <w:ind w:right="594"/>
              <w:spacing w:after="0"/>
              <w:rPr>
                <w:sz w:val="20"/>
                <w:szCs w:val="20"/>
                <w:color w:val="auto"/>
              </w:rPr>
            </w:pPr>
            <w:r>
              <w:rPr>
                <w:rFonts w:ascii="Arial" w:cs="Arial" w:eastAsia="Arial" w:hAnsi="Arial"/>
                <w:sz w:val="17"/>
                <w:szCs w:val="17"/>
                <w:color w:val="auto"/>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121.7</w:t>
            </w:r>
          </w:p>
        </w:tc>
        <w:tc>
          <w:tcPr>
            <w:tcW w:w="0" w:type="dxa"/>
            <w:vAlign w:val="bottom"/>
          </w:tcPr>
          <w:p>
            <w:pPr>
              <w:spacing w:after="0"/>
              <w:rPr>
                <w:sz w:val="1"/>
                <w:szCs w:val="1"/>
                <w:color w:val="auto"/>
              </w:rPr>
            </w:pPr>
          </w:p>
        </w:tc>
      </w:tr>
      <w:tr>
        <w:trPr>
          <w:trHeight w:val="20"/>
        </w:trPr>
        <w:tc>
          <w:tcPr>
            <w:tcW w:w="20" w:type="dxa"/>
            <w:vAlign w:val="bottom"/>
            <w:tcBorders>
              <w:bottom w:val="single" w:sz="8" w:color="DCE2EF"/>
            </w:tcBorders>
          </w:tcPr>
          <w:p>
            <w:pPr>
              <w:spacing w:after="0" w:line="20" w:lineRule="exact"/>
              <w:rPr>
                <w:sz w:val="1"/>
                <w:szCs w:val="1"/>
                <w:color w:val="auto"/>
              </w:rPr>
            </w:pPr>
          </w:p>
        </w:tc>
        <w:tc>
          <w:tcPr>
            <w:tcW w:w="680" w:type="dxa"/>
            <w:vAlign w:val="bottom"/>
            <w:tcBorders>
              <w:bottom w:val="single" w:sz="8" w:color="DCE2EF"/>
            </w:tcBorders>
          </w:tcPr>
          <w:p>
            <w:pPr>
              <w:spacing w:after="0" w:line="20" w:lineRule="exact"/>
              <w:rPr>
                <w:sz w:val="1"/>
                <w:szCs w:val="1"/>
                <w:color w:val="auto"/>
              </w:rPr>
            </w:pPr>
          </w:p>
        </w:tc>
        <w:tc>
          <w:tcPr>
            <w:tcW w:w="2120" w:type="dxa"/>
            <w:vAlign w:val="bottom"/>
            <w:tcBorders>
              <w:bottom w:val="single" w:sz="8" w:color="DCE2EF"/>
            </w:tcBorders>
          </w:tcPr>
          <w:p>
            <w:pPr>
              <w:spacing w:after="0" w:line="20" w:lineRule="exact"/>
              <w:rPr>
                <w:sz w:val="1"/>
                <w:szCs w:val="1"/>
                <w:color w:val="auto"/>
              </w:rPr>
            </w:pPr>
          </w:p>
        </w:tc>
        <w:tc>
          <w:tcPr>
            <w:tcW w:w="3580" w:type="dxa"/>
            <w:vAlign w:val="bottom"/>
            <w:tcBorders>
              <w:bottom w:val="single" w:sz="8" w:color="DCE2EF"/>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shd w:val="clear" w:color="auto" w:fill="DCE2EF"/>
          </w:tcPr>
          <w:p>
            <w:pPr>
              <w:spacing w:after="0"/>
              <w:rPr>
                <w:sz w:val="19"/>
                <w:szCs w:val="19"/>
                <w:color w:val="auto"/>
              </w:rPr>
            </w:pPr>
          </w:p>
        </w:tc>
        <w:tc>
          <w:tcPr>
            <w:tcW w:w="680" w:type="dxa"/>
            <w:vAlign w:val="bottom"/>
            <w:shd w:val="clear" w:color="auto" w:fill="DCE2EF"/>
          </w:tcPr>
          <w:p>
            <w:pPr>
              <w:spacing w:after="0"/>
              <w:rPr>
                <w:sz w:val="19"/>
                <w:szCs w:val="19"/>
                <w:color w:val="auto"/>
              </w:rPr>
            </w:pPr>
          </w:p>
        </w:tc>
        <w:tc>
          <w:tcPr>
            <w:tcW w:w="2120" w:type="dxa"/>
            <w:vAlign w:val="bottom"/>
            <w:shd w:val="clear" w:color="auto" w:fill="DCE2EF"/>
          </w:tcPr>
          <w:p>
            <w:pPr>
              <w:spacing w:after="0"/>
              <w:rPr>
                <w:sz w:val="19"/>
                <w:szCs w:val="19"/>
                <w:color w:val="auto"/>
              </w:rPr>
            </w:pPr>
          </w:p>
        </w:tc>
        <w:tc>
          <w:tcPr>
            <w:tcW w:w="3580" w:type="dxa"/>
            <w:vAlign w:val="bottom"/>
            <w:shd w:val="clear" w:color="auto" w:fill="DCE2EF"/>
          </w:tcPr>
          <w:p>
            <w:pPr>
              <w:spacing w:after="0"/>
              <w:rPr>
                <w:sz w:val="19"/>
                <w:szCs w:val="19"/>
                <w:color w:val="auto"/>
              </w:rPr>
            </w:pPr>
          </w:p>
        </w:tc>
        <w:tc>
          <w:tcPr>
            <w:tcW w:w="100" w:type="dxa"/>
            <w:vAlign w:val="bottom"/>
            <w:shd w:val="clear" w:color="auto" w:fill="DCE2EF"/>
          </w:tcPr>
          <w:p>
            <w:pPr>
              <w:spacing w:after="0"/>
              <w:rPr>
                <w:sz w:val="19"/>
                <w:szCs w:val="19"/>
                <w:color w:val="auto"/>
              </w:rPr>
            </w:pPr>
          </w:p>
        </w:tc>
        <w:tc>
          <w:tcPr>
            <w:tcW w:w="520" w:type="dxa"/>
            <w:vAlign w:val="bottom"/>
            <w:shd w:val="clear" w:color="auto" w:fill="DCE2EF"/>
          </w:tcPr>
          <w:p>
            <w:pPr>
              <w:spacing w:after="0"/>
              <w:rPr>
                <w:sz w:val="19"/>
                <w:szCs w:val="19"/>
                <w:color w:val="auto"/>
              </w:rPr>
            </w:pPr>
          </w:p>
        </w:tc>
        <w:tc>
          <w:tcPr>
            <w:tcW w:w="1720" w:type="dxa"/>
            <w:vAlign w:val="bottom"/>
            <w:shd w:val="clear" w:color="auto" w:fill="DCE2EF"/>
          </w:tcPr>
          <w:p>
            <w:pPr>
              <w:spacing w:after="0"/>
              <w:rPr>
                <w:sz w:val="19"/>
                <w:szCs w:val="19"/>
                <w:color w:val="auto"/>
              </w:rPr>
            </w:pPr>
          </w:p>
        </w:tc>
        <w:tc>
          <w:tcPr>
            <w:tcW w:w="100" w:type="dxa"/>
            <w:vAlign w:val="bottom"/>
            <w:shd w:val="clear" w:color="auto" w:fill="DCE2EF"/>
          </w:tcPr>
          <w:p>
            <w:pPr>
              <w:spacing w:after="0"/>
              <w:rPr>
                <w:sz w:val="19"/>
                <w:szCs w:val="19"/>
                <w:color w:val="auto"/>
              </w:rPr>
            </w:pPr>
          </w:p>
        </w:tc>
        <w:tc>
          <w:tcPr>
            <w:tcW w:w="800" w:type="dxa"/>
            <w:vAlign w:val="bottom"/>
            <w:shd w:val="clear" w:color="auto" w:fill="DCE2EF"/>
          </w:tcPr>
          <w:p>
            <w:pPr>
              <w:spacing w:after="0"/>
              <w:rPr>
                <w:sz w:val="19"/>
                <w:szCs w:val="19"/>
                <w:color w:val="auto"/>
              </w:rPr>
            </w:pPr>
          </w:p>
        </w:tc>
        <w:tc>
          <w:tcPr>
            <w:tcW w:w="1460" w:type="dxa"/>
            <w:vAlign w:val="bottom"/>
            <w:shd w:val="clear" w:color="auto" w:fill="DCE2E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820" w:type="dxa"/>
            <w:vAlign w:val="bottom"/>
            <w:gridSpan w:val="3"/>
          </w:tcPr>
          <w:p>
            <w:pPr>
              <w:ind w:left="20"/>
              <w:spacing w:after="0"/>
              <w:rPr>
                <w:sz w:val="20"/>
                <w:szCs w:val="20"/>
                <w:color w:val="auto"/>
              </w:rPr>
            </w:pPr>
            <w:r>
              <w:rPr>
                <w:rFonts w:ascii="Arial" w:cs="Arial" w:eastAsia="Arial" w:hAnsi="Arial"/>
                <w:sz w:val="17"/>
                <w:szCs w:val="17"/>
                <w:b w:val="1"/>
                <w:bCs w:val="1"/>
                <w:color w:val="auto"/>
              </w:rPr>
              <w:t>Lease liabilities</w:t>
            </w:r>
          </w:p>
        </w:tc>
        <w:tc>
          <w:tcPr>
            <w:tcW w:w="3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820" w:type="dxa"/>
            <w:vAlign w:val="bottom"/>
            <w:gridSpan w:val="3"/>
            <w:shd w:val="clear" w:color="auto" w:fill="DCE2EF"/>
          </w:tcPr>
          <w:p>
            <w:pPr>
              <w:ind w:left="20"/>
              <w:spacing w:after="0"/>
              <w:rPr>
                <w:sz w:val="20"/>
                <w:szCs w:val="20"/>
                <w:color w:val="auto"/>
              </w:rPr>
            </w:pPr>
            <w:r>
              <w:rPr>
                <w:rFonts w:ascii="Arial" w:cs="Arial" w:eastAsia="Arial" w:hAnsi="Arial"/>
                <w:sz w:val="17"/>
                <w:szCs w:val="17"/>
                <w:color w:val="auto"/>
              </w:rPr>
              <w:t>Current liabilities</w:t>
            </w:r>
          </w:p>
        </w:tc>
        <w:tc>
          <w:tcPr>
            <w:tcW w:w="3580" w:type="dxa"/>
            <w:vAlign w:val="bottom"/>
            <w:shd w:val="clear" w:color="auto" w:fill="DCE2EF"/>
          </w:tcPr>
          <w:p>
            <w:pPr>
              <w:spacing w:after="0"/>
              <w:rPr>
                <w:sz w:val="19"/>
                <w:szCs w:val="19"/>
                <w:color w:val="auto"/>
              </w:rPr>
            </w:pPr>
          </w:p>
        </w:tc>
        <w:tc>
          <w:tcPr>
            <w:tcW w:w="100" w:type="dxa"/>
            <w:vAlign w:val="bottom"/>
            <w:shd w:val="clear" w:color="auto" w:fill="DCE2EF"/>
          </w:tcPr>
          <w:p>
            <w:pPr>
              <w:spacing w:after="0"/>
              <w:rPr>
                <w:sz w:val="19"/>
                <w:szCs w:val="19"/>
                <w:color w:val="auto"/>
              </w:rPr>
            </w:pPr>
          </w:p>
        </w:tc>
        <w:tc>
          <w:tcPr>
            <w:tcW w:w="520" w:type="dxa"/>
            <w:vAlign w:val="bottom"/>
            <w:shd w:val="clear" w:color="auto" w:fill="DCE2EF"/>
          </w:tcPr>
          <w:p>
            <w:pPr>
              <w:spacing w:after="0"/>
              <w:rPr>
                <w:sz w:val="19"/>
                <w:szCs w:val="19"/>
                <w:color w:val="auto"/>
              </w:rPr>
            </w:pPr>
          </w:p>
        </w:tc>
        <w:tc>
          <w:tcPr>
            <w:tcW w:w="1720" w:type="dxa"/>
            <w:vAlign w:val="bottom"/>
            <w:shd w:val="clear" w:color="auto" w:fill="DCE2EF"/>
          </w:tcPr>
          <w:p>
            <w:pPr>
              <w:spacing w:after="0"/>
              <w:rPr>
                <w:sz w:val="19"/>
                <w:szCs w:val="19"/>
                <w:color w:val="auto"/>
              </w:rPr>
            </w:pPr>
          </w:p>
        </w:tc>
        <w:tc>
          <w:tcPr>
            <w:tcW w:w="100" w:type="dxa"/>
            <w:vAlign w:val="bottom"/>
            <w:shd w:val="clear" w:color="auto" w:fill="DCE2EF"/>
          </w:tcPr>
          <w:p>
            <w:pPr>
              <w:spacing w:after="0"/>
              <w:rPr>
                <w:sz w:val="19"/>
                <w:szCs w:val="19"/>
                <w:color w:val="auto"/>
              </w:rPr>
            </w:pPr>
          </w:p>
        </w:tc>
        <w:tc>
          <w:tcPr>
            <w:tcW w:w="800" w:type="dxa"/>
            <w:vAlign w:val="bottom"/>
            <w:shd w:val="clear" w:color="auto" w:fill="DCE2EF"/>
          </w:tcPr>
          <w:p>
            <w:pPr>
              <w:spacing w:after="0"/>
              <w:rPr>
                <w:sz w:val="19"/>
                <w:szCs w:val="19"/>
                <w:color w:val="auto"/>
              </w:rPr>
            </w:pPr>
          </w:p>
        </w:tc>
        <w:tc>
          <w:tcPr>
            <w:tcW w:w="1460" w:type="dxa"/>
            <w:vAlign w:val="bottom"/>
            <w:shd w:val="clear" w:color="auto" w:fill="DCE2E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800" w:type="dxa"/>
            <w:vAlign w:val="bottom"/>
            <w:gridSpan w:val="2"/>
          </w:tcPr>
          <w:p>
            <w:pPr>
              <w:ind w:left="200"/>
              <w:spacing w:after="0"/>
              <w:rPr>
                <w:sz w:val="20"/>
                <w:szCs w:val="20"/>
                <w:color w:val="auto"/>
              </w:rPr>
            </w:pPr>
            <w:r>
              <w:rPr>
                <w:rFonts w:ascii="Arial" w:cs="Arial" w:eastAsia="Arial" w:hAnsi="Arial"/>
                <w:sz w:val="17"/>
                <w:szCs w:val="17"/>
                <w:color w:val="auto"/>
              </w:rPr>
              <w:t>Operating leases</w:t>
            </w:r>
          </w:p>
        </w:tc>
        <w:tc>
          <w:tcPr>
            <w:tcW w:w="3680" w:type="dxa"/>
            <w:vAlign w:val="bottom"/>
            <w:gridSpan w:val="2"/>
          </w:tcPr>
          <w:p>
            <w:pPr>
              <w:ind w:left="20"/>
              <w:spacing w:after="0"/>
              <w:rPr>
                <w:sz w:val="20"/>
                <w:szCs w:val="20"/>
                <w:color w:val="auto"/>
              </w:rPr>
            </w:pPr>
            <w:r>
              <w:rPr>
                <w:rFonts w:ascii="Arial" w:cs="Arial" w:eastAsia="Arial" w:hAnsi="Arial"/>
                <w:sz w:val="17"/>
                <w:szCs w:val="17"/>
                <w:color w:val="auto"/>
              </w:rPr>
              <w:t>Current portion of lease liabilities</w:t>
            </w:r>
          </w:p>
        </w:tc>
        <w:tc>
          <w:tcPr>
            <w:tcW w:w="520" w:type="dxa"/>
            <w:vAlign w:val="bottom"/>
          </w:tcPr>
          <w:p>
            <w:pPr>
              <w:jc w:val="right"/>
              <w:ind w:right="314"/>
              <w:spacing w:after="0"/>
              <w:rPr>
                <w:sz w:val="20"/>
                <w:szCs w:val="20"/>
                <w:color w:val="auto"/>
              </w:rPr>
            </w:pPr>
            <w:r>
              <w:rPr>
                <w:rFonts w:ascii="Arial" w:cs="Arial" w:eastAsia="Arial" w:hAnsi="Arial"/>
                <w:sz w:val="17"/>
                <w:szCs w:val="17"/>
                <w:color w:val="auto"/>
              </w:rPr>
              <w:t>$</w:t>
            </w:r>
          </w:p>
        </w:tc>
        <w:tc>
          <w:tcPr>
            <w:tcW w:w="1720" w:type="dxa"/>
            <w:vAlign w:val="bottom"/>
          </w:tcPr>
          <w:p>
            <w:pPr>
              <w:jc w:val="right"/>
              <w:spacing w:after="0"/>
              <w:rPr>
                <w:sz w:val="20"/>
                <w:szCs w:val="20"/>
                <w:color w:val="auto"/>
              </w:rPr>
            </w:pPr>
            <w:r>
              <w:rPr>
                <w:rFonts w:ascii="Arial" w:cs="Arial" w:eastAsia="Arial" w:hAnsi="Arial"/>
                <w:sz w:val="17"/>
                <w:szCs w:val="17"/>
                <w:color w:val="auto"/>
              </w:rPr>
              <w:t>28.2</w:t>
            </w:r>
          </w:p>
        </w:tc>
        <w:tc>
          <w:tcPr>
            <w:tcW w:w="100" w:type="dxa"/>
            <w:vAlign w:val="bottom"/>
          </w:tcPr>
          <w:p>
            <w:pPr>
              <w:spacing w:after="0"/>
              <w:rPr>
                <w:sz w:val="19"/>
                <w:szCs w:val="19"/>
                <w:color w:val="auto"/>
              </w:rPr>
            </w:pPr>
          </w:p>
        </w:tc>
        <w:tc>
          <w:tcPr>
            <w:tcW w:w="800" w:type="dxa"/>
            <w:vAlign w:val="bottom"/>
          </w:tcPr>
          <w:p>
            <w:pPr>
              <w:jc w:val="right"/>
              <w:ind w:right="594"/>
              <w:spacing w:after="0"/>
              <w:rPr>
                <w:sz w:val="20"/>
                <w:szCs w:val="20"/>
                <w:color w:val="auto"/>
              </w:rPr>
            </w:pPr>
            <w:r>
              <w:rPr>
                <w:rFonts w:ascii="Arial" w:cs="Arial" w:eastAsia="Arial" w:hAnsi="Arial"/>
                <w:sz w:val="17"/>
                <w:szCs w:val="17"/>
                <w:color w:val="auto"/>
              </w:rPr>
              <w:t>$</w:t>
            </w:r>
          </w:p>
        </w:tc>
        <w:tc>
          <w:tcPr>
            <w:tcW w:w="1460" w:type="dxa"/>
            <w:vAlign w:val="bottom"/>
          </w:tcPr>
          <w:p>
            <w:pPr>
              <w:jc w:val="right"/>
              <w:spacing w:after="0"/>
              <w:rPr>
                <w:sz w:val="20"/>
                <w:szCs w:val="20"/>
                <w:color w:val="auto"/>
              </w:rPr>
            </w:pPr>
            <w:r>
              <w:rPr>
                <w:rFonts w:ascii="Arial" w:cs="Arial" w:eastAsia="Arial" w:hAnsi="Arial"/>
                <w:sz w:val="17"/>
                <w:szCs w:val="17"/>
                <w:color w:val="auto"/>
              </w:rPr>
              <w:t>26.6</w:t>
            </w:r>
          </w:p>
        </w:tc>
        <w:tc>
          <w:tcPr>
            <w:tcW w:w="0" w:type="dxa"/>
            <w:vAlign w:val="bottom"/>
          </w:tcPr>
          <w:p>
            <w:pPr>
              <w:spacing w:after="0"/>
              <w:rPr>
                <w:sz w:val="1"/>
                <w:szCs w:val="1"/>
                <w:color w:val="auto"/>
              </w:rPr>
            </w:pPr>
          </w:p>
        </w:tc>
      </w:tr>
      <w:tr>
        <w:trPr>
          <w:trHeight w:val="219"/>
        </w:trPr>
        <w:tc>
          <w:tcPr>
            <w:tcW w:w="20" w:type="dxa"/>
            <w:vAlign w:val="bottom"/>
            <w:shd w:val="clear" w:color="auto" w:fill="DCE2EF"/>
          </w:tcPr>
          <w:p>
            <w:pPr>
              <w:spacing w:after="0"/>
              <w:rPr>
                <w:sz w:val="19"/>
                <w:szCs w:val="19"/>
                <w:color w:val="auto"/>
              </w:rPr>
            </w:pPr>
          </w:p>
        </w:tc>
        <w:tc>
          <w:tcPr>
            <w:tcW w:w="2800" w:type="dxa"/>
            <w:vAlign w:val="bottom"/>
            <w:gridSpan w:val="2"/>
            <w:shd w:val="clear" w:color="auto" w:fill="DCE2EF"/>
          </w:tcPr>
          <w:p>
            <w:pPr>
              <w:ind w:left="200"/>
              <w:spacing w:after="0"/>
              <w:rPr>
                <w:sz w:val="20"/>
                <w:szCs w:val="20"/>
                <w:color w:val="auto"/>
              </w:rPr>
            </w:pPr>
            <w:r>
              <w:rPr>
                <w:rFonts w:ascii="Arial" w:cs="Arial" w:eastAsia="Arial" w:hAnsi="Arial"/>
                <w:sz w:val="17"/>
                <w:szCs w:val="17"/>
                <w:color w:val="auto"/>
              </w:rPr>
              <w:t>Finance leases</w:t>
            </w:r>
          </w:p>
        </w:tc>
        <w:tc>
          <w:tcPr>
            <w:tcW w:w="3680" w:type="dxa"/>
            <w:vAlign w:val="bottom"/>
            <w:gridSpan w:val="2"/>
            <w:shd w:val="clear" w:color="auto" w:fill="DCE2EF"/>
          </w:tcPr>
          <w:p>
            <w:pPr>
              <w:ind w:left="20"/>
              <w:spacing w:after="0"/>
              <w:rPr>
                <w:sz w:val="20"/>
                <w:szCs w:val="20"/>
                <w:color w:val="auto"/>
              </w:rPr>
            </w:pPr>
            <w:r>
              <w:rPr>
                <w:rFonts w:ascii="Arial" w:cs="Arial" w:eastAsia="Arial" w:hAnsi="Arial"/>
                <w:sz w:val="17"/>
                <w:szCs w:val="17"/>
                <w:color w:val="auto"/>
              </w:rPr>
              <w:t>Other accrued liabilities</w:t>
            </w:r>
          </w:p>
        </w:tc>
        <w:tc>
          <w:tcPr>
            <w:tcW w:w="520" w:type="dxa"/>
            <w:vAlign w:val="bottom"/>
            <w:shd w:val="clear" w:color="auto" w:fill="DCE2EF"/>
          </w:tcPr>
          <w:p>
            <w:pPr>
              <w:spacing w:after="0"/>
              <w:rPr>
                <w:sz w:val="19"/>
                <w:szCs w:val="19"/>
                <w:color w:val="auto"/>
              </w:rPr>
            </w:pPr>
          </w:p>
        </w:tc>
        <w:tc>
          <w:tcPr>
            <w:tcW w:w="1720" w:type="dxa"/>
            <w:vAlign w:val="bottom"/>
            <w:shd w:val="clear" w:color="auto" w:fill="DCE2EF"/>
          </w:tcPr>
          <w:p>
            <w:pPr>
              <w:jc w:val="right"/>
              <w:spacing w:after="0"/>
              <w:rPr>
                <w:sz w:val="20"/>
                <w:szCs w:val="20"/>
                <w:color w:val="auto"/>
              </w:rPr>
            </w:pPr>
            <w:r>
              <w:rPr>
                <w:rFonts w:ascii="Arial" w:cs="Arial" w:eastAsia="Arial" w:hAnsi="Arial"/>
                <w:sz w:val="17"/>
                <w:szCs w:val="17"/>
                <w:color w:val="auto"/>
              </w:rPr>
              <w:t>3.9</w:t>
            </w:r>
          </w:p>
        </w:tc>
        <w:tc>
          <w:tcPr>
            <w:tcW w:w="100" w:type="dxa"/>
            <w:vAlign w:val="bottom"/>
            <w:shd w:val="clear" w:color="auto" w:fill="DCE2EF"/>
          </w:tcPr>
          <w:p>
            <w:pPr>
              <w:spacing w:after="0"/>
              <w:rPr>
                <w:sz w:val="19"/>
                <w:szCs w:val="19"/>
                <w:color w:val="auto"/>
              </w:rPr>
            </w:pPr>
          </w:p>
        </w:tc>
        <w:tc>
          <w:tcPr>
            <w:tcW w:w="800" w:type="dxa"/>
            <w:vAlign w:val="bottom"/>
            <w:shd w:val="clear" w:color="auto" w:fill="DCE2EF"/>
          </w:tcPr>
          <w:p>
            <w:pPr>
              <w:spacing w:after="0"/>
              <w:rPr>
                <w:sz w:val="19"/>
                <w:szCs w:val="19"/>
                <w:color w:val="auto"/>
              </w:rPr>
            </w:pPr>
          </w:p>
        </w:tc>
        <w:tc>
          <w:tcPr>
            <w:tcW w:w="1460" w:type="dxa"/>
            <w:vAlign w:val="bottom"/>
            <w:shd w:val="clear" w:color="auto" w:fill="DCE2EF"/>
          </w:tcPr>
          <w:p>
            <w:pPr>
              <w:jc w:val="right"/>
              <w:spacing w:after="0"/>
              <w:rPr>
                <w:sz w:val="20"/>
                <w:szCs w:val="20"/>
                <w:color w:val="auto"/>
              </w:rPr>
            </w:pPr>
            <w:r>
              <w:rPr>
                <w:rFonts w:ascii="Arial" w:cs="Arial" w:eastAsia="Arial" w:hAnsi="Arial"/>
                <w:sz w:val="17"/>
                <w:szCs w:val="17"/>
                <w:color w:val="auto"/>
              </w:rPr>
              <w:t>4.5</w:t>
            </w:r>
          </w:p>
        </w:tc>
        <w:tc>
          <w:tcPr>
            <w:tcW w:w="0" w:type="dxa"/>
            <w:vAlign w:val="bottom"/>
          </w:tcPr>
          <w:p>
            <w:pPr>
              <w:spacing w:after="0"/>
              <w:rPr>
                <w:sz w:val="1"/>
                <w:szCs w:val="1"/>
                <w:color w:val="auto"/>
              </w:rPr>
            </w:pPr>
          </w:p>
        </w:tc>
      </w:tr>
      <w:tr>
        <w:trPr>
          <w:trHeight w:val="219"/>
        </w:trPr>
        <w:tc>
          <w:tcPr>
            <w:tcW w:w="2820" w:type="dxa"/>
            <w:vAlign w:val="bottom"/>
            <w:gridSpan w:val="3"/>
          </w:tcPr>
          <w:p>
            <w:pPr>
              <w:ind w:left="20"/>
              <w:spacing w:after="0"/>
              <w:rPr>
                <w:sz w:val="20"/>
                <w:szCs w:val="20"/>
                <w:color w:val="auto"/>
              </w:rPr>
            </w:pPr>
            <w:r>
              <w:rPr>
                <w:rFonts w:ascii="Arial" w:cs="Arial" w:eastAsia="Arial" w:hAnsi="Arial"/>
                <w:sz w:val="17"/>
                <w:szCs w:val="17"/>
                <w:color w:val="auto"/>
              </w:rPr>
              <w:t>Noncurrent liabilities</w:t>
            </w:r>
          </w:p>
        </w:tc>
        <w:tc>
          <w:tcPr>
            <w:tcW w:w="3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DCE2EF"/>
          </w:tcPr>
          <w:p>
            <w:pPr>
              <w:spacing w:after="0"/>
              <w:rPr>
                <w:sz w:val="19"/>
                <w:szCs w:val="19"/>
                <w:color w:val="auto"/>
              </w:rPr>
            </w:pPr>
          </w:p>
        </w:tc>
        <w:tc>
          <w:tcPr>
            <w:tcW w:w="2800" w:type="dxa"/>
            <w:vAlign w:val="bottom"/>
            <w:gridSpan w:val="2"/>
            <w:shd w:val="clear" w:color="auto" w:fill="DCE2EF"/>
          </w:tcPr>
          <w:p>
            <w:pPr>
              <w:ind w:left="200"/>
              <w:spacing w:after="0"/>
              <w:rPr>
                <w:sz w:val="20"/>
                <w:szCs w:val="20"/>
                <w:color w:val="auto"/>
              </w:rPr>
            </w:pPr>
            <w:r>
              <w:rPr>
                <w:rFonts w:ascii="Arial" w:cs="Arial" w:eastAsia="Arial" w:hAnsi="Arial"/>
                <w:sz w:val="17"/>
                <w:szCs w:val="17"/>
                <w:color w:val="auto"/>
              </w:rPr>
              <w:t>Operating leases</w:t>
            </w:r>
          </w:p>
        </w:tc>
        <w:tc>
          <w:tcPr>
            <w:tcW w:w="3680" w:type="dxa"/>
            <w:vAlign w:val="bottom"/>
            <w:gridSpan w:val="2"/>
            <w:shd w:val="clear" w:color="auto" w:fill="DCE2EF"/>
          </w:tcPr>
          <w:p>
            <w:pPr>
              <w:ind w:left="20"/>
              <w:spacing w:after="0"/>
              <w:rPr>
                <w:sz w:val="20"/>
                <w:szCs w:val="20"/>
                <w:color w:val="auto"/>
              </w:rPr>
            </w:pPr>
            <w:r>
              <w:rPr>
                <w:rFonts w:ascii="Arial" w:cs="Arial" w:eastAsia="Arial" w:hAnsi="Arial"/>
                <w:sz w:val="17"/>
                <w:szCs w:val="17"/>
                <w:color w:val="auto"/>
              </w:rPr>
              <w:t>Long-term lease liabilities</w:t>
            </w:r>
          </w:p>
        </w:tc>
        <w:tc>
          <w:tcPr>
            <w:tcW w:w="520" w:type="dxa"/>
            <w:vAlign w:val="bottom"/>
            <w:shd w:val="clear" w:color="auto" w:fill="DCE2EF"/>
          </w:tcPr>
          <w:p>
            <w:pPr>
              <w:spacing w:after="0"/>
              <w:rPr>
                <w:sz w:val="19"/>
                <w:szCs w:val="19"/>
                <w:color w:val="auto"/>
              </w:rPr>
            </w:pPr>
          </w:p>
        </w:tc>
        <w:tc>
          <w:tcPr>
            <w:tcW w:w="1720" w:type="dxa"/>
            <w:vAlign w:val="bottom"/>
            <w:shd w:val="clear" w:color="auto" w:fill="DCE2EF"/>
          </w:tcPr>
          <w:p>
            <w:pPr>
              <w:jc w:val="right"/>
              <w:spacing w:after="0"/>
              <w:rPr>
                <w:sz w:val="20"/>
                <w:szCs w:val="20"/>
                <w:color w:val="auto"/>
              </w:rPr>
            </w:pPr>
            <w:r>
              <w:rPr>
                <w:rFonts w:ascii="Arial" w:cs="Arial" w:eastAsia="Arial" w:hAnsi="Arial"/>
                <w:sz w:val="17"/>
                <w:szCs w:val="17"/>
                <w:color w:val="auto"/>
              </w:rPr>
              <w:t>83.7</w:t>
            </w:r>
          </w:p>
        </w:tc>
        <w:tc>
          <w:tcPr>
            <w:tcW w:w="100" w:type="dxa"/>
            <w:vAlign w:val="bottom"/>
            <w:shd w:val="clear" w:color="auto" w:fill="DCE2EF"/>
          </w:tcPr>
          <w:p>
            <w:pPr>
              <w:spacing w:after="0"/>
              <w:rPr>
                <w:sz w:val="19"/>
                <w:szCs w:val="19"/>
                <w:color w:val="auto"/>
              </w:rPr>
            </w:pPr>
          </w:p>
        </w:tc>
        <w:tc>
          <w:tcPr>
            <w:tcW w:w="800" w:type="dxa"/>
            <w:vAlign w:val="bottom"/>
            <w:shd w:val="clear" w:color="auto" w:fill="DCE2EF"/>
          </w:tcPr>
          <w:p>
            <w:pPr>
              <w:spacing w:after="0"/>
              <w:rPr>
                <w:sz w:val="19"/>
                <w:szCs w:val="19"/>
                <w:color w:val="auto"/>
              </w:rPr>
            </w:pPr>
          </w:p>
        </w:tc>
        <w:tc>
          <w:tcPr>
            <w:tcW w:w="1460" w:type="dxa"/>
            <w:vAlign w:val="bottom"/>
            <w:shd w:val="clear" w:color="auto" w:fill="DCE2EF"/>
          </w:tcPr>
          <w:p>
            <w:pPr>
              <w:jc w:val="right"/>
              <w:spacing w:after="0"/>
              <w:rPr>
                <w:sz w:val="20"/>
                <w:szCs w:val="20"/>
                <w:color w:val="auto"/>
              </w:rPr>
            </w:pPr>
            <w:r>
              <w:rPr>
                <w:rFonts w:ascii="Arial" w:cs="Arial" w:eastAsia="Arial" w:hAnsi="Arial"/>
                <w:sz w:val="17"/>
                <w:szCs w:val="17"/>
                <w:color w:val="auto"/>
              </w:rPr>
              <w:t>92.0</w:t>
            </w:r>
          </w:p>
        </w:tc>
        <w:tc>
          <w:tcPr>
            <w:tcW w:w="0" w:type="dxa"/>
            <w:vAlign w:val="bottom"/>
          </w:tcPr>
          <w:p>
            <w:pPr>
              <w:spacing w:after="0"/>
              <w:rPr>
                <w:sz w:val="1"/>
                <w:szCs w:val="1"/>
                <w:color w:val="auto"/>
              </w:rPr>
            </w:pPr>
          </w:p>
        </w:tc>
      </w:tr>
      <w:tr>
        <w:trPr>
          <w:trHeight w:val="219"/>
        </w:trPr>
        <w:tc>
          <w:tcPr>
            <w:tcW w:w="20" w:type="dxa"/>
            <w:vAlign w:val="bottom"/>
            <w:tcBorders>
              <w:bottom w:val="single" w:sz="8" w:color="DCE2EF"/>
            </w:tcBorders>
          </w:tcPr>
          <w:p>
            <w:pPr>
              <w:spacing w:after="0"/>
              <w:rPr>
                <w:sz w:val="19"/>
                <w:szCs w:val="19"/>
                <w:color w:val="auto"/>
              </w:rPr>
            </w:pPr>
          </w:p>
        </w:tc>
        <w:tc>
          <w:tcPr>
            <w:tcW w:w="2800" w:type="dxa"/>
            <w:vAlign w:val="bottom"/>
            <w:tcBorders>
              <w:bottom w:val="single" w:sz="8" w:color="DCE2EF"/>
            </w:tcBorders>
            <w:gridSpan w:val="2"/>
          </w:tcPr>
          <w:p>
            <w:pPr>
              <w:ind w:left="200"/>
              <w:spacing w:after="0"/>
              <w:rPr>
                <w:sz w:val="20"/>
                <w:szCs w:val="20"/>
                <w:color w:val="auto"/>
              </w:rPr>
            </w:pPr>
            <w:r>
              <w:rPr>
                <w:rFonts w:ascii="Arial" w:cs="Arial" w:eastAsia="Arial" w:hAnsi="Arial"/>
                <w:sz w:val="17"/>
                <w:szCs w:val="17"/>
                <w:color w:val="auto"/>
              </w:rPr>
              <w:t>Finance leases</w:t>
            </w:r>
          </w:p>
        </w:tc>
        <w:tc>
          <w:tcPr>
            <w:tcW w:w="3680" w:type="dxa"/>
            <w:vAlign w:val="bottom"/>
            <w:tcBorders>
              <w:bottom w:val="single" w:sz="8" w:color="DCE2EF"/>
            </w:tcBorders>
            <w:gridSpan w:val="2"/>
          </w:tcPr>
          <w:p>
            <w:pPr>
              <w:ind w:left="20"/>
              <w:spacing w:after="0"/>
              <w:rPr>
                <w:sz w:val="20"/>
                <w:szCs w:val="20"/>
                <w:color w:val="auto"/>
              </w:rPr>
            </w:pPr>
            <w:r>
              <w:rPr>
                <w:rFonts w:ascii="Arial" w:cs="Arial" w:eastAsia="Arial" w:hAnsi="Arial"/>
                <w:sz w:val="17"/>
                <w:szCs w:val="17"/>
                <w:color w:val="auto"/>
              </w:rPr>
              <w:t>Other noncurrent liabilities</w:t>
            </w:r>
          </w:p>
        </w:tc>
        <w:tc>
          <w:tcPr>
            <w:tcW w:w="5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11.1</w:t>
            </w:r>
          </w:p>
        </w:tc>
        <w:tc>
          <w:tcPr>
            <w:tcW w:w="100" w:type="dxa"/>
            <w:vAlign w:val="bottom"/>
            <w:tcBorders>
              <w:bottom w:val="single" w:sz="8" w:color="DCE2EF"/>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15.0</w:t>
            </w:r>
          </w:p>
        </w:tc>
        <w:tc>
          <w:tcPr>
            <w:tcW w:w="0" w:type="dxa"/>
            <w:vAlign w:val="bottom"/>
          </w:tcPr>
          <w:p>
            <w:pPr>
              <w:spacing w:after="0"/>
              <w:rPr>
                <w:sz w:val="1"/>
                <w:szCs w:val="1"/>
                <w:color w:val="auto"/>
              </w:rPr>
            </w:pPr>
          </w:p>
        </w:tc>
      </w:tr>
      <w:tr>
        <w:trPr>
          <w:trHeight w:val="237"/>
        </w:trPr>
        <w:tc>
          <w:tcPr>
            <w:tcW w:w="20" w:type="dxa"/>
            <w:vAlign w:val="bottom"/>
            <w:tcBorders>
              <w:bottom w:val="single" w:sz="8" w:color="DCE2EF"/>
            </w:tcBorders>
            <w:shd w:val="clear" w:color="auto" w:fill="DCE2EF"/>
          </w:tcPr>
          <w:p>
            <w:pPr>
              <w:spacing w:after="0"/>
              <w:rPr>
                <w:sz w:val="20"/>
                <w:szCs w:val="20"/>
                <w:color w:val="auto"/>
              </w:rPr>
            </w:pPr>
          </w:p>
        </w:tc>
        <w:tc>
          <w:tcPr>
            <w:tcW w:w="2800" w:type="dxa"/>
            <w:vAlign w:val="bottom"/>
            <w:tcBorders>
              <w:bottom w:val="single" w:sz="8" w:color="DCE2EF"/>
            </w:tcBorders>
            <w:gridSpan w:val="2"/>
            <w:shd w:val="clear" w:color="auto" w:fill="DCE2EF"/>
          </w:tcPr>
          <w:p>
            <w:pPr>
              <w:ind w:left="420"/>
              <w:spacing w:after="0"/>
              <w:rPr>
                <w:sz w:val="20"/>
                <w:szCs w:val="20"/>
                <w:color w:val="auto"/>
              </w:rPr>
            </w:pPr>
            <w:r>
              <w:rPr>
                <w:rFonts w:ascii="Arial" w:cs="Arial" w:eastAsia="Arial" w:hAnsi="Arial"/>
                <w:sz w:val="17"/>
                <w:szCs w:val="17"/>
                <w:b w:val="1"/>
                <w:bCs w:val="1"/>
                <w:color w:val="auto"/>
              </w:rPr>
              <w:t>Total lease liabilities</w:t>
            </w:r>
          </w:p>
        </w:tc>
        <w:tc>
          <w:tcPr>
            <w:tcW w:w="3580" w:type="dxa"/>
            <w:vAlign w:val="bottom"/>
            <w:tcBorders>
              <w:bottom w:val="single" w:sz="8" w:color="DCE2EF"/>
            </w:tcBorders>
            <w:shd w:val="clear" w:color="auto" w:fill="DCE2EF"/>
          </w:tcPr>
          <w:p>
            <w:pPr>
              <w:spacing w:after="0"/>
              <w:rPr>
                <w:sz w:val="20"/>
                <w:szCs w:val="20"/>
                <w:color w:val="auto"/>
              </w:rPr>
            </w:pPr>
          </w:p>
        </w:tc>
        <w:tc>
          <w:tcPr>
            <w:tcW w:w="100" w:type="dxa"/>
            <w:vAlign w:val="bottom"/>
            <w:tcBorders>
              <w:bottom w:val="single" w:sz="8" w:color="DCE2EF"/>
            </w:tcBorders>
            <w:shd w:val="clear" w:color="auto" w:fill="DCE2EF"/>
          </w:tcPr>
          <w:p>
            <w:pPr>
              <w:spacing w:after="0"/>
              <w:rPr>
                <w:sz w:val="20"/>
                <w:szCs w:val="20"/>
                <w:color w:val="auto"/>
              </w:rPr>
            </w:pPr>
          </w:p>
        </w:tc>
        <w:tc>
          <w:tcPr>
            <w:tcW w:w="520" w:type="dxa"/>
            <w:vAlign w:val="bottom"/>
            <w:tcBorders>
              <w:bottom w:val="single" w:sz="8" w:color="auto"/>
            </w:tcBorders>
            <w:shd w:val="clear" w:color="auto" w:fill="DCE2EF"/>
          </w:tcPr>
          <w:p>
            <w:pPr>
              <w:jc w:val="right"/>
              <w:ind w:right="314"/>
              <w:spacing w:after="0"/>
              <w:rPr>
                <w:sz w:val="20"/>
                <w:szCs w:val="20"/>
                <w:color w:val="auto"/>
              </w:rPr>
            </w:pPr>
            <w:r>
              <w:rPr>
                <w:rFonts w:ascii="Arial" w:cs="Arial" w:eastAsia="Arial" w:hAnsi="Arial"/>
                <w:sz w:val="17"/>
                <w:szCs w:val="17"/>
                <w:color w:val="auto"/>
              </w:rPr>
              <w:t>$</w:t>
            </w:r>
          </w:p>
        </w:tc>
        <w:tc>
          <w:tcPr>
            <w:tcW w:w="172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7"/>
                <w:szCs w:val="17"/>
                <w:color w:val="auto"/>
              </w:rPr>
              <w:t>126.9</w:t>
            </w:r>
          </w:p>
        </w:tc>
        <w:tc>
          <w:tcPr>
            <w:tcW w:w="100" w:type="dxa"/>
            <w:vAlign w:val="bottom"/>
            <w:tcBorders>
              <w:bottom w:val="single" w:sz="8" w:color="DCE2EF"/>
            </w:tcBorders>
            <w:shd w:val="clear" w:color="auto" w:fill="DCE2EF"/>
          </w:tcPr>
          <w:p>
            <w:pPr>
              <w:spacing w:after="0"/>
              <w:rPr>
                <w:sz w:val="20"/>
                <w:szCs w:val="20"/>
                <w:color w:val="auto"/>
              </w:rPr>
            </w:pPr>
          </w:p>
        </w:tc>
        <w:tc>
          <w:tcPr>
            <w:tcW w:w="800" w:type="dxa"/>
            <w:vAlign w:val="bottom"/>
            <w:tcBorders>
              <w:bottom w:val="single" w:sz="8" w:color="auto"/>
            </w:tcBorders>
            <w:shd w:val="clear" w:color="auto" w:fill="DCE2EF"/>
          </w:tcPr>
          <w:p>
            <w:pPr>
              <w:jc w:val="right"/>
              <w:ind w:right="594"/>
              <w:spacing w:after="0"/>
              <w:rPr>
                <w:sz w:val="20"/>
                <w:szCs w:val="20"/>
                <w:color w:val="auto"/>
              </w:rPr>
            </w:pPr>
            <w:r>
              <w:rPr>
                <w:rFonts w:ascii="Arial" w:cs="Arial" w:eastAsia="Arial" w:hAnsi="Arial"/>
                <w:sz w:val="17"/>
                <w:szCs w:val="17"/>
                <w:color w:val="auto"/>
              </w:rPr>
              <w:t>$</w:t>
            </w:r>
          </w:p>
        </w:tc>
        <w:tc>
          <w:tcPr>
            <w:tcW w:w="146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7"/>
                <w:szCs w:val="17"/>
                <w:color w:val="auto"/>
              </w:rPr>
              <w:t>138.1</w:t>
            </w:r>
          </w:p>
        </w:tc>
        <w:tc>
          <w:tcPr>
            <w:tcW w:w="0" w:type="dxa"/>
            <w:vAlign w:val="bottom"/>
          </w:tcPr>
          <w:p>
            <w:pPr>
              <w:spacing w:after="0"/>
              <w:rPr>
                <w:sz w:val="1"/>
                <w:szCs w:val="1"/>
                <w:color w:val="auto"/>
              </w:rPr>
            </w:pPr>
          </w:p>
        </w:tc>
      </w:tr>
      <w:tr>
        <w:trPr>
          <w:trHeight w:val="20"/>
        </w:trPr>
        <w:tc>
          <w:tcPr>
            <w:tcW w:w="20" w:type="dxa"/>
            <w:vAlign w:val="bottom"/>
            <w:tcBorders>
              <w:top w:val="single" w:sz="8" w:color="DCE2EF"/>
            </w:tcBorders>
          </w:tcPr>
          <w:p>
            <w:pPr>
              <w:spacing w:after="0" w:line="20" w:lineRule="exact"/>
              <w:rPr>
                <w:sz w:val="1"/>
                <w:szCs w:val="1"/>
                <w:color w:val="auto"/>
              </w:rPr>
            </w:pPr>
          </w:p>
        </w:tc>
        <w:tc>
          <w:tcPr>
            <w:tcW w:w="680" w:type="dxa"/>
            <w:vAlign w:val="bottom"/>
            <w:tcBorders>
              <w:top w:val="single" w:sz="8" w:color="DCE2EF"/>
            </w:tcBorders>
          </w:tcPr>
          <w:p>
            <w:pPr>
              <w:spacing w:after="0" w:line="20" w:lineRule="exact"/>
              <w:rPr>
                <w:sz w:val="1"/>
                <w:szCs w:val="1"/>
                <w:color w:val="auto"/>
              </w:rPr>
            </w:pPr>
          </w:p>
        </w:tc>
        <w:tc>
          <w:tcPr>
            <w:tcW w:w="2120" w:type="dxa"/>
            <w:vAlign w:val="bottom"/>
            <w:tcBorders>
              <w:top w:val="single" w:sz="8" w:color="DCE2EF"/>
            </w:tcBorders>
          </w:tcPr>
          <w:p>
            <w:pPr>
              <w:spacing w:after="0" w:line="20" w:lineRule="exact"/>
              <w:rPr>
                <w:sz w:val="1"/>
                <w:szCs w:val="1"/>
                <w:color w:val="auto"/>
              </w:rPr>
            </w:pPr>
          </w:p>
        </w:tc>
        <w:tc>
          <w:tcPr>
            <w:tcW w:w="3580" w:type="dxa"/>
            <w:vAlign w:val="bottom"/>
            <w:tcBorders>
              <w:top w:val="single" w:sz="8" w:color="DCE2EF"/>
            </w:tcBorders>
          </w:tcPr>
          <w:p>
            <w:pPr>
              <w:spacing w:after="0" w:line="20" w:lineRule="exact"/>
              <w:rPr>
                <w:sz w:val="1"/>
                <w:szCs w:val="1"/>
                <w:color w:val="auto"/>
              </w:rPr>
            </w:pPr>
          </w:p>
        </w:tc>
        <w:tc>
          <w:tcPr>
            <w:tcW w:w="100" w:type="dxa"/>
            <w:vAlign w:val="bottom"/>
            <w:tcBorders>
              <w:top w:val="single" w:sz="8" w:color="DCE2EF"/>
            </w:tcBorders>
          </w:tcPr>
          <w:p>
            <w:pPr>
              <w:spacing w:after="0" w:line="20" w:lineRule="exact"/>
              <w:rPr>
                <w:sz w:val="1"/>
                <w:szCs w:val="1"/>
                <w:color w:val="auto"/>
              </w:rPr>
            </w:pPr>
          </w:p>
        </w:tc>
        <w:tc>
          <w:tcPr>
            <w:tcW w:w="520" w:type="dxa"/>
            <w:vAlign w:val="bottom"/>
            <w:tcBorders>
              <w:top w:val="single" w:sz="8" w:color="DCE2EF"/>
              <w:bottom w:val="single" w:sz="8" w:color="auto"/>
            </w:tcBorders>
          </w:tcPr>
          <w:p>
            <w:pPr>
              <w:spacing w:after="0" w:line="20" w:lineRule="exact"/>
              <w:rPr>
                <w:sz w:val="1"/>
                <w:szCs w:val="1"/>
                <w:color w:val="auto"/>
              </w:rPr>
            </w:pPr>
          </w:p>
        </w:tc>
        <w:tc>
          <w:tcPr>
            <w:tcW w:w="1720" w:type="dxa"/>
            <w:vAlign w:val="bottom"/>
            <w:tcBorders>
              <w:top w:val="single" w:sz="8" w:color="DCE2EF"/>
              <w:bottom w:val="single" w:sz="8" w:color="auto"/>
            </w:tcBorders>
          </w:tcPr>
          <w:p>
            <w:pPr>
              <w:spacing w:after="0" w:line="20" w:lineRule="exact"/>
              <w:rPr>
                <w:sz w:val="1"/>
                <w:szCs w:val="1"/>
                <w:color w:val="auto"/>
              </w:rPr>
            </w:pPr>
          </w:p>
        </w:tc>
        <w:tc>
          <w:tcPr>
            <w:tcW w:w="100" w:type="dxa"/>
            <w:vAlign w:val="bottom"/>
            <w:tcBorders>
              <w:top w:val="single" w:sz="8" w:color="DCE2EF"/>
            </w:tcBorders>
          </w:tcPr>
          <w:p>
            <w:pPr>
              <w:spacing w:after="0" w:line="20" w:lineRule="exact"/>
              <w:rPr>
                <w:sz w:val="1"/>
                <w:szCs w:val="1"/>
                <w:color w:val="auto"/>
              </w:rPr>
            </w:pPr>
          </w:p>
        </w:tc>
        <w:tc>
          <w:tcPr>
            <w:tcW w:w="800" w:type="dxa"/>
            <w:vAlign w:val="bottom"/>
            <w:tcBorders>
              <w:top w:val="single" w:sz="8" w:color="DCE2EF"/>
              <w:bottom w:val="single" w:sz="8" w:color="auto"/>
            </w:tcBorders>
          </w:tcPr>
          <w:p>
            <w:pPr>
              <w:spacing w:after="0" w:line="20" w:lineRule="exact"/>
              <w:rPr>
                <w:sz w:val="1"/>
                <w:szCs w:val="1"/>
                <w:color w:val="auto"/>
              </w:rPr>
            </w:pPr>
          </w:p>
        </w:tc>
        <w:tc>
          <w:tcPr>
            <w:tcW w:w="1460" w:type="dxa"/>
            <w:vAlign w:val="bottom"/>
            <w:tcBorders>
              <w:top w:val="single" w:sz="8" w:color="DCE2E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7" w:lineRule="exact"/>
        <w:rPr>
          <w:sz w:val="20"/>
          <w:szCs w:val="20"/>
          <w:color w:val="auto"/>
        </w:rPr>
      </w:pPr>
    </w:p>
    <w:p>
      <w:pPr>
        <w:ind w:left="160" w:hanging="157"/>
        <w:spacing w:after="0"/>
        <w:tabs>
          <w:tab w:leader="none" w:pos="160" w:val="left"/>
        </w:tabs>
        <w:numPr>
          <w:ilvl w:val="0"/>
          <w:numId w:val="26"/>
        </w:numPr>
        <w:rPr>
          <w:rFonts w:ascii="Arial" w:cs="Arial" w:eastAsia="Arial" w:hAnsi="Arial"/>
          <w:sz w:val="19"/>
          <w:szCs w:val="19"/>
          <w:color w:val="auto"/>
          <w:vertAlign w:val="superscript"/>
        </w:rPr>
      </w:pPr>
      <w:r>
        <w:rPr>
          <w:rFonts w:ascii="Arial" w:cs="Arial" w:eastAsia="Arial" w:hAnsi="Arial"/>
          <w:sz w:val="15"/>
          <w:szCs w:val="15"/>
          <w:color w:val="auto"/>
        </w:rPr>
        <w:t>Finance lease assets are recorded net of accumulated amortization of $27.3 million and $23.1 million as of October 31, 2025, and October 31, 2024, respectively.</w:t>
      </w:r>
    </w:p>
    <w:p>
      <w:pPr>
        <w:spacing w:after="0" w:line="19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components of lease costs and classification within the Consolidated Statements of Comprehensive Income were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5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80" w:type="dxa"/>
            <w:vAlign w:val="bottom"/>
            <w:gridSpan w:val="3"/>
          </w:tcPr>
          <w:p>
            <w:pPr>
              <w:jc w:val="right"/>
              <w:spacing w:after="0"/>
              <w:rPr>
                <w:sz w:val="20"/>
                <w:szCs w:val="20"/>
                <w:color w:val="auto"/>
              </w:rPr>
            </w:pPr>
            <w:r>
              <w:rPr>
                <w:rFonts w:ascii="Arial" w:cs="Arial" w:eastAsia="Arial" w:hAnsi="Arial"/>
                <w:sz w:val="17"/>
                <w:szCs w:val="17"/>
                <w:b w:val="1"/>
                <w:bCs w:val="1"/>
                <w:color w:val="auto"/>
              </w:rPr>
              <w:t>Year Ended October 31,</w:t>
            </w:r>
          </w:p>
        </w:tc>
        <w:tc>
          <w:tcPr>
            <w:tcW w:w="1440" w:type="dxa"/>
            <w:vAlign w:val="bottom"/>
          </w:tcPr>
          <w:p>
            <w:pPr>
              <w:spacing w:after="0"/>
              <w:rPr>
                <w:sz w:val="19"/>
                <w:szCs w:val="19"/>
                <w:color w:val="auto"/>
              </w:rPr>
            </w:pPr>
          </w:p>
        </w:tc>
      </w:tr>
      <w:tr>
        <w:trPr>
          <w:trHeight w:val="174"/>
        </w:trPr>
        <w:tc>
          <w:tcPr>
            <w:tcW w:w="6220" w:type="dxa"/>
            <w:vAlign w:val="bottom"/>
            <w:gridSpan w:val="3"/>
          </w:tcPr>
          <w:p>
            <w:pPr>
              <w:ind w:left="20"/>
              <w:spacing w:after="0" w:line="153" w:lineRule="exact"/>
              <w:rPr>
                <w:sz w:val="20"/>
                <w:szCs w:val="20"/>
                <w:color w:val="auto"/>
              </w:rPr>
            </w:pPr>
            <w:r>
              <w:rPr>
                <w:rFonts w:ascii="Times New Roman" w:cs="Times New Roman" w:eastAsia="Times New Roman" w:hAnsi="Times New Roman"/>
                <w:sz w:val="14"/>
                <w:szCs w:val="14"/>
                <w:i w:val="1"/>
                <w:iCs w:val="1"/>
                <w:color w:val="auto"/>
              </w:rPr>
              <w:t>(in millions)</w:t>
            </w:r>
          </w:p>
        </w:tc>
        <w:tc>
          <w:tcPr>
            <w:tcW w:w="560" w:type="dxa"/>
            <w:vAlign w:val="bottom"/>
          </w:tcPr>
          <w:p>
            <w:pPr>
              <w:spacing w:after="0"/>
              <w:rPr>
                <w:sz w:val="15"/>
                <w:szCs w:val="15"/>
                <w:color w:val="auto"/>
              </w:rPr>
            </w:pPr>
          </w:p>
        </w:tc>
        <w:tc>
          <w:tcPr>
            <w:tcW w:w="1820" w:type="dxa"/>
            <w:vAlign w:val="bottom"/>
          </w:tcPr>
          <w:p>
            <w:pPr>
              <w:jc w:val="right"/>
              <w:ind w:right="914"/>
              <w:spacing w:after="0" w:line="154" w:lineRule="exact"/>
              <w:rPr>
                <w:sz w:val="20"/>
                <w:szCs w:val="20"/>
                <w:color w:val="auto"/>
              </w:rPr>
            </w:pPr>
            <w:r>
              <w:rPr>
                <w:rFonts w:ascii="Arial" w:cs="Arial" w:eastAsia="Arial" w:hAnsi="Arial"/>
                <w:sz w:val="17"/>
                <w:szCs w:val="17"/>
                <w:b w:val="1"/>
                <w:bCs w:val="1"/>
                <w:color w:val="auto"/>
              </w:rPr>
              <w:t>2025</w:t>
            </w: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40" w:type="dxa"/>
            <w:vAlign w:val="bottom"/>
          </w:tcPr>
          <w:p>
            <w:pPr>
              <w:jc w:val="right"/>
              <w:ind w:right="934"/>
              <w:spacing w:after="0" w:line="154" w:lineRule="exact"/>
              <w:rPr>
                <w:sz w:val="20"/>
                <w:szCs w:val="20"/>
                <w:color w:val="auto"/>
              </w:rPr>
            </w:pPr>
            <w:r>
              <w:rPr>
                <w:rFonts w:ascii="Arial" w:cs="Arial" w:eastAsia="Arial" w:hAnsi="Arial"/>
                <w:sz w:val="17"/>
                <w:szCs w:val="17"/>
                <w:b w:val="1"/>
                <w:bCs w:val="1"/>
                <w:color w:val="auto"/>
              </w:rPr>
              <w:t>2024</w:t>
            </w:r>
          </w:p>
        </w:tc>
      </w:tr>
      <w:tr>
        <w:trPr>
          <w:trHeight w:val="32"/>
        </w:trPr>
        <w:tc>
          <w:tcPr>
            <w:tcW w:w="20" w:type="dxa"/>
            <w:vAlign w:val="bottom"/>
            <w:tcBorders>
              <w:bottom w:val="single" w:sz="8" w:color="DCE2EF"/>
            </w:tcBorders>
          </w:tcPr>
          <w:p>
            <w:pPr>
              <w:spacing w:after="0"/>
              <w:rPr>
                <w:sz w:val="2"/>
                <w:szCs w:val="2"/>
                <w:color w:val="auto"/>
              </w:rPr>
            </w:pPr>
          </w:p>
        </w:tc>
        <w:tc>
          <w:tcPr>
            <w:tcW w:w="680" w:type="dxa"/>
            <w:vAlign w:val="bottom"/>
            <w:tcBorders>
              <w:top w:val="single" w:sz="8" w:color="auto"/>
              <w:bottom w:val="single" w:sz="8" w:color="DCE2EF"/>
            </w:tcBorders>
          </w:tcPr>
          <w:p>
            <w:pPr>
              <w:spacing w:after="0"/>
              <w:rPr>
                <w:sz w:val="2"/>
                <w:szCs w:val="2"/>
                <w:color w:val="auto"/>
              </w:rPr>
            </w:pPr>
          </w:p>
        </w:tc>
        <w:tc>
          <w:tcPr>
            <w:tcW w:w="5520" w:type="dxa"/>
            <w:vAlign w:val="bottom"/>
            <w:tcBorders>
              <w:bottom w:val="single" w:sz="8" w:color="DCE2E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199"/>
        </w:trPr>
        <w:tc>
          <w:tcPr>
            <w:tcW w:w="6220" w:type="dxa"/>
            <w:vAlign w:val="bottom"/>
            <w:gridSpan w:val="3"/>
            <w:shd w:val="clear" w:color="auto" w:fill="DCE2EF"/>
          </w:tcPr>
          <w:p>
            <w:pPr>
              <w:ind w:left="20"/>
              <w:spacing w:after="0"/>
              <w:rPr>
                <w:sz w:val="20"/>
                <w:szCs w:val="20"/>
                <w:color w:val="auto"/>
              </w:rPr>
            </w:pPr>
            <w:r>
              <w:rPr>
                <w:rFonts w:ascii="Arial" w:cs="Arial" w:eastAsia="Arial" w:hAnsi="Arial"/>
                <w:sz w:val="17"/>
                <w:szCs w:val="17"/>
                <w:color w:val="auto"/>
              </w:rPr>
              <w:t>Operating lease costs:</w:t>
            </w:r>
          </w:p>
        </w:tc>
        <w:tc>
          <w:tcPr>
            <w:tcW w:w="560" w:type="dxa"/>
            <w:vAlign w:val="bottom"/>
            <w:shd w:val="clear" w:color="auto" w:fill="DCE2EF"/>
          </w:tcPr>
          <w:p>
            <w:pPr>
              <w:spacing w:after="0"/>
              <w:rPr>
                <w:sz w:val="17"/>
                <w:szCs w:val="17"/>
                <w:color w:val="auto"/>
              </w:rPr>
            </w:pPr>
          </w:p>
        </w:tc>
        <w:tc>
          <w:tcPr>
            <w:tcW w:w="1820" w:type="dxa"/>
            <w:vAlign w:val="bottom"/>
            <w:shd w:val="clear" w:color="auto" w:fill="DCE2EF"/>
          </w:tcPr>
          <w:p>
            <w:pPr>
              <w:spacing w:after="0"/>
              <w:rPr>
                <w:sz w:val="17"/>
                <w:szCs w:val="17"/>
                <w:color w:val="auto"/>
              </w:rPr>
            </w:pPr>
          </w:p>
        </w:tc>
        <w:tc>
          <w:tcPr>
            <w:tcW w:w="100" w:type="dxa"/>
            <w:vAlign w:val="bottom"/>
            <w:shd w:val="clear" w:color="auto" w:fill="DCE2EF"/>
          </w:tcPr>
          <w:p>
            <w:pPr>
              <w:spacing w:after="0"/>
              <w:rPr>
                <w:sz w:val="17"/>
                <w:szCs w:val="17"/>
                <w:color w:val="auto"/>
              </w:rPr>
            </w:pPr>
          </w:p>
        </w:tc>
        <w:tc>
          <w:tcPr>
            <w:tcW w:w="960" w:type="dxa"/>
            <w:vAlign w:val="bottom"/>
            <w:shd w:val="clear" w:color="auto" w:fill="DCE2EF"/>
          </w:tcPr>
          <w:p>
            <w:pPr>
              <w:spacing w:after="0"/>
              <w:rPr>
                <w:sz w:val="17"/>
                <w:szCs w:val="17"/>
                <w:color w:val="auto"/>
              </w:rPr>
            </w:pPr>
          </w:p>
        </w:tc>
        <w:tc>
          <w:tcPr>
            <w:tcW w:w="1440" w:type="dxa"/>
            <w:vAlign w:val="bottom"/>
            <w:shd w:val="clear" w:color="auto" w:fill="DCE2EF"/>
          </w:tcPr>
          <w:p>
            <w:pPr>
              <w:spacing w:after="0"/>
              <w:rPr>
                <w:sz w:val="17"/>
                <w:szCs w:val="17"/>
                <w:color w:val="auto"/>
              </w:rPr>
            </w:pPr>
          </w:p>
        </w:tc>
      </w:tr>
      <w:tr>
        <w:trPr>
          <w:trHeight w:val="219"/>
        </w:trPr>
        <w:tc>
          <w:tcPr>
            <w:tcW w:w="20" w:type="dxa"/>
            <w:vAlign w:val="bottom"/>
          </w:tcPr>
          <w:p>
            <w:pPr>
              <w:spacing w:after="0"/>
              <w:rPr>
                <w:sz w:val="19"/>
                <w:szCs w:val="19"/>
                <w:color w:val="auto"/>
              </w:rPr>
            </w:pPr>
          </w:p>
        </w:tc>
        <w:tc>
          <w:tcPr>
            <w:tcW w:w="6200" w:type="dxa"/>
            <w:vAlign w:val="bottom"/>
            <w:gridSpan w:val="2"/>
          </w:tcPr>
          <w:p>
            <w:pPr>
              <w:ind w:left="200"/>
              <w:spacing w:after="0" w:line="219" w:lineRule="exact"/>
              <w:rPr>
                <w:sz w:val="20"/>
                <w:szCs w:val="20"/>
                <w:color w:val="auto"/>
              </w:rPr>
            </w:pPr>
            <w:r>
              <w:rPr>
                <w:rFonts w:ascii="Arial" w:cs="Arial" w:eastAsia="Arial" w:hAnsi="Arial"/>
                <w:sz w:val="17"/>
                <w:szCs w:val="17"/>
                <w:color w:val="auto"/>
              </w:rPr>
              <w:t>Operating expenses</w:t>
            </w:r>
            <w:r>
              <w:rPr>
                <w:rFonts w:ascii="Arial" w:cs="Arial" w:eastAsia="Arial" w:hAnsi="Arial"/>
                <w:sz w:val="22"/>
                <w:szCs w:val="22"/>
                <w:color w:val="auto"/>
                <w:vertAlign w:val="superscript"/>
              </w:rPr>
              <w:t>(1)(2)</w:t>
            </w:r>
          </w:p>
        </w:tc>
        <w:tc>
          <w:tcPr>
            <w:tcW w:w="560" w:type="dxa"/>
            <w:vAlign w:val="bottom"/>
          </w:tcPr>
          <w:p>
            <w:pPr>
              <w:jc w:val="right"/>
              <w:ind w:right="374"/>
              <w:spacing w:after="0"/>
              <w:rPr>
                <w:sz w:val="20"/>
                <w:szCs w:val="20"/>
                <w:color w:val="auto"/>
              </w:rPr>
            </w:pPr>
            <w:r>
              <w:rPr>
                <w:rFonts w:ascii="Arial" w:cs="Arial" w:eastAsia="Arial" w:hAnsi="Arial"/>
                <w:sz w:val="17"/>
                <w:szCs w:val="17"/>
                <w:color w:val="auto"/>
                <w:w w:val="84"/>
              </w:rPr>
              <w:t>$</w:t>
            </w:r>
          </w:p>
        </w:tc>
        <w:tc>
          <w:tcPr>
            <w:tcW w:w="1820" w:type="dxa"/>
            <w:vAlign w:val="bottom"/>
          </w:tcPr>
          <w:p>
            <w:pPr>
              <w:jc w:val="right"/>
              <w:spacing w:after="0"/>
              <w:rPr>
                <w:sz w:val="20"/>
                <w:szCs w:val="20"/>
                <w:color w:val="auto"/>
              </w:rPr>
            </w:pPr>
            <w:r>
              <w:rPr>
                <w:rFonts w:ascii="Arial" w:cs="Arial" w:eastAsia="Arial" w:hAnsi="Arial"/>
                <w:sz w:val="17"/>
                <w:szCs w:val="17"/>
                <w:color w:val="auto"/>
              </w:rPr>
              <w:t>88.1</w:t>
            </w:r>
          </w:p>
        </w:tc>
        <w:tc>
          <w:tcPr>
            <w:tcW w:w="100" w:type="dxa"/>
            <w:vAlign w:val="bottom"/>
          </w:tcPr>
          <w:p>
            <w:pPr>
              <w:spacing w:after="0"/>
              <w:rPr>
                <w:sz w:val="19"/>
                <w:szCs w:val="19"/>
                <w:color w:val="auto"/>
              </w:rPr>
            </w:pPr>
          </w:p>
        </w:tc>
        <w:tc>
          <w:tcPr>
            <w:tcW w:w="960" w:type="dxa"/>
            <w:vAlign w:val="bottom"/>
          </w:tcPr>
          <w:p>
            <w:pPr>
              <w:jc w:val="right"/>
              <w:ind w:right="754"/>
              <w:spacing w:after="0"/>
              <w:rPr>
                <w:sz w:val="20"/>
                <w:szCs w:val="20"/>
                <w:color w:val="auto"/>
              </w:rPr>
            </w:pPr>
            <w:r>
              <w:rPr>
                <w:rFonts w:ascii="Arial" w:cs="Arial" w:eastAsia="Arial" w:hAnsi="Arial"/>
                <w:sz w:val="17"/>
                <w:szCs w:val="17"/>
                <w:color w:val="auto"/>
              </w:rPr>
              <w:t>$</w:t>
            </w:r>
          </w:p>
        </w:tc>
        <w:tc>
          <w:tcPr>
            <w:tcW w:w="1440" w:type="dxa"/>
            <w:vAlign w:val="bottom"/>
          </w:tcPr>
          <w:p>
            <w:pPr>
              <w:jc w:val="right"/>
              <w:spacing w:after="0"/>
              <w:rPr>
                <w:sz w:val="20"/>
                <w:szCs w:val="20"/>
                <w:color w:val="auto"/>
              </w:rPr>
            </w:pPr>
            <w:r>
              <w:rPr>
                <w:rFonts w:ascii="Arial" w:cs="Arial" w:eastAsia="Arial" w:hAnsi="Arial"/>
                <w:sz w:val="17"/>
                <w:szCs w:val="17"/>
                <w:color w:val="auto"/>
              </w:rPr>
              <w:t>81.6</w:t>
            </w:r>
          </w:p>
        </w:tc>
      </w:tr>
      <w:tr>
        <w:trPr>
          <w:trHeight w:val="219"/>
        </w:trPr>
        <w:tc>
          <w:tcPr>
            <w:tcW w:w="20" w:type="dxa"/>
            <w:vAlign w:val="bottom"/>
            <w:shd w:val="clear" w:color="auto" w:fill="DCE2EF"/>
          </w:tcPr>
          <w:p>
            <w:pPr>
              <w:spacing w:after="0"/>
              <w:rPr>
                <w:sz w:val="19"/>
                <w:szCs w:val="19"/>
                <w:color w:val="auto"/>
              </w:rPr>
            </w:pPr>
          </w:p>
        </w:tc>
        <w:tc>
          <w:tcPr>
            <w:tcW w:w="6200" w:type="dxa"/>
            <w:vAlign w:val="bottom"/>
            <w:gridSpan w:val="2"/>
            <w:shd w:val="clear" w:color="auto" w:fill="DCE2EF"/>
          </w:tcPr>
          <w:p>
            <w:pPr>
              <w:ind w:left="200"/>
              <w:spacing w:after="0" w:line="219" w:lineRule="exact"/>
              <w:rPr>
                <w:sz w:val="20"/>
                <w:szCs w:val="20"/>
                <w:color w:val="auto"/>
              </w:rPr>
            </w:pPr>
            <w:r>
              <w:rPr>
                <w:rFonts w:ascii="Arial" w:cs="Arial" w:eastAsia="Arial" w:hAnsi="Arial"/>
                <w:sz w:val="17"/>
                <w:szCs w:val="17"/>
                <w:color w:val="auto"/>
              </w:rPr>
              <w:t>Selling, general and administrative expenses</w:t>
            </w:r>
            <w:r>
              <w:rPr>
                <w:rFonts w:ascii="Arial" w:cs="Arial" w:eastAsia="Arial" w:hAnsi="Arial"/>
                <w:sz w:val="22"/>
                <w:szCs w:val="22"/>
                <w:color w:val="auto"/>
                <w:vertAlign w:val="superscript"/>
              </w:rPr>
              <w:t>(3)</w:t>
            </w:r>
          </w:p>
        </w:tc>
        <w:tc>
          <w:tcPr>
            <w:tcW w:w="560" w:type="dxa"/>
            <w:vAlign w:val="bottom"/>
            <w:shd w:val="clear" w:color="auto" w:fill="DCE2EF"/>
          </w:tcPr>
          <w:p>
            <w:pPr>
              <w:spacing w:after="0"/>
              <w:rPr>
                <w:sz w:val="19"/>
                <w:szCs w:val="19"/>
                <w:color w:val="auto"/>
              </w:rPr>
            </w:pPr>
          </w:p>
        </w:tc>
        <w:tc>
          <w:tcPr>
            <w:tcW w:w="1820" w:type="dxa"/>
            <w:vAlign w:val="bottom"/>
            <w:shd w:val="clear" w:color="auto" w:fill="DCE2EF"/>
          </w:tcPr>
          <w:p>
            <w:pPr>
              <w:jc w:val="right"/>
              <w:spacing w:after="0"/>
              <w:rPr>
                <w:sz w:val="20"/>
                <w:szCs w:val="20"/>
                <w:color w:val="auto"/>
              </w:rPr>
            </w:pPr>
            <w:r>
              <w:rPr>
                <w:rFonts w:ascii="Arial" w:cs="Arial" w:eastAsia="Arial" w:hAnsi="Arial"/>
                <w:sz w:val="17"/>
                <w:szCs w:val="17"/>
                <w:color w:val="auto"/>
              </w:rPr>
              <w:t>27.9</w:t>
            </w:r>
          </w:p>
        </w:tc>
        <w:tc>
          <w:tcPr>
            <w:tcW w:w="100" w:type="dxa"/>
            <w:vAlign w:val="bottom"/>
            <w:shd w:val="clear" w:color="auto" w:fill="DCE2EF"/>
          </w:tcPr>
          <w:p>
            <w:pPr>
              <w:spacing w:after="0"/>
              <w:rPr>
                <w:sz w:val="19"/>
                <w:szCs w:val="19"/>
                <w:color w:val="auto"/>
              </w:rPr>
            </w:pPr>
          </w:p>
        </w:tc>
        <w:tc>
          <w:tcPr>
            <w:tcW w:w="960" w:type="dxa"/>
            <w:vAlign w:val="bottom"/>
            <w:shd w:val="clear" w:color="auto" w:fill="DCE2EF"/>
          </w:tcPr>
          <w:p>
            <w:pPr>
              <w:spacing w:after="0"/>
              <w:rPr>
                <w:sz w:val="19"/>
                <w:szCs w:val="19"/>
                <w:color w:val="auto"/>
              </w:rPr>
            </w:pPr>
          </w:p>
        </w:tc>
        <w:tc>
          <w:tcPr>
            <w:tcW w:w="1440" w:type="dxa"/>
            <w:vAlign w:val="bottom"/>
            <w:shd w:val="clear" w:color="auto" w:fill="DCE2EF"/>
          </w:tcPr>
          <w:p>
            <w:pPr>
              <w:jc w:val="right"/>
              <w:spacing w:after="0"/>
              <w:rPr>
                <w:sz w:val="20"/>
                <w:szCs w:val="20"/>
                <w:color w:val="auto"/>
              </w:rPr>
            </w:pPr>
            <w:r>
              <w:rPr>
                <w:rFonts w:ascii="Arial" w:cs="Arial" w:eastAsia="Arial" w:hAnsi="Arial"/>
                <w:sz w:val="17"/>
                <w:szCs w:val="17"/>
                <w:color w:val="auto"/>
              </w:rPr>
              <w:t>26.4</w:t>
            </w:r>
          </w:p>
        </w:tc>
      </w:tr>
      <w:tr>
        <w:trPr>
          <w:trHeight w:val="219"/>
        </w:trPr>
        <w:tc>
          <w:tcPr>
            <w:tcW w:w="6220" w:type="dxa"/>
            <w:vAlign w:val="bottom"/>
            <w:gridSpan w:val="3"/>
          </w:tcPr>
          <w:p>
            <w:pPr>
              <w:ind w:left="20"/>
              <w:spacing w:after="0"/>
              <w:rPr>
                <w:sz w:val="20"/>
                <w:szCs w:val="20"/>
                <w:color w:val="auto"/>
              </w:rPr>
            </w:pPr>
            <w:r>
              <w:rPr>
                <w:rFonts w:ascii="Arial" w:cs="Arial" w:eastAsia="Arial" w:hAnsi="Arial"/>
                <w:sz w:val="17"/>
                <w:szCs w:val="17"/>
                <w:color w:val="auto"/>
              </w:rPr>
              <w:t>Finance lease costs:</w:t>
            </w:r>
          </w:p>
        </w:tc>
        <w:tc>
          <w:tcPr>
            <w:tcW w:w="56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19"/>
        </w:trPr>
        <w:tc>
          <w:tcPr>
            <w:tcW w:w="20" w:type="dxa"/>
            <w:vAlign w:val="bottom"/>
            <w:shd w:val="clear" w:color="auto" w:fill="DCE2EF"/>
          </w:tcPr>
          <w:p>
            <w:pPr>
              <w:spacing w:after="0"/>
              <w:rPr>
                <w:sz w:val="19"/>
                <w:szCs w:val="19"/>
                <w:color w:val="auto"/>
              </w:rPr>
            </w:pPr>
          </w:p>
        </w:tc>
        <w:tc>
          <w:tcPr>
            <w:tcW w:w="6200" w:type="dxa"/>
            <w:vAlign w:val="bottom"/>
            <w:gridSpan w:val="2"/>
            <w:shd w:val="clear" w:color="auto" w:fill="DCE2EF"/>
          </w:tcPr>
          <w:p>
            <w:pPr>
              <w:ind w:left="200"/>
              <w:spacing w:after="0" w:line="219" w:lineRule="exact"/>
              <w:rPr>
                <w:sz w:val="20"/>
                <w:szCs w:val="20"/>
                <w:color w:val="auto"/>
              </w:rPr>
            </w:pPr>
            <w:r>
              <w:rPr>
                <w:rFonts w:ascii="Arial" w:cs="Arial" w:eastAsia="Arial" w:hAnsi="Arial"/>
                <w:sz w:val="17"/>
                <w:szCs w:val="17"/>
                <w:color w:val="auto"/>
              </w:rPr>
              <w:t>Operating expenses</w:t>
            </w:r>
            <w:r>
              <w:rPr>
                <w:rFonts w:ascii="Arial" w:cs="Arial" w:eastAsia="Arial" w:hAnsi="Arial"/>
                <w:sz w:val="22"/>
                <w:szCs w:val="22"/>
                <w:color w:val="auto"/>
                <w:vertAlign w:val="superscript"/>
              </w:rPr>
              <w:t>(4)</w:t>
            </w:r>
          </w:p>
        </w:tc>
        <w:tc>
          <w:tcPr>
            <w:tcW w:w="560" w:type="dxa"/>
            <w:vAlign w:val="bottom"/>
            <w:shd w:val="clear" w:color="auto" w:fill="DCE2EF"/>
          </w:tcPr>
          <w:p>
            <w:pPr>
              <w:spacing w:after="0"/>
              <w:rPr>
                <w:sz w:val="19"/>
                <w:szCs w:val="19"/>
                <w:color w:val="auto"/>
              </w:rPr>
            </w:pPr>
          </w:p>
        </w:tc>
        <w:tc>
          <w:tcPr>
            <w:tcW w:w="1820" w:type="dxa"/>
            <w:vAlign w:val="bottom"/>
            <w:shd w:val="clear" w:color="auto" w:fill="DCE2EF"/>
          </w:tcPr>
          <w:p>
            <w:pPr>
              <w:jc w:val="right"/>
              <w:spacing w:after="0"/>
              <w:rPr>
                <w:sz w:val="20"/>
                <w:szCs w:val="20"/>
                <w:color w:val="auto"/>
              </w:rPr>
            </w:pPr>
            <w:r>
              <w:rPr>
                <w:rFonts w:ascii="Arial" w:cs="Arial" w:eastAsia="Arial" w:hAnsi="Arial"/>
                <w:sz w:val="17"/>
                <w:szCs w:val="17"/>
                <w:color w:val="auto"/>
              </w:rPr>
              <w:t>4.9</w:t>
            </w:r>
          </w:p>
        </w:tc>
        <w:tc>
          <w:tcPr>
            <w:tcW w:w="100" w:type="dxa"/>
            <w:vAlign w:val="bottom"/>
            <w:shd w:val="clear" w:color="auto" w:fill="DCE2EF"/>
          </w:tcPr>
          <w:p>
            <w:pPr>
              <w:spacing w:after="0"/>
              <w:rPr>
                <w:sz w:val="19"/>
                <w:szCs w:val="19"/>
                <w:color w:val="auto"/>
              </w:rPr>
            </w:pPr>
          </w:p>
        </w:tc>
        <w:tc>
          <w:tcPr>
            <w:tcW w:w="960" w:type="dxa"/>
            <w:vAlign w:val="bottom"/>
            <w:shd w:val="clear" w:color="auto" w:fill="DCE2EF"/>
          </w:tcPr>
          <w:p>
            <w:pPr>
              <w:spacing w:after="0"/>
              <w:rPr>
                <w:sz w:val="19"/>
                <w:szCs w:val="19"/>
                <w:color w:val="auto"/>
              </w:rPr>
            </w:pPr>
          </w:p>
        </w:tc>
        <w:tc>
          <w:tcPr>
            <w:tcW w:w="1440" w:type="dxa"/>
            <w:vAlign w:val="bottom"/>
            <w:shd w:val="clear" w:color="auto" w:fill="DCE2EF"/>
          </w:tcPr>
          <w:p>
            <w:pPr>
              <w:jc w:val="right"/>
              <w:spacing w:after="0"/>
              <w:rPr>
                <w:sz w:val="20"/>
                <w:szCs w:val="20"/>
                <w:color w:val="auto"/>
              </w:rPr>
            </w:pPr>
            <w:r>
              <w:rPr>
                <w:rFonts w:ascii="Arial" w:cs="Arial" w:eastAsia="Arial" w:hAnsi="Arial"/>
                <w:sz w:val="17"/>
                <w:szCs w:val="17"/>
                <w:color w:val="auto"/>
              </w:rPr>
              <w:t>4.6</w:t>
            </w:r>
          </w:p>
        </w:tc>
      </w:tr>
      <w:tr>
        <w:trPr>
          <w:trHeight w:val="219"/>
        </w:trPr>
        <w:tc>
          <w:tcPr>
            <w:tcW w:w="20" w:type="dxa"/>
            <w:vAlign w:val="bottom"/>
            <w:tcBorders>
              <w:bottom w:val="single" w:sz="8" w:color="DCE2EF"/>
            </w:tcBorders>
          </w:tcPr>
          <w:p>
            <w:pPr>
              <w:spacing w:after="0"/>
              <w:rPr>
                <w:sz w:val="19"/>
                <w:szCs w:val="19"/>
                <w:color w:val="auto"/>
              </w:rPr>
            </w:pPr>
          </w:p>
        </w:tc>
        <w:tc>
          <w:tcPr>
            <w:tcW w:w="6200" w:type="dxa"/>
            <w:vAlign w:val="bottom"/>
            <w:tcBorders>
              <w:bottom w:val="single" w:sz="8" w:color="DCE2EF"/>
            </w:tcBorders>
            <w:gridSpan w:val="2"/>
          </w:tcPr>
          <w:p>
            <w:pPr>
              <w:ind w:left="200"/>
              <w:spacing w:after="0" w:line="219" w:lineRule="exact"/>
              <w:rPr>
                <w:sz w:val="20"/>
                <w:szCs w:val="20"/>
                <w:color w:val="auto"/>
              </w:rPr>
            </w:pPr>
            <w:r>
              <w:rPr>
                <w:rFonts w:ascii="Arial" w:cs="Arial" w:eastAsia="Arial" w:hAnsi="Arial"/>
                <w:sz w:val="17"/>
                <w:szCs w:val="17"/>
                <w:color w:val="auto"/>
              </w:rPr>
              <w:t>Interest expense</w:t>
            </w:r>
            <w:r>
              <w:rPr>
                <w:rFonts w:ascii="Arial" w:cs="Arial" w:eastAsia="Arial" w:hAnsi="Arial"/>
                <w:sz w:val="22"/>
                <w:szCs w:val="22"/>
                <w:color w:val="auto"/>
                <w:vertAlign w:val="superscript"/>
              </w:rPr>
              <w:t>(5)</w:t>
            </w:r>
          </w:p>
        </w:tc>
        <w:tc>
          <w:tcPr>
            <w:tcW w:w="56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w:t>
            </w:r>
          </w:p>
        </w:tc>
        <w:tc>
          <w:tcPr>
            <w:tcW w:w="100" w:type="dxa"/>
            <w:vAlign w:val="bottom"/>
            <w:tcBorders>
              <w:bottom w:val="single" w:sz="8" w:color="DCE2E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w:t>
            </w:r>
          </w:p>
        </w:tc>
      </w:tr>
      <w:tr>
        <w:trPr>
          <w:trHeight w:val="237"/>
        </w:trPr>
        <w:tc>
          <w:tcPr>
            <w:tcW w:w="20" w:type="dxa"/>
            <w:vAlign w:val="bottom"/>
            <w:tcBorders>
              <w:bottom w:val="single" w:sz="8" w:color="DCE2EF"/>
            </w:tcBorders>
            <w:shd w:val="clear" w:color="auto" w:fill="DCE2EF"/>
          </w:tcPr>
          <w:p>
            <w:pPr>
              <w:spacing w:after="0"/>
              <w:rPr>
                <w:sz w:val="20"/>
                <w:szCs w:val="20"/>
                <w:color w:val="auto"/>
              </w:rPr>
            </w:pPr>
          </w:p>
        </w:tc>
        <w:tc>
          <w:tcPr>
            <w:tcW w:w="6200" w:type="dxa"/>
            <w:vAlign w:val="bottom"/>
            <w:tcBorders>
              <w:bottom w:val="single" w:sz="8" w:color="DCE2EF"/>
            </w:tcBorders>
            <w:gridSpan w:val="2"/>
            <w:shd w:val="clear" w:color="auto" w:fill="DCE2EF"/>
          </w:tcPr>
          <w:p>
            <w:pPr>
              <w:ind w:left="420"/>
              <w:spacing w:after="0"/>
              <w:rPr>
                <w:sz w:val="20"/>
                <w:szCs w:val="20"/>
                <w:color w:val="auto"/>
              </w:rPr>
            </w:pPr>
            <w:r>
              <w:rPr>
                <w:rFonts w:ascii="Arial" w:cs="Arial" w:eastAsia="Arial" w:hAnsi="Arial"/>
                <w:sz w:val="17"/>
                <w:szCs w:val="17"/>
                <w:b w:val="1"/>
                <w:bCs w:val="1"/>
                <w:color w:val="auto"/>
              </w:rPr>
              <w:t>Total lease costs</w:t>
            </w:r>
          </w:p>
        </w:tc>
        <w:tc>
          <w:tcPr>
            <w:tcW w:w="560" w:type="dxa"/>
            <w:vAlign w:val="bottom"/>
            <w:tcBorders>
              <w:bottom w:val="single" w:sz="8" w:color="auto"/>
            </w:tcBorders>
            <w:shd w:val="clear" w:color="auto" w:fill="DCE2EF"/>
          </w:tcPr>
          <w:p>
            <w:pPr>
              <w:jc w:val="right"/>
              <w:ind w:right="374"/>
              <w:spacing w:after="0"/>
              <w:rPr>
                <w:sz w:val="20"/>
                <w:szCs w:val="20"/>
                <w:color w:val="auto"/>
              </w:rPr>
            </w:pPr>
            <w:r>
              <w:rPr>
                <w:rFonts w:ascii="Arial" w:cs="Arial" w:eastAsia="Arial" w:hAnsi="Arial"/>
                <w:sz w:val="17"/>
                <w:szCs w:val="17"/>
                <w:color w:val="auto"/>
                <w:w w:val="84"/>
              </w:rPr>
              <w:t>$</w:t>
            </w:r>
          </w:p>
        </w:tc>
        <w:tc>
          <w:tcPr>
            <w:tcW w:w="182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7"/>
                <w:szCs w:val="17"/>
                <w:color w:val="auto"/>
              </w:rPr>
              <w:t>121.9</w:t>
            </w:r>
          </w:p>
        </w:tc>
        <w:tc>
          <w:tcPr>
            <w:tcW w:w="100" w:type="dxa"/>
            <w:vAlign w:val="bottom"/>
            <w:tcBorders>
              <w:bottom w:val="single" w:sz="8" w:color="DCE2EF"/>
            </w:tcBorders>
            <w:shd w:val="clear" w:color="auto" w:fill="DCE2EF"/>
          </w:tcPr>
          <w:p>
            <w:pPr>
              <w:spacing w:after="0"/>
              <w:rPr>
                <w:sz w:val="20"/>
                <w:szCs w:val="20"/>
                <w:color w:val="auto"/>
              </w:rPr>
            </w:pPr>
          </w:p>
        </w:tc>
        <w:tc>
          <w:tcPr>
            <w:tcW w:w="960" w:type="dxa"/>
            <w:vAlign w:val="bottom"/>
            <w:tcBorders>
              <w:bottom w:val="single" w:sz="8" w:color="auto"/>
            </w:tcBorders>
            <w:shd w:val="clear" w:color="auto" w:fill="DCE2EF"/>
          </w:tcPr>
          <w:p>
            <w:pPr>
              <w:jc w:val="right"/>
              <w:ind w:right="754"/>
              <w:spacing w:after="0"/>
              <w:rPr>
                <w:sz w:val="20"/>
                <w:szCs w:val="20"/>
                <w:color w:val="auto"/>
              </w:rPr>
            </w:pPr>
            <w:r>
              <w:rPr>
                <w:rFonts w:ascii="Arial" w:cs="Arial" w:eastAsia="Arial" w:hAnsi="Arial"/>
                <w:sz w:val="17"/>
                <w:szCs w:val="17"/>
                <w:color w:val="auto"/>
              </w:rPr>
              <w:t>$</w:t>
            </w:r>
          </w:p>
        </w:tc>
        <w:tc>
          <w:tcPr>
            <w:tcW w:w="144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7"/>
                <w:szCs w:val="17"/>
                <w:color w:val="auto"/>
              </w:rPr>
              <w:t>113.8</w:t>
            </w:r>
          </w:p>
        </w:tc>
      </w:tr>
      <w:tr>
        <w:trPr>
          <w:trHeight w:val="20"/>
        </w:trPr>
        <w:tc>
          <w:tcPr>
            <w:tcW w:w="20" w:type="dxa"/>
            <w:vAlign w:val="bottom"/>
            <w:tcBorders>
              <w:top w:val="single" w:sz="8" w:color="DCE2EF"/>
            </w:tcBorders>
          </w:tcPr>
          <w:p>
            <w:pPr>
              <w:spacing w:after="0" w:line="20" w:lineRule="exact"/>
              <w:rPr>
                <w:sz w:val="1"/>
                <w:szCs w:val="1"/>
                <w:color w:val="auto"/>
              </w:rPr>
            </w:pPr>
          </w:p>
        </w:tc>
        <w:tc>
          <w:tcPr>
            <w:tcW w:w="680" w:type="dxa"/>
            <w:vAlign w:val="bottom"/>
            <w:tcBorders>
              <w:top w:val="single" w:sz="8" w:color="DCE2EF"/>
            </w:tcBorders>
          </w:tcPr>
          <w:p>
            <w:pPr>
              <w:spacing w:after="0" w:line="20" w:lineRule="exact"/>
              <w:rPr>
                <w:sz w:val="1"/>
                <w:szCs w:val="1"/>
                <w:color w:val="auto"/>
              </w:rPr>
            </w:pPr>
          </w:p>
        </w:tc>
        <w:tc>
          <w:tcPr>
            <w:tcW w:w="5520" w:type="dxa"/>
            <w:vAlign w:val="bottom"/>
            <w:tcBorders>
              <w:top w:val="single" w:sz="8" w:color="DCE2EF"/>
            </w:tcBorders>
          </w:tcPr>
          <w:p>
            <w:pPr>
              <w:spacing w:after="0" w:line="20" w:lineRule="exact"/>
              <w:rPr>
                <w:sz w:val="1"/>
                <w:szCs w:val="1"/>
                <w:color w:val="auto"/>
              </w:rPr>
            </w:pPr>
          </w:p>
        </w:tc>
        <w:tc>
          <w:tcPr>
            <w:tcW w:w="560" w:type="dxa"/>
            <w:vAlign w:val="bottom"/>
            <w:tcBorders>
              <w:top w:val="single" w:sz="8" w:color="DCE2EF"/>
              <w:bottom w:val="single" w:sz="8" w:color="auto"/>
            </w:tcBorders>
          </w:tcPr>
          <w:p>
            <w:pPr>
              <w:spacing w:after="0" w:line="20" w:lineRule="exact"/>
              <w:rPr>
                <w:sz w:val="1"/>
                <w:szCs w:val="1"/>
                <w:color w:val="auto"/>
              </w:rPr>
            </w:pPr>
          </w:p>
        </w:tc>
        <w:tc>
          <w:tcPr>
            <w:tcW w:w="1820" w:type="dxa"/>
            <w:vAlign w:val="bottom"/>
            <w:tcBorders>
              <w:top w:val="single" w:sz="8" w:color="DCE2EF"/>
              <w:bottom w:val="single" w:sz="8" w:color="auto"/>
            </w:tcBorders>
          </w:tcPr>
          <w:p>
            <w:pPr>
              <w:spacing w:after="0" w:line="20" w:lineRule="exact"/>
              <w:rPr>
                <w:sz w:val="1"/>
                <w:szCs w:val="1"/>
                <w:color w:val="auto"/>
              </w:rPr>
            </w:pPr>
          </w:p>
        </w:tc>
        <w:tc>
          <w:tcPr>
            <w:tcW w:w="100" w:type="dxa"/>
            <w:vAlign w:val="bottom"/>
            <w:tcBorders>
              <w:top w:val="single" w:sz="8" w:color="DCE2EF"/>
            </w:tcBorders>
          </w:tcPr>
          <w:p>
            <w:pPr>
              <w:spacing w:after="0" w:line="20" w:lineRule="exact"/>
              <w:rPr>
                <w:sz w:val="1"/>
                <w:szCs w:val="1"/>
                <w:color w:val="auto"/>
              </w:rPr>
            </w:pPr>
          </w:p>
        </w:tc>
        <w:tc>
          <w:tcPr>
            <w:tcW w:w="960" w:type="dxa"/>
            <w:vAlign w:val="bottom"/>
            <w:tcBorders>
              <w:top w:val="single" w:sz="8" w:color="DCE2EF"/>
              <w:bottom w:val="single" w:sz="8" w:color="auto"/>
            </w:tcBorders>
          </w:tcPr>
          <w:p>
            <w:pPr>
              <w:spacing w:after="0" w:line="20" w:lineRule="exact"/>
              <w:rPr>
                <w:sz w:val="1"/>
                <w:szCs w:val="1"/>
                <w:color w:val="auto"/>
              </w:rPr>
            </w:pPr>
          </w:p>
        </w:tc>
        <w:tc>
          <w:tcPr>
            <w:tcW w:w="1440" w:type="dxa"/>
            <w:vAlign w:val="bottom"/>
            <w:tcBorders>
              <w:top w:val="single" w:sz="8" w:color="DCE2EF"/>
              <w:bottom w:val="single" w:sz="8" w:color="auto"/>
            </w:tcBorders>
          </w:tcPr>
          <w:p>
            <w:pPr>
              <w:spacing w:after="0" w:line="20" w:lineRule="exact"/>
              <w:rPr>
                <w:sz w:val="1"/>
                <w:szCs w:val="1"/>
                <w:color w:val="auto"/>
              </w:rPr>
            </w:pPr>
          </w:p>
        </w:tc>
      </w:tr>
    </w:tbl>
    <w:p>
      <w:pPr>
        <w:spacing w:after="0" w:line="257" w:lineRule="exact"/>
        <w:rPr>
          <w:sz w:val="20"/>
          <w:szCs w:val="20"/>
          <w:color w:val="auto"/>
        </w:rPr>
      </w:pPr>
    </w:p>
    <w:p>
      <w:pPr>
        <w:ind w:left="160" w:hanging="157"/>
        <w:spacing w:after="0"/>
        <w:tabs>
          <w:tab w:leader="none" w:pos="160" w:val="left"/>
        </w:tabs>
        <w:numPr>
          <w:ilvl w:val="0"/>
          <w:numId w:val="27"/>
        </w:numPr>
        <w:rPr>
          <w:rFonts w:ascii="Arial" w:cs="Arial" w:eastAsia="Arial" w:hAnsi="Arial"/>
          <w:sz w:val="19"/>
          <w:szCs w:val="19"/>
          <w:color w:val="auto"/>
          <w:vertAlign w:val="superscript"/>
        </w:rPr>
      </w:pPr>
      <w:r>
        <w:rPr>
          <w:rFonts w:ascii="Arial" w:cs="Arial" w:eastAsia="Arial" w:hAnsi="Arial"/>
          <w:sz w:val="15"/>
          <w:szCs w:val="15"/>
          <w:color w:val="auto"/>
        </w:rPr>
        <w:t>Related to certain parking arrangements.</w:t>
      </w:r>
    </w:p>
    <w:p>
      <w:pPr>
        <w:spacing w:after="0" w:line="78" w:lineRule="exact"/>
        <w:rPr>
          <w:rFonts w:ascii="Arial" w:cs="Arial" w:eastAsia="Arial" w:hAnsi="Arial"/>
          <w:sz w:val="19"/>
          <w:szCs w:val="19"/>
          <w:color w:val="auto"/>
          <w:vertAlign w:val="superscript"/>
        </w:rPr>
      </w:pPr>
    </w:p>
    <w:p>
      <w:pPr>
        <w:ind w:left="160" w:hanging="157"/>
        <w:spacing w:after="0"/>
        <w:tabs>
          <w:tab w:leader="none" w:pos="160" w:val="left"/>
        </w:tabs>
        <w:numPr>
          <w:ilvl w:val="0"/>
          <w:numId w:val="27"/>
        </w:numPr>
        <w:rPr>
          <w:rFonts w:ascii="Arial" w:cs="Arial" w:eastAsia="Arial" w:hAnsi="Arial"/>
          <w:sz w:val="19"/>
          <w:szCs w:val="19"/>
          <w:color w:val="auto"/>
          <w:vertAlign w:val="superscript"/>
        </w:rPr>
      </w:pPr>
      <w:r>
        <w:rPr>
          <w:rFonts w:ascii="Arial" w:cs="Arial" w:eastAsia="Arial" w:hAnsi="Arial"/>
          <w:sz w:val="15"/>
          <w:szCs w:val="15"/>
          <w:color w:val="auto"/>
        </w:rPr>
        <w:t>Includes short-term lease costs and variable lease costs.</w:t>
      </w:r>
    </w:p>
    <w:p>
      <w:pPr>
        <w:spacing w:after="0" w:line="66" w:lineRule="exact"/>
        <w:rPr>
          <w:rFonts w:ascii="Arial" w:cs="Arial" w:eastAsia="Arial" w:hAnsi="Arial"/>
          <w:sz w:val="19"/>
          <w:szCs w:val="19"/>
          <w:color w:val="auto"/>
          <w:vertAlign w:val="superscript"/>
        </w:rPr>
      </w:pPr>
    </w:p>
    <w:p>
      <w:pPr>
        <w:ind w:left="160" w:hanging="157"/>
        <w:spacing w:after="0" w:line="238" w:lineRule="auto"/>
        <w:tabs>
          <w:tab w:leader="none" w:pos="160" w:val="left"/>
        </w:tabs>
        <w:numPr>
          <w:ilvl w:val="0"/>
          <w:numId w:val="27"/>
        </w:numPr>
        <w:rPr>
          <w:rFonts w:ascii="Arial" w:cs="Arial" w:eastAsia="Arial" w:hAnsi="Arial"/>
          <w:sz w:val="19"/>
          <w:szCs w:val="19"/>
          <w:color w:val="auto"/>
          <w:vertAlign w:val="superscript"/>
        </w:rPr>
      </w:pPr>
      <w:r>
        <w:rPr>
          <w:rFonts w:ascii="Arial" w:cs="Arial" w:eastAsia="Arial" w:hAnsi="Arial"/>
          <w:sz w:val="15"/>
          <w:szCs w:val="15"/>
          <w:color w:val="auto"/>
        </w:rPr>
        <w:t>Includes short-term lease costs.</w:t>
      </w:r>
    </w:p>
    <w:p>
      <w:pPr>
        <w:spacing w:after="0" w:line="78" w:lineRule="exact"/>
        <w:rPr>
          <w:rFonts w:ascii="Arial" w:cs="Arial" w:eastAsia="Arial" w:hAnsi="Arial"/>
          <w:sz w:val="19"/>
          <w:szCs w:val="19"/>
          <w:color w:val="auto"/>
          <w:vertAlign w:val="superscript"/>
        </w:rPr>
      </w:pPr>
    </w:p>
    <w:p>
      <w:pPr>
        <w:ind w:left="160" w:hanging="157"/>
        <w:spacing w:after="0"/>
        <w:tabs>
          <w:tab w:leader="none" w:pos="160" w:val="left"/>
        </w:tabs>
        <w:numPr>
          <w:ilvl w:val="0"/>
          <w:numId w:val="27"/>
        </w:numPr>
        <w:rPr>
          <w:rFonts w:ascii="Arial" w:cs="Arial" w:eastAsia="Arial" w:hAnsi="Arial"/>
          <w:sz w:val="19"/>
          <w:szCs w:val="19"/>
          <w:color w:val="auto"/>
          <w:vertAlign w:val="superscript"/>
        </w:rPr>
      </w:pPr>
      <w:r>
        <w:rPr>
          <w:rFonts w:ascii="Arial" w:cs="Arial" w:eastAsia="Arial" w:hAnsi="Arial"/>
          <w:sz w:val="15"/>
          <w:szCs w:val="15"/>
          <w:color w:val="auto"/>
        </w:rPr>
        <w:t>Represents amortization of leased assets.</w:t>
      </w:r>
    </w:p>
    <w:p>
      <w:pPr>
        <w:spacing w:after="0" w:line="65" w:lineRule="exact"/>
        <w:rPr>
          <w:rFonts w:ascii="Arial" w:cs="Arial" w:eastAsia="Arial" w:hAnsi="Arial"/>
          <w:sz w:val="19"/>
          <w:szCs w:val="19"/>
          <w:color w:val="auto"/>
          <w:vertAlign w:val="superscript"/>
        </w:rPr>
      </w:pPr>
    </w:p>
    <w:p>
      <w:pPr>
        <w:ind w:left="160" w:hanging="157"/>
        <w:spacing w:after="0"/>
        <w:tabs>
          <w:tab w:leader="none" w:pos="160" w:val="left"/>
        </w:tabs>
        <w:numPr>
          <w:ilvl w:val="0"/>
          <w:numId w:val="27"/>
        </w:numPr>
        <w:rPr>
          <w:rFonts w:ascii="Arial" w:cs="Arial" w:eastAsia="Arial" w:hAnsi="Arial"/>
          <w:sz w:val="19"/>
          <w:szCs w:val="19"/>
          <w:color w:val="auto"/>
          <w:vertAlign w:val="superscript"/>
        </w:rPr>
      </w:pPr>
      <w:r>
        <w:rPr>
          <w:rFonts w:ascii="Arial" w:cs="Arial" w:eastAsia="Arial" w:hAnsi="Arial"/>
          <w:sz w:val="15"/>
          <w:szCs w:val="15"/>
          <w:color w:val="auto"/>
        </w:rPr>
        <w:t>Interest on lease liabilities.</w:t>
      </w: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65" w:right="339" w:bottom="1440" w:gutter="0" w:footer="0" w:header="0"/>
        </w:sectPr>
      </w:pPr>
    </w:p>
    <w:bookmarkStart w:id="67" w:name="page68"/>
    <w:bookmarkEnd w:id="67"/>
    <w:p>
      <w:pPr>
        <w:ind w:left="620"/>
        <w:spacing w:after="0"/>
        <w:rPr>
          <w:sz w:val="20"/>
          <w:szCs w:val="20"/>
          <w:color w:val="auto"/>
        </w:rPr>
      </w:pPr>
      <w:r>
        <w:rPr>
          <w:rFonts w:ascii="Arial" w:cs="Arial" w:eastAsia="Arial" w:hAnsi="Arial"/>
          <w:sz w:val="17"/>
          <w:szCs w:val="17"/>
          <w:color w:val="auto"/>
        </w:rPr>
        <w:t>The following table presents information on short-term and variable lease costs: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5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80" w:type="dxa"/>
            <w:vAlign w:val="bottom"/>
            <w:gridSpan w:val="3"/>
          </w:tcPr>
          <w:p>
            <w:pPr>
              <w:jc w:val="right"/>
              <w:spacing w:after="0"/>
              <w:rPr>
                <w:sz w:val="20"/>
                <w:szCs w:val="20"/>
                <w:color w:val="auto"/>
              </w:rPr>
            </w:pPr>
            <w:r>
              <w:rPr>
                <w:rFonts w:ascii="Arial" w:cs="Arial" w:eastAsia="Arial" w:hAnsi="Arial"/>
                <w:sz w:val="17"/>
                <w:szCs w:val="17"/>
                <w:b w:val="1"/>
                <w:bCs w:val="1"/>
                <w:color w:val="auto"/>
              </w:rPr>
              <w:t>Year Ended October 31,</w:t>
            </w:r>
          </w:p>
        </w:tc>
        <w:tc>
          <w:tcPr>
            <w:tcW w:w="1440" w:type="dxa"/>
            <w:vAlign w:val="bottom"/>
          </w:tcPr>
          <w:p>
            <w:pPr>
              <w:spacing w:after="0"/>
              <w:rPr>
                <w:sz w:val="19"/>
                <w:szCs w:val="19"/>
                <w:color w:val="auto"/>
              </w:rPr>
            </w:pPr>
          </w:p>
        </w:tc>
      </w:tr>
      <w:tr>
        <w:trPr>
          <w:trHeight w:val="174"/>
        </w:trPr>
        <w:tc>
          <w:tcPr>
            <w:tcW w:w="6220" w:type="dxa"/>
            <w:vAlign w:val="bottom"/>
            <w:gridSpan w:val="3"/>
          </w:tcPr>
          <w:p>
            <w:pPr>
              <w:ind w:left="20"/>
              <w:spacing w:after="0" w:line="153" w:lineRule="exact"/>
              <w:rPr>
                <w:sz w:val="20"/>
                <w:szCs w:val="20"/>
                <w:color w:val="auto"/>
              </w:rPr>
            </w:pPr>
            <w:r>
              <w:rPr>
                <w:rFonts w:ascii="Times New Roman" w:cs="Times New Roman" w:eastAsia="Times New Roman" w:hAnsi="Times New Roman"/>
                <w:sz w:val="14"/>
                <w:szCs w:val="14"/>
                <w:i w:val="1"/>
                <w:iCs w:val="1"/>
                <w:color w:val="auto"/>
              </w:rPr>
              <w:t>(in millions)</w:t>
            </w:r>
          </w:p>
        </w:tc>
        <w:tc>
          <w:tcPr>
            <w:tcW w:w="560" w:type="dxa"/>
            <w:vAlign w:val="bottom"/>
          </w:tcPr>
          <w:p>
            <w:pPr>
              <w:spacing w:after="0"/>
              <w:rPr>
                <w:sz w:val="15"/>
                <w:szCs w:val="15"/>
                <w:color w:val="auto"/>
              </w:rPr>
            </w:pPr>
          </w:p>
        </w:tc>
        <w:tc>
          <w:tcPr>
            <w:tcW w:w="1840" w:type="dxa"/>
            <w:vAlign w:val="bottom"/>
          </w:tcPr>
          <w:p>
            <w:pPr>
              <w:jc w:val="right"/>
              <w:ind w:right="914"/>
              <w:spacing w:after="0" w:line="154" w:lineRule="exact"/>
              <w:rPr>
                <w:sz w:val="20"/>
                <w:szCs w:val="20"/>
                <w:color w:val="auto"/>
              </w:rPr>
            </w:pPr>
            <w:r>
              <w:rPr>
                <w:rFonts w:ascii="Arial" w:cs="Arial" w:eastAsia="Arial" w:hAnsi="Arial"/>
                <w:sz w:val="17"/>
                <w:szCs w:val="17"/>
                <w:b w:val="1"/>
                <w:bCs w:val="1"/>
                <w:color w:val="auto"/>
              </w:rPr>
              <w:t>2025</w:t>
            </w: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40" w:type="dxa"/>
            <w:vAlign w:val="bottom"/>
          </w:tcPr>
          <w:p>
            <w:pPr>
              <w:jc w:val="right"/>
              <w:ind w:right="934"/>
              <w:spacing w:after="0" w:line="154" w:lineRule="exact"/>
              <w:rPr>
                <w:sz w:val="20"/>
                <w:szCs w:val="20"/>
                <w:color w:val="auto"/>
              </w:rPr>
            </w:pPr>
            <w:r>
              <w:rPr>
                <w:rFonts w:ascii="Arial" w:cs="Arial" w:eastAsia="Arial" w:hAnsi="Arial"/>
                <w:sz w:val="17"/>
                <w:szCs w:val="17"/>
                <w:b w:val="1"/>
                <w:bCs w:val="1"/>
                <w:color w:val="auto"/>
              </w:rPr>
              <w:t>2024</w:t>
            </w:r>
          </w:p>
        </w:tc>
      </w:tr>
      <w:tr>
        <w:trPr>
          <w:trHeight w:val="32"/>
        </w:trPr>
        <w:tc>
          <w:tcPr>
            <w:tcW w:w="20" w:type="dxa"/>
            <w:vAlign w:val="bottom"/>
            <w:tcBorders>
              <w:bottom w:val="single" w:sz="8" w:color="DCE2EF"/>
            </w:tcBorders>
          </w:tcPr>
          <w:p>
            <w:pPr>
              <w:spacing w:after="0"/>
              <w:rPr>
                <w:sz w:val="2"/>
                <w:szCs w:val="2"/>
                <w:color w:val="auto"/>
              </w:rPr>
            </w:pPr>
          </w:p>
        </w:tc>
        <w:tc>
          <w:tcPr>
            <w:tcW w:w="680" w:type="dxa"/>
            <w:vAlign w:val="bottom"/>
            <w:tcBorders>
              <w:top w:val="single" w:sz="8" w:color="auto"/>
              <w:bottom w:val="single" w:sz="8" w:color="DCE2EF"/>
            </w:tcBorders>
          </w:tcPr>
          <w:p>
            <w:pPr>
              <w:spacing w:after="0"/>
              <w:rPr>
                <w:sz w:val="2"/>
                <w:szCs w:val="2"/>
                <w:color w:val="auto"/>
              </w:rPr>
            </w:pPr>
          </w:p>
        </w:tc>
        <w:tc>
          <w:tcPr>
            <w:tcW w:w="5520" w:type="dxa"/>
            <w:vAlign w:val="bottom"/>
            <w:tcBorders>
              <w:bottom w:val="single" w:sz="8" w:color="DCE2E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80" w:type="dxa"/>
            <w:vAlign w:val="bottom"/>
            <w:tcBorders>
              <w:bottom w:val="single" w:sz="8" w:color="DCE2E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12"/>
        </w:trPr>
        <w:tc>
          <w:tcPr>
            <w:tcW w:w="6220" w:type="dxa"/>
            <w:vAlign w:val="bottom"/>
            <w:gridSpan w:val="3"/>
            <w:shd w:val="clear" w:color="auto" w:fill="DCE2EF"/>
          </w:tcPr>
          <w:p>
            <w:pPr>
              <w:ind w:left="20"/>
              <w:spacing w:after="0"/>
              <w:rPr>
                <w:sz w:val="20"/>
                <w:szCs w:val="20"/>
                <w:color w:val="auto"/>
              </w:rPr>
            </w:pPr>
            <w:r>
              <w:rPr>
                <w:rFonts w:ascii="Arial" w:cs="Arial" w:eastAsia="Arial" w:hAnsi="Arial"/>
                <w:sz w:val="17"/>
                <w:szCs w:val="17"/>
                <w:color w:val="auto"/>
              </w:rPr>
              <w:t>Short-term lease costs</w:t>
            </w:r>
          </w:p>
        </w:tc>
        <w:tc>
          <w:tcPr>
            <w:tcW w:w="560" w:type="dxa"/>
            <w:vAlign w:val="bottom"/>
            <w:shd w:val="clear" w:color="auto" w:fill="DCE2EF"/>
          </w:tcPr>
          <w:p>
            <w:pPr>
              <w:jc w:val="right"/>
              <w:ind w:right="354"/>
              <w:spacing w:after="0"/>
              <w:rPr>
                <w:sz w:val="20"/>
                <w:szCs w:val="20"/>
                <w:color w:val="auto"/>
              </w:rPr>
            </w:pPr>
            <w:r>
              <w:rPr>
                <w:rFonts w:ascii="Arial" w:cs="Arial" w:eastAsia="Arial" w:hAnsi="Arial"/>
                <w:sz w:val="17"/>
                <w:szCs w:val="17"/>
                <w:color w:val="auto"/>
              </w:rPr>
              <w:t>$</w:t>
            </w:r>
          </w:p>
        </w:tc>
        <w:tc>
          <w:tcPr>
            <w:tcW w:w="1840" w:type="dxa"/>
            <w:vAlign w:val="bottom"/>
            <w:shd w:val="clear" w:color="auto" w:fill="DCE2EF"/>
          </w:tcPr>
          <w:p>
            <w:pPr>
              <w:jc w:val="right"/>
              <w:spacing w:after="0"/>
              <w:rPr>
                <w:sz w:val="20"/>
                <w:szCs w:val="20"/>
                <w:color w:val="auto"/>
              </w:rPr>
            </w:pPr>
            <w:r>
              <w:rPr>
                <w:rFonts w:ascii="Arial" w:cs="Arial" w:eastAsia="Arial" w:hAnsi="Arial"/>
                <w:sz w:val="17"/>
                <w:szCs w:val="17"/>
                <w:color w:val="auto"/>
              </w:rPr>
              <w:t>73.2</w:t>
            </w:r>
          </w:p>
        </w:tc>
        <w:tc>
          <w:tcPr>
            <w:tcW w:w="80" w:type="dxa"/>
            <w:vAlign w:val="bottom"/>
            <w:shd w:val="clear" w:color="auto" w:fill="DCE2EF"/>
          </w:tcPr>
          <w:p>
            <w:pPr>
              <w:spacing w:after="0"/>
              <w:rPr>
                <w:sz w:val="18"/>
                <w:szCs w:val="18"/>
                <w:color w:val="auto"/>
              </w:rPr>
            </w:pPr>
          </w:p>
        </w:tc>
        <w:tc>
          <w:tcPr>
            <w:tcW w:w="960" w:type="dxa"/>
            <w:vAlign w:val="bottom"/>
            <w:shd w:val="clear" w:color="auto" w:fill="DCE2EF"/>
          </w:tcPr>
          <w:p>
            <w:pPr>
              <w:jc w:val="right"/>
              <w:ind w:right="754"/>
              <w:spacing w:after="0"/>
              <w:rPr>
                <w:sz w:val="20"/>
                <w:szCs w:val="20"/>
                <w:color w:val="auto"/>
              </w:rPr>
            </w:pPr>
            <w:r>
              <w:rPr>
                <w:rFonts w:ascii="Arial" w:cs="Arial" w:eastAsia="Arial" w:hAnsi="Arial"/>
                <w:sz w:val="17"/>
                <w:szCs w:val="17"/>
                <w:color w:val="auto"/>
              </w:rPr>
              <w:t>$</w:t>
            </w:r>
          </w:p>
        </w:tc>
        <w:tc>
          <w:tcPr>
            <w:tcW w:w="1440" w:type="dxa"/>
            <w:vAlign w:val="bottom"/>
            <w:shd w:val="clear" w:color="auto" w:fill="DCE2EF"/>
          </w:tcPr>
          <w:p>
            <w:pPr>
              <w:jc w:val="right"/>
              <w:spacing w:after="0"/>
              <w:rPr>
                <w:sz w:val="20"/>
                <w:szCs w:val="20"/>
                <w:color w:val="auto"/>
              </w:rPr>
            </w:pPr>
            <w:r>
              <w:rPr>
                <w:rFonts w:ascii="Arial" w:cs="Arial" w:eastAsia="Arial" w:hAnsi="Arial"/>
                <w:sz w:val="17"/>
                <w:szCs w:val="17"/>
                <w:color w:val="auto"/>
              </w:rPr>
              <w:t>64.0</w:t>
            </w:r>
          </w:p>
        </w:tc>
      </w:tr>
      <w:tr>
        <w:trPr>
          <w:trHeight w:val="219"/>
        </w:trPr>
        <w:tc>
          <w:tcPr>
            <w:tcW w:w="6220" w:type="dxa"/>
            <w:vAlign w:val="bottom"/>
            <w:tcBorders>
              <w:bottom w:val="single" w:sz="8" w:color="DCE2EF"/>
            </w:tcBorders>
            <w:gridSpan w:val="3"/>
          </w:tcPr>
          <w:p>
            <w:pPr>
              <w:ind w:left="20"/>
              <w:spacing w:after="0"/>
              <w:rPr>
                <w:sz w:val="20"/>
                <w:szCs w:val="20"/>
                <w:color w:val="auto"/>
              </w:rPr>
            </w:pPr>
            <w:r>
              <w:rPr>
                <w:rFonts w:ascii="Arial" w:cs="Arial" w:eastAsia="Arial" w:hAnsi="Arial"/>
                <w:sz w:val="17"/>
                <w:szCs w:val="17"/>
                <w:color w:val="auto"/>
              </w:rPr>
              <w:t>Variable lease costs</w:t>
            </w:r>
          </w:p>
        </w:tc>
        <w:tc>
          <w:tcPr>
            <w:tcW w:w="56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6.8</w:t>
            </w:r>
          </w:p>
        </w:tc>
        <w:tc>
          <w:tcPr>
            <w:tcW w:w="80" w:type="dxa"/>
            <w:vAlign w:val="bottom"/>
            <w:tcBorders>
              <w:bottom w:val="single" w:sz="8" w:color="DCE2E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6.8</w:t>
            </w:r>
          </w:p>
        </w:tc>
      </w:tr>
      <w:tr>
        <w:trPr>
          <w:trHeight w:val="237"/>
        </w:trPr>
        <w:tc>
          <w:tcPr>
            <w:tcW w:w="6220" w:type="dxa"/>
            <w:vAlign w:val="bottom"/>
            <w:tcBorders>
              <w:bottom w:val="single" w:sz="8" w:color="DCE2EF"/>
            </w:tcBorders>
            <w:gridSpan w:val="3"/>
            <w:shd w:val="clear" w:color="auto" w:fill="DCE2EF"/>
          </w:tcPr>
          <w:p>
            <w:pPr>
              <w:ind w:left="20"/>
              <w:spacing w:after="0"/>
              <w:rPr>
                <w:sz w:val="20"/>
                <w:szCs w:val="20"/>
                <w:color w:val="auto"/>
              </w:rPr>
            </w:pPr>
            <w:r>
              <w:rPr>
                <w:rFonts w:ascii="Arial" w:cs="Arial" w:eastAsia="Arial" w:hAnsi="Arial"/>
                <w:sz w:val="17"/>
                <w:szCs w:val="17"/>
                <w:color w:val="auto"/>
              </w:rPr>
              <w:t>Total short-term and variable lease costs</w:t>
            </w:r>
          </w:p>
        </w:tc>
        <w:tc>
          <w:tcPr>
            <w:tcW w:w="560" w:type="dxa"/>
            <w:vAlign w:val="bottom"/>
            <w:tcBorders>
              <w:bottom w:val="single" w:sz="8" w:color="auto"/>
            </w:tcBorders>
            <w:shd w:val="clear" w:color="auto" w:fill="DCE2EF"/>
          </w:tcPr>
          <w:p>
            <w:pPr>
              <w:jc w:val="right"/>
              <w:ind w:right="354"/>
              <w:spacing w:after="0"/>
              <w:rPr>
                <w:sz w:val="20"/>
                <w:szCs w:val="20"/>
                <w:color w:val="auto"/>
              </w:rPr>
            </w:pPr>
            <w:r>
              <w:rPr>
                <w:rFonts w:ascii="Arial" w:cs="Arial" w:eastAsia="Arial" w:hAnsi="Arial"/>
                <w:sz w:val="17"/>
                <w:szCs w:val="17"/>
                <w:color w:val="auto"/>
              </w:rPr>
              <w:t>$</w:t>
            </w:r>
          </w:p>
        </w:tc>
        <w:tc>
          <w:tcPr>
            <w:tcW w:w="184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7"/>
                <w:szCs w:val="17"/>
                <w:color w:val="auto"/>
              </w:rPr>
              <w:t>80.0</w:t>
            </w:r>
          </w:p>
        </w:tc>
        <w:tc>
          <w:tcPr>
            <w:tcW w:w="80" w:type="dxa"/>
            <w:vAlign w:val="bottom"/>
            <w:tcBorders>
              <w:bottom w:val="single" w:sz="8" w:color="DCE2EF"/>
            </w:tcBorders>
            <w:shd w:val="clear" w:color="auto" w:fill="DCE2EF"/>
          </w:tcPr>
          <w:p>
            <w:pPr>
              <w:spacing w:after="0"/>
              <w:rPr>
                <w:sz w:val="20"/>
                <w:szCs w:val="20"/>
                <w:color w:val="auto"/>
              </w:rPr>
            </w:pPr>
          </w:p>
        </w:tc>
        <w:tc>
          <w:tcPr>
            <w:tcW w:w="960" w:type="dxa"/>
            <w:vAlign w:val="bottom"/>
            <w:tcBorders>
              <w:bottom w:val="single" w:sz="8" w:color="auto"/>
            </w:tcBorders>
            <w:shd w:val="clear" w:color="auto" w:fill="DCE2EF"/>
          </w:tcPr>
          <w:p>
            <w:pPr>
              <w:jc w:val="right"/>
              <w:ind w:right="754"/>
              <w:spacing w:after="0"/>
              <w:rPr>
                <w:sz w:val="20"/>
                <w:szCs w:val="20"/>
                <w:color w:val="auto"/>
              </w:rPr>
            </w:pPr>
            <w:r>
              <w:rPr>
                <w:rFonts w:ascii="Arial" w:cs="Arial" w:eastAsia="Arial" w:hAnsi="Arial"/>
                <w:sz w:val="17"/>
                <w:szCs w:val="17"/>
                <w:color w:val="auto"/>
              </w:rPr>
              <w:t>$</w:t>
            </w:r>
          </w:p>
        </w:tc>
        <w:tc>
          <w:tcPr>
            <w:tcW w:w="144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7"/>
                <w:szCs w:val="17"/>
                <w:color w:val="auto"/>
              </w:rPr>
              <w:t>70.8</w:t>
            </w:r>
          </w:p>
        </w:tc>
      </w:tr>
      <w:tr>
        <w:trPr>
          <w:trHeight w:val="20"/>
        </w:trPr>
        <w:tc>
          <w:tcPr>
            <w:tcW w:w="20" w:type="dxa"/>
            <w:vAlign w:val="bottom"/>
            <w:tcBorders>
              <w:top w:val="single" w:sz="8" w:color="DCE2EF"/>
            </w:tcBorders>
          </w:tcPr>
          <w:p>
            <w:pPr>
              <w:spacing w:after="0" w:line="20" w:lineRule="exact"/>
              <w:rPr>
                <w:sz w:val="1"/>
                <w:szCs w:val="1"/>
                <w:color w:val="auto"/>
              </w:rPr>
            </w:pPr>
          </w:p>
        </w:tc>
        <w:tc>
          <w:tcPr>
            <w:tcW w:w="680" w:type="dxa"/>
            <w:vAlign w:val="bottom"/>
            <w:tcBorders>
              <w:top w:val="single" w:sz="8" w:color="DCE2EF"/>
            </w:tcBorders>
          </w:tcPr>
          <w:p>
            <w:pPr>
              <w:spacing w:after="0" w:line="20" w:lineRule="exact"/>
              <w:rPr>
                <w:sz w:val="1"/>
                <w:szCs w:val="1"/>
                <w:color w:val="auto"/>
              </w:rPr>
            </w:pPr>
          </w:p>
        </w:tc>
        <w:tc>
          <w:tcPr>
            <w:tcW w:w="5520" w:type="dxa"/>
            <w:vAlign w:val="bottom"/>
            <w:tcBorders>
              <w:top w:val="single" w:sz="8" w:color="DCE2EF"/>
            </w:tcBorders>
          </w:tcPr>
          <w:p>
            <w:pPr>
              <w:spacing w:after="0" w:line="20" w:lineRule="exact"/>
              <w:rPr>
                <w:sz w:val="1"/>
                <w:szCs w:val="1"/>
                <w:color w:val="auto"/>
              </w:rPr>
            </w:pPr>
          </w:p>
        </w:tc>
        <w:tc>
          <w:tcPr>
            <w:tcW w:w="560" w:type="dxa"/>
            <w:vAlign w:val="bottom"/>
            <w:tcBorders>
              <w:top w:val="single" w:sz="8" w:color="DCE2EF"/>
              <w:bottom w:val="single" w:sz="8" w:color="auto"/>
            </w:tcBorders>
          </w:tcPr>
          <w:p>
            <w:pPr>
              <w:spacing w:after="0" w:line="20" w:lineRule="exact"/>
              <w:rPr>
                <w:sz w:val="1"/>
                <w:szCs w:val="1"/>
                <w:color w:val="auto"/>
              </w:rPr>
            </w:pPr>
          </w:p>
        </w:tc>
        <w:tc>
          <w:tcPr>
            <w:tcW w:w="1840" w:type="dxa"/>
            <w:vAlign w:val="bottom"/>
            <w:tcBorders>
              <w:top w:val="single" w:sz="8" w:color="DCE2EF"/>
              <w:bottom w:val="single" w:sz="8" w:color="auto"/>
            </w:tcBorders>
          </w:tcPr>
          <w:p>
            <w:pPr>
              <w:spacing w:after="0" w:line="20" w:lineRule="exact"/>
              <w:rPr>
                <w:sz w:val="1"/>
                <w:szCs w:val="1"/>
                <w:color w:val="auto"/>
              </w:rPr>
            </w:pPr>
          </w:p>
        </w:tc>
        <w:tc>
          <w:tcPr>
            <w:tcW w:w="80" w:type="dxa"/>
            <w:vAlign w:val="bottom"/>
            <w:tcBorders>
              <w:top w:val="single" w:sz="8" w:color="DCE2EF"/>
            </w:tcBorders>
          </w:tcPr>
          <w:p>
            <w:pPr>
              <w:spacing w:after="0" w:line="20" w:lineRule="exact"/>
              <w:rPr>
                <w:sz w:val="1"/>
                <w:szCs w:val="1"/>
                <w:color w:val="auto"/>
              </w:rPr>
            </w:pPr>
          </w:p>
        </w:tc>
        <w:tc>
          <w:tcPr>
            <w:tcW w:w="960" w:type="dxa"/>
            <w:vAlign w:val="bottom"/>
            <w:tcBorders>
              <w:top w:val="single" w:sz="8" w:color="DCE2EF"/>
              <w:bottom w:val="single" w:sz="8" w:color="auto"/>
            </w:tcBorders>
          </w:tcPr>
          <w:p>
            <w:pPr>
              <w:spacing w:after="0" w:line="20" w:lineRule="exact"/>
              <w:rPr>
                <w:sz w:val="1"/>
                <w:szCs w:val="1"/>
                <w:color w:val="auto"/>
              </w:rPr>
            </w:pPr>
          </w:p>
        </w:tc>
        <w:tc>
          <w:tcPr>
            <w:tcW w:w="1440" w:type="dxa"/>
            <w:vAlign w:val="bottom"/>
            <w:tcBorders>
              <w:top w:val="single" w:sz="8" w:color="DCE2EF"/>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Sublease income generated during the year ended October 31, 2025, was immaterial.</w:t>
      </w:r>
    </w:p>
    <w:p>
      <w:pPr>
        <w:spacing w:after="0" w:line="217" w:lineRule="exact"/>
        <w:rPr>
          <w:sz w:val="20"/>
          <w:szCs w:val="20"/>
          <w:color w:val="auto"/>
        </w:rPr>
      </w:pPr>
    </w:p>
    <w:p>
      <w:pPr>
        <w:ind w:right="100" w:firstLine="619"/>
        <w:spacing w:after="0" w:line="290" w:lineRule="auto"/>
        <w:rPr>
          <w:sz w:val="20"/>
          <w:szCs w:val="20"/>
          <w:color w:val="auto"/>
        </w:rPr>
      </w:pPr>
      <w:r>
        <w:rPr>
          <w:rFonts w:ascii="Arial" w:cs="Arial" w:eastAsia="Arial" w:hAnsi="Arial"/>
          <w:sz w:val="17"/>
          <w:szCs w:val="17"/>
          <w:color w:val="auto"/>
        </w:rPr>
        <w:t>The amounts of future undiscounted cash flows related to the lease payments over the lease terms and the reconciliation to the present value of the lease liabilities as recorded on our Consolidated Balance Sheets as of October 31, 2025, are as follows:</w:t>
      </w:r>
    </w:p>
    <w:p>
      <w:pPr>
        <w:spacing w:after="0" w:line="110" w:lineRule="exact"/>
        <w:rPr>
          <w:sz w:val="20"/>
          <w:szCs w:val="20"/>
          <w:color w:val="auto"/>
        </w:rPr>
      </w:pPr>
    </w:p>
    <w:tbl>
      <w:tblPr>
        <w:tblLayout w:type="fixed"/>
        <w:tblInd w:w="62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1880" w:type="dxa"/>
            <w:vAlign w:val="bottom"/>
          </w:tcPr>
          <w:p>
            <w:pPr>
              <w:jc w:val="right"/>
              <w:ind w:right="214"/>
              <w:spacing w:after="0"/>
              <w:rPr>
                <w:sz w:val="20"/>
                <w:szCs w:val="20"/>
                <w:color w:val="auto"/>
              </w:rPr>
            </w:pPr>
            <w:r>
              <w:rPr>
                <w:rFonts w:ascii="Arial" w:cs="Arial" w:eastAsia="Arial" w:hAnsi="Arial"/>
                <w:sz w:val="17"/>
                <w:szCs w:val="17"/>
                <w:b w:val="1"/>
                <w:bCs w:val="1"/>
                <w:color w:val="auto"/>
              </w:rPr>
              <w:t>Operating</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20" w:type="dxa"/>
            <w:vAlign w:val="bottom"/>
          </w:tcPr>
          <w:p>
            <w:pPr>
              <w:jc w:val="right"/>
              <w:ind w:right="334"/>
              <w:spacing w:after="0"/>
              <w:rPr>
                <w:sz w:val="20"/>
                <w:szCs w:val="20"/>
                <w:color w:val="auto"/>
              </w:rPr>
            </w:pPr>
            <w:r>
              <w:rPr>
                <w:rFonts w:ascii="Arial" w:cs="Arial" w:eastAsia="Arial" w:hAnsi="Arial"/>
                <w:sz w:val="17"/>
                <w:szCs w:val="17"/>
                <w:b w:val="1"/>
                <w:bCs w:val="1"/>
                <w:color w:val="auto"/>
              </w:rPr>
              <w:t>Finance</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80" w:type="dxa"/>
            <w:vAlign w:val="bottom"/>
            <w:vMerge w:val="restart"/>
          </w:tcPr>
          <w:p>
            <w:pPr>
              <w:jc w:val="right"/>
              <w:ind w:right="394"/>
              <w:spacing w:after="0"/>
              <w:rPr>
                <w:sz w:val="20"/>
                <w:szCs w:val="20"/>
                <w:color w:val="auto"/>
              </w:rPr>
            </w:pPr>
            <w:r>
              <w:rPr>
                <w:rFonts w:ascii="Arial" w:cs="Arial" w:eastAsia="Arial" w:hAnsi="Arial"/>
                <w:sz w:val="17"/>
                <w:szCs w:val="17"/>
                <w:b w:val="1"/>
                <w:bCs w:val="1"/>
                <w:color w:val="auto"/>
              </w:rPr>
              <w:t>Total</w:t>
            </w:r>
          </w:p>
        </w:tc>
        <w:tc>
          <w:tcPr>
            <w:tcW w:w="0" w:type="dxa"/>
            <w:vAlign w:val="bottom"/>
          </w:tcPr>
          <w:p>
            <w:pPr>
              <w:spacing w:after="0"/>
              <w:rPr>
                <w:sz w:val="1"/>
                <w:szCs w:val="1"/>
                <w:color w:val="auto"/>
              </w:rPr>
            </w:pPr>
          </w:p>
        </w:tc>
      </w:tr>
      <w:tr>
        <w:trPr>
          <w:trHeight w:val="180"/>
        </w:trPr>
        <w:tc>
          <w:tcPr>
            <w:tcW w:w="3840" w:type="dxa"/>
            <w:vAlign w:val="bottom"/>
            <w:gridSpan w:val="3"/>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880" w:type="dxa"/>
            <w:vAlign w:val="bottom"/>
          </w:tcPr>
          <w:p>
            <w:pPr>
              <w:jc w:val="right"/>
              <w:spacing w:after="0" w:line="161" w:lineRule="exact"/>
              <w:rPr>
                <w:sz w:val="20"/>
                <w:szCs w:val="20"/>
                <w:color w:val="auto"/>
              </w:rPr>
            </w:pPr>
            <w:r>
              <w:rPr>
                <w:rFonts w:ascii="Arial" w:cs="Arial" w:eastAsia="Arial" w:hAnsi="Arial"/>
                <w:sz w:val="17"/>
                <w:szCs w:val="17"/>
                <w:b w:val="1"/>
                <w:bCs w:val="1"/>
                <w:color w:val="auto"/>
              </w:rPr>
              <w:t>Lease Liabilities</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20" w:type="dxa"/>
            <w:vAlign w:val="bottom"/>
          </w:tcPr>
          <w:p>
            <w:pPr>
              <w:jc w:val="right"/>
              <w:spacing w:after="0" w:line="161" w:lineRule="exact"/>
              <w:rPr>
                <w:sz w:val="20"/>
                <w:szCs w:val="20"/>
                <w:color w:val="auto"/>
              </w:rPr>
            </w:pPr>
            <w:r>
              <w:rPr>
                <w:rFonts w:ascii="Arial" w:cs="Arial" w:eastAsia="Arial" w:hAnsi="Arial"/>
                <w:sz w:val="17"/>
                <w:szCs w:val="17"/>
                <w:b w:val="1"/>
                <w:bCs w:val="1"/>
                <w:color w:val="auto"/>
              </w:rPr>
              <w:t>Lease Liabilities</w:t>
            </w: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2"/>
        </w:trPr>
        <w:tc>
          <w:tcPr>
            <w:tcW w:w="20" w:type="dxa"/>
            <w:vAlign w:val="bottom"/>
            <w:tcBorders>
              <w:bottom w:val="single" w:sz="8" w:color="DCE2EF"/>
            </w:tcBorders>
          </w:tcPr>
          <w:p>
            <w:pPr>
              <w:spacing w:after="0"/>
              <w:rPr>
                <w:sz w:val="2"/>
                <w:szCs w:val="2"/>
                <w:color w:val="auto"/>
              </w:rPr>
            </w:pPr>
          </w:p>
        </w:tc>
        <w:tc>
          <w:tcPr>
            <w:tcW w:w="680" w:type="dxa"/>
            <w:vAlign w:val="bottom"/>
            <w:tcBorders>
              <w:top w:val="single" w:sz="8" w:color="auto"/>
              <w:bottom w:val="single" w:sz="8" w:color="DCE2EF"/>
            </w:tcBorders>
          </w:tcPr>
          <w:p>
            <w:pPr>
              <w:spacing w:after="0"/>
              <w:rPr>
                <w:sz w:val="2"/>
                <w:szCs w:val="2"/>
                <w:color w:val="auto"/>
              </w:rPr>
            </w:pPr>
          </w:p>
        </w:tc>
        <w:tc>
          <w:tcPr>
            <w:tcW w:w="3140" w:type="dxa"/>
            <w:vAlign w:val="bottom"/>
            <w:tcBorders>
              <w:bottom w:val="single" w:sz="8" w:color="DCE2EF"/>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3840" w:type="dxa"/>
            <w:vAlign w:val="bottom"/>
            <w:gridSpan w:val="3"/>
            <w:shd w:val="clear" w:color="auto" w:fill="DCE2EF"/>
          </w:tcPr>
          <w:p>
            <w:pPr>
              <w:ind w:left="20"/>
              <w:spacing w:after="0"/>
              <w:rPr>
                <w:sz w:val="20"/>
                <w:szCs w:val="20"/>
                <w:color w:val="auto"/>
              </w:rPr>
            </w:pPr>
            <w:r>
              <w:rPr>
                <w:rFonts w:ascii="Arial" w:cs="Arial" w:eastAsia="Arial" w:hAnsi="Arial"/>
                <w:sz w:val="17"/>
                <w:szCs w:val="17"/>
                <w:color w:val="auto"/>
              </w:rPr>
              <w:t>Fiscal 2026</w:t>
            </w:r>
          </w:p>
        </w:tc>
        <w:tc>
          <w:tcPr>
            <w:tcW w:w="1880" w:type="dxa"/>
            <w:vAlign w:val="bottom"/>
            <w:shd w:val="clear" w:color="auto" w:fill="DCE2EF"/>
          </w:tcPr>
          <w:p>
            <w:pPr>
              <w:jc w:val="right"/>
              <w:ind w:right="1694"/>
              <w:spacing w:after="0"/>
              <w:rPr>
                <w:sz w:val="20"/>
                <w:szCs w:val="20"/>
                <w:color w:val="auto"/>
              </w:rPr>
            </w:pPr>
            <w:r>
              <w:rPr>
                <w:rFonts w:ascii="Arial" w:cs="Arial" w:eastAsia="Arial" w:hAnsi="Arial"/>
                <w:sz w:val="17"/>
                <w:szCs w:val="17"/>
                <w:color w:val="auto"/>
                <w:w w:val="84"/>
              </w:rPr>
              <w:t>$</w:t>
            </w:r>
          </w:p>
        </w:tc>
        <w:tc>
          <w:tcPr>
            <w:tcW w:w="520" w:type="dxa"/>
            <w:vAlign w:val="bottom"/>
            <w:shd w:val="clear" w:color="auto" w:fill="DCE2EF"/>
          </w:tcPr>
          <w:p>
            <w:pPr>
              <w:jc w:val="right"/>
              <w:spacing w:after="0"/>
              <w:rPr>
                <w:sz w:val="20"/>
                <w:szCs w:val="20"/>
                <w:color w:val="auto"/>
              </w:rPr>
            </w:pPr>
            <w:r>
              <w:rPr>
                <w:rFonts w:ascii="Arial" w:cs="Arial" w:eastAsia="Arial" w:hAnsi="Arial"/>
                <w:sz w:val="17"/>
                <w:szCs w:val="17"/>
                <w:color w:val="auto"/>
              </w:rPr>
              <w:t>33.4</w:t>
            </w:r>
          </w:p>
        </w:tc>
        <w:tc>
          <w:tcPr>
            <w:tcW w:w="100" w:type="dxa"/>
            <w:vAlign w:val="bottom"/>
            <w:shd w:val="clear" w:color="auto" w:fill="DCE2EF"/>
          </w:tcPr>
          <w:p>
            <w:pPr>
              <w:spacing w:after="0"/>
              <w:rPr>
                <w:sz w:val="18"/>
                <w:szCs w:val="18"/>
                <w:color w:val="auto"/>
              </w:rPr>
            </w:pPr>
          </w:p>
        </w:tc>
        <w:tc>
          <w:tcPr>
            <w:tcW w:w="1920" w:type="dxa"/>
            <w:vAlign w:val="bottom"/>
            <w:shd w:val="clear" w:color="auto" w:fill="DCE2EF"/>
          </w:tcPr>
          <w:p>
            <w:pPr>
              <w:jc w:val="right"/>
              <w:ind w:right="1734"/>
              <w:spacing w:after="0"/>
              <w:rPr>
                <w:sz w:val="20"/>
                <w:szCs w:val="20"/>
                <w:color w:val="auto"/>
              </w:rPr>
            </w:pPr>
            <w:r>
              <w:rPr>
                <w:rFonts w:ascii="Arial" w:cs="Arial" w:eastAsia="Arial" w:hAnsi="Arial"/>
                <w:sz w:val="17"/>
                <w:szCs w:val="17"/>
                <w:color w:val="auto"/>
                <w:w w:val="84"/>
              </w:rPr>
              <w:t>$</w:t>
            </w:r>
          </w:p>
        </w:tc>
        <w:tc>
          <w:tcPr>
            <w:tcW w:w="480" w:type="dxa"/>
            <w:vAlign w:val="bottom"/>
            <w:shd w:val="clear" w:color="auto" w:fill="DCE2EF"/>
          </w:tcPr>
          <w:p>
            <w:pPr>
              <w:jc w:val="right"/>
              <w:spacing w:after="0"/>
              <w:rPr>
                <w:sz w:val="20"/>
                <w:szCs w:val="20"/>
                <w:color w:val="auto"/>
              </w:rPr>
            </w:pPr>
            <w:r>
              <w:rPr>
                <w:rFonts w:ascii="Arial" w:cs="Arial" w:eastAsia="Arial" w:hAnsi="Arial"/>
                <w:sz w:val="17"/>
                <w:szCs w:val="17"/>
                <w:color w:val="auto"/>
              </w:rPr>
              <w:t>4.7</w:t>
            </w:r>
          </w:p>
        </w:tc>
        <w:tc>
          <w:tcPr>
            <w:tcW w:w="100" w:type="dxa"/>
            <w:vAlign w:val="bottom"/>
            <w:shd w:val="clear" w:color="auto" w:fill="DCE2EF"/>
          </w:tcPr>
          <w:p>
            <w:pPr>
              <w:spacing w:after="0"/>
              <w:rPr>
                <w:sz w:val="18"/>
                <w:szCs w:val="18"/>
                <w:color w:val="auto"/>
              </w:rPr>
            </w:pPr>
          </w:p>
        </w:tc>
        <w:tc>
          <w:tcPr>
            <w:tcW w:w="1880" w:type="dxa"/>
            <w:vAlign w:val="bottom"/>
            <w:shd w:val="clear" w:color="auto" w:fill="DCE2EF"/>
          </w:tcPr>
          <w:p>
            <w:pPr>
              <w:jc w:val="right"/>
              <w:ind w:right="1694"/>
              <w:spacing w:after="0"/>
              <w:rPr>
                <w:sz w:val="20"/>
                <w:szCs w:val="20"/>
                <w:color w:val="auto"/>
              </w:rPr>
            </w:pPr>
            <w:r>
              <w:rPr>
                <w:rFonts w:ascii="Arial" w:cs="Arial" w:eastAsia="Arial" w:hAnsi="Arial"/>
                <w:sz w:val="17"/>
                <w:szCs w:val="17"/>
                <w:color w:val="auto"/>
                <w:w w:val="84"/>
              </w:rPr>
              <w:t>$</w:t>
            </w:r>
          </w:p>
        </w:tc>
        <w:tc>
          <w:tcPr>
            <w:tcW w:w="0" w:type="dxa"/>
            <w:vAlign w:val="bottom"/>
          </w:tcPr>
          <w:p>
            <w:pPr>
              <w:spacing w:after="0"/>
              <w:rPr>
                <w:sz w:val="1"/>
                <w:szCs w:val="1"/>
                <w:color w:val="auto"/>
              </w:rPr>
            </w:pPr>
          </w:p>
        </w:tc>
      </w:tr>
      <w:tr>
        <w:trPr>
          <w:trHeight w:val="219"/>
        </w:trPr>
        <w:tc>
          <w:tcPr>
            <w:tcW w:w="3840" w:type="dxa"/>
            <w:vAlign w:val="bottom"/>
            <w:gridSpan w:val="3"/>
          </w:tcPr>
          <w:p>
            <w:pPr>
              <w:ind w:left="20"/>
              <w:spacing w:after="0"/>
              <w:rPr>
                <w:sz w:val="20"/>
                <w:szCs w:val="20"/>
                <w:color w:val="auto"/>
              </w:rPr>
            </w:pPr>
            <w:r>
              <w:rPr>
                <w:rFonts w:ascii="Arial" w:cs="Arial" w:eastAsia="Arial" w:hAnsi="Arial"/>
                <w:sz w:val="17"/>
                <w:szCs w:val="17"/>
                <w:color w:val="auto"/>
              </w:rPr>
              <w:t>Fiscal 2027</w:t>
            </w:r>
          </w:p>
        </w:tc>
        <w:tc>
          <w:tcPr>
            <w:tcW w:w="18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26.7</w:t>
            </w:r>
          </w:p>
        </w:tc>
        <w:tc>
          <w:tcPr>
            <w:tcW w:w="10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3.1</w:t>
            </w:r>
          </w:p>
        </w:tc>
        <w:tc>
          <w:tcPr>
            <w:tcW w:w="1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840" w:type="dxa"/>
            <w:vAlign w:val="bottom"/>
            <w:gridSpan w:val="3"/>
            <w:shd w:val="clear" w:color="auto" w:fill="DCE2EF"/>
          </w:tcPr>
          <w:p>
            <w:pPr>
              <w:ind w:left="20"/>
              <w:spacing w:after="0"/>
              <w:rPr>
                <w:sz w:val="20"/>
                <w:szCs w:val="20"/>
                <w:color w:val="auto"/>
              </w:rPr>
            </w:pPr>
            <w:r>
              <w:rPr>
                <w:rFonts w:ascii="Arial" w:cs="Arial" w:eastAsia="Arial" w:hAnsi="Arial"/>
                <w:sz w:val="17"/>
                <w:szCs w:val="17"/>
                <w:color w:val="auto"/>
              </w:rPr>
              <w:t>Fiscal 2028</w:t>
            </w:r>
          </w:p>
        </w:tc>
        <w:tc>
          <w:tcPr>
            <w:tcW w:w="1880" w:type="dxa"/>
            <w:vAlign w:val="bottom"/>
            <w:shd w:val="clear" w:color="auto" w:fill="DCE2EF"/>
          </w:tcPr>
          <w:p>
            <w:pPr>
              <w:spacing w:after="0"/>
              <w:rPr>
                <w:sz w:val="19"/>
                <w:szCs w:val="19"/>
                <w:color w:val="auto"/>
              </w:rPr>
            </w:pPr>
          </w:p>
        </w:tc>
        <w:tc>
          <w:tcPr>
            <w:tcW w:w="520" w:type="dxa"/>
            <w:vAlign w:val="bottom"/>
            <w:shd w:val="clear" w:color="auto" w:fill="DCE2EF"/>
          </w:tcPr>
          <w:p>
            <w:pPr>
              <w:jc w:val="right"/>
              <w:spacing w:after="0"/>
              <w:rPr>
                <w:sz w:val="20"/>
                <w:szCs w:val="20"/>
                <w:color w:val="auto"/>
              </w:rPr>
            </w:pPr>
            <w:r>
              <w:rPr>
                <w:rFonts w:ascii="Arial" w:cs="Arial" w:eastAsia="Arial" w:hAnsi="Arial"/>
                <w:sz w:val="17"/>
                <w:szCs w:val="17"/>
                <w:color w:val="auto"/>
              </w:rPr>
              <w:t>20.2</w:t>
            </w:r>
          </w:p>
        </w:tc>
        <w:tc>
          <w:tcPr>
            <w:tcW w:w="100" w:type="dxa"/>
            <w:vAlign w:val="bottom"/>
            <w:shd w:val="clear" w:color="auto" w:fill="DCE2EF"/>
          </w:tcPr>
          <w:p>
            <w:pPr>
              <w:spacing w:after="0"/>
              <w:rPr>
                <w:sz w:val="19"/>
                <w:szCs w:val="19"/>
                <w:color w:val="auto"/>
              </w:rPr>
            </w:pPr>
          </w:p>
        </w:tc>
        <w:tc>
          <w:tcPr>
            <w:tcW w:w="1920" w:type="dxa"/>
            <w:vAlign w:val="bottom"/>
            <w:shd w:val="clear" w:color="auto" w:fill="DCE2EF"/>
          </w:tcPr>
          <w:p>
            <w:pPr>
              <w:spacing w:after="0"/>
              <w:rPr>
                <w:sz w:val="19"/>
                <w:szCs w:val="19"/>
                <w:color w:val="auto"/>
              </w:rPr>
            </w:pPr>
          </w:p>
        </w:tc>
        <w:tc>
          <w:tcPr>
            <w:tcW w:w="480" w:type="dxa"/>
            <w:vAlign w:val="bottom"/>
            <w:shd w:val="clear" w:color="auto" w:fill="DCE2EF"/>
          </w:tcPr>
          <w:p>
            <w:pPr>
              <w:jc w:val="right"/>
              <w:spacing w:after="0"/>
              <w:rPr>
                <w:sz w:val="20"/>
                <w:szCs w:val="20"/>
                <w:color w:val="auto"/>
              </w:rPr>
            </w:pPr>
            <w:r>
              <w:rPr>
                <w:rFonts w:ascii="Arial" w:cs="Arial" w:eastAsia="Arial" w:hAnsi="Arial"/>
                <w:sz w:val="17"/>
                <w:szCs w:val="17"/>
                <w:color w:val="auto"/>
              </w:rPr>
              <w:t>3.1</w:t>
            </w:r>
          </w:p>
        </w:tc>
        <w:tc>
          <w:tcPr>
            <w:tcW w:w="100" w:type="dxa"/>
            <w:vAlign w:val="bottom"/>
            <w:shd w:val="clear" w:color="auto" w:fill="DCE2EF"/>
          </w:tcPr>
          <w:p>
            <w:pPr>
              <w:spacing w:after="0"/>
              <w:rPr>
                <w:sz w:val="19"/>
                <w:szCs w:val="19"/>
                <w:color w:val="auto"/>
              </w:rPr>
            </w:pPr>
          </w:p>
        </w:tc>
        <w:tc>
          <w:tcPr>
            <w:tcW w:w="1880" w:type="dxa"/>
            <w:vAlign w:val="bottom"/>
            <w:shd w:val="clear" w:color="auto" w:fill="DCE2E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840" w:type="dxa"/>
            <w:vAlign w:val="bottom"/>
            <w:gridSpan w:val="3"/>
          </w:tcPr>
          <w:p>
            <w:pPr>
              <w:ind w:left="20"/>
              <w:spacing w:after="0"/>
              <w:rPr>
                <w:sz w:val="20"/>
                <w:szCs w:val="20"/>
                <w:color w:val="auto"/>
              </w:rPr>
            </w:pPr>
            <w:r>
              <w:rPr>
                <w:rFonts w:ascii="Arial" w:cs="Arial" w:eastAsia="Arial" w:hAnsi="Arial"/>
                <w:sz w:val="17"/>
                <w:szCs w:val="17"/>
                <w:color w:val="auto"/>
              </w:rPr>
              <w:t>Fiscal 2029</w:t>
            </w:r>
          </w:p>
        </w:tc>
        <w:tc>
          <w:tcPr>
            <w:tcW w:w="18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15.3</w:t>
            </w:r>
          </w:p>
        </w:tc>
        <w:tc>
          <w:tcPr>
            <w:tcW w:w="10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3.1</w:t>
            </w:r>
          </w:p>
        </w:tc>
        <w:tc>
          <w:tcPr>
            <w:tcW w:w="1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840" w:type="dxa"/>
            <w:vAlign w:val="bottom"/>
            <w:gridSpan w:val="3"/>
            <w:shd w:val="clear" w:color="auto" w:fill="DCE2EF"/>
          </w:tcPr>
          <w:p>
            <w:pPr>
              <w:ind w:left="20"/>
              <w:spacing w:after="0"/>
              <w:rPr>
                <w:sz w:val="20"/>
                <w:szCs w:val="20"/>
                <w:color w:val="auto"/>
              </w:rPr>
            </w:pPr>
            <w:r>
              <w:rPr>
                <w:rFonts w:ascii="Arial" w:cs="Arial" w:eastAsia="Arial" w:hAnsi="Arial"/>
                <w:sz w:val="17"/>
                <w:szCs w:val="17"/>
                <w:color w:val="auto"/>
              </w:rPr>
              <w:t>Fiscal 2030</w:t>
            </w:r>
          </w:p>
        </w:tc>
        <w:tc>
          <w:tcPr>
            <w:tcW w:w="1880" w:type="dxa"/>
            <w:vAlign w:val="bottom"/>
            <w:shd w:val="clear" w:color="auto" w:fill="DCE2EF"/>
          </w:tcPr>
          <w:p>
            <w:pPr>
              <w:spacing w:after="0"/>
              <w:rPr>
                <w:sz w:val="19"/>
                <w:szCs w:val="19"/>
                <w:color w:val="auto"/>
              </w:rPr>
            </w:pPr>
          </w:p>
        </w:tc>
        <w:tc>
          <w:tcPr>
            <w:tcW w:w="520" w:type="dxa"/>
            <w:vAlign w:val="bottom"/>
            <w:shd w:val="clear" w:color="auto" w:fill="DCE2EF"/>
          </w:tcPr>
          <w:p>
            <w:pPr>
              <w:jc w:val="right"/>
              <w:spacing w:after="0"/>
              <w:rPr>
                <w:sz w:val="20"/>
                <w:szCs w:val="20"/>
                <w:color w:val="auto"/>
              </w:rPr>
            </w:pPr>
            <w:r>
              <w:rPr>
                <w:rFonts w:ascii="Arial" w:cs="Arial" w:eastAsia="Arial" w:hAnsi="Arial"/>
                <w:sz w:val="17"/>
                <w:szCs w:val="17"/>
                <w:color w:val="auto"/>
              </w:rPr>
              <w:t>10.9</w:t>
            </w:r>
          </w:p>
        </w:tc>
        <w:tc>
          <w:tcPr>
            <w:tcW w:w="100" w:type="dxa"/>
            <w:vAlign w:val="bottom"/>
            <w:shd w:val="clear" w:color="auto" w:fill="DCE2EF"/>
          </w:tcPr>
          <w:p>
            <w:pPr>
              <w:spacing w:after="0"/>
              <w:rPr>
                <w:sz w:val="19"/>
                <w:szCs w:val="19"/>
                <w:color w:val="auto"/>
              </w:rPr>
            </w:pPr>
          </w:p>
        </w:tc>
        <w:tc>
          <w:tcPr>
            <w:tcW w:w="1920" w:type="dxa"/>
            <w:vAlign w:val="bottom"/>
            <w:shd w:val="clear" w:color="auto" w:fill="DCE2EF"/>
          </w:tcPr>
          <w:p>
            <w:pPr>
              <w:spacing w:after="0"/>
              <w:rPr>
                <w:sz w:val="19"/>
                <w:szCs w:val="19"/>
                <w:color w:val="auto"/>
              </w:rPr>
            </w:pPr>
          </w:p>
        </w:tc>
        <w:tc>
          <w:tcPr>
            <w:tcW w:w="480" w:type="dxa"/>
            <w:vAlign w:val="bottom"/>
            <w:shd w:val="clear" w:color="auto" w:fill="DCE2EF"/>
          </w:tcPr>
          <w:p>
            <w:pPr>
              <w:jc w:val="right"/>
              <w:spacing w:after="0"/>
              <w:rPr>
                <w:sz w:val="20"/>
                <w:szCs w:val="20"/>
                <w:color w:val="auto"/>
              </w:rPr>
            </w:pPr>
            <w:r>
              <w:rPr>
                <w:rFonts w:ascii="Arial" w:cs="Arial" w:eastAsia="Arial" w:hAnsi="Arial"/>
                <w:sz w:val="17"/>
                <w:szCs w:val="17"/>
                <w:color w:val="auto"/>
              </w:rPr>
              <w:t>2.9</w:t>
            </w:r>
          </w:p>
        </w:tc>
        <w:tc>
          <w:tcPr>
            <w:tcW w:w="100" w:type="dxa"/>
            <w:vAlign w:val="bottom"/>
            <w:shd w:val="clear" w:color="auto" w:fill="DCE2EF"/>
          </w:tcPr>
          <w:p>
            <w:pPr>
              <w:spacing w:after="0"/>
              <w:rPr>
                <w:sz w:val="19"/>
                <w:szCs w:val="19"/>
                <w:color w:val="auto"/>
              </w:rPr>
            </w:pPr>
          </w:p>
        </w:tc>
        <w:tc>
          <w:tcPr>
            <w:tcW w:w="1880" w:type="dxa"/>
            <w:vAlign w:val="bottom"/>
            <w:shd w:val="clear" w:color="auto" w:fill="DCE2E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840" w:type="dxa"/>
            <w:vAlign w:val="bottom"/>
            <w:tcBorders>
              <w:bottom w:val="single" w:sz="8" w:color="DCE2EF"/>
            </w:tcBorders>
            <w:gridSpan w:val="3"/>
          </w:tcPr>
          <w:p>
            <w:pPr>
              <w:ind w:left="20"/>
              <w:spacing w:after="0"/>
              <w:rPr>
                <w:sz w:val="20"/>
                <w:szCs w:val="20"/>
                <w:color w:val="auto"/>
              </w:rPr>
            </w:pPr>
            <w:r>
              <w:rPr>
                <w:rFonts w:ascii="Arial" w:cs="Arial" w:eastAsia="Arial" w:hAnsi="Arial"/>
                <w:sz w:val="17"/>
                <w:szCs w:val="17"/>
                <w:color w:val="auto"/>
              </w:rPr>
              <w:t>Thereafter</w:t>
            </w:r>
          </w:p>
        </w:tc>
        <w:tc>
          <w:tcPr>
            <w:tcW w:w="18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24.6</w:t>
            </w:r>
          </w:p>
        </w:tc>
        <w:tc>
          <w:tcPr>
            <w:tcW w:w="100" w:type="dxa"/>
            <w:vAlign w:val="bottom"/>
            <w:tcBorders>
              <w:bottom w:val="single" w:sz="8" w:color="DCE2EF"/>
            </w:tcBorders>
          </w:tcPr>
          <w:p>
            <w:pPr>
              <w:spacing w:after="0"/>
              <w:rPr>
                <w:sz w:val="19"/>
                <w:szCs w:val="19"/>
                <w:color w:val="auto"/>
              </w:rPr>
            </w:pPr>
          </w:p>
        </w:tc>
        <w:tc>
          <w:tcPr>
            <w:tcW w:w="19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0.2</w:t>
            </w:r>
          </w:p>
        </w:tc>
        <w:tc>
          <w:tcPr>
            <w:tcW w:w="100" w:type="dxa"/>
            <w:vAlign w:val="bottom"/>
            <w:tcBorders>
              <w:bottom w:val="single" w:sz="8" w:color="DCE2EF"/>
            </w:tcBorders>
          </w:tcPr>
          <w:p>
            <w:pPr>
              <w:spacing w:after="0"/>
              <w:rPr>
                <w:sz w:val="19"/>
                <w:szCs w:val="19"/>
                <w:color w:val="auto"/>
              </w:rPr>
            </w:pPr>
          </w:p>
        </w:tc>
        <w:tc>
          <w:tcPr>
            <w:tcW w:w="18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3840" w:type="dxa"/>
            <w:vAlign w:val="bottom"/>
            <w:gridSpan w:val="3"/>
            <w:shd w:val="clear" w:color="auto" w:fill="DCE2EF"/>
          </w:tcPr>
          <w:p>
            <w:pPr>
              <w:ind w:left="20"/>
              <w:spacing w:after="0"/>
              <w:rPr>
                <w:sz w:val="20"/>
                <w:szCs w:val="20"/>
                <w:color w:val="auto"/>
              </w:rPr>
            </w:pPr>
            <w:r>
              <w:rPr>
                <w:rFonts w:ascii="Arial" w:cs="Arial" w:eastAsia="Arial" w:hAnsi="Arial"/>
                <w:sz w:val="17"/>
                <w:szCs w:val="17"/>
                <w:color w:val="auto"/>
              </w:rPr>
              <w:t>Total lease payments</w:t>
            </w:r>
          </w:p>
        </w:tc>
        <w:tc>
          <w:tcPr>
            <w:tcW w:w="1880" w:type="dxa"/>
            <w:vAlign w:val="bottom"/>
            <w:shd w:val="clear" w:color="auto" w:fill="DCE2EF"/>
          </w:tcPr>
          <w:p>
            <w:pPr>
              <w:spacing w:after="0"/>
              <w:rPr>
                <w:sz w:val="18"/>
                <w:szCs w:val="18"/>
                <w:color w:val="auto"/>
              </w:rPr>
            </w:pPr>
          </w:p>
        </w:tc>
        <w:tc>
          <w:tcPr>
            <w:tcW w:w="520" w:type="dxa"/>
            <w:vAlign w:val="bottom"/>
            <w:shd w:val="clear" w:color="auto" w:fill="DCE2EF"/>
          </w:tcPr>
          <w:p>
            <w:pPr>
              <w:jc w:val="right"/>
              <w:spacing w:after="0"/>
              <w:rPr>
                <w:sz w:val="20"/>
                <w:szCs w:val="20"/>
                <w:color w:val="auto"/>
              </w:rPr>
            </w:pPr>
            <w:r>
              <w:rPr>
                <w:rFonts w:ascii="Arial" w:cs="Arial" w:eastAsia="Arial" w:hAnsi="Arial"/>
                <w:sz w:val="17"/>
                <w:szCs w:val="17"/>
                <w:color w:val="auto"/>
                <w:w w:val="98"/>
              </w:rPr>
              <w:t>131.1</w:t>
            </w:r>
          </w:p>
        </w:tc>
        <w:tc>
          <w:tcPr>
            <w:tcW w:w="100" w:type="dxa"/>
            <w:vAlign w:val="bottom"/>
            <w:shd w:val="clear" w:color="auto" w:fill="DCE2EF"/>
          </w:tcPr>
          <w:p>
            <w:pPr>
              <w:spacing w:after="0"/>
              <w:rPr>
                <w:sz w:val="18"/>
                <w:szCs w:val="18"/>
                <w:color w:val="auto"/>
              </w:rPr>
            </w:pPr>
          </w:p>
        </w:tc>
        <w:tc>
          <w:tcPr>
            <w:tcW w:w="1920" w:type="dxa"/>
            <w:vAlign w:val="bottom"/>
            <w:shd w:val="clear" w:color="auto" w:fill="DCE2EF"/>
          </w:tcPr>
          <w:p>
            <w:pPr>
              <w:spacing w:after="0"/>
              <w:rPr>
                <w:sz w:val="18"/>
                <w:szCs w:val="18"/>
                <w:color w:val="auto"/>
              </w:rPr>
            </w:pPr>
          </w:p>
        </w:tc>
        <w:tc>
          <w:tcPr>
            <w:tcW w:w="480" w:type="dxa"/>
            <w:vAlign w:val="bottom"/>
            <w:shd w:val="clear" w:color="auto" w:fill="DCE2EF"/>
          </w:tcPr>
          <w:p>
            <w:pPr>
              <w:jc w:val="right"/>
              <w:spacing w:after="0"/>
              <w:rPr>
                <w:sz w:val="20"/>
                <w:szCs w:val="20"/>
                <w:color w:val="auto"/>
              </w:rPr>
            </w:pPr>
            <w:r>
              <w:rPr>
                <w:rFonts w:ascii="Arial" w:cs="Arial" w:eastAsia="Arial" w:hAnsi="Arial"/>
                <w:sz w:val="17"/>
                <w:szCs w:val="17"/>
                <w:color w:val="auto"/>
              </w:rPr>
              <w:t>17.3</w:t>
            </w:r>
          </w:p>
        </w:tc>
        <w:tc>
          <w:tcPr>
            <w:tcW w:w="100" w:type="dxa"/>
            <w:vAlign w:val="bottom"/>
            <w:shd w:val="clear" w:color="auto" w:fill="DCE2EF"/>
          </w:tcPr>
          <w:p>
            <w:pPr>
              <w:spacing w:after="0"/>
              <w:rPr>
                <w:sz w:val="18"/>
                <w:szCs w:val="18"/>
                <w:color w:val="auto"/>
              </w:rPr>
            </w:pPr>
          </w:p>
        </w:tc>
        <w:tc>
          <w:tcPr>
            <w:tcW w:w="1880" w:type="dxa"/>
            <w:vAlign w:val="bottom"/>
            <w:shd w:val="clear" w:color="auto" w:fill="DCE2E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840" w:type="dxa"/>
            <w:vAlign w:val="bottom"/>
            <w:tcBorders>
              <w:bottom w:val="single" w:sz="8" w:color="DCE2EF"/>
            </w:tcBorders>
            <w:gridSpan w:val="3"/>
          </w:tcPr>
          <w:p>
            <w:pPr>
              <w:ind w:left="20"/>
              <w:spacing w:after="0"/>
              <w:rPr>
                <w:sz w:val="20"/>
                <w:szCs w:val="20"/>
                <w:color w:val="auto"/>
              </w:rPr>
            </w:pPr>
            <w:r>
              <w:rPr>
                <w:rFonts w:ascii="Arial" w:cs="Arial" w:eastAsia="Arial" w:hAnsi="Arial"/>
                <w:sz w:val="17"/>
                <w:szCs w:val="17"/>
                <w:color w:val="auto"/>
              </w:rPr>
              <w:t>Less: imputed interest</w:t>
            </w:r>
          </w:p>
        </w:tc>
        <w:tc>
          <w:tcPr>
            <w:tcW w:w="18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19.3</w:t>
            </w:r>
          </w:p>
        </w:tc>
        <w:tc>
          <w:tcPr>
            <w:tcW w:w="100" w:type="dxa"/>
            <w:vAlign w:val="bottom"/>
            <w:tcBorders>
              <w:bottom w:val="single" w:sz="8" w:color="DCE2EF"/>
            </w:tcBorders>
          </w:tcPr>
          <w:p>
            <w:pPr>
              <w:spacing w:after="0"/>
              <w:rPr>
                <w:sz w:val="19"/>
                <w:szCs w:val="19"/>
                <w:color w:val="auto"/>
              </w:rPr>
            </w:pPr>
          </w:p>
        </w:tc>
        <w:tc>
          <w:tcPr>
            <w:tcW w:w="19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w:t>
            </w:r>
          </w:p>
        </w:tc>
        <w:tc>
          <w:tcPr>
            <w:tcW w:w="100" w:type="dxa"/>
            <w:vAlign w:val="bottom"/>
            <w:tcBorders>
              <w:bottom w:val="single" w:sz="8" w:color="DCE2EF"/>
            </w:tcBorders>
          </w:tcPr>
          <w:p>
            <w:pPr>
              <w:spacing w:after="0"/>
              <w:rPr>
                <w:sz w:val="19"/>
                <w:szCs w:val="19"/>
                <w:color w:val="auto"/>
              </w:rPr>
            </w:pPr>
          </w:p>
        </w:tc>
        <w:tc>
          <w:tcPr>
            <w:tcW w:w="18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840" w:type="dxa"/>
            <w:vAlign w:val="bottom"/>
            <w:tcBorders>
              <w:bottom w:val="single" w:sz="8" w:color="DCE2EF"/>
            </w:tcBorders>
            <w:gridSpan w:val="3"/>
            <w:shd w:val="clear" w:color="auto" w:fill="DCE2EF"/>
          </w:tcPr>
          <w:p>
            <w:pPr>
              <w:ind w:left="20"/>
              <w:spacing w:after="0"/>
              <w:rPr>
                <w:sz w:val="20"/>
                <w:szCs w:val="20"/>
                <w:color w:val="auto"/>
              </w:rPr>
            </w:pPr>
            <w:r>
              <w:rPr>
                <w:rFonts w:ascii="Arial" w:cs="Arial" w:eastAsia="Arial" w:hAnsi="Arial"/>
                <w:sz w:val="17"/>
                <w:szCs w:val="17"/>
                <w:color w:val="auto"/>
              </w:rPr>
              <w:t>Present value of lease liabilities</w:t>
            </w:r>
          </w:p>
        </w:tc>
        <w:tc>
          <w:tcPr>
            <w:tcW w:w="1880" w:type="dxa"/>
            <w:vAlign w:val="bottom"/>
            <w:tcBorders>
              <w:bottom w:val="single" w:sz="8" w:color="auto"/>
            </w:tcBorders>
            <w:shd w:val="clear" w:color="auto" w:fill="DCE2EF"/>
          </w:tcPr>
          <w:p>
            <w:pPr>
              <w:jc w:val="right"/>
              <w:ind w:right="1694"/>
              <w:spacing w:after="0"/>
              <w:rPr>
                <w:sz w:val="20"/>
                <w:szCs w:val="20"/>
                <w:color w:val="auto"/>
              </w:rPr>
            </w:pPr>
            <w:r>
              <w:rPr>
                <w:rFonts w:ascii="Arial" w:cs="Arial" w:eastAsia="Arial" w:hAnsi="Arial"/>
                <w:sz w:val="17"/>
                <w:szCs w:val="17"/>
                <w:color w:val="auto"/>
                <w:w w:val="84"/>
              </w:rPr>
              <w:t>$</w:t>
            </w:r>
          </w:p>
        </w:tc>
        <w:tc>
          <w:tcPr>
            <w:tcW w:w="52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7"/>
                <w:szCs w:val="17"/>
                <w:color w:val="auto"/>
                <w:w w:val="98"/>
              </w:rPr>
              <w:t>111.9</w:t>
            </w:r>
          </w:p>
        </w:tc>
        <w:tc>
          <w:tcPr>
            <w:tcW w:w="100" w:type="dxa"/>
            <w:vAlign w:val="bottom"/>
            <w:tcBorders>
              <w:bottom w:val="single" w:sz="8" w:color="DCE2EF"/>
            </w:tcBorders>
            <w:shd w:val="clear" w:color="auto" w:fill="DCE2EF"/>
          </w:tcPr>
          <w:p>
            <w:pPr>
              <w:spacing w:after="0"/>
              <w:rPr>
                <w:sz w:val="20"/>
                <w:szCs w:val="20"/>
                <w:color w:val="auto"/>
              </w:rPr>
            </w:pPr>
          </w:p>
        </w:tc>
        <w:tc>
          <w:tcPr>
            <w:tcW w:w="1920" w:type="dxa"/>
            <w:vAlign w:val="bottom"/>
            <w:tcBorders>
              <w:bottom w:val="single" w:sz="8" w:color="auto"/>
            </w:tcBorders>
            <w:shd w:val="clear" w:color="auto" w:fill="DCE2EF"/>
          </w:tcPr>
          <w:p>
            <w:pPr>
              <w:jc w:val="right"/>
              <w:ind w:right="1734"/>
              <w:spacing w:after="0"/>
              <w:rPr>
                <w:sz w:val="20"/>
                <w:szCs w:val="20"/>
                <w:color w:val="auto"/>
              </w:rPr>
            </w:pPr>
            <w:r>
              <w:rPr>
                <w:rFonts w:ascii="Arial" w:cs="Arial" w:eastAsia="Arial" w:hAnsi="Arial"/>
                <w:sz w:val="17"/>
                <w:szCs w:val="17"/>
                <w:color w:val="auto"/>
                <w:w w:val="84"/>
              </w:rPr>
              <w:t>$</w:t>
            </w:r>
          </w:p>
        </w:tc>
        <w:tc>
          <w:tcPr>
            <w:tcW w:w="4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7"/>
                <w:szCs w:val="17"/>
                <w:color w:val="auto"/>
              </w:rPr>
              <w:t>15.0</w:t>
            </w:r>
          </w:p>
        </w:tc>
        <w:tc>
          <w:tcPr>
            <w:tcW w:w="100" w:type="dxa"/>
            <w:vAlign w:val="bottom"/>
            <w:tcBorders>
              <w:bottom w:val="single" w:sz="8" w:color="DCE2EF"/>
            </w:tcBorders>
            <w:shd w:val="clear" w:color="auto" w:fill="DCE2EF"/>
          </w:tcPr>
          <w:p>
            <w:pPr>
              <w:spacing w:after="0"/>
              <w:rPr>
                <w:sz w:val="20"/>
                <w:szCs w:val="20"/>
                <w:color w:val="auto"/>
              </w:rPr>
            </w:pPr>
          </w:p>
        </w:tc>
        <w:tc>
          <w:tcPr>
            <w:tcW w:w="1880" w:type="dxa"/>
            <w:vAlign w:val="bottom"/>
            <w:tcBorders>
              <w:bottom w:val="single" w:sz="8" w:color="auto"/>
            </w:tcBorders>
            <w:shd w:val="clear" w:color="auto" w:fill="DCE2EF"/>
          </w:tcPr>
          <w:p>
            <w:pPr>
              <w:jc w:val="right"/>
              <w:ind w:right="1694"/>
              <w:spacing w:after="0"/>
              <w:rPr>
                <w:sz w:val="20"/>
                <w:szCs w:val="20"/>
                <w:color w:val="auto"/>
              </w:rPr>
            </w:pPr>
            <w:r>
              <w:rPr>
                <w:rFonts w:ascii="Arial" w:cs="Arial" w:eastAsia="Arial" w:hAnsi="Arial"/>
                <w:sz w:val="17"/>
                <w:szCs w:val="17"/>
                <w:color w:val="auto"/>
                <w:w w:val="84"/>
              </w:rPr>
              <w:t>$</w:t>
            </w:r>
          </w:p>
        </w:tc>
        <w:tc>
          <w:tcPr>
            <w:tcW w:w="0" w:type="dxa"/>
            <w:vAlign w:val="bottom"/>
          </w:tcPr>
          <w:p>
            <w:pPr>
              <w:spacing w:after="0"/>
              <w:rPr>
                <w:sz w:val="1"/>
                <w:szCs w:val="1"/>
                <w:color w:val="auto"/>
              </w:rPr>
            </w:pPr>
          </w:p>
        </w:tc>
      </w:tr>
      <w:tr>
        <w:trPr>
          <w:trHeight w:val="20"/>
        </w:trPr>
        <w:tc>
          <w:tcPr>
            <w:tcW w:w="20" w:type="dxa"/>
            <w:vAlign w:val="bottom"/>
            <w:tcBorders>
              <w:top w:val="single" w:sz="8" w:color="DCE2EF"/>
            </w:tcBorders>
          </w:tcPr>
          <w:p>
            <w:pPr>
              <w:spacing w:after="0" w:line="20" w:lineRule="exact"/>
              <w:rPr>
                <w:sz w:val="1"/>
                <w:szCs w:val="1"/>
                <w:color w:val="auto"/>
              </w:rPr>
            </w:pPr>
          </w:p>
        </w:tc>
        <w:tc>
          <w:tcPr>
            <w:tcW w:w="680" w:type="dxa"/>
            <w:vAlign w:val="bottom"/>
            <w:tcBorders>
              <w:top w:val="single" w:sz="8" w:color="DCE2EF"/>
            </w:tcBorders>
          </w:tcPr>
          <w:p>
            <w:pPr>
              <w:spacing w:after="0" w:line="20" w:lineRule="exact"/>
              <w:rPr>
                <w:sz w:val="1"/>
                <w:szCs w:val="1"/>
                <w:color w:val="auto"/>
              </w:rPr>
            </w:pPr>
          </w:p>
        </w:tc>
        <w:tc>
          <w:tcPr>
            <w:tcW w:w="3140" w:type="dxa"/>
            <w:vAlign w:val="bottom"/>
            <w:tcBorders>
              <w:top w:val="single" w:sz="8" w:color="DCE2EF"/>
            </w:tcBorders>
          </w:tcPr>
          <w:p>
            <w:pPr>
              <w:spacing w:after="0" w:line="20" w:lineRule="exact"/>
              <w:rPr>
                <w:sz w:val="1"/>
                <w:szCs w:val="1"/>
                <w:color w:val="auto"/>
              </w:rPr>
            </w:pPr>
          </w:p>
        </w:tc>
        <w:tc>
          <w:tcPr>
            <w:tcW w:w="1880" w:type="dxa"/>
            <w:vAlign w:val="bottom"/>
            <w:tcBorders>
              <w:top w:val="single" w:sz="8" w:color="DCE2EF"/>
              <w:bottom w:val="single" w:sz="8" w:color="auto"/>
            </w:tcBorders>
          </w:tcPr>
          <w:p>
            <w:pPr>
              <w:spacing w:after="0" w:line="20" w:lineRule="exact"/>
              <w:rPr>
                <w:sz w:val="1"/>
                <w:szCs w:val="1"/>
                <w:color w:val="auto"/>
              </w:rPr>
            </w:pPr>
          </w:p>
        </w:tc>
        <w:tc>
          <w:tcPr>
            <w:tcW w:w="520" w:type="dxa"/>
            <w:vAlign w:val="bottom"/>
            <w:tcBorders>
              <w:top w:val="single" w:sz="8" w:color="DCE2EF"/>
              <w:bottom w:val="single" w:sz="8" w:color="auto"/>
            </w:tcBorders>
          </w:tcPr>
          <w:p>
            <w:pPr>
              <w:spacing w:after="0" w:line="20" w:lineRule="exact"/>
              <w:rPr>
                <w:sz w:val="1"/>
                <w:szCs w:val="1"/>
                <w:color w:val="auto"/>
              </w:rPr>
            </w:pPr>
          </w:p>
        </w:tc>
        <w:tc>
          <w:tcPr>
            <w:tcW w:w="100" w:type="dxa"/>
            <w:vAlign w:val="bottom"/>
            <w:tcBorders>
              <w:top w:val="single" w:sz="8" w:color="DCE2EF"/>
            </w:tcBorders>
          </w:tcPr>
          <w:p>
            <w:pPr>
              <w:spacing w:after="0" w:line="20" w:lineRule="exact"/>
              <w:rPr>
                <w:sz w:val="1"/>
                <w:szCs w:val="1"/>
                <w:color w:val="auto"/>
              </w:rPr>
            </w:pPr>
          </w:p>
        </w:tc>
        <w:tc>
          <w:tcPr>
            <w:tcW w:w="1920" w:type="dxa"/>
            <w:vAlign w:val="bottom"/>
            <w:tcBorders>
              <w:top w:val="single" w:sz="8" w:color="DCE2EF"/>
              <w:bottom w:val="single" w:sz="8" w:color="auto"/>
            </w:tcBorders>
          </w:tcPr>
          <w:p>
            <w:pPr>
              <w:spacing w:after="0" w:line="20" w:lineRule="exact"/>
              <w:rPr>
                <w:sz w:val="1"/>
                <w:szCs w:val="1"/>
                <w:color w:val="auto"/>
              </w:rPr>
            </w:pPr>
          </w:p>
        </w:tc>
        <w:tc>
          <w:tcPr>
            <w:tcW w:w="480" w:type="dxa"/>
            <w:vAlign w:val="bottom"/>
            <w:tcBorders>
              <w:top w:val="single" w:sz="8" w:color="DCE2EF"/>
              <w:bottom w:val="single" w:sz="8" w:color="auto"/>
            </w:tcBorders>
          </w:tcPr>
          <w:p>
            <w:pPr>
              <w:spacing w:after="0" w:line="20" w:lineRule="exact"/>
              <w:rPr>
                <w:sz w:val="1"/>
                <w:szCs w:val="1"/>
                <w:color w:val="auto"/>
              </w:rPr>
            </w:pPr>
          </w:p>
        </w:tc>
        <w:tc>
          <w:tcPr>
            <w:tcW w:w="100" w:type="dxa"/>
            <w:vAlign w:val="bottom"/>
            <w:tcBorders>
              <w:top w:val="single" w:sz="8" w:color="DCE2EF"/>
            </w:tcBorders>
          </w:tcPr>
          <w:p>
            <w:pPr>
              <w:spacing w:after="0" w:line="20" w:lineRule="exact"/>
              <w:rPr>
                <w:sz w:val="1"/>
                <w:szCs w:val="1"/>
                <w:color w:val="auto"/>
              </w:rPr>
            </w:pPr>
          </w:p>
        </w:tc>
        <w:tc>
          <w:tcPr>
            <w:tcW w:w="1880" w:type="dxa"/>
            <w:vAlign w:val="bottom"/>
            <w:tcBorders>
              <w:top w:val="single" w:sz="8" w:color="DCE2E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Future sublease rental income was excluded for the periods shown above as the amounts are immaterial.</w:t>
      </w:r>
    </w:p>
    <w:p>
      <w:pPr>
        <w:spacing w:after="0" w:line="165" w:lineRule="exact"/>
        <w:rPr>
          <w:sz w:val="20"/>
          <w:szCs w:val="20"/>
          <w:color w:val="auto"/>
        </w:rPr>
      </w:pPr>
    </w:p>
    <w:p>
      <w:pPr>
        <w:ind w:right="100" w:firstLine="619"/>
        <w:spacing w:after="0" w:line="290" w:lineRule="auto"/>
        <w:rPr>
          <w:sz w:val="20"/>
          <w:szCs w:val="20"/>
          <w:color w:val="auto"/>
        </w:rPr>
      </w:pPr>
      <w:r>
        <w:rPr>
          <w:rFonts w:ascii="Arial" w:cs="Arial" w:eastAsia="Arial" w:hAnsi="Arial"/>
          <w:sz w:val="17"/>
          <w:szCs w:val="17"/>
          <w:color w:val="auto"/>
        </w:rPr>
        <w:t>We have entered into operating lease arrangements as of October 31, 2025, that are effective for future periods. The total amount of ROU assets and lease liabilities related to these arrangements is immaterial.</w:t>
      </w:r>
    </w:p>
    <w:p>
      <w:pPr>
        <w:spacing w:after="0" w:line="95" w:lineRule="exact"/>
        <w:rPr>
          <w:sz w:val="20"/>
          <w:szCs w:val="20"/>
          <w:color w:val="auto"/>
        </w:rPr>
      </w:pPr>
    </w:p>
    <w:p>
      <w:pPr>
        <w:ind w:right="100" w:firstLine="619"/>
        <w:spacing w:after="0" w:line="290" w:lineRule="auto"/>
        <w:rPr>
          <w:sz w:val="20"/>
          <w:szCs w:val="20"/>
          <w:color w:val="auto"/>
        </w:rPr>
      </w:pPr>
      <w:r>
        <w:rPr>
          <w:rFonts w:ascii="Arial" w:cs="Arial" w:eastAsia="Arial" w:hAnsi="Arial"/>
          <w:sz w:val="17"/>
          <w:szCs w:val="17"/>
          <w:color w:val="auto"/>
        </w:rPr>
        <w:t>The following table includes the weighted-average remaining lease terms, in years, and the weighted-average discount rate used to calculate the present value of operating lease liabilities:</w:t>
      </w:r>
    </w:p>
    <w:p>
      <w:pPr>
        <w:spacing w:after="0" w:line="132" w:lineRule="exact"/>
        <w:rPr>
          <w:sz w:val="20"/>
          <w:szCs w:val="20"/>
          <w:color w:val="auto"/>
        </w:rPr>
      </w:pPr>
    </w:p>
    <w:p>
      <w:pPr>
        <w:ind w:left="8780"/>
        <w:spacing w:after="0"/>
        <w:rPr>
          <w:sz w:val="20"/>
          <w:szCs w:val="20"/>
          <w:color w:val="auto"/>
        </w:rPr>
      </w:pPr>
      <w:r>
        <w:rPr>
          <w:rFonts w:ascii="Arial" w:cs="Arial" w:eastAsia="Arial" w:hAnsi="Arial"/>
          <w:sz w:val="17"/>
          <w:szCs w:val="17"/>
          <w:b w:val="1"/>
          <w:bCs w:val="1"/>
          <w:color w:val="auto"/>
        </w:rPr>
        <w:t>Year Ended October 31,</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000" w:type="dxa"/>
            <w:vAlign w:val="bottom"/>
            <w:gridSpan w:val="3"/>
          </w:tcPr>
          <w:p>
            <w:pPr>
              <w:jc w:val="right"/>
              <w:ind w:right="140"/>
              <w:spacing w:after="0"/>
              <w:rPr>
                <w:sz w:val="20"/>
                <w:szCs w:val="20"/>
                <w:color w:val="auto"/>
              </w:rPr>
            </w:pPr>
            <w:r>
              <w:rPr>
                <w:rFonts w:ascii="Arial" w:cs="Arial" w:eastAsia="Arial" w:hAnsi="Arial"/>
                <w:sz w:val="17"/>
                <w:szCs w:val="17"/>
                <w:b w:val="1"/>
                <w:bCs w:val="1"/>
                <w:color w:val="auto"/>
              </w:rPr>
              <w:t>2025</w:t>
            </w:r>
          </w:p>
        </w:tc>
        <w:tc>
          <w:tcPr>
            <w:tcW w:w="2240" w:type="dxa"/>
            <w:vAlign w:val="bottom"/>
            <w:gridSpan w:val="3"/>
          </w:tcPr>
          <w:p>
            <w:pPr>
              <w:jc w:val="right"/>
              <w:ind w:right="220"/>
              <w:spacing w:after="0"/>
              <w:rPr>
                <w:sz w:val="20"/>
                <w:szCs w:val="20"/>
                <w:color w:val="auto"/>
              </w:rPr>
            </w:pPr>
            <w:r>
              <w:rPr>
                <w:rFonts w:ascii="Arial" w:cs="Arial" w:eastAsia="Arial" w:hAnsi="Arial"/>
                <w:sz w:val="17"/>
                <w:szCs w:val="17"/>
                <w:b w:val="1"/>
                <w:bCs w:val="1"/>
                <w:color w:val="auto"/>
              </w:rPr>
              <w:t>2024</w:t>
            </w:r>
          </w:p>
        </w:tc>
        <w:tc>
          <w:tcPr>
            <w:tcW w:w="100" w:type="dxa"/>
            <w:vAlign w:val="bottom"/>
          </w:tcPr>
          <w:p>
            <w:pPr>
              <w:spacing w:after="0"/>
              <w:rPr>
                <w:sz w:val="18"/>
                <w:szCs w:val="18"/>
                <w:color w:val="auto"/>
              </w:rPr>
            </w:pPr>
          </w:p>
        </w:tc>
      </w:tr>
      <w:tr>
        <w:trPr>
          <w:trHeight w:val="199"/>
        </w:trPr>
        <w:tc>
          <w:tcPr>
            <w:tcW w:w="620" w:type="dxa"/>
            <w:vAlign w:val="bottom"/>
          </w:tcPr>
          <w:p>
            <w:pPr>
              <w:spacing w:after="0"/>
              <w:rPr>
                <w:sz w:val="17"/>
                <w:szCs w:val="17"/>
                <w:color w:val="auto"/>
              </w:rPr>
            </w:pPr>
          </w:p>
        </w:tc>
        <w:tc>
          <w:tcPr>
            <w:tcW w:w="7000" w:type="dxa"/>
            <w:vAlign w:val="bottom"/>
            <w:tcBorders>
              <w:top w:val="single" w:sz="8" w:color="DCE2EF"/>
            </w:tcBorders>
            <w:shd w:val="clear" w:color="auto" w:fill="DCE2EF"/>
          </w:tcPr>
          <w:p>
            <w:pPr>
              <w:ind w:left="20"/>
              <w:spacing w:after="0"/>
              <w:rPr>
                <w:sz w:val="20"/>
                <w:szCs w:val="20"/>
                <w:color w:val="auto"/>
              </w:rPr>
            </w:pPr>
            <w:r>
              <w:rPr>
                <w:rFonts w:ascii="Arial" w:cs="Arial" w:eastAsia="Arial" w:hAnsi="Arial"/>
                <w:sz w:val="17"/>
                <w:szCs w:val="17"/>
                <w:color w:val="auto"/>
              </w:rPr>
              <w:t>Weighted-average remaining lease term (years)</w:t>
            </w:r>
          </w:p>
        </w:tc>
        <w:tc>
          <w:tcPr>
            <w:tcW w:w="1380" w:type="dxa"/>
            <w:vAlign w:val="bottom"/>
            <w:tcBorders>
              <w:top w:val="single" w:sz="8" w:color="auto"/>
            </w:tcBorders>
            <w:shd w:val="clear" w:color="auto" w:fill="DCE2EF"/>
          </w:tcPr>
          <w:p>
            <w:pPr>
              <w:spacing w:after="0"/>
              <w:rPr>
                <w:sz w:val="17"/>
                <w:szCs w:val="17"/>
                <w:color w:val="auto"/>
              </w:rPr>
            </w:pPr>
          </w:p>
        </w:tc>
        <w:tc>
          <w:tcPr>
            <w:tcW w:w="700" w:type="dxa"/>
            <w:vAlign w:val="bottom"/>
            <w:tcBorders>
              <w:top w:val="single" w:sz="8" w:color="auto"/>
            </w:tcBorders>
            <w:shd w:val="clear" w:color="auto" w:fill="DCE2EF"/>
          </w:tcPr>
          <w:p>
            <w:pPr>
              <w:spacing w:after="0"/>
              <w:rPr>
                <w:sz w:val="17"/>
                <w:szCs w:val="17"/>
                <w:color w:val="auto"/>
              </w:rPr>
            </w:pPr>
          </w:p>
        </w:tc>
        <w:tc>
          <w:tcPr>
            <w:tcW w:w="80" w:type="dxa"/>
            <w:vAlign w:val="bottom"/>
            <w:tcBorders>
              <w:top w:val="single" w:sz="8" w:color="DCE2EF"/>
            </w:tcBorders>
            <w:shd w:val="clear" w:color="auto" w:fill="DCE2EF"/>
          </w:tcPr>
          <w:p>
            <w:pPr>
              <w:spacing w:after="0"/>
              <w:rPr>
                <w:sz w:val="17"/>
                <w:szCs w:val="17"/>
                <w:color w:val="auto"/>
              </w:rPr>
            </w:pPr>
          </w:p>
        </w:tc>
        <w:tc>
          <w:tcPr>
            <w:tcW w:w="1460" w:type="dxa"/>
            <w:vAlign w:val="bottom"/>
            <w:tcBorders>
              <w:top w:val="single" w:sz="8" w:color="auto"/>
            </w:tcBorders>
            <w:shd w:val="clear" w:color="auto" w:fill="DCE2EF"/>
          </w:tcPr>
          <w:p>
            <w:pPr>
              <w:spacing w:after="0"/>
              <w:rPr>
                <w:sz w:val="17"/>
                <w:szCs w:val="17"/>
                <w:color w:val="auto"/>
              </w:rPr>
            </w:pPr>
          </w:p>
        </w:tc>
        <w:tc>
          <w:tcPr>
            <w:tcW w:w="100" w:type="dxa"/>
            <w:vAlign w:val="bottom"/>
            <w:tcBorders>
              <w:top w:val="single" w:sz="8" w:color="auto"/>
            </w:tcBorders>
            <w:shd w:val="clear" w:color="auto" w:fill="DCE2EF"/>
          </w:tcPr>
          <w:p>
            <w:pPr>
              <w:spacing w:after="0"/>
              <w:rPr>
                <w:sz w:val="17"/>
                <w:szCs w:val="17"/>
                <w:color w:val="auto"/>
              </w:rPr>
            </w:pPr>
          </w:p>
        </w:tc>
      </w:tr>
      <w:tr>
        <w:trPr>
          <w:trHeight w:val="219"/>
        </w:trPr>
        <w:tc>
          <w:tcPr>
            <w:tcW w:w="620" w:type="dxa"/>
            <w:vAlign w:val="bottom"/>
          </w:tcPr>
          <w:p>
            <w:pPr>
              <w:spacing w:after="0"/>
              <w:rPr>
                <w:sz w:val="19"/>
                <w:szCs w:val="19"/>
                <w:color w:val="auto"/>
              </w:rPr>
            </w:pPr>
          </w:p>
        </w:tc>
        <w:tc>
          <w:tcPr>
            <w:tcW w:w="8380" w:type="dxa"/>
            <w:vAlign w:val="bottom"/>
            <w:gridSpan w:val="2"/>
          </w:tcPr>
          <w:p>
            <w:pPr>
              <w:ind w:left="220"/>
              <w:spacing w:after="0"/>
              <w:rPr>
                <w:sz w:val="20"/>
                <w:szCs w:val="20"/>
                <w:color w:val="auto"/>
              </w:rPr>
            </w:pPr>
            <w:r>
              <w:rPr>
                <w:rFonts w:ascii="Arial" w:cs="Arial" w:eastAsia="Arial" w:hAnsi="Arial"/>
                <w:sz w:val="17"/>
                <w:szCs w:val="17"/>
                <w:color w:val="auto"/>
              </w:rPr>
              <w:t>Operating leases</w:t>
            </w:r>
          </w:p>
        </w:tc>
        <w:tc>
          <w:tcPr>
            <w:tcW w:w="700" w:type="dxa"/>
            <w:vAlign w:val="bottom"/>
          </w:tcPr>
          <w:p>
            <w:pPr>
              <w:jc w:val="right"/>
              <w:spacing w:after="0"/>
              <w:rPr>
                <w:sz w:val="20"/>
                <w:szCs w:val="20"/>
                <w:color w:val="auto"/>
              </w:rPr>
            </w:pPr>
            <w:r>
              <w:rPr>
                <w:rFonts w:ascii="Arial" w:cs="Arial" w:eastAsia="Arial" w:hAnsi="Arial"/>
                <w:sz w:val="17"/>
                <w:szCs w:val="17"/>
                <w:color w:val="auto"/>
              </w:rPr>
              <w:t>5.5</w:t>
            </w:r>
          </w:p>
        </w:tc>
        <w:tc>
          <w:tcPr>
            <w:tcW w:w="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9"/>
        </w:trPr>
        <w:tc>
          <w:tcPr>
            <w:tcW w:w="620" w:type="dxa"/>
            <w:vAlign w:val="bottom"/>
          </w:tcPr>
          <w:p>
            <w:pPr>
              <w:spacing w:after="0"/>
              <w:rPr>
                <w:sz w:val="19"/>
                <w:szCs w:val="19"/>
                <w:color w:val="auto"/>
              </w:rPr>
            </w:pPr>
          </w:p>
        </w:tc>
        <w:tc>
          <w:tcPr>
            <w:tcW w:w="8380" w:type="dxa"/>
            <w:vAlign w:val="bottom"/>
            <w:gridSpan w:val="2"/>
            <w:shd w:val="clear" w:color="auto" w:fill="DCE2EF"/>
          </w:tcPr>
          <w:p>
            <w:pPr>
              <w:ind w:left="220"/>
              <w:spacing w:after="0"/>
              <w:rPr>
                <w:sz w:val="20"/>
                <w:szCs w:val="20"/>
                <w:color w:val="auto"/>
              </w:rPr>
            </w:pPr>
            <w:r>
              <w:rPr>
                <w:rFonts w:ascii="Arial" w:cs="Arial" w:eastAsia="Arial" w:hAnsi="Arial"/>
                <w:sz w:val="17"/>
                <w:szCs w:val="17"/>
                <w:color w:val="auto"/>
              </w:rPr>
              <w:t>Finance leases</w:t>
            </w:r>
          </w:p>
        </w:tc>
        <w:tc>
          <w:tcPr>
            <w:tcW w:w="700" w:type="dxa"/>
            <w:vAlign w:val="bottom"/>
            <w:shd w:val="clear" w:color="auto" w:fill="DCE2EF"/>
          </w:tcPr>
          <w:p>
            <w:pPr>
              <w:jc w:val="right"/>
              <w:spacing w:after="0"/>
              <w:rPr>
                <w:sz w:val="20"/>
                <w:szCs w:val="20"/>
                <w:color w:val="auto"/>
              </w:rPr>
            </w:pPr>
            <w:r>
              <w:rPr>
                <w:rFonts w:ascii="Arial" w:cs="Arial" w:eastAsia="Arial" w:hAnsi="Arial"/>
                <w:sz w:val="17"/>
                <w:szCs w:val="17"/>
                <w:color w:val="auto"/>
              </w:rPr>
              <w:t>4.7</w:t>
            </w:r>
          </w:p>
        </w:tc>
        <w:tc>
          <w:tcPr>
            <w:tcW w:w="80" w:type="dxa"/>
            <w:vAlign w:val="bottom"/>
            <w:shd w:val="clear" w:color="auto" w:fill="DCE2EF"/>
          </w:tcPr>
          <w:p>
            <w:pPr>
              <w:spacing w:after="0"/>
              <w:rPr>
                <w:sz w:val="19"/>
                <w:szCs w:val="19"/>
                <w:color w:val="auto"/>
              </w:rPr>
            </w:pPr>
          </w:p>
        </w:tc>
        <w:tc>
          <w:tcPr>
            <w:tcW w:w="1460" w:type="dxa"/>
            <w:vAlign w:val="bottom"/>
            <w:shd w:val="clear" w:color="auto" w:fill="DCE2EF"/>
          </w:tcPr>
          <w:p>
            <w:pPr>
              <w:spacing w:after="0"/>
              <w:rPr>
                <w:sz w:val="19"/>
                <w:szCs w:val="19"/>
                <w:color w:val="auto"/>
              </w:rPr>
            </w:pPr>
          </w:p>
        </w:tc>
        <w:tc>
          <w:tcPr>
            <w:tcW w:w="100" w:type="dxa"/>
            <w:vAlign w:val="bottom"/>
            <w:shd w:val="clear" w:color="auto" w:fill="DCE2EF"/>
          </w:tcPr>
          <w:p>
            <w:pPr>
              <w:spacing w:after="0"/>
              <w:rPr>
                <w:sz w:val="19"/>
                <w:szCs w:val="19"/>
                <w:color w:val="auto"/>
              </w:rPr>
            </w:pPr>
          </w:p>
        </w:tc>
      </w:tr>
      <w:tr>
        <w:trPr>
          <w:trHeight w:val="219"/>
        </w:trPr>
        <w:tc>
          <w:tcPr>
            <w:tcW w:w="620" w:type="dxa"/>
            <w:vAlign w:val="bottom"/>
          </w:tcPr>
          <w:p>
            <w:pPr>
              <w:spacing w:after="0"/>
              <w:rPr>
                <w:sz w:val="19"/>
                <w:szCs w:val="19"/>
                <w:color w:val="auto"/>
              </w:rPr>
            </w:pPr>
          </w:p>
        </w:tc>
        <w:tc>
          <w:tcPr>
            <w:tcW w:w="8380" w:type="dxa"/>
            <w:vAlign w:val="bottom"/>
            <w:gridSpan w:val="2"/>
          </w:tcPr>
          <w:p>
            <w:pPr>
              <w:ind w:left="20"/>
              <w:spacing w:after="0"/>
              <w:rPr>
                <w:sz w:val="20"/>
                <w:szCs w:val="20"/>
                <w:color w:val="auto"/>
              </w:rPr>
            </w:pPr>
            <w:r>
              <w:rPr>
                <w:rFonts w:ascii="Arial" w:cs="Arial" w:eastAsia="Arial" w:hAnsi="Arial"/>
                <w:sz w:val="17"/>
                <w:szCs w:val="17"/>
                <w:color w:val="auto"/>
              </w:rPr>
              <w:t>Weighted-average discount rate</w:t>
            </w: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9"/>
        </w:trPr>
        <w:tc>
          <w:tcPr>
            <w:tcW w:w="620" w:type="dxa"/>
            <w:vAlign w:val="bottom"/>
          </w:tcPr>
          <w:p>
            <w:pPr>
              <w:spacing w:after="0"/>
              <w:rPr>
                <w:sz w:val="19"/>
                <w:szCs w:val="19"/>
                <w:color w:val="auto"/>
              </w:rPr>
            </w:pPr>
          </w:p>
        </w:tc>
        <w:tc>
          <w:tcPr>
            <w:tcW w:w="8380" w:type="dxa"/>
            <w:vAlign w:val="bottom"/>
            <w:gridSpan w:val="2"/>
            <w:shd w:val="clear" w:color="auto" w:fill="DCE2EF"/>
          </w:tcPr>
          <w:p>
            <w:pPr>
              <w:ind w:left="220"/>
              <w:spacing w:after="0"/>
              <w:rPr>
                <w:sz w:val="20"/>
                <w:szCs w:val="20"/>
                <w:color w:val="auto"/>
              </w:rPr>
            </w:pPr>
            <w:r>
              <w:rPr>
                <w:rFonts w:ascii="Arial" w:cs="Arial" w:eastAsia="Arial" w:hAnsi="Arial"/>
                <w:sz w:val="17"/>
                <w:szCs w:val="17"/>
                <w:color w:val="auto"/>
              </w:rPr>
              <w:t>Operating leases</w:t>
            </w:r>
          </w:p>
        </w:tc>
        <w:tc>
          <w:tcPr>
            <w:tcW w:w="700" w:type="dxa"/>
            <w:vAlign w:val="bottom"/>
            <w:shd w:val="clear" w:color="auto" w:fill="DCE2EF"/>
          </w:tcPr>
          <w:p>
            <w:pPr>
              <w:jc w:val="right"/>
              <w:spacing w:after="0"/>
              <w:rPr>
                <w:sz w:val="20"/>
                <w:szCs w:val="20"/>
                <w:color w:val="auto"/>
              </w:rPr>
            </w:pPr>
            <w:r>
              <w:rPr>
                <w:rFonts w:ascii="Arial" w:cs="Arial" w:eastAsia="Arial" w:hAnsi="Arial"/>
                <w:sz w:val="17"/>
                <w:szCs w:val="17"/>
                <w:color w:val="auto"/>
              </w:rPr>
              <w:t>5.35 %</w:t>
            </w:r>
          </w:p>
        </w:tc>
        <w:tc>
          <w:tcPr>
            <w:tcW w:w="80" w:type="dxa"/>
            <w:vAlign w:val="bottom"/>
            <w:shd w:val="clear" w:color="auto" w:fill="DCE2EF"/>
          </w:tcPr>
          <w:p>
            <w:pPr>
              <w:spacing w:after="0"/>
              <w:rPr>
                <w:sz w:val="19"/>
                <w:szCs w:val="19"/>
                <w:color w:val="auto"/>
              </w:rPr>
            </w:pPr>
          </w:p>
        </w:tc>
        <w:tc>
          <w:tcPr>
            <w:tcW w:w="1460" w:type="dxa"/>
            <w:vAlign w:val="bottom"/>
            <w:shd w:val="clear" w:color="auto" w:fill="DCE2EF"/>
          </w:tcPr>
          <w:p>
            <w:pPr>
              <w:spacing w:after="0"/>
              <w:rPr>
                <w:sz w:val="19"/>
                <w:szCs w:val="19"/>
                <w:color w:val="auto"/>
              </w:rPr>
            </w:pPr>
          </w:p>
        </w:tc>
        <w:tc>
          <w:tcPr>
            <w:tcW w:w="100" w:type="dxa"/>
            <w:vAlign w:val="bottom"/>
            <w:shd w:val="clear" w:color="auto" w:fill="DCE2EF"/>
          </w:tcPr>
          <w:p>
            <w:pPr>
              <w:spacing w:after="0"/>
              <w:rPr>
                <w:sz w:val="19"/>
                <w:szCs w:val="19"/>
                <w:color w:val="auto"/>
              </w:rPr>
            </w:pPr>
          </w:p>
        </w:tc>
      </w:tr>
      <w:tr>
        <w:trPr>
          <w:trHeight w:val="226"/>
        </w:trPr>
        <w:tc>
          <w:tcPr>
            <w:tcW w:w="620" w:type="dxa"/>
            <w:vAlign w:val="bottom"/>
          </w:tcPr>
          <w:p>
            <w:pPr>
              <w:spacing w:after="0"/>
              <w:rPr>
                <w:sz w:val="19"/>
                <w:szCs w:val="19"/>
                <w:color w:val="auto"/>
              </w:rPr>
            </w:pPr>
          </w:p>
        </w:tc>
        <w:tc>
          <w:tcPr>
            <w:tcW w:w="8380" w:type="dxa"/>
            <w:vAlign w:val="bottom"/>
            <w:gridSpan w:val="2"/>
          </w:tcPr>
          <w:p>
            <w:pPr>
              <w:ind w:left="220"/>
              <w:spacing w:after="0"/>
              <w:rPr>
                <w:sz w:val="20"/>
                <w:szCs w:val="20"/>
                <w:color w:val="auto"/>
              </w:rPr>
            </w:pPr>
            <w:r>
              <w:rPr>
                <w:rFonts w:ascii="Arial" w:cs="Arial" w:eastAsia="Arial" w:hAnsi="Arial"/>
                <w:sz w:val="17"/>
                <w:szCs w:val="17"/>
                <w:color w:val="auto"/>
              </w:rPr>
              <w:t>Finance leases</w:t>
            </w:r>
          </w:p>
        </w:tc>
        <w:tc>
          <w:tcPr>
            <w:tcW w:w="700" w:type="dxa"/>
            <w:vAlign w:val="bottom"/>
          </w:tcPr>
          <w:p>
            <w:pPr>
              <w:jc w:val="right"/>
              <w:spacing w:after="0"/>
              <w:rPr>
                <w:sz w:val="20"/>
                <w:szCs w:val="20"/>
                <w:color w:val="auto"/>
              </w:rPr>
            </w:pPr>
            <w:r>
              <w:rPr>
                <w:rFonts w:ascii="Arial" w:cs="Arial" w:eastAsia="Arial" w:hAnsi="Arial"/>
                <w:sz w:val="17"/>
                <w:szCs w:val="17"/>
                <w:color w:val="auto"/>
              </w:rPr>
              <w:t>6.09 %</w:t>
            </w:r>
          </w:p>
        </w:tc>
        <w:tc>
          <w:tcPr>
            <w:tcW w:w="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821"/>
        </w:trPr>
        <w:tc>
          <w:tcPr>
            <w:tcW w:w="7620" w:type="dxa"/>
            <w:vAlign w:val="bottom"/>
            <w:gridSpan w:val="2"/>
          </w:tcPr>
          <w:p>
            <w:pPr>
              <w:jc w:val="right"/>
              <w:ind w:right="1814"/>
              <w:spacing w:after="0"/>
              <w:rPr>
                <w:sz w:val="20"/>
                <w:szCs w:val="20"/>
                <w:color w:val="auto"/>
              </w:rPr>
            </w:pPr>
            <w:r>
              <w:rPr>
                <w:rFonts w:ascii="Arial" w:cs="Arial" w:eastAsia="Arial" w:hAnsi="Arial"/>
                <w:sz w:val="17"/>
                <w:szCs w:val="17"/>
                <w:color w:val="auto"/>
              </w:rPr>
              <w:t>65</w:t>
            </w:r>
          </w:p>
        </w:tc>
        <w:tc>
          <w:tcPr>
            <w:tcW w:w="1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06"/>
        </w:trPr>
        <w:tc>
          <w:tcPr>
            <w:tcW w:w="620" w:type="dxa"/>
            <w:vAlign w:val="bottom"/>
            <w:tcBorders>
              <w:bottom w:val="single" w:sz="8" w:color="9A9A9A"/>
            </w:tcBorders>
          </w:tcPr>
          <w:p>
            <w:pPr>
              <w:spacing w:after="0"/>
              <w:rPr>
                <w:sz w:val="9"/>
                <w:szCs w:val="9"/>
                <w:color w:val="auto"/>
              </w:rPr>
            </w:pPr>
          </w:p>
        </w:tc>
        <w:tc>
          <w:tcPr>
            <w:tcW w:w="7000" w:type="dxa"/>
            <w:vAlign w:val="bottom"/>
            <w:tcBorders>
              <w:bottom w:val="single" w:sz="8" w:color="9A9A9A"/>
            </w:tcBorders>
          </w:tcPr>
          <w:p>
            <w:pPr>
              <w:spacing w:after="0"/>
              <w:rPr>
                <w:sz w:val="9"/>
                <w:szCs w:val="9"/>
                <w:color w:val="auto"/>
              </w:rPr>
            </w:pPr>
          </w:p>
        </w:tc>
        <w:tc>
          <w:tcPr>
            <w:tcW w:w="138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460" w:type="dxa"/>
            <w:vAlign w:val="bottom"/>
            <w:tcBorders>
              <w:bottom w:val="single" w:sz="8" w:color="9A9A9A"/>
            </w:tcBorders>
          </w:tcPr>
          <w:p>
            <w:pPr>
              <w:spacing w:after="0"/>
              <w:rPr>
                <w:sz w:val="9"/>
                <w:szCs w:val="9"/>
                <w:color w:val="auto"/>
              </w:rPr>
            </w:pPr>
          </w:p>
        </w:tc>
        <w:tc>
          <w:tcPr>
            <w:tcW w:w="10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340"/>
          </w:cols>
          <w:pgMar w:left="320" w:top="1219" w:right="239"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226"/>
        </w:trPr>
        <w:tc>
          <w:tcPr>
            <w:tcW w:w="20" w:type="dxa"/>
            <w:vAlign w:val="bottom"/>
          </w:tcPr>
          <w:p>
            <w:pPr>
              <w:spacing w:after="0"/>
              <w:rPr>
                <w:sz w:val="19"/>
                <w:szCs w:val="19"/>
                <w:color w:val="auto"/>
              </w:rPr>
            </w:pPr>
          </w:p>
        </w:tc>
        <w:tc>
          <w:tcPr>
            <w:tcW w:w="1040" w:type="dxa"/>
            <w:vAlign w:val="bottom"/>
            <w:gridSpan w:val="2"/>
          </w:tcPr>
          <w:p>
            <w:pPr>
              <w:ind w:left="600"/>
              <w:spacing w:after="0"/>
              <w:rPr>
                <w:sz w:val="20"/>
                <w:szCs w:val="20"/>
                <w:color w:val="auto"/>
              </w:rPr>
            </w:pPr>
            <w:r>
              <w:rPr>
                <w:rFonts w:ascii="Arial" w:cs="Arial" w:eastAsia="Arial" w:hAnsi="Arial"/>
                <w:sz w:val="17"/>
                <w:szCs w:val="17"/>
                <w:color w:val="auto"/>
              </w:rPr>
              <w:t>The</w:t>
            </w:r>
          </w:p>
        </w:tc>
        <w:tc>
          <w:tcPr>
            <w:tcW w:w="960" w:type="dxa"/>
            <w:vAlign w:val="bottom"/>
          </w:tcPr>
          <w:p>
            <w:pPr>
              <w:ind w:left="140"/>
              <w:spacing w:after="0"/>
              <w:rPr>
                <w:sz w:val="20"/>
                <w:szCs w:val="20"/>
                <w:color w:val="auto"/>
              </w:rPr>
            </w:pPr>
            <w:r>
              <w:rPr>
                <w:rFonts w:ascii="Arial" w:cs="Arial" w:eastAsia="Arial" w:hAnsi="Arial"/>
                <w:sz w:val="17"/>
                <w:szCs w:val="17"/>
                <w:color w:val="auto"/>
              </w:rPr>
              <w:t>following</w:t>
            </w:r>
          </w:p>
        </w:tc>
        <w:tc>
          <w:tcPr>
            <w:tcW w:w="660" w:type="dxa"/>
            <w:vAlign w:val="bottom"/>
          </w:tcPr>
          <w:p>
            <w:pPr>
              <w:ind w:left="140"/>
              <w:spacing w:after="0"/>
              <w:rPr>
                <w:sz w:val="20"/>
                <w:szCs w:val="20"/>
                <w:color w:val="auto"/>
              </w:rPr>
            </w:pPr>
            <w:r>
              <w:rPr>
                <w:rFonts w:ascii="Arial" w:cs="Arial" w:eastAsia="Arial" w:hAnsi="Arial"/>
                <w:sz w:val="17"/>
                <w:szCs w:val="17"/>
                <w:color w:val="auto"/>
              </w:rPr>
              <w:t>table</w:t>
            </w:r>
          </w:p>
        </w:tc>
        <w:tc>
          <w:tcPr>
            <w:tcW w:w="960" w:type="dxa"/>
            <w:vAlign w:val="bottom"/>
          </w:tcPr>
          <w:p>
            <w:pPr>
              <w:ind w:left="160"/>
              <w:spacing w:after="0"/>
              <w:rPr>
                <w:sz w:val="20"/>
                <w:szCs w:val="20"/>
                <w:color w:val="auto"/>
              </w:rPr>
            </w:pPr>
            <w:r>
              <w:rPr>
                <w:rFonts w:ascii="Arial" w:cs="Arial" w:eastAsia="Arial" w:hAnsi="Arial"/>
                <w:sz w:val="17"/>
                <w:szCs w:val="17"/>
                <w:color w:val="auto"/>
              </w:rPr>
              <w:t>includes</w:t>
            </w:r>
          </w:p>
        </w:tc>
        <w:tc>
          <w:tcPr>
            <w:tcW w:w="1280" w:type="dxa"/>
            <w:vAlign w:val="bottom"/>
          </w:tcPr>
          <w:p>
            <w:pPr>
              <w:ind w:left="120"/>
              <w:spacing w:after="0"/>
              <w:rPr>
                <w:sz w:val="20"/>
                <w:szCs w:val="20"/>
                <w:color w:val="auto"/>
              </w:rPr>
            </w:pPr>
            <w:r>
              <w:rPr>
                <w:rFonts w:ascii="Arial" w:cs="Arial" w:eastAsia="Arial" w:hAnsi="Arial"/>
                <w:sz w:val="17"/>
                <w:szCs w:val="17"/>
                <w:color w:val="auto"/>
              </w:rPr>
              <w:t>supplemental</w:t>
            </w:r>
          </w:p>
        </w:tc>
        <w:tc>
          <w:tcPr>
            <w:tcW w:w="660" w:type="dxa"/>
            <w:vAlign w:val="bottom"/>
          </w:tcPr>
          <w:p>
            <w:pPr>
              <w:ind w:left="140"/>
              <w:spacing w:after="0"/>
              <w:rPr>
                <w:sz w:val="20"/>
                <w:szCs w:val="20"/>
                <w:color w:val="auto"/>
              </w:rPr>
            </w:pPr>
            <w:r>
              <w:rPr>
                <w:rFonts w:ascii="Arial" w:cs="Arial" w:eastAsia="Arial" w:hAnsi="Arial"/>
                <w:sz w:val="17"/>
                <w:szCs w:val="17"/>
                <w:color w:val="auto"/>
              </w:rPr>
              <w:t>cash</w:t>
            </w:r>
          </w:p>
        </w:tc>
        <w:tc>
          <w:tcPr>
            <w:tcW w:w="560" w:type="dxa"/>
            <w:vAlign w:val="bottom"/>
          </w:tcPr>
          <w:p>
            <w:pPr>
              <w:ind w:left="140"/>
              <w:spacing w:after="0"/>
              <w:rPr>
                <w:sz w:val="20"/>
                <w:szCs w:val="20"/>
                <w:color w:val="auto"/>
              </w:rPr>
            </w:pPr>
            <w:r>
              <w:rPr>
                <w:rFonts w:ascii="Arial" w:cs="Arial" w:eastAsia="Arial" w:hAnsi="Arial"/>
                <w:sz w:val="17"/>
                <w:szCs w:val="17"/>
                <w:color w:val="auto"/>
              </w:rPr>
              <w:t>and</w:t>
            </w:r>
          </w:p>
        </w:tc>
        <w:tc>
          <w:tcPr>
            <w:tcW w:w="1060" w:type="dxa"/>
            <w:vAlign w:val="bottom"/>
          </w:tcPr>
          <w:p>
            <w:pPr>
              <w:ind w:left="160"/>
              <w:spacing w:after="0"/>
              <w:rPr>
                <w:sz w:val="20"/>
                <w:szCs w:val="20"/>
                <w:color w:val="auto"/>
              </w:rPr>
            </w:pPr>
            <w:r>
              <w:rPr>
                <w:rFonts w:ascii="Arial" w:cs="Arial" w:eastAsia="Arial" w:hAnsi="Arial"/>
                <w:sz w:val="17"/>
                <w:szCs w:val="17"/>
                <w:color w:val="auto"/>
              </w:rPr>
              <w:t>non-cash</w:t>
            </w:r>
          </w:p>
        </w:tc>
        <w:tc>
          <w:tcPr>
            <w:tcW w:w="1000" w:type="dxa"/>
            <w:vAlign w:val="bottom"/>
          </w:tcPr>
          <w:p>
            <w:pPr>
              <w:jc w:val="right"/>
              <w:spacing w:after="0"/>
              <w:rPr>
                <w:sz w:val="20"/>
                <w:szCs w:val="20"/>
                <w:color w:val="auto"/>
              </w:rPr>
            </w:pPr>
            <w:r>
              <w:rPr>
                <w:rFonts w:ascii="Arial" w:cs="Arial" w:eastAsia="Arial" w:hAnsi="Arial"/>
                <w:sz w:val="17"/>
                <w:szCs w:val="17"/>
                <w:color w:val="auto"/>
              </w:rPr>
              <w:t>information</w:t>
            </w:r>
          </w:p>
        </w:tc>
        <w:tc>
          <w:tcPr>
            <w:tcW w:w="960" w:type="dxa"/>
            <w:vAlign w:val="bottom"/>
          </w:tcPr>
          <w:p>
            <w:pPr>
              <w:jc w:val="right"/>
              <w:ind w:right="114"/>
              <w:spacing w:after="0"/>
              <w:rPr>
                <w:sz w:val="20"/>
                <w:szCs w:val="20"/>
                <w:color w:val="auto"/>
              </w:rPr>
            </w:pPr>
            <w:r>
              <w:rPr>
                <w:rFonts w:ascii="Arial" w:cs="Arial" w:eastAsia="Arial" w:hAnsi="Arial"/>
                <w:sz w:val="17"/>
                <w:szCs w:val="17"/>
                <w:color w:val="auto"/>
              </w:rPr>
              <w:t>related</w:t>
            </w:r>
          </w:p>
        </w:tc>
        <w:tc>
          <w:tcPr>
            <w:tcW w:w="380" w:type="dxa"/>
            <w:vAlign w:val="bottom"/>
            <w:gridSpan w:val="2"/>
          </w:tcPr>
          <w:p>
            <w:pPr>
              <w:jc w:val="center"/>
              <w:ind w:right="60"/>
              <w:spacing w:after="0"/>
              <w:rPr>
                <w:sz w:val="20"/>
                <w:szCs w:val="20"/>
                <w:color w:val="auto"/>
              </w:rPr>
            </w:pPr>
            <w:r>
              <w:rPr>
                <w:rFonts w:ascii="Arial" w:cs="Arial" w:eastAsia="Arial" w:hAnsi="Arial"/>
                <w:sz w:val="17"/>
                <w:szCs w:val="17"/>
                <w:color w:val="auto"/>
              </w:rPr>
              <w:t>to</w:t>
            </w:r>
          </w:p>
        </w:tc>
        <w:tc>
          <w:tcPr>
            <w:tcW w:w="1020" w:type="dxa"/>
            <w:vAlign w:val="bottom"/>
          </w:tcPr>
          <w:p>
            <w:pPr>
              <w:jc w:val="right"/>
              <w:ind w:right="74"/>
              <w:spacing w:after="0"/>
              <w:rPr>
                <w:sz w:val="20"/>
                <w:szCs w:val="20"/>
                <w:color w:val="auto"/>
              </w:rPr>
            </w:pPr>
            <w:r>
              <w:rPr>
                <w:rFonts w:ascii="Arial" w:cs="Arial" w:eastAsia="Arial" w:hAnsi="Arial"/>
                <w:sz w:val="17"/>
                <w:szCs w:val="17"/>
                <w:color w:val="auto"/>
              </w:rPr>
              <w:t>operating</w:t>
            </w:r>
          </w:p>
        </w:tc>
        <w:tc>
          <w:tcPr>
            <w:tcW w:w="680" w:type="dxa"/>
            <w:vAlign w:val="bottom"/>
          </w:tcPr>
          <w:p>
            <w:pPr>
              <w:jc w:val="right"/>
              <w:spacing w:after="0"/>
              <w:rPr>
                <w:sz w:val="20"/>
                <w:szCs w:val="20"/>
                <w:color w:val="auto"/>
              </w:rPr>
            </w:pPr>
            <w:r>
              <w:rPr>
                <w:rFonts w:ascii="Arial" w:cs="Arial" w:eastAsia="Arial" w:hAnsi="Arial"/>
                <w:sz w:val="17"/>
                <w:szCs w:val="17"/>
                <w:color w:val="auto"/>
              </w:rPr>
              <w:t>leases:</w:t>
            </w:r>
          </w:p>
        </w:tc>
      </w:tr>
      <w:tr>
        <w:trPr>
          <w:trHeight w:val="237"/>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360" w:type="dxa"/>
            <w:vAlign w:val="bottom"/>
            <w:gridSpan w:val="4"/>
          </w:tcPr>
          <w:p>
            <w:pPr>
              <w:jc w:val="right"/>
              <w:ind w:right="294"/>
              <w:spacing w:after="0"/>
              <w:rPr>
                <w:sz w:val="20"/>
                <w:szCs w:val="20"/>
                <w:color w:val="auto"/>
              </w:rPr>
            </w:pPr>
            <w:r>
              <w:rPr>
                <w:rFonts w:ascii="Arial" w:cs="Arial" w:eastAsia="Arial" w:hAnsi="Arial"/>
                <w:sz w:val="17"/>
                <w:szCs w:val="17"/>
                <w:b w:val="1"/>
                <w:bCs w:val="1"/>
                <w:color w:val="auto"/>
              </w:rPr>
              <w:t>Year Ended October 31,</w:t>
            </w:r>
          </w:p>
        </w:tc>
        <w:tc>
          <w:tcPr>
            <w:tcW w:w="680" w:type="dxa"/>
            <w:vAlign w:val="bottom"/>
          </w:tcPr>
          <w:p>
            <w:pPr>
              <w:spacing w:after="0"/>
              <w:rPr>
                <w:sz w:val="20"/>
                <w:szCs w:val="20"/>
                <w:color w:val="auto"/>
              </w:rPr>
            </w:pPr>
          </w:p>
        </w:tc>
      </w:tr>
      <w:tr>
        <w:trPr>
          <w:trHeight w:val="186"/>
        </w:trPr>
        <w:tc>
          <w:tcPr>
            <w:tcW w:w="1060" w:type="dxa"/>
            <w:vAlign w:val="bottom"/>
            <w:gridSpan w:val="3"/>
          </w:tcPr>
          <w:p>
            <w:pPr>
              <w:ind w:left="20"/>
              <w:spacing w:after="0"/>
              <w:rPr>
                <w:sz w:val="20"/>
                <w:szCs w:val="20"/>
                <w:color w:val="auto"/>
              </w:rPr>
            </w:pPr>
            <w:r>
              <w:rPr>
                <w:rFonts w:ascii="Arial" w:cs="Arial" w:eastAsia="Arial" w:hAnsi="Arial"/>
                <w:sz w:val="14"/>
                <w:szCs w:val="14"/>
                <w:i w:val="1"/>
                <w:iCs w:val="1"/>
                <w:color w:val="auto"/>
              </w:rPr>
              <w:t>(in millions)</w:t>
            </w:r>
          </w:p>
        </w:tc>
        <w:tc>
          <w:tcPr>
            <w:tcW w:w="9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960" w:type="dxa"/>
            <w:vAlign w:val="bottom"/>
            <w:gridSpan w:val="2"/>
          </w:tcPr>
          <w:p>
            <w:pPr>
              <w:jc w:val="right"/>
              <w:ind w:right="694"/>
              <w:spacing w:after="0" w:line="186" w:lineRule="exact"/>
              <w:rPr>
                <w:sz w:val="20"/>
                <w:szCs w:val="20"/>
                <w:color w:val="auto"/>
              </w:rPr>
            </w:pPr>
            <w:r>
              <w:rPr>
                <w:rFonts w:ascii="Arial" w:cs="Arial" w:eastAsia="Arial" w:hAnsi="Arial"/>
                <w:sz w:val="17"/>
                <w:szCs w:val="17"/>
                <w:b w:val="1"/>
                <w:bCs w:val="1"/>
                <w:color w:val="auto"/>
              </w:rPr>
              <w:t>2025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jc w:val="right"/>
              <w:ind w:right="34"/>
              <w:spacing w:after="0" w:line="186" w:lineRule="exact"/>
              <w:rPr>
                <w:sz w:val="20"/>
                <w:szCs w:val="20"/>
                <w:color w:val="auto"/>
              </w:rPr>
            </w:pPr>
            <w:r>
              <w:rPr>
                <w:rFonts w:ascii="Arial" w:cs="Arial" w:eastAsia="Arial" w:hAnsi="Arial"/>
                <w:sz w:val="17"/>
                <w:szCs w:val="17"/>
                <w:b w:val="1"/>
                <w:bCs w:val="1"/>
                <w:color w:val="auto"/>
              </w:rPr>
              <w:t>2024</w:t>
            </w:r>
          </w:p>
        </w:tc>
        <w:tc>
          <w:tcPr>
            <w:tcW w:w="680" w:type="dxa"/>
            <w:vAlign w:val="bottom"/>
          </w:tcPr>
          <w:p>
            <w:pPr>
              <w:spacing w:after="0"/>
              <w:rPr>
                <w:sz w:val="16"/>
                <w:szCs w:val="16"/>
                <w:color w:val="auto"/>
              </w:rPr>
            </w:pPr>
          </w:p>
        </w:tc>
      </w:tr>
      <w:tr>
        <w:trPr>
          <w:trHeight w:val="20"/>
        </w:trPr>
        <w:tc>
          <w:tcPr>
            <w:tcW w:w="20" w:type="dxa"/>
            <w:vAlign w:val="bottom"/>
            <w:tcBorders>
              <w:bottom w:val="single" w:sz="8" w:color="DCE2EF"/>
            </w:tcBorders>
          </w:tcPr>
          <w:p>
            <w:pPr>
              <w:spacing w:after="0" w:line="20" w:lineRule="exact"/>
              <w:rPr>
                <w:sz w:val="1"/>
                <w:szCs w:val="1"/>
                <w:color w:val="auto"/>
              </w:rPr>
            </w:pPr>
          </w:p>
        </w:tc>
        <w:tc>
          <w:tcPr>
            <w:tcW w:w="700" w:type="dxa"/>
            <w:vAlign w:val="bottom"/>
            <w:tcBorders>
              <w:top w:val="single" w:sz="8" w:color="auto"/>
              <w:bottom w:val="single" w:sz="8" w:color="DCE2EF"/>
            </w:tcBorders>
          </w:tcPr>
          <w:p>
            <w:pPr>
              <w:spacing w:after="0" w:line="20" w:lineRule="exact"/>
              <w:rPr>
                <w:sz w:val="1"/>
                <w:szCs w:val="1"/>
                <w:color w:val="auto"/>
              </w:rPr>
            </w:pPr>
          </w:p>
        </w:tc>
        <w:tc>
          <w:tcPr>
            <w:tcW w:w="340" w:type="dxa"/>
            <w:vAlign w:val="bottom"/>
            <w:tcBorders>
              <w:bottom w:val="single" w:sz="8" w:color="DCE2EF"/>
            </w:tcBorders>
          </w:tcPr>
          <w:p>
            <w:pPr>
              <w:spacing w:after="0" w:line="20" w:lineRule="exact"/>
              <w:rPr>
                <w:sz w:val="1"/>
                <w:szCs w:val="1"/>
                <w:color w:val="auto"/>
              </w:rPr>
            </w:pPr>
          </w:p>
        </w:tc>
        <w:tc>
          <w:tcPr>
            <w:tcW w:w="960" w:type="dxa"/>
            <w:vAlign w:val="bottom"/>
            <w:tcBorders>
              <w:bottom w:val="single" w:sz="8" w:color="DCE2EF"/>
            </w:tcBorders>
          </w:tcPr>
          <w:p>
            <w:pPr>
              <w:spacing w:after="0" w:line="20" w:lineRule="exact"/>
              <w:rPr>
                <w:sz w:val="1"/>
                <w:szCs w:val="1"/>
                <w:color w:val="auto"/>
              </w:rPr>
            </w:pPr>
          </w:p>
        </w:tc>
        <w:tc>
          <w:tcPr>
            <w:tcW w:w="660" w:type="dxa"/>
            <w:vAlign w:val="bottom"/>
            <w:tcBorders>
              <w:bottom w:val="single" w:sz="8" w:color="DCE2EF"/>
            </w:tcBorders>
          </w:tcPr>
          <w:p>
            <w:pPr>
              <w:spacing w:after="0" w:line="20" w:lineRule="exact"/>
              <w:rPr>
                <w:sz w:val="1"/>
                <w:szCs w:val="1"/>
                <w:color w:val="auto"/>
              </w:rPr>
            </w:pPr>
          </w:p>
        </w:tc>
        <w:tc>
          <w:tcPr>
            <w:tcW w:w="960" w:type="dxa"/>
            <w:vAlign w:val="bottom"/>
            <w:tcBorders>
              <w:bottom w:val="single" w:sz="8" w:color="DCE2EF"/>
            </w:tcBorders>
          </w:tcPr>
          <w:p>
            <w:pPr>
              <w:spacing w:after="0" w:line="20" w:lineRule="exact"/>
              <w:rPr>
                <w:sz w:val="1"/>
                <w:szCs w:val="1"/>
                <w:color w:val="auto"/>
              </w:rPr>
            </w:pPr>
          </w:p>
        </w:tc>
        <w:tc>
          <w:tcPr>
            <w:tcW w:w="1280" w:type="dxa"/>
            <w:vAlign w:val="bottom"/>
            <w:tcBorders>
              <w:bottom w:val="single" w:sz="8" w:color="DCE2EF"/>
            </w:tcBorders>
          </w:tcPr>
          <w:p>
            <w:pPr>
              <w:spacing w:after="0" w:line="20" w:lineRule="exact"/>
              <w:rPr>
                <w:sz w:val="1"/>
                <w:szCs w:val="1"/>
                <w:color w:val="auto"/>
              </w:rPr>
            </w:pPr>
          </w:p>
        </w:tc>
        <w:tc>
          <w:tcPr>
            <w:tcW w:w="660" w:type="dxa"/>
            <w:vAlign w:val="bottom"/>
            <w:tcBorders>
              <w:bottom w:val="single" w:sz="8" w:color="DCE2EF"/>
            </w:tcBorders>
          </w:tcPr>
          <w:p>
            <w:pPr>
              <w:spacing w:after="0" w:line="20" w:lineRule="exact"/>
              <w:rPr>
                <w:sz w:val="1"/>
                <w:szCs w:val="1"/>
                <w:color w:val="auto"/>
              </w:rPr>
            </w:pPr>
          </w:p>
        </w:tc>
        <w:tc>
          <w:tcPr>
            <w:tcW w:w="560" w:type="dxa"/>
            <w:vAlign w:val="bottom"/>
            <w:tcBorders>
              <w:bottom w:val="single" w:sz="8" w:color="DCE2EF"/>
            </w:tcBorders>
          </w:tcPr>
          <w:p>
            <w:pPr>
              <w:spacing w:after="0" w:line="20" w:lineRule="exact"/>
              <w:rPr>
                <w:sz w:val="1"/>
                <w:szCs w:val="1"/>
                <w:color w:val="auto"/>
              </w:rPr>
            </w:pPr>
          </w:p>
        </w:tc>
        <w:tc>
          <w:tcPr>
            <w:tcW w:w="1060" w:type="dxa"/>
            <w:vAlign w:val="bottom"/>
            <w:tcBorders>
              <w:bottom w:val="single" w:sz="8" w:color="DCE2E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198"/>
        </w:trPr>
        <w:tc>
          <w:tcPr>
            <w:tcW w:w="5580" w:type="dxa"/>
            <w:vAlign w:val="bottom"/>
            <w:gridSpan w:val="8"/>
            <w:shd w:val="clear" w:color="auto" w:fill="DCE2EF"/>
          </w:tcPr>
          <w:p>
            <w:pPr>
              <w:ind w:left="20"/>
              <w:spacing w:after="0"/>
              <w:rPr>
                <w:sz w:val="20"/>
                <w:szCs w:val="20"/>
                <w:color w:val="auto"/>
              </w:rPr>
            </w:pPr>
            <w:r>
              <w:rPr>
                <w:rFonts w:ascii="Arial" w:cs="Arial" w:eastAsia="Arial" w:hAnsi="Arial"/>
                <w:sz w:val="17"/>
                <w:szCs w:val="17"/>
                <w:color w:val="auto"/>
              </w:rPr>
              <w:t>Cash paid for amounts included in the measurement of lease liabilities</w:t>
            </w:r>
          </w:p>
        </w:tc>
        <w:tc>
          <w:tcPr>
            <w:tcW w:w="560" w:type="dxa"/>
            <w:vAlign w:val="bottom"/>
            <w:shd w:val="clear" w:color="auto" w:fill="DCE2EF"/>
          </w:tcPr>
          <w:p>
            <w:pPr>
              <w:spacing w:after="0"/>
              <w:rPr>
                <w:sz w:val="17"/>
                <w:szCs w:val="17"/>
                <w:color w:val="auto"/>
              </w:rPr>
            </w:pPr>
          </w:p>
        </w:tc>
        <w:tc>
          <w:tcPr>
            <w:tcW w:w="1060" w:type="dxa"/>
            <w:vAlign w:val="bottom"/>
            <w:shd w:val="clear" w:color="auto" w:fill="DCE2EF"/>
          </w:tcPr>
          <w:p>
            <w:pPr>
              <w:spacing w:after="0"/>
              <w:rPr>
                <w:sz w:val="17"/>
                <w:szCs w:val="17"/>
                <w:color w:val="auto"/>
              </w:rPr>
            </w:pPr>
          </w:p>
        </w:tc>
        <w:tc>
          <w:tcPr>
            <w:tcW w:w="1000" w:type="dxa"/>
            <w:vAlign w:val="bottom"/>
            <w:shd w:val="clear" w:color="auto" w:fill="DCE2EF"/>
          </w:tcPr>
          <w:p>
            <w:pPr>
              <w:spacing w:after="0"/>
              <w:rPr>
                <w:sz w:val="17"/>
                <w:szCs w:val="17"/>
                <w:color w:val="auto"/>
              </w:rPr>
            </w:pPr>
          </w:p>
        </w:tc>
        <w:tc>
          <w:tcPr>
            <w:tcW w:w="960" w:type="dxa"/>
            <w:vAlign w:val="bottom"/>
            <w:shd w:val="clear" w:color="auto" w:fill="DCE2EF"/>
          </w:tcPr>
          <w:p>
            <w:pPr>
              <w:spacing w:after="0"/>
              <w:rPr>
                <w:sz w:val="17"/>
                <w:szCs w:val="17"/>
                <w:color w:val="auto"/>
              </w:rPr>
            </w:pPr>
          </w:p>
        </w:tc>
        <w:tc>
          <w:tcPr>
            <w:tcW w:w="100" w:type="dxa"/>
            <w:vAlign w:val="bottom"/>
            <w:shd w:val="clear" w:color="auto" w:fill="DCE2EF"/>
          </w:tcPr>
          <w:p>
            <w:pPr>
              <w:spacing w:after="0"/>
              <w:rPr>
                <w:sz w:val="17"/>
                <w:szCs w:val="17"/>
                <w:color w:val="auto"/>
              </w:rPr>
            </w:pPr>
          </w:p>
        </w:tc>
        <w:tc>
          <w:tcPr>
            <w:tcW w:w="280" w:type="dxa"/>
            <w:vAlign w:val="bottom"/>
            <w:shd w:val="clear" w:color="auto" w:fill="DCE2EF"/>
          </w:tcPr>
          <w:p>
            <w:pPr>
              <w:spacing w:after="0"/>
              <w:rPr>
                <w:sz w:val="17"/>
                <w:szCs w:val="17"/>
                <w:color w:val="auto"/>
              </w:rPr>
            </w:pPr>
          </w:p>
        </w:tc>
        <w:tc>
          <w:tcPr>
            <w:tcW w:w="1020" w:type="dxa"/>
            <w:vAlign w:val="bottom"/>
            <w:shd w:val="clear" w:color="auto" w:fill="DCE2EF"/>
          </w:tcPr>
          <w:p>
            <w:pPr>
              <w:spacing w:after="0"/>
              <w:rPr>
                <w:sz w:val="17"/>
                <w:szCs w:val="17"/>
                <w:color w:val="auto"/>
              </w:rPr>
            </w:pPr>
          </w:p>
        </w:tc>
        <w:tc>
          <w:tcPr>
            <w:tcW w:w="680" w:type="dxa"/>
            <w:vAlign w:val="bottom"/>
            <w:shd w:val="clear" w:color="auto" w:fill="DCE2EF"/>
          </w:tcPr>
          <w:p>
            <w:pPr>
              <w:spacing w:after="0"/>
              <w:rPr>
                <w:sz w:val="17"/>
                <w:szCs w:val="17"/>
                <w:color w:val="auto"/>
              </w:rPr>
            </w:pPr>
          </w:p>
        </w:tc>
      </w:tr>
      <w:tr>
        <w:trPr>
          <w:trHeight w:val="219"/>
        </w:trPr>
        <w:tc>
          <w:tcPr>
            <w:tcW w:w="20" w:type="dxa"/>
            <w:vAlign w:val="bottom"/>
          </w:tcPr>
          <w:p>
            <w:pPr>
              <w:spacing w:after="0"/>
              <w:rPr>
                <w:sz w:val="19"/>
                <w:szCs w:val="19"/>
                <w:color w:val="auto"/>
              </w:rPr>
            </w:pPr>
          </w:p>
        </w:tc>
        <w:tc>
          <w:tcPr>
            <w:tcW w:w="3620" w:type="dxa"/>
            <w:vAlign w:val="bottom"/>
            <w:gridSpan w:val="5"/>
          </w:tcPr>
          <w:p>
            <w:pPr>
              <w:ind w:left="200"/>
              <w:spacing w:after="0"/>
              <w:rPr>
                <w:sz w:val="20"/>
                <w:szCs w:val="20"/>
                <w:color w:val="auto"/>
              </w:rPr>
            </w:pPr>
            <w:r>
              <w:rPr>
                <w:rFonts w:ascii="Arial" w:cs="Arial" w:eastAsia="Arial" w:hAnsi="Arial"/>
                <w:sz w:val="17"/>
                <w:szCs w:val="17"/>
                <w:color w:val="auto"/>
              </w:rPr>
              <w:t>Operating cash flows from operating leases</w:t>
            </w:r>
          </w:p>
        </w:tc>
        <w:tc>
          <w:tcPr>
            <w:tcW w:w="1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0" w:type="dxa"/>
            <w:vAlign w:val="bottom"/>
          </w:tcPr>
          <w:p>
            <w:pPr>
              <w:jc w:val="right"/>
              <w:ind w:right="814"/>
              <w:spacing w:after="0"/>
              <w:rPr>
                <w:sz w:val="20"/>
                <w:szCs w:val="20"/>
                <w:color w:val="auto"/>
              </w:rPr>
            </w:pPr>
            <w:r>
              <w:rPr>
                <w:rFonts w:ascii="Arial" w:cs="Arial" w:eastAsia="Arial" w:hAnsi="Arial"/>
                <w:sz w:val="17"/>
                <w:szCs w:val="17"/>
                <w:color w:val="auto"/>
                <w:w w:val="84"/>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34.0</w:t>
            </w:r>
          </w:p>
        </w:tc>
        <w:tc>
          <w:tcPr>
            <w:tcW w:w="3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35.3</w:t>
            </w:r>
          </w:p>
        </w:tc>
      </w:tr>
      <w:tr>
        <w:trPr>
          <w:trHeight w:val="219"/>
        </w:trPr>
        <w:tc>
          <w:tcPr>
            <w:tcW w:w="20" w:type="dxa"/>
            <w:vAlign w:val="bottom"/>
            <w:shd w:val="clear" w:color="auto" w:fill="DCE2EF"/>
          </w:tcPr>
          <w:p>
            <w:pPr>
              <w:spacing w:after="0"/>
              <w:rPr>
                <w:sz w:val="19"/>
                <w:szCs w:val="19"/>
                <w:color w:val="auto"/>
              </w:rPr>
            </w:pPr>
          </w:p>
        </w:tc>
        <w:tc>
          <w:tcPr>
            <w:tcW w:w="3620" w:type="dxa"/>
            <w:vAlign w:val="bottom"/>
            <w:gridSpan w:val="5"/>
            <w:shd w:val="clear" w:color="auto" w:fill="DCE2EF"/>
          </w:tcPr>
          <w:p>
            <w:pPr>
              <w:ind w:left="200"/>
              <w:spacing w:after="0"/>
              <w:rPr>
                <w:sz w:val="20"/>
                <w:szCs w:val="20"/>
                <w:color w:val="auto"/>
              </w:rPr>
            </w:pPr>
            <w:r>
              <w:rPr>
                <w:rFonts w:ascii="Arial" w:cs="Arial" w:eastAsia="Arial" w:hAnsi="Arial"/>
                <w:sz w:val="17"/>
                <w:szCs w:val="17"/>
                <w:color w:val="auto"/>
              </w:rPr>
              <w:t>Operating cash flows from finance leases</w:t>
            </w:r>
          </w:p>
        </w:tc>
        <w:tc>
          <w:tcPr>
            <w:tcW w:w="1280" w:type="dxa"/>
            <w:vAlign w:val="bottom"/>
            <w:shd w:val="clear" w:color="auto" w:fill="DCE2EF"/>
          </w:tcPr>
          <w:p>
            <w:pPr>
              <w:spacing w:after="0"/>
              <w:rPr>
                <w:sz w:val="19"/>
                <w:szCs w:val="19"/>
                <w:color w:val="auto"/>
              </w:rPr>
            </w:pPr>
          </w:p>
        </w:tc>
        <w:tc>
          <w:tcPr>
            <w:tcW w:w="660" w:type="dxa"/>
            <w:vAlign w:val="bottom"/>
            <w:shd w:val="clear" w:color="auto" w:fill="DCE2EF"/>
          </w:tcPr>
          <w:p>
            <w:pPr>
              <w:spacing w:after="0"/>
              <w:rPr>
                <w:sz w:val="19"/>
                <w:szCs w:val="19"/>
                <w:color w:val="auto"/>
              </w:rPr>
            </w:pPr>
          </w:p>
        </w:tc>
        <w:tc>
          <w:tcPr>
            <w:tcW w:w="560" w:type="dxa"/>
            <w:vAlign w:val="bottom"/>
            <w:shd w:val="clear" w:color="auto" w:fill="DCE2EF"/>
          </w:tcPr>
          <w:p>
            <w:pPr>
              <w:spacing w:after="0"/>
              <w:rPr>
                <w:sz w:val="19"/>
                <w:szCs w:val="19"/>
                <w:color w:val="auto"/>
              </w:rPr>
            </w:pPr>
          </w:p>
        </w:tc>
        <w:tc>
          <w:tcPr>
            <w:tcW w:w="1060" w:type="dxa"/>
            <w:vAlign w:val="bottom"/>
            <w:shd w:val="clear" w:color="auto" w:fill="DCE2EF"/>
          </w:tcPr>
          <w:p>
            <w:pPr>
              <w:spacing w:after="0"/>
              <w:rPr>
                <w:sz w:val="19"/>
                <w:szCs w:val="19"/>
                <w:color w:val="auto"/>
              </w:rPr>
            </w:pPr>
          </w:p>
        </w:tc>
        <w:tc>
          <w:tcPr>
            <w:tcW w:w="1000" w:type="dxa"/>
            <w:vAlign w:val="bottom"/>
            <w:shd w:val="clear" w:color="auto" w:fill="DCE2EF"/>
          </w:tcPr>
          <w:p>
            <w:pPr>
              <w:spacing w:after="0"/>
              <w:rPr>
                <w:sz w:val="19"/>
                <w:szCs w:val="19"/>
                <w:color w:val="auto"/>
              </w:rPr>
            </w:pPr>
          </w:p>
        </w:tc>
        <w:tc>
          <w:tcPr>
            <w:tcW w:w="960" w:type="dxa"/>
            <w:vAlign w:val="bottom"/>
            <w:shd w:val="clear" w:color="auto" w:fill="DCE2EF"/>
          </w:tcPr>
          <w:p>
            <w:pPr>
              <w:jc w:val="right"/>
              <w:spacing w:after="0"/>
              <w:rPr>
                <w:sz w:val="20"/>
                <w:szCs w:val="20"/>
                <w:color w:val="auto"/>
              </w:rPr>
            </w:pPr>
            <w:r>
              <w:rPr>
                <w:rFonts w:ascii="Arial" w:cs="Arial" w:eastAsia="Arial" w:hAnsi="Arial"/>
                <w:sz w:val="17"/>
                <w:szCs w:val="17"/>
                <w:color w:val="auto"/>
              </w:rPr>
              <w:t>1.0</w:t>
            </w:r>
          </w:p>
        </w:tc>
        <w:tc>
          <w:tcPr>
            <w:tcW w:w="100" w:type="dxa"/>
            <w:vAlign w:val="bottom"/>
            <w:shd w:val="clear" w:color="auto" w:fill="DCE2EF"/>
          </w:tcPr>
          <w:p>
            <w:pPr>
              <w:spacing w:after="0"/>
              <w:rPr>
                <w:sz w:val="19"/>
                <w:szCs w:val="19"/>
                <w:color w:val="auto"/>
              </w:rPr>
            </w:pPr>
          </w:p>
        </w:tc>
        <w:tc>
          <w:tcPr>
            <w:tcW w:w="280" w:type="dxa"/>
            <w:vAlign w:val="bottom"/>
            <w:shd w:val="clear" w:color="auto" w:fill="DCE2EF"/>
          </w:tcPr>
          <w:p>
            <w:pPr>
              <w:spacing w:after="0"/>
              <w:rPr>
                <w:sz w:val="19"/>
                <w:szCs w:val="19"/>
                <w:color w:val="auto"/>
              </w:rPr>
            </w:pPr>
          </w:p>
        </w:tc>
        <w:tc>
          <w:tcPr>
            <w:tcW w:w="1020" w:type="dxa"/>
            <w:vAlign w:val="bottom"/>
            <w:shd w:val="clear" w:color="auto" w:fill="DCE2EF"/>
          </w:tcPr>
          <w:p>
            <w:pPr>
              <w:spacing w:after="0"/>
              <w:rPr>
                <w:sz w:val="19"/>
                <w:szCs w:val="19"/>
                <w:color w:val="auto"/>
              </w:rPr>
            </w:pPr>
          </w:p>
        </w:tc>
        <w:tc>
          <w:tcPr>
            <w:tcW w:w="680" w:type="dxa"/>
            <w:vAlign w:val="bottom"/>
            <w:shd w:val="clear" w:color="auto" w:fill="DCE2EF"/>
          </w:tcPr>
          <w:p>
            <w:pPr>
              <w:jc w:val="right"/>
              <w:spacing w:after="0"/>
              <w:rPr>
                <w:sz w:val="20"/>
                <w:szCs w:val="20"/>
                <w:color w:val="auto"/>
              </w:rPr>
            </w:pPr>
            <w:r>
              <w:rPr>
                <w:rFonts w:ascii="Arial" w:cs="Arial" w:eastAsia="Arial" w:hAnsi="Arial"/>
                <w:sz w:val="17"/>
                <w:szCs w:val="17"/>
                <w:color w:val="auto"/>
              </w:rPr>
              <w:t>1.1</w:t>
            </w:r>
          </w:p>
        </w:tc>
      </w:tr>
      <w:tr>
        <w:trPr>
          <w:trHeight w:val="219"/>
        </w:trPr>
        <w:tc>
          <w:tcPr>
            <w:tcW w:w="20" w:type="dxa"/>
            <w:vAlign w:val="bottom"/>
          </w:tcPr>
          <w:p>
            <w:pPr>
              <w:spacing w:after="0"/>
              <w:rPr>
                <w:sz w:val="19"/>
                <w:szCs w:val="19"/>
                <w:color w:val="auto"/>
              </w:rPr>
            </w:pPr>
          </w:p>
        </w:tc>
        <w:tc>
          <w:tcPr>
            <w:tcW w:w="3620" w:type="dxa"/>
            <w:vAlign w:val="bottom"/>
            <w:gridSpan w:val="5"/>
          </w:tcPr>
          <w:p>
            <w:pPr>
              <w:ind w:left="200"/>
              <w:spacing w:after="0"/>
              <w:rPr>
                <w:sz w:val="20"/>
                <w:szCs w:val="20"/>
                <w:color w:val="auto"/>
              </w:rPr>
            </w:pPr>
            <w:r>
              <w:rPr>
                <w:rFonts w:ascii="Arial" w:cs="Arial" w:eastAsia="Arial" w:hAnsi="Arial"/>
                <w:sz w:val="17"/>
                <w:szCs w:val="17"/>
                <w:color w:val="auto"/>
              </w:rPr>
              <w:t>Financing cash flows from finance leases</w:t>
            </w:r>
          </w:p>
        </w:tc>
        <w:tc>
          <w:tcPr>
            <w:tcW w:w="1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4.5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4.2</w:t>
            </w:r>
          </w:p>
        </w:tc>
      </w:tr>
      <w:tr>
        <w:trPr>
          <w:trHeight w:val="219"/>
        </w:trPr>
        <w:tc>
          <w:tcPr>
            <w:tcW w:w="20" w:type="dxa"/>
            <w:vAlign w:val="bottom"/>
            <w:shd w:val="clear" w:color="auto" w:fill="DCE2EF"/>
          </w:tcPr>
          <w:p>
            <w:pPr>
              <w:spacing w:after="0"/>
              <w:rPr>
                <w:sz w:val="19"/>
                <w:szCs w:val="19"/>
                <w:color w:val="auto"/>
              </w:rPr>
            </w:pPr>
          </w:p>
        </w:tc>
        <w:tc>
          <w:tcPr>
            <w:tcW w:w="5560" w:type="dxa"/>
            <w:vAlign w:val="bottom"/>
            <w:gridSpan w:val="7"/>
            <w:shd w:val="clear" w:color="auto" w:fill="DCE2EF"/>
          </w:tcPr>
          <w:p>
            <w:pPr>
              <w:ind w:left="40"/>
              <w:spacing w:after="0"/>
              <w:rPr>
                <w:sz w:val="20"/>
                <w:szCs w:val="20"/>
                <w:color w:val="auto"/>
              </w:rPr>
            </w:pPr>
            <w:r>
              <w:rPr>
                <w:rFonts w:ascii="Arial" w:cs="Arial" w:eastAsia="Arial" w:hAnsi="Arial"/>
                <w:sz w:val="17"/>
                <w:szCs w:val="17"/>
                <w:color w:val="auto"/>
              </w:rPr>
              <w:t>Lease assets obtained in exchange for new operating lease liabilities</w:t>
            </w:r>
          </w:p>
        </w:tc>
        <w:tc>
          <w:tcPr>
            <w:tcW w:w="560" w:type="dxa"/>
            <w:vAlign w:val="bottom"/>
            <w:shd w:val="clear" w:color="auto" w:fill="DCE2EF"/>
          </w:tcPr>
          <w:p>
            <w:pPr>
              <w:spacing w:after="0"/>
              <w:rPr>
                <w:sz w:val="19"/>
                <w:szCs w:val="19"/>
                <w:color w:val="auto"/>
              </w:rPr>
            </w:pPr>
          </w:p>
        </w:tc>
        <w:tc>
          <w:tcPr>
            <w:tcW w:w="1060" w:type="dxa"/>
            <w:vAlign w:val="bottom"/>
            <w:shd w:val="clear" w:color="auto" w:fill="DCE2EF"/>
          </w:tcPr>
          <w:p>
            <w:pPr>
              <w:spacing w:after="0"/>
              <w:rPr>
                <w:sz w:val="19"/>
                <w:szCs w:val="19"/>
                <w:color w:val="auto"/>
              </w:rPr>
            </w:pPr>
          </w:p>
        </w:tc>
        <w:tc>
          <w:tcPr>
            <w:tcW w:w="1000" w:type="dxa"/>
            <w:vAlign w:val="bottom"/>
            <w:shd w:val="clear" w:color="auto" w:fill="DCE2EF"/>
          </w:tcPr>
          <w:p>
            <w:pPr>
              <w:jc w:val="right"/>
              <w:ind w:right="814"/>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DCE2EF"/>
          </w:tcPr>
          <w:p>
            <w:pPr>
              <w:jc w:val="right"/>
              <w:spacing w:after="0"/>
              <w:rPr>
                <w:sz w:val="20"/>
                <w:szCs w:val="20"/>
                <w:color w:val="auto"/>
              </w:rPr>
            </w:pPr>
            <w:r>
              <w:rPr>
                <w:rFonts w:ascii="Arial" w:cs="Arial" w:eastAsia="Arial" w:hAnsi="Arial"/>
                <w:sz w:val="17"/>
                <w:szCs w:val="17"/>
                <w:color w:val="auto"/>
              </w:rPr>
              <w:t>20.5</w:t>
            </w:r>
          </w:p>
        </w:tc>
        <w:tc>
          <w:tcPr>
            <w:tcW w:w="100" w:type="dxa"/>
            <w:vAlign w:val="bottom"/>
            <w:shd w:val="clear" w:color="auto" w:fill="DCE2EF"/>
          </w:tcPr>
          <w:p>
            <w:pPr>
              <w:spacing w:after="0"/>
              <w:rPr>
                <w:sz w:val="19"/>
                <w:szCs w:val="19"/>
                <w:color w:val="auto"/>
              </w:rPr>
            </w:pPr>
          </w:p>
        </w:tc>
        <w:tc>
          <w:tcPr>
            <w:tcW w:w="280" w:type="dxa"/>
            <w:vAlign w:val="bottom"/>
            <w:shd w:val="clear" w:color="auto" w:fill="DCE2EF"/>
          </w:tcPr>
          <w:p>
            <w:pPr>
              <w:spacing w:after="0"/>
              <w:rPr>
                <w:sz w:val="19"/>
                <w:szCs w:val="19"/>
                <w:color w:val="auto"/>
              </w:rPr>
            </w:pPr>
          </w:p>
        </w:tc>
        <w:tc>
          <w:tcPr>
            <w:tcW w:w="1020" w:type="dxa"/>
            <w:vAlign w:val="bottom"/>
            <w:shd w:val="clear" w:color="auto" w:fill="DCE2EF"/>
          </w:tcPr>
          <w:p>
            <w:pPr>
              <w:spacing w:after="0"/>
              <w:rPr>
                <w:sz w:val="19"/>
                <w:szCs w:val="19"/>
                <w:color w:val="auto"/>
              </w:rPr>
            </w:pPr>
          </w:p>
        </w:tc>
        <w:tc>
          <w:tcPr>
            <w:tcW w:w="680" w:type="dxa"/>
            <w:vAlign w:val="bottom"/>
            <w:shd w:val="clear" w:color="auto" w:fill="DCE2EF"/>
          </w:tcPr>
          <w:p>
            <w:pPr>
              <w:jc w:val="right"/>
              <w:spacing w:after="0"/>
              <w:rPr>
                <w:sz w:val="20"/>
                <w:szCs w:val="20"/>
                <w:color w:val="auto"/>
              </w:rPr>
            </w:pPr>
            <w:r>
              <w:rPr>
                <w:rFonts w:ascii="Arial" w:cs="Arial" w:eastAsia="Arial" w:hAnsi="Arial"/>
                <w:sz w:val="17"/>
                <w:szCs w:val="17"/>
                <w:color w:val="auto"/>
              </w:rPr>
              <w:t>20.9</w:t>
            </w:r>
          </w:p>
        </w:tc>
      </w:tr>
    </w:tbl>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6. RESTRUCTURING AND RELATED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wp:posOffset>
            </wp:positionV>
            <wp:extent cx="712216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22160" cy="8255"/>
                    </a:xfrm>
                    <a:prstGeom prst="rect">
                      <a:avLst/>
                    </a:prstGeom>
                    <a:noFill/>
                  </pic:spPr>
                </pic:pic>
              </a:graphicData>
            </a:graphic>
          </wp:anchor>
        </w:drawing>
      </w:r>
    </w:p>
    <w:p>
      <w:pPr>
        <w:spacing w:after="0" w:line="302"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In the fourth quarter of 2025, we implemented a restructuring program to further streamline our operations and improve the efficiency of our support functions. This initiative is intended to enhance overall organizational effectiveness and ensure alignment between the Company’s cost structure and our strategic growth objectives. We recognized $13.4 million of restructuring charges during the fourth quarter of 2025, which includes employee severance, asset impairment charges, and other related costs. We continue to review our overhead and cost structure for additional efficiency opportunities under this program. We expect these actions to be completed by 2026.</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Rollforward of Restructuring and Related Liabilities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600" w:type="dxa"/>
            <w:vAlign w:val="bottom"/>
            <w:gridSpan w:val="3"/>
            <w:vMerge w:val="restart"/>
          </w:tcPr>
          <w:p>
            <w:pPr>
              <w:ind w:left="20"/>
              <w:spacing w:after="0"/>
              <w:rPr>
                <w:sz w:val="20"/>
                <w:szCs w:val="20"/>
                <w:color w:val="auto"/>
              </w:rPr>
            </w:pPr>
            <w:r>
              <w:rPr>
                <w:rFonts w:ascii="Arial" w:cs="Arial" w:eastAsia="Arial" w:hAnsi="Arial"/>
                <w:sz w:val="15"/>
                <w:szCs w:val="15"/>
                <w:i w:val="1"/>
                <w:iCs w:val="1"/>
                <w:color w:val="auto"/>
              </w:rPr>
              <w:t>(in millions)</w:t>
            </w:r>
          </w:p>
        </w:tc>
        <w:tc>
          <w:tcPr>
            <w:tcW w:w="200" w:type="dxa"/>
            <w:vAlign w:val="bottom"/>
          </w:tcPr>
          <w:p>
            <w:pPr>
              <w:spacing w:after="0"/>
              <w:rPr>
                <w:sz w:val="14"/>
                <w:szCs w:val="14"/>
                <w:color w:val="auto"/>
              </w:rPr>
            </w:pPr>
          </w:p>
        </w:tc>
        <w:tc>
          <w:tcPr>
            <w:tcW w:w="1240" w:type="dxa"/>
            <w:vAlign w:val="bottom"/>
            <w:gridSpan w:val="2"/>
          </w:tcPr>
          <w:p>
            <w:pPr>
              <w:ind w:left="100"/>
              <w:spacing w:after="0"/>
              <w:rPr>
                <w:sz w:val="20"/>
                <w:szCs w:val="20"/>
                <w:color w:val="auto"/>
              </w:rPr>
            </w:pPr>
            <w:r>
              <w:rPr>
                <w:rFonts w:ascii="Arial" w:cs="Arial" w:eastAsia="Arial" w:hAnsi="Arial"/>
                <w:sz w:val="15"/>
                <w:szCs w:val="15"/>
                <w:b w:val="1"/>
                <w:bCs w:val="1"/>
                <w:color w:val="auto"/>
              </w:rPr>
              <w:t>Employee</w:t>
            </w:r>
          </w:p>
        </w:tc>
        <w:tc>
          <w:tcPr>
            <w:tcW w:w="1440" w:type="dxa"/>
            <w:vAlign w:val="bottom"/>
            <w:gridSpan w:val="3"/>
            <w:vMerge w:val="restart"/>
          </w:tcPr>
          <w:p>
            <w:pPr>
              <w:ind w:left="20"/>
              <w:spacing w:after="0"/>
              <w:rPr>
                <w:sz w:val="20"/>
                <w:szCs w:val="20"/>
                <w:color w:val="auto"/>
              </w:rPr>
            </w:pPr>
            <w:r>
              <w:rPr>
                <w:rFonts w:ascii="Arial" w:cs="Arial" w:eastAsia="Arial" w:hAnsi="Arial"/>
                <w:sz w:val="15"/>
                <w:szCs w:val="15"/>
                <w:b w:val="1"/>
                <w:bCs w:val="1"/>
                <w:color w:val="auto"/>
              </w:rPr>
              <w:t>Asset Impairment</w:t>
            </w:r>
          </w:p>
        </w:tc>
        <w:tc>
          <w:tcPr>
            <w:tcW w:w="960" w:type="dxa"/>
            <w:vAlign w:val="bottom"/>
            <w:vMerge w:val="restart"/>
          </w:tcPr>
          <w:p>
            <w:pPr>
              <w:jc w:val="right"/>
              <w:ind w:right="3"/>
              <w:spacing w:after="0"/>
              <w:rPr>
                <w:sz w:val="20"/>
                <w:szCs w:val="20"/>
                <w:color w:val="auto"/>
              </w:rPr>
            </w:pPr>
            <w:r>
              <w:rPr>
                <w:rFonts w:ascii="Arial" w:cs="Arial" w:eastAsia="Arial" w:hAnsi="Arial"/>
                <w:sz w:val="15"/>
                <w:szCs w:val="15"/>
                <w:b w:val="1"/>
                <w:bCs w:val="1"/>
                <w:color w:val="auto"/>
              </w:rPr>
              <w:t>Other</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vMerge w:val="restart"/>
          </w:tcPr>
          <w:p>
            <w:pPr>
              <w:jc w:val="right"/>
              <w:ind w:right="403"/>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168"/>
        </w:trPr>
        <w:tc>
          <w:tcPr>
            <w:tcW w:w="560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gridSpan w:val="2"/>
          </w:tcPr>
          <w:p>
            <w:pPr>
              <w:ind w:left="80"/>
              <w:spacing w:after="0" w:line="168" w:lineRule="exact"/>
              <w:rPr>
                <w:sz w:val="20"/>
                <w:szCs w:val="20"/>
                <w:color w:val="auto"/>
              </w:rPr>
            </w:pPr>
            <w:r>
              <w:rPr>
                <w:rFonts w:ascii="Arial" w:cs="Arial" w:eastAsia="Arial" w:hAnsi="Arial"/>
                <w:sz w:val="15"/>
                <w:szCs w:val="15"/>
                <w:b w:val="1"/>
                <w:bCs w:val="1"/>
                <w:color w:val="auto"/>
              </w:rPr>
              <w:t>Severance</w:t>
            </w:r>
          </w:p>
        </w:tc>
        <w:tc>
          <w:tcPr>
            <w:tcW w:w="1440" w:type="dxa"/>
            <w:vAlign w:val="bottom"/>
            <w:gridSpan w:val="3"/>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DCE2EF"/>
            </w:tcBorders>
          </w:tcPr>
          <w:p>
            <w:pPr>
              <w:spacing w:after="0" w:line="20" w:lineRule="exact"/>
              <w:rPr>
                <w:sz w:val="1"/>
                <w:szCs w:val="1"/>
                <w:color w:val="auto"/>
              </w:rPr>
            </w:pPr>
          </w:p>
        </w:tc>
        <w:tc>
          <w:tcPr>
            <w:tcW w:w="780" w:type="dxa"/>
            <w:vAlign w:val="bottom"/>
            <w:tcBorders>
              <w:top w:val="single" w:sz="8" w:color="auto"/>
              <w:bottom w:val="single" w:sz="8" w:color="DCE2EF"/>
            </w:tcBorders>
          </w:tcPr>
          <w:p>
            <w:pPr>
              <w:spacing w:after="0" w:line="20" w:lineRule="exact"/>
              <w:rPr>
                <w:sz w:val="1"/>
                <w:szCs w:val="1"/>
                <w:color w:val="auto"/>
              </w:rPr>
            </w:pPr>
          </w:p>
        </w:tc>
        <w:tc>
          <w:tcPr>
            <w:tcW w:w="4800" w:type="dxa"/>
            <w:vAlign w:val="bottom"/>
            <w:tcBorders>
              <w:bottom w:val="single" w:sz="8" w:color="DCE2E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5600" w:type="dxa"/>
            <w:vAlign w:val="bottom"/>
            <w:gridSpan w:val="3"/>
            <w:shd w:val="clear" w:color="auto" w:fill="DCE2EF"/>
          </w:tcPr>
          <w:p>
            <w:pPr>
              <w:ind w:left="20"/>
              <w:spacing w:after="0"/>
              <w:rPr>
                <w:sz w:val="20"/>
                <w:szCs w:val="20"/>
                <w:color w:val="auto"/>
              </w:rPr>
            </w:pPr>
            <w:r>
              <w:rPr>
                <w:rFonts w:ascii="Arial" w:cs="Arial" w:eastAsia="Arial" w:hAnsi="Arial"/>
                <w:sz w:val="15"/>
                <w:szCs w:val="15"/>
                <w:b w:val="1"/>
                <w:bCs w:val="1"/>
                <w:color w:val="auto"/>
              </w:rPr>
              <w:t>Balance, October 31, 2024</w:t>
            </w:r>
          </w:p>
        </w:tc>
        <w:tc>
          <w:tcPr>
            <w:tcW w:w="200" w:type="dxa"/>
            <w:vAlign w:val="bottom"/>
            <w:shd w:val="clear" w:color="auto" w:fill="DCE2EF"/>
          </w:tcPr>
          <w:p>
            <w:pPr>
              <w:jc w:val="right"/>
              <w:ind w:right="23"/>
              <w:spacing w:after="0"/>
              <w:rPr>
                <w:sz w:val="20"/>
                <w:szCs w:val="20"/>
                <w:color w:val="auto"/>
              </w:rPr>
            </w:pPr>
            <w:r>
              <w:rPr>
                <w:rFonts w:ascii="Arial" w:cs="Arial" w:eastAsia="Arial" w:hAnsi="Arial"/>
                <w:sz w:val="15"/>
                <w:szCs w:val="15"/>
                <w:color w:val="auto"/>
                <w:w w:val="95"/>
              </w:rPr>
              <w:t>$</w:t>
            </w:r>
          </w:p>
        </w:tc>
        <w:tc>
          <w:tcPr>
            <w:tcW w:w="1240" w:type="dxa"/>
            <w:vAlign w:val="bottom"/>
            <w:gridSpan w:val="2"/>
            <w:shd w:val="clear" w:color="auto" w:fill="DCE2EF"/>
          </w:tcPr>
          <w:p>
            <w:pPr>
              <w:jc w:val="right"/>
              <w:ind w:right="160"/>
              <w:spacing w:after="0"/>
              <w:rPr>
                <w:sz w:val="20"/>
                <w:szCs w:val="20"/>
                <w:color w:val="auto"/>
              </w:rPr>
            </w:pPr>
            <w:r>
              <w:rPr>
                <w:rFonts w:ascii="Arial" w:cs="Arial" w:eastAsia="Arial" w:hAnsi="Arial"/>
                <w:sz w:val="15"/>
                <w:szCs w:val="15"/>
                <w:color w:val="auto"/>
              </w:rPr>
              <w:t>—</w:t>
            </w:r>
          </w:p>
        </w:tc>
        <w:tc>
          <w:tcPr>
            <w:tcW w:w="560" w:type="dxa"/>
            <w:vAlign w:val="bottom"/>
            <w:shd w:val="clear" w:color="auto" w:fill="DCE2EF"/>
          </w:tcPr>
          <w:p>
            <w:pPr>
              <w:ind w:left="20"/>
              <w:spacing w:after="0"/>
              <w:rPr>
                <w:sz w:val="20"/>
                <w:szCs w:val="20"/>
                <w:color w:val="auto"/>
              </w:rPr>
            </w:pPr>
            <w:r>
              <w:rPr>
                <w:rFonts w:ascii="Arial" w:cs="Arial" w:eastAsia="Arial" w:hAnsi="Arial"/>
                <w:sz w:val="15"/>
                <w:szCs w:val="15"/>
                <w:color w:val="auto"/>
              </w:rPr>
              <w:t>$</w:t>
            </w:r>
          </w:p>
        </w:tc>
        <w:tc>
          <w:tcPr>
            <w:tcW w:w="880" w:type="dxa"/>
            <w:vAlign w:val="bottom"/>
            <w:gridSpan w:val="2"/>
            <w:shd w:val="clear" w:color="auto" w:fill="DCE2EF"/>
          </w:tcPr>
          <w:p>
            <w:pPr>
              <w:ind w:left="560"/>
              <w:spacing w:after="0"/>
              <w:rPr>
                <w:sz w:val="20"/>
                <w:szCs w:val="20"/>
                <w:color w:val="auto"/>
              </w:rPr>
            </w:pPr>
            <w:r>
              <w:rPr>
                <w:rFonts w:ascii="Arial" w:cs="Arial" w:eastAsia="Arial" w:hAnsi="Arial"/>
                <w:sz w:val="15"/>
                <w:szCs w:val="15"/>
                <w:color w:val="auto"/>
              </w:rPr>
              <w:t>—</w:t>
            </w:r>
          </w:p>
        </w:tc>
        <w:tc>
          <w:tcPr>
            <w:tcW w:w="960" w:type="dxa"/>
            <w:vAlign w:val="bottom"/>
            <w:shd w:val="clear" w:color="auto" w:fill="DCE2EF"/>
          </w:tcPr>
          <w:p>
            <w:pPr>
              <w:jc w:val="right"/>
              <w:ind w:right="783"/>
              <w:spacing w:after="0"/>
              <w:rPr>
                <w:sz w:val="20"/>
                <w:szCs w:val="20"/>
                <w:color w:val="auto"/>
              </w:rPr>
            </w:pPr>
            <w:r>
              <w:rPr>
                <w:rFonts w:ascii="Arial" w:cs="Arial" w:eastAsia="Arial" w:hAnsi="Arial"/>
                <w:sz w:val="15"/>
                <w:szCs w:val="15"/>
                <w:color w:val="auto"/>
                <w:w w:val="95"/>
              </w:rPr>
              <w:t>$</w:t>
            </w:r>
          </w:p>
        </w:tc>
        <w:tc>
          <w:tcPr>
            <w:tcW w:w="480" w:type="dxa"/>
            <w:vAlign w:val="bottom"/>
            <w:gridSpan w:val="2"/>
            <w:shd w:val="clear" w:color="auto" w:fill="DCE2EF"/>
          </w:tcPr>
          <w:p>
            <w:pPr>
              <w:jc w:val="right"/>
              <w:ind w:right="180"/>
              <w:spacing w:after="0"/>
              <w:rPr>
                <w:sz w:val="20"/>
                <w:szCs w:val="20"/>
                <w:color w:val="auto"/>
              </w:rPr>
            </w:pPr>
            <w:r>
              <w:rPr>
                <w:rFonts w:ascii="Arial" w:cs="Arial" w:eastAsia="Arial" w:hAnsi="Arial"/>
                <w:sz w:val="15"/>
                <w:szCs w:val="15"/>
                <w:color w:val="auto"/>
              </w:rPr>
              <w:t>—</w:t>
            </w:r>
          </w:p>
        </w:tc>
        <w:tc>
          <w:tcPr>
            <w:tcW w:w="300" w:type="dxa"/>
            <w:vAlign w:val="bottom"/>
            <w:shd w:val="clear" w:color="auto" w:fill="DCE2EF"/>
          </w:tcPr>
          <w:p>
            <w:pPr>
              <w:jc w:val="right"/>
              <w:ind w:right="123"/>
              <w:spacing w:after="0"/>
              <w:rPr>
                <w:sz w:val="20"/>
                <w:szCs w:val="20"/>
                <w:color w:val="auto"/>
              </w:rPr>
            </w:pPr>
            <w:r>
              <w:rPr>
                <w:rFonts w:ascii="Arial" w:cs="Arial" w:eastAsia="Arial" w:hAnsi="Arial"/>
                <w:sz w:val="15"/>
                <w:szCs w:val="15"/>
                <w:color w:val="auto"/>
                <w:w w:val="95"/>
              </w:rPr>
              <w:t>$</w:t>
            </w:r>
          </w:p>
        </w:tc>
        <w:tc>
          <w:tcPr>
            <w:tcW w:w="1020" w:type="dxa"/>
            <w:vAlign w:val="bottom"/>
            <w:shd w:val="clear" w:color="auto" w:fill="DCE2E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580" w:type="dxa"/>
            <w:vAlign w:val="bottom"/>
            <w:gridSpan w:val="2"/>
          </w:tcPr>
          <w:p>
            <w:pPr>
              <w:ind w:left="120"/>
              <w:spacing w:after="0" w:line="207" w:lineRule="exact"/>
              <w:rPr>
                <w:sz w:val="20"/>
                <w:szCs w:val="20"/>
                <w:color w:val="auto"/>
              </w:rPr>
            </w:pPr>
            <w:r>
              <w:rPr>
                <w:rFonts w:ascii="Arial" w:cs="Arial" w:eastAsia="Arial" w:hAnsi="Arial"/>
                <w:sz w:val="15"/>
                <w:szCs w:val="15"/>
                <w:color w:val="auto"/>
              </w:rPr>
              <w:t>Costs recognized</w:t>
            </w:r>
            <w:r>
              <w:rPr>
                <w:rFonts w:ascii="Arial" w:cs="Arial" w:eastAsia="Arial" w:hAnsi="Arial"/>
                <w:sz w:val="20"/>
                <w:szCs w:val="20"/>
                <w:color w:val="auto"/>
                <w:vertAlign w:val="superscript"/>
              </w:rPr>
              <w:t>(1)</w:t>
            </w:r>
          </w:p>
        </w:tc>
        <w:tc>
          <w:tcPr>
            <w:tcW w:w="2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10.4</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80" w:type="dxa"/>
            <w:vAlign w:val="bottom"/>
          </w:tcPr>
          <w:p>
            <w:pPr>
              <w:ind w:left="560"/>
              <w:spacing w:after="0"/>
              <w:rPr>
                <w:sz w:val="20"/>
                <w:szCs w:val="20"/>
                <w:color w:val="auto"/>
              </w:rPr>
            </w:pPr>
            <w:r>
              <w:rPr>
                <w:rFonts w:ascii="Arial" w:cs="Arial" w:eastAsia="Arial" w:hAnsi="Arial"/>
                <w:sz w:val="15"/>
                <w:szCs w:val="15"/>
                <w:color w:val="auto"/>
                <w:w w:val="95"/>
              </w:rPr>
              <w:t>2.8</w:t>
            </w: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5"/>
                <w:szCs w:val="15"/>
                <w:color w:val="auto"/>
              </w:rPr>
              <w:t>0.2</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13.4</w:t>
            </w:r>
          </w:p>
        </w:tc>
        <w:tc>
          <w:tcPr>
            <w:tcW w:w="0" w:type="dxa"/>
            <w:vAlign w:val="bottom"/>
          </w:tcPr>
          <w:p>
            <w:pPr>
              <w:spacing w:after="0"/>
              <w:rPr>
                <w:sz w:val="1"/>
                <w:szCs w:val="1"/>
                <w:color w:val="auto"/>
              </w:rPr>
            </w:pPr>
          </w:p>
        </w:tc>
      </w:tr>
      <w:tr>
        <w:trPr>
          <w:trHeight w:val="206"/>
        </w:trPr>
        <w:tc>
          <w:tcPr>
            <w:tcW w:w="20" w:type="dxa"/>
            <w:vAlign w:val="bottom"/>
            <w:shd w:val="clear" w:color="auto" w:fill="DCE2EF"/>
          </w:tcPr>
          <w:p>
            <w:pPr>
              <w:spacing w:after="0"/>
              <w:rPr>
                <w:sz w:val="17"/>
                <w:szCs w:val="17"/>
                <w:color w:val="auto"/>
              </w:rPr>
            </w:pPr>
          </w:p>
        </w:tc>
        <w:tc>
          <w:tcPr>
            <w:tcW w:w="5580" w:type="dxa"/>
            <w:vAlign w:val="bottom"/>
            <w:gridSpan w:val="2"/>
            <w:shd w:val="clear" w:color="auto" w:fill="DCE2EF"/>
          </w:tcPr>
          <w:p>
            <w:pPr>
              <w:ind w:left="120"/>
              <w:spacing w:after="0"/>
              <w:rPr>
                <w:sz w:val="20"/>
                <w:szCs w:val="20"/>
                <w:color w:val="auto"/>
              </w:rPr>
            </w:pPr>
            <w:r>
              <w:rPr>
                <w:rFonts w:ascii="Arial" w:cs="Arial" w:eastAsia="Arial" w:hAnsi="Arial"/>
                <w:sz w:val="15"/>
                <w:szCs w:val="15"/>
                <w:color w:val="auto"/>
              </w:rPr>
              <w:t>Payments</w:t>
            </w:r>
          </w:p>
        </w:tc>
        <w:tc>
          <w:tcPr>
            <w:tcW w:w="200" w:type="dxa"/>
            <w:vAlign w:val="bottom"/>
            <w:shd w:val="clear" w:color="auto" w:fill="DCE2EF"/>
          </w:tcPr>
          <w:p>
            <w:pPr>
              <w:spacing w:after="0"/>
              <w:rPr>
                <w:sz w:val="17"/>
                <w:szCs w:val="17"/>
                <w:color w:val="auto"/>
              </w:rPr>
            </w:pPr>
          </w:p>
        </w:tc>
        <w:tc>
          <w:tcPr>
            <w:tcW w:w="1140" w:type="dxa"/>
            <w:vAlign w:val="bottom"/>
            <w:shd w:val="clear" w:color="auto" w:fill="DCE2EF"/>
          </w:tcPr>
          <w:p>
            <w:pPr>
              <w:jc w:val="right"/>
              <w:spacing w:after="0"/>
              <w:rPr>
                <w:sz w:val="20"/>
                <w:szCs w:val="20"/>
                <w:color w:val="auto"/>
              </w:rPr>
            </w:pPr>
            <w:r>
              <w:rPr>
                <w:rFonts w:ascii="Arial" w:cs="Arial" w:eastAsia="Arial" w:hAnsi="Arial"/>
                <w:sz w:val="15"/>
                <w:szCs w:val="15"/>
                <w:color w:val="auto"/>
              </w:rPr>
              <w:t>(7.0)</w:t>
            </w:r>
          </w:p>
        </w:tc>
        <w:tc>
          <w:tcPr>
            <w:tcW w:w="100" w:type="dxa"/>
            <w:vAlign w:val="bottom"/>
            <w:shd w:val="clear" w:color="auto" w:fill="DCE2EF"/>
          </w:tcPr>
          <w:p>
            <w:pPr>
              <w:spacing w:after="0"/>
              <w:rPr>
                <w:sz w:val="17"/>
                <w:szCs w:val="17"/>
                <w:color w:val="auto"/>
              </w:rPr>
            </w:pPr>
          </w:p>
        </w:tc>
        <w:tc>
          <w:tcPr>
            <w:tcW w:w="560" w:type="dxa"/>
            <w:vAlign w:val="bottom"/>
            <w:shd w:val="clear" w:color="auto" w:fill="DCE2EF"/>
          </w:tcPr>
          <w:p>
            <w:pPr>
              <w:spacing w:after="0"/>
              <w:rPr>
                <w:sz w:val="17"/>
                <w:szCs w:val="17"/>
                <w:color w:val="auto"/>
              </w:rPr>
            </w:pPr>
          </w:p>
        </w:tc>
        <w:tc>
          <w:tcPr>
            <w:tcW w:w="880" w:type="dxa"/>
            <w:vAlign w:val="bottom"/>
            <w:gridSpan w:val="2"/>
            <w:shd w:val="clear" w:color="auto" w:fill="DCE2EF"/>
          </w:tcPr>
          <w:p>
            <w:pPr>
              <w:ind w:left="560"/>
              <w:spacing w:after="0"/>
              <w:rPr>
                <w:sz w:val="20"/>
                <w:szCs w:val="20"/>
                <w:color w:val="auto"/>
              </w:rPr>
            </w:pPr>
            <w:r>
              <w:rPr>
                <w:rFonts w:ascii="Arial" w:cs="Arial" w:eastAsia="Arial" w:hAnsi="Arial"/>
                <w:sz w:val="15"/>
                <w:szCs w:val="15"/>
                <w:color w:val="auto"/>
              </w:rPr>
              <w:t>—</w:t>
            </w:r>
          </w:p>
        </w:tc>
        <w:tc>
          <w:tcPr>
            <w:tcW w:w="960" w:type="dxa"/>
            <w:vAlign w:val="bottom"/>
            <w:shd w:val="clear" w:color="auto" w:fill="DCE2EF"/>
          </w:tcPr>
          <w:p>
            <w:pPr>
              <w:spacing w:after="0"/>
              <w:rPr>
                <w:sz w:val="17"/>
                <w:szCs w:val="17"/>
                <w:color w:val="auto"/>
              </w:rPr>
            </w:pPr>
          </w:p>
        </w:tc>
        <w:tc>
          <w:tcPr>
            <w:tcW w:w="480" w:type="dxa"/>
            <w:vAlign w:val="bottom"/>
            <w:gridSpan w:val="2"/>
            <w:shd w:val="clear" w:color="auto" w:fill="DCE2EF"/>
          </w:tcPr>
          <w:p>
            <w:pPr>
              <w:jc w:val="right"/>
              <w:ind w:right="180"/>
              <w:spacing w:after="0"/>
              <w:rPr>
                <w:sz w:val="20"/>
                <w:szCs w:val="20"/>
                <w:color w:val="auto"/>
              </w:rPr>
            </w:pPr>
            <w:r>
              <w:rPr>
                <w:rFonts w:ascii="Arial" w:cs="Arial" w:eastAsia="Arial" w:hAnsi="Arial"/>
                <w:sz w:val="15"/>
                <w:szCs w:val="15"/>
                <w:color w:val="auto"/>
              </w:rPr>
              <w:t>—</w:t>
            </w:r>
          </w:p>
        </w:tc>
        <w:tc>
          <w:tcPr>
            <w:tcW w:w="300" w:type="dxa"/>
            <w:vAlign w:val="bottom"/>
            <w:shd w:val="clear" w:color="auto" w:fill="DCE2EF"/>
          </w:tcPr>
          <w:p>
            <w:pPr>
              <w:spacing w:after="0"/>
              <w:rPr>
                <w:sz w:val="17"/>
                <w:szCs w:val="17"/>
                <w:color w:val="auto"/>
              </w:rPr>
            </w:pPr>
          </w:p>
        </w:tc>
        <w:tc>
          <w:tcPr>
            <w:tcW w:w="1020" w:type="dxa"/>
            <w:vAlign w:val="bottom"/>
            <w:shd w:val="clear" w:color="auto" w:fill="DCE2EF"/>
          </w:tcPr>
          <w:p>
            <w:pPr>
              <w:jc w:val="right"/>
              <w:spacing w:after="0"/>
              <w:rPr>
                <w:sz w:val="20"/>
                <w:szCs w:val="20"/>
                <w:color w:val="auto"/>
              </w:rPr>
            </w:pPr>
            <w:r>
              <w:rPr>
                <w:rFonts w:ascii="Arial" w:cs="Arial" w:eastAsia="Arial" w:hAnsi="Arial"/>
                <w:sz w:val="15"/>
                <w:szCs w:val="15"/>
                <w:color w:val="auto"/>
              </w:rPr>
              <w:t>(7.0)</w:t>
            </w:r>
          </w:p>
        </w:tc>
        <w:tc>
          <w:tcPr>
            <w:tcW w:w="0" w:type="dxa"/>
            <w:vAlign w:val="bottom"/>
          </w:tcPr>
          <w:p>
            <w:pPr>
              <w:spacing w:after="0"/>
              <w:rPr>
                <w:sz w:val="1"/>
                <w:szCs w:val="1"/>
                <w:color w:val="auto"/>
              </w:rPr>
            </w:pPr>
          </w:p>
        </w:tc>
      </w:tr>
      <w:tr>
        <w:trPr>
          <w:trHeight w:val="205"/>
        </w:trPr>
        <w:tc>
          <w:tcPr>
            <w:tcW w:w="20" w:type="dxa"/>
            <w:vAlign w:val="bottom"/>
            <w:tcBorders>
              <w:bottom w:val="single" w:sz="8" w:color="DCE2EF"/>
            </w:tcBorders>
          </w:tcPr>
          <w:p>
            <w:pPr>
              <w:spacing w:after="0"/>
              <w:rPr>
                <w:sz w:val="17"/>
                <w:szCs w:val="17"/>
                <w:color w:val="auto"/>
              </w:rPr>
            </w:pPr>
          </w:p>
        </w:tc>
        <w:tc>
          <w:tcPr>
            <w:tcW w:w="5580" w:type="dxa"/>
            <w:vAlign w:val="bottom"/>
            <w:tcBorders>
              <w:bottom w:val="single" w:sz="8" w:color="DCE2EF"/>
            </w:tcBorders>
            <w:gridSpan w:val="2"/>
          </w:tcPr>
          <w:p>
            <w:pPr>
              <w:ind w:left="120"/>
              <w:spacing w:after="0"/>
              <w:rPr>
                <w:sz w:val="20"/>
                <w:szCs w:val="20"/>
                <w:color w:val="auto"/>
              </w:rPr>
            </w:pPr>
            <w:r>
              <w:rPr>
                <w:rFonts w:ascii="Arial" w:cs="Arial" w:eastAsia="Arial" w:hAnsi="Arial"/>
                <w:sz w:val="15"/>
                <w:szCs w:val="15"/>
                <w:color w:val="auto"/>
              </w:rPr>
              <w:t>Non-cash items</w:t>
            </w:r>
          </w:p>
        </w:tc>
        <w:tc>
          <w:tcPr>
            <w:tcW w:w="2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DCE2E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ind w:left="440"/>
              <w:spacing w:after="0"/>
              <w:rPr>
                <w:sz w:val="20"/>
                <w:szCs w:val="20"/>
                <w:color w:val="auto"/>
              </w:rPr>
            </w:pPr>
            <w:r>
              <w:rPr>
                <w:rFonts w:ascii="Arial" w:cs="Arial" w:eastAsia="Arial" w:hAnsi="Arial"/>
                <w:sz w:val="15"/>
                <w:szCs w:val="15"/>
                <w:color w:val="auto"/>
              </w:rPr>
              <w:t>(2.8)</w:t>
            </w:r>
          </w:p>
        </w:tc>
        <w:tc>
          <w:tcPr>
            <w:tcW w:w="100" w:type="dxa"/>
            <w:vAlign w:val="bottom"/>
            <w:tcBorders>
              <w:bottom w:val="single" w:sz="8" w:color="DCE2EF"/>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DCE2E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(2.8)</w:t>
            </w:r>
          </w:p>
        </w:tc>
        <w:tc>
          <w:tcPr>
            <w:tcW w:w="0" w:type="dxa"/>
            <w:vAlign w:val="bottom"/>
          </w:tcPr>
          <w:p>
            <w:pPr>
              <w:spacing w:after="0"/>
              <w:rPr>
                <w:sz w:val="1"/>
                <w:szCs w:val="1"/>
                <w:color w:val="auto"/>
              </w:rPr>
            </w:pPr>
          </w:p>
        </w:tc>
      </w:tr>
      <w:tr>
        <w:trPr>
          <w:trHeight w:val="200"/>
        </w:trPr>
        <w:tc>
          <w:tcPr>
            <w:tcW w:w="5600" w:type="dxa"/>
            <w:vAlign w:val="bottom"/>
            <w:gridSpan w:val="3"/>
            <w:shd w:val="clear" w:color="auto" w:fill="DCE2EF"/>
          </w:tcPr>
          <w:p>
            <w:pPr>
              <w:ind w:left="20"/>
              <w:spacing w:after="0"/>
              <w:rPr>
                <w:sz w:val="20"/>
                <w:szCs w:val="20"/>
                <w:color w:val="auto"/>
              </w:rPr>
            </w:pPr>
            <w:r>
              <w:rPr>
                <w:rFonts w:ascii="Arial" w:cs="Arial" w:eastAsia="Arial" w:hAnsi="Arial"/>
                <w:sz w:val="15"/>
                <w:szCs w:val="15"/>
                <w:b w:val="1"/>
                <w:bCs w:val="1"/>
                <w:color w:val="auto"/>
              </w:rPr>
              <w:t>Balance, October 31, 2025</w:t>
            </w:r>
          </w:p>
        </w:tc>
        <w:tc>
          <w:tcPr>
            <w:tcW w:w="200" w:type="dxa"/>
            <w:vAlign w:val="bottom"/>
            <w:shd w:val="clear" w:color="auto" w:fill="DCE2EF"/>
          </w:tcPr>
          <w:p>
            <w:pPr>
              <w:jc w:val="right"/>
              <w:ind w:right="23"/>
              <w:spacing w:after="0"/>
              <w:rPr>
                <w:sz w:val="20"/>
                <w:szCs w:val="20"/>
                <w:color w:val="auto"/>
              </w:rPr>
            </w:pPr>
            <w:r>
              <w:rPr>
                <w:rFonts w:ascii="Arial" w:cs="Arial" w:eastAsia="Arial" w:hAnsi="Arial"/>
                <w:sz w:val="15"/>
                <w:szCs w:val="15"/>
                <w:color w:val="auto"/>
                <w:w w:val="95"/>
              </w:rPr>
              <w:t>$</w:t>
            </w:r>
          </w:p>
        </w:tc>
        <w:tc>
          <w:tcPr>
            <w:tcW w:w="1140" w:type="dxa"/>
            <w:vAlign w:val="bottom"/>
            <w:shd w:val="clear" w:color="auto" w:fill="DCE2EF"/>
          </w:tcPr>
          <w:p>
            <w:pPr>
              <w:jc w:val="right"/>
              <w:spacing w:after="0"/>
              <w:rPr>
                <w:sz w:val="20"/>
                <w:szCs w:val="20"/>
                <w:color w:val="auto"/>
              </w:rPr>
            </w:pPr>
            <w:r>
              <w:rPr>
                <w:rFonts w:ascii="Arial" w:cs="Arial" w:eastAsia="Arial" w:hAnsi="Arial"/>
                <w:sz w:val="15"/>
                <w:szCs w:val="15"/>
                <w:color w:val="auto"/>
              </w:rPr>
              <w:t>3.4</w:t>
            </w:r>
          </w:p>
        </w:tc>
        <w:tc>
          <w:tcPr>
            <w:tcW w:w="100" w:type="dxa"/>
            <w:vAlign w:val="bottom"/>
            <w:shd w:val="clear" w:color="auto" w:fill="DCE2EF"/>
          </w:tcPr>
          <w:p>
            <w:pPr>
              <w:spacing w:after="0"/>
              <w:rPr>
                <w:sz w:val="17"/>
                <w:szCs w:val="17"/>
                <w:color w:val="auto"/>
              </w:rPr>
            </w:pPr>
          </w:p>
        </w:tc>
        <w:tc>
          <w:tcPr>
            <w:tcW w:w="560" w:type="dxa"/>
            <w:vAlign w:val="bottom"/>
            <w:shd w:val="clear" w:color="auto" w:fill="DCE2EF"/>
          </w:tcPr>
          <w:p>
            <w:pPr>
              <w:ind w:left="20"/>
              <w:spacing w:after="0"/>
              <w:rPr>
                <w:sz w:val="20"/>
                <w:szCs w:val="20"/>
                <w:color w:val="auto"/>
              </w:rPr>
            </w:pPr>
            <w:r>
              <w:rPr>
                <w:rFonts w:ascii="Arial" w:cs="Arial" w:eastAsia="Arial" w:hAnsi="Arial"/>
                <w:sz w:val="15"/>
                <w:szCs w:val="15"/>
                <w:color w:val="auto"/>
              </w:rPr>
              <w:t>$</w:t>
            </w:r>
          </w:p>
        </w:tc>
        <w:tc>
          <w:tcPr>
            <w:tcW w:w="880" w:type="dxa"/>
            <w:vAlign w:val="bottom"/>
            <w:gridSpan w:val="2"/>
            <w:shd w:val="clear" w:color="auto" w:fill="DCE2EF"/>
          </w:tcPr>
          <w:p>
            <w:pPr>
              <w:ind w:left="560"/>
              <w:spacing w:after="0"/>
              <w:rPr>
                <w:sz w:val="20"/>
                <w:szCs w:val="20"/>
                <w:color w:val="auto"/>
              </w:rPr>
            </w:pPr>
            <w:r>
              <w:rPr>
                <w:rFonts w:ascii="Arial" w:cs="Arial" w:eastAsia="Arial" w:hAnsi="Arial"/>
                <w:sz w:val="15"/>
                <w:szCs w:val="15"/>
                <w:color w:val="auto"/>
              </w:rPr>
              <w:t>—</w:t>
            </w:r>
          </w:p>
        </w:tc>
        <w:tc>
          <w:tcPr>
            <w:tcW w:w="960" w:type="dxa"/>
            <w:vAlign w:val="bottom"/>
            <w:shd w:val="clear" w:color="auto" w:fill="DCE2EF"/>
          </w:tcPr>
          <w:p>
            <w:pPr>
              <w:jc w:val="right"/>
              <w:ind w:right="783"/>
              <w:spacing w:after="0"/>
              <w:rPr>
                <w:sz w:val="20"/>
                <w:szCs w:val="20"/>
                <w:color w:val="auto"/>
              </w:rPr>
            </w:pPr>
            <w:r>
              <w:rPr>
                <w:rFonts w:ascii="Arial" w:cs="Arial" w:eastAsia="Arial" w:hAnsi="Arial"/>
                <w:sz w:val="15"/>
                <w:szCs w:val="15"/>
                <w:color w:val="auto"/>
                <w:w w:val="95"/>
              </w:rPr>
              <w:t>$</w:t>
            </w:r>
          </w:p>
        </w:tc>
        <w:tc>
          <w:tcPr>
            <w:tcW w:w="380" w:type="dxa"/>
            <w:vAlign w:val="bottom"/>
            <w:shd w:val="clear" w:color="auto" w:fill="DCE2EF"/>
          </w:tcPr>
          <w:p>
            <w:pPr>
              <w:jc w:val="right"/>
              <w:ind w:right="3"/>
              <w:spacing w:after="0"/>
              <w:rPr>
                <w:sz w:val="20"/>
                <w:szCs w:val="20"/>
                <w:color w:val="auto"/>
              </w:rPr>
            </w:pPr>
            <w:r>
              <w:rPr>
                <w:rFonts w:ascii="Arial" w:cs="Arial" w:eastAsia="Arial" w:hAnsi="Arial"/>
                <w:sz w:val="15"/>
                <w:szCs w:val="15"/>
                <w:color w:val="auto"/>
              </w:rPr>
              <w:t>0.2</w:t>
            </w:r>
          </w:p>
        </w:tc>
        <w:tc>
          <w:tcPr>
            <w:tcW w:w="100" w:type="dxa"/>
            <w:vAlign w:val="bottom"/>
            <w:shd w:val="clear" w:color="auto" w:fill="DCE2EF"/>
          </w:tcPr>
          <w:p>
            <w:pPr>
              <w:spacing w:after="0"/>
              <w:rPr>
                <w:sz w:val="17"/>
                <w:szCs w:val="17"/>
                <w:color w:val="auto"/>
              </w:rPr>
            </w:pPr>
          </w:p>
        </w:tc>
        <w:tc>
          <w:tcPr>
            <w:tcW w:w="300" w:type="dxa"/>
            <w:vAlign w:val="bottom"/>
            <w:shd w:val="clear" w:color="auto" w:fill="DCE2EF"/>
          </w:tcPr>
          <w:p>
            <w:pPr>
              <w:jc w:val="right"/>
              <w:ind w:right="123"/>
              <w:spacing w:after="0"/>
              <w:rPr>
                <w:sz w:val="20"/>
                <w:szCs w:val="20"/>
                <w:color w:val="auto"/>
              </w:rPr>
            </w:pPr>
            <w:r>
              <w:rPr>
                <w:rFonts w:ascii="Arial" w:cs="Arial" w:eastAsia="Arial" w:hAnsi="Arial"/>
                <w:sz w:val="15"/>
                <w:szCs w:val="15"/>
                <w:color w:val="auto"/>
                <w:w w:val="95"/>
              </w:rPr>
              <w:t>$</w:t>
            </w:r>
          </w:p>
        </w:tc>
        <w:tc>
          <w:tcPr>
            <w:tcW w:w="1020" w:type="dxa"/>
            <w:vAlign w:val="bottom"/>
            <w:shd w:val="clear" w:color="auto" w:fill="DCE2EF"/>
          </w:tcPr>
          <w:p>
            <w:pPr>
              <w:jc w:val="right"/>
              <w:spacing w:after="0"/>
              <w:rPr>
                <w:sz w:val="20"/>
                <w:szCs w:val="20"/>
                <w:color w:val="auto"/>
              </w:rPr>
            </w:pPr>
            <w:r>
              <w:rPr>
                <w:rFonts w:ascii="Arial" w:cs="Arial" w:eastAsia="Arial" w:hAnsi="Arial"/>
                <w:sz w:val="15"/>
                <w:szCs w:val="15"/>
                <w:color w:val="auto"/>
              </w:rPr>
              <w:t>3.6</w:t>
            </w:r>
          </w:p>
        </w:tc>
        <w:tc>
          <w:tcPr>
            <w:tcW w:w="0" w:type="dxa"/>
            <w:vAlign w:val="bottom"/>
          </w:tcPr>
          <w:p>
            <w:pPr>
              <w:spacing w:after="0"/>
              <w:rPr>
                <w:sz w:val="1"/>
                <w:szCs w:val="1"/>
                <w:color w:val="auto"/>
              </w:rPr>
            </w:pPr>
          </w:p>
        </w:tc>
      </w:tr>
    </w:tbl>
    <w:p>
      <w:pPr>
        <w:spacing w:after="0" w:line="284" w:lineRule="exact"/>
        <w:rPr>
          <w:sz w:val="20"/>
          <w:szCs w:val="20"/>
          <w:color w:val="auto"/>
        </w:rPr>
      </w:pPr>
    </w:p>
    <w:p>
      <w:pPr>
        <w:ind w:left="160" w:hanging="157"/>
        <w:spacing w:after="0" w:line="229" w:lineRule="auto"/>
        <w:tabs>
          <w:tab w:leader="none" w:pos="221" w:val="left"/>
        </w:tabs>
        <w:numPr>
          <w:ilvl w:val="0"/>
          <w:numId w:val="28"/>
        </w:numPr>
        <w:rPr>
          <w:rFonts w:ascii="Arial" w:cs="Arial" w:eastAsia="Arial" w:hAnsi="Arial"/>
          <w:sz w:val="20"/>
          <w:szCs w:val="20"/>
          <w:color w:val="auto"/>
          <w:vertAlign w:val="superscript"/>
        </w:rPr>
      </w:pPr>
      <w:r>
        <w:rPr>
          <w:rFonts w:ascii="Arial" w:cs="Arial" w:eastAsia="Arial" w:hAnsi="Arial"/>
          <w:sz w:val="15"/>
          <w:szCs w:val="15"/>
          <w:color w:val="auto"/>
        </w:rPr>
        <w:t>We include these costs within corporate expenses and are included within “Restructuring and related expenses” on the Consolidated Statements of Comprehensive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9" w:right="339" w:bottom="1440" w:gutter="0" w:footer="0" w:header="0"/>
        </w:sectPr>
      </w:pPr>
    </w:p>
    <w:bookmarkStart w:id="69" w:name="page70"/>
    <w:bookmarkEnd w:id="69"/>
    <w:p>
      <w:pPr>
        <w:spacing w:after="0"/>
        <w:rPr>
          <w:sz w:val="20"/>
          <w:szCs w:val="20"/>
          <w:color w:val="auto"/>
        </w:rPr>
      </w:pPr>
      <w:r>
        <w:rPr>
          <w:rFonts w:ascii="Arial" w:cs="Arial" w:eastAsia="Arial" w:hAnsi="Arial"/>
          <w:sz w:val="17"/>
          <w:szCs w:val="17"/>
          <w:b w:val="1"/>
          <w:bCs w:val="1"/>
          <w:color w:val="0046AD"/>
        </w:rPr>
        <w:t>7. NET INCOME PER COMMON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wp:posOffset>
            </wp:positionV>
            <wp:extent cx="712216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22160" cy="8255"/>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Basic and Diluted Net Income Per Common Share Calculations</w:t>
      </w:r>
    </w:p>
    <w:p>
      <w:pPr>
        <w:spacing w:after="0" w:line="204" w:lineRule="exact"/>
        <w:rPr>
          <w:sz w:val="20"/>
          <w:szCs w:val="20"/>
          <w:color w:val="auto"/>
        </w:rPr>
      </w:pPr>
    </w:p>
    <w:p>
      <w:pPr>
        <w:ind w:left="5560"/>
        <w:spacing w:after="0"/>
        <w:rPr>
          <w:sz w:val="20"/>
          <w:szCs w:val="20"/>
          <w:color w:val="auto"/>
        </w:rPr>
      </w:pPr>
      <w:r>
        <w:rPr>
          <w:rFonts w:ascii="Arial" w:cs="Arial" w:eastAsia="Arial" w:hAnsi="Arial"/>
          <w:sz w:val="17"/>
          <w:szCs w:val="17"/>
          <w:b w:val="1"/>
          <w:bCs w:val="1"/>
          <w:color w:val="auto"/>
        </w:rPr>
        <w:t>Years Ended October 31,</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4420" w:type="dxa"/>
            <w:vAlign w:val="bottom"/>
            <w:gridSpan w:val="5"/>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 except per share amounts)</w:t>
            </w:r>
          </w:p>
        </w:tc>
        <w:tc>
          <w:tcPr>
            <w:tcW w:w="30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right"/>
              <w:ind w:right="394"/>
              <w:spacing w:after="0" w:line="161" w:lineRule="exact"/>
              <w:rPr>
                <w:sz w:val="20"/>
                <w:szCs w:val="20"/>
                <w:color w:val="auto"/>
              </w:rPr>
            </w:pPr>
            <w:r>
              <w:rPr>
                <w:rFonts w:ascii="Arial" w:cs="Arial" w:eastAsia="Arial" w:hAnsi="Arial"/>
                <w:sz w:val="17"/>
                <w:szCs w:val="17"/>
                <w:b w:val="1"/>
                <w:bCs w:val="1"/>
                <w:color w:val="auto"/>
              </w:rPr>
              <w:t>2025</w:t>
            </w:r>
          </w:p>
        </w:tc>
        <w:tc>
          <w:tcPr>
            <w:tcW w:w="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right"/>
              <w:ind w:right="354"/>
              <w:spacing w:after="0" w:line="161" w:lineRule="exact"/>
              <w:rPr>
                <w:sz w:val="20"/>
                <w:szCs w:val="20"/>
                <w:color w:val="auto"/>
              </w:rPr>
            </w:pPr>
            <w:r>
              <w:rPr>
                <w:rFonts w:ascii="Arial" w:cs="Arial" w:eastAsia="Arial" w:hAnsi="Arial"/>
                <w:sz w:val="17"/>
                <w:szCs w:val="17"/>
                <w:b w:val="1"/>
                <w:bCs w:val="1"/>
                <w:color w:val="auto"/>
              </w:rPr>
              <w:t>2024</w:t>
            </w:r>
          </w:p>
        </w:tc>
        <w:tc>
          <w:tcPr>
            <w:tcW w:w="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gridSpan w:val="3"/>
          </w:tcPr>
          <w:p>
            <w:pPr>
              <w:jc w:val="right"/>
              <w:ind w:right="394"/>
              <w:spacing w:after="0" w:line="161" w:lineRule="exact"/>
              <w:rPr>
                <w:sz w:val="20"/>
                <w:szCs w:val="20"/>
                <w:color w:val="auto"/>
              </w:rPr>
            </w:pPr>
            <w:r>
              <w:rPr>
                <w:rFonts w:ascii="Arial" w:cs="Arial" w:eastAsia="Arial" w:hAnsi="Arial"/>
                <w:sz w:val="17"/>
                <w:szCs w:val="17"/>
                <w:b w:val="1"/>
                <w:bCs w:val="1"/>
                <w:color w:val="auto"/>
              </w:rPr>
              <w:t>2023</w:t>
            </w: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2"/>
        </w:trPr>
        <w:tc>
          <w:tcPr>
            <w:tcW w:w="20" w:type="dxa"/>
            <w:vAlign w:val="bottom"/>
            <w:tcBorders>
              <w:bottom w:val="single" w:sz="8" w:color="DCE2EF"/>
            </w:tcBorders>
          </w:tcPr>
          <w:p>
            <w:pPr>
              <w:spacing w:after="0"/>
              <w:rPr>
                <w:sz w:val="2"/>
                <w:szCs w:val="2"/>
                <w:color w:val="auto"/>
              </w:rPr>
            </w:pPr>
          </w:p>
        </w:tc>
        <w:tc>
          <w:tcPr>
            <w:tcW w:w="240" w:type="dxa"/>
            <w:vAlign w:val="bottom"/>
            <w:tcBorders>
              <w:top w:val="single" w:sz="8" w:color="auto"/>
              <w:bottom w:val="single" w:sz="8" w:color="DCE2EF"/>
            </w:tcBorders>
          </w:tcPr>
          <w:p>
            <w:pPr>
              <w:spacing w:after="0"/>
              <w:rPr>
                <w:sz w:val="2"/>
                <w:szCs w:val="2"/>
                <w:color w:val="auto"/>
              </w:rPr>
            </w:pPr>
          </w:p>
        </w:tc>
        <w:tc>
          <w:tcPr>
            <w:tcW w:w="660" w:type="dxa"/>
            <w:vAlign w:val="bottom"/>
            <w:tcBorders>
              <w:top w:val="single" w:sz="8" w:color="auto"/>
              <w:bottom w:val="single" w:sz="8" w:color="DCE2EF"/>
            </w:tcBorders>
          </w:tcPr>
          <w:p>
            <w:pPr>
              <w:spacing w:after="0"/>
              <w:rPr>
                <w:sz w:val="2"/>
                <w:szCs w:val="2"/>
                <w:color w:val="auto"/>
              </w:rPr>
            </w:pPr>
          </w:p>
        </w:tc>
        <w:tc>
          <w:tcPr>
            <w:tcW w:w="1240" w:type="dxa"/>
            <w:vAlign w:val="bottom"/>
            <w:tcBorders>
              <w:top w:val="single" w:sz="8" w:color="auto"/>
              <w:bottom w:val="single" w:sz="8" w:color="DCE2EF"/>
            </w:tcBorders>
          </w:tcPr>
          <w:p>
            <w:pPr>
              <w:spacing w:after="0"/>
              <w:rPr>
                <w:sz w:val="2"/>
                <w:szCs w:val="2"/>
                <w:color w:val="auto"/>
              </w:rPr>
            </w:pPr>
          </w:p>
        </w:tc>
        <w:tc>
          <w:tcPr>
            <w:tcW w:w="2260" w:type="dxa"/>
            <w:vAlign w:val="bottom"/>
            <w:tcBorders>
              <w:bottom w:val="single" w:sz="8" w:color="DCE2E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DCE2E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4420" w:type="dxa"/>
            <w:vAlign w:val="bottom"/>
            <w:gridSpan w:val="5"/>
            <w:shd w:val="clear" w:color="auto" w:fill="DCE2EF"/>
          </w:tcPr>
          <w:p>
            <w:pPr>
              <w:ind w:left="20"/>
              <w:spacing w:after="0"/>
              <w:rPr>
                <w:sz w:val="20"/>
                <w:szCs w:val="20"/>
                <w:color w:val="auto"/>
              </w:rPr>
            </w:pPr>
            <w:r>
              <w:rPr>
                <w:rFonts w:ascii="Arial" w:cs="Arial" w:eastAsia="Arial" w:hAnsi="Arial"/>
                <w:sz w:val="17"/>
                <w:szCs w:val="17"/>
                <w:b w:val="1"/>
                <w:bCs w:val="1"/>
                <w:color w:val="auto"/>
              </w:rPr>
              <w:t>Net income</w:t>
            </w:r>
          </w:p>
        </w:tc>
        <w:tc>
          <w:tcPr>
            <w:tcW w:w="300" w:type="dxa"/>
            <w:vAlign w:val="bottom"/>
            <w:shd w:val="clear" w:color="auto" w:fill="DCE2EF"/>
          </w:tcPr>
          <w:p>
            <w:pPr>
              <w:jc w:val="right"/>
              <w:ind w:right="94"/>
              <w:spacing w:after="0"/>
              <w:rPr>
                <w:sz w:val="20"/>
                <w:szCs w:val="20"/>
                <w:color w:val="auto"/>
              </w:rPr>
            </w:pPr>
            <w:r>
              <w:rPr>
                <w:rFonts w:ascii="Arial" w:cs="Arial" w:eastAsia="Arial" w:hAnsi="Arial"/>
                <w:sz w:val="17"/>
                <w:szCs w:val="17"/>
                <w:color w:val="auto"/>
              </w:rPr>
              <w:t>$</w:t>
            </w:r>
          </w:p>
        </w:tc>
        <w:tc>
          <w:tcPr>
            <w:tcW w:w="1060" w:type="dxa"/>
            <w:vAlign w:val="bottom"/>
            <w:shd w:val="clear" w:color="auto" w:fill="DCE2EF"/>
          </w:tcPr>
          <w:p>
            <w:pPr>
              <w:jc w:val="right"/>
              <w:spacing w:after="0"/>
              <w:rPr>
                <w:sz w:val="20"/>
                <w:szCs w:val="20"/>
                <w:color w:val="auto"/>
              </w:rPr>
            </w:pPr>
            <w:r>
              <w:rPr>
                <w:rFonts w:ascii="Arial" w:cs="Arial" w:eastAsia="Arial" w:hAnsi="Arial"/>
                <w:sz w:val="17"/>
                <w:szCs w:val="17"/>
                <w:color w:val="auto"/>
              </w:rPr>
              <w:t>162.4</w:t>
            </w:r>
          </w:p>
        </w:tc>
        <w:tc>
          <w:tcPr>
            <w:tcW w:w="20" w:type="dxa"/>
            <w:vAlign w:val="bottom"/>
            <w:shd w:val="clear" w:color="auto" w:fill="DCE2EF"/>
          </w:tcPr>
          <w:p>
            <w:pPr>
              <w:spacing w:after="0"/>
              <w:rPr>
                <w:sz w:val="18"/>
                <w:szCs w:val="18"/>
                <w:color w:val="auto"/>
              </w:rPr>
            </w:pPr>
          </w:p>
        </w:tc>
        <w:tc>
          <w:tcPr>
            <w:tcW w:w="80" w:type="dxa"/>
            <w:vAlign w:val="bottom"/>
            <w:shd w:val="clear" w:color="auto" w:fill="DCE2EF"/>
          </w:tcPr>
          <w:p>
            <w:pPr>
              <w:spacing w:after="0"/>
              <w:rPr>
                <w:sz w:val="18"/>
                <w:szCs w:val="18"/>
                <w:color w:val="auto"/>
              </w:rPr>
            </w:pPr>
          </w:p>
        </w:tc>
        <w:tc>
          <w:tcPr>
            <w:tcW w:w="300" w:type="dxa"/>
            <w:vAlign w:val="bottom"/>
            <w:shd w:val="clear" w:color="auto" w:fill="DCE2EF"/>
          </w:tcPr>
          <w:p>
            <w:pPr>
              <w:jc w:val="right"/>
              <w:ind w:right="94"/>
              <w:spacing w:after="0"/>
              <w:rPr>
                <w:sz w:val="20"/>
                <w:szCs w:val="20"/>
                <w:color w:val="auto"/>
              </w:rPr>
            </w:pPr>
            <w:r>
              <w:rPr>
                <w:rFonts w:ascii="Arial" w:cs="Arial" w:eastAsia="Arial" w:hAnsi="Arial"/>
                <w:sz w:val="17"/>
                <w:szCs w:val="17"/>
                <w:color w:val="auto"/>
              </w:rPr>
              <w:t>$</w:t>
            </w:r>
          </w:p>
        </w:tc>
        <w:tc>
          <w:tcPr>
            <w:tcW w:w="1020" w:type="dxa"/>
            <w:vAlign w:val="bottom"/>
            <w:shd w:val="clear" w:color="auto" w:fill="DCE2EF"/>
          </w:tcPr>
          <w:p>
            <w:pPr>
              <w:jc w:val="right"/>
              <w:spacing w:after="0"/>
              <w:rPr>
                <w:sz w:val="20"/>
                <w:szCs w:val="20"/>
                <w:color w:val="auto"/>
              </w:rPr>
            </w:pPr>
            <w:r>
              <w:rPr>
                <w:rFonts w:ascii="Arial" w:cs="Arial" w:eastAsia="Arial" w:hAnsi="Arial"/>
                <w:sz w:val="17"/>
                <w:szCs w:val="17"/>
                <w:color w:val="auto"/>
              </w:rPr>
              <w:t>81.4</w:t>
            </w:r>
          </w:p>
        </w:tc>
        <w:tc>
          <w:tcPr>
            <w:tcW w:w="40" w:type="dxa"/>
            <w:vAlign w:val="bottom"/>
            <w:shd w:val="clear" w:color="auto" w:fill="DCE2EF"/>
          </w:tcPr>
          <w:p>
            <w:pPr>
              <w:spacing w:after="0"/>
              <w:rPr>
                <w:sz w:val="18"/>
                <w:szCs w:val="18"/>
                <w:color w:val="auto"/>
              </w:rPr>
            </w:pPr>
          </w:p>
        </w:tc>
        <w:tc>
          <w:tcPr>
            <w:tcW w:w="100" w:type="dxa"/>
            <w:vAlign w:val="bottom"/>
            <w:shd w:val="clear" w:color="auto" w:fill="DCE2EF"/>
          </w:tcPr>
          <w:p>
            <w:pPr>
              <w:spacing w:after="0"/>
              <w:rPr>
                <w:sz w:val="18"/>
                <w:szCs w:val="18"/>
                <w:color w:val="auto"/>
              </w:rPr>
            </w:pPr>
          </w:p>
        </w:tc>
        <w:tc>
          <w:tcPr>
            <w:tcW w:w="140" w:type="dxa"/>
            <w:vAlign w:val="bottom"/>
            <w:shd w:val="clear" w:color="auto" w:fill="DCE2EF"/>
          </w:tcPr>
          <w:p>
            <w:pPr>
              <w:jc w:val="right"/>
              <w:spacing w:after="0"/>
              <w:rPr>
                <w:sz w:val="20"/>
                <w:szCs w:val="20"/>
                <w:color w:val="auto"/>
              </w:rPr>
            </w:pPr>
            <w:r>
              <w:rPr>
                <w:rFonts w:ascii="Arial" w:cs="Arial" w:eastAsia="Arial" w:hAnsi="Arial"/>
                <w:sz w:val="17"/>
                <w:szCs w:val="17"/>
                <w:color w:val="auto"/>
              </w:rPr>
              <w:t>$</w:t>
            </w:r>
          </w:p>
        </w:tc>
        <w:tc>
          <w:tcPr>
            <w:tcW w:w="1220" w:type="dxa"/>
            <w:vAlign w:val="bottom"/>
            <w:gridSpan w:val="3"/>
            <w:shd w:val="clear" w:color="auto" w:fill="DCE2EF"/>
          </w:tcPr>
          <w:p>
            <w:pPr>
              <w:jc w:val="right"/>
              <w:spacing w:after="0"/>
              <w:rPr>
                <w:sz w:val="20"/>
                <w:szCs w:val="20"/>
                <w:color w:val="auto"/>
              </w:rPr>
            </w:pPr>
            <w:r>
              <w:rPr>
                <w:rFonts w:ascii="Arial" w:cs="Arial" w:eastAsia="Arial" w:hAnsi="Arial"/>
                <w:sz w:val="17"/>
                <w:szCs w:val="17"/>
                <w:color w:val="auto"/>
              </w:rPr>
              <w:t>251.3</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8"/>
        </w:trPr>
        <w:tc>
          <w:tcPr>
            <w:tcW w:w="20" w:type="dxa"/>
            <w:vAlign w:val="bottom"/>
            <w:shd w:val="clear" w:color="auto" w:fill="DCE2EF"/>
          </w:tcPr>
          <w:p>
            <w:pPr>
              <w:spacing w:after="0"/>
              <w:rPr>
                <w:sz w:val="14"/>
                <w:szCs w:val="14"/>
                <w:color w:val="auto"/>
              </w:rPr>
            </w:pPr>
          </w:p>
        </w:tc>
        <w:tc>
          <w:tcPr>
            <w:tcW w:w="4400" w:type="dxa"/>
            <w:vAlign w:val="bottom"/>
            <w:gridSpan w:val="4"/>
            <w:shd w:val="clear" w:color="auto" w:fill="DCE2EF"/>
          </w:tcPr>
          <w:p>
            <w:pPr>
              <w:ind w:left="60"/>
              <w:spacing w:after="0" w:line="167" w:lineRule="exact"/>
              <w:rPr>
                <w:sz w:val="20"/>
                <w:szCs w:val="20"/>
                <w:color w:val="auto"/>
              </w:rPr>
            </w:pPr>
            <w:r>
              <w:rPr>
                <w:rFonts w:ascii="Arial" w:cs="Arial" w:eastAsia="Arial" w:hAnsi="Arial"/>
                <w:sz w:val="17"/>
                <w:szCs w:val="17"/>
                <w:b w:val="1"/>
                <w:bCs w:val="1"/>
                <w:color w:val="auto"/>
              </w:rPr>
              <w:t>Weighted-average common and common equivalent</w:t>
            </w:r>
          </w:p>
        </w:tc>
        <w:tc>
          <w:tcPr>
            <w:tcW w:w="300" w:type="dxa"/>
            <w:vAlign w:val="bottom"/>
            <w:shd w:val="clear" w:color="auto" w:fill="DCE2EF"/>
          </w:tcPr>
          <w:p>
            <w:pPr>
              <w:spacing w:after="0"/>
              <w:rPr>
                <w:sz w:val="14"/>
                <w:szCs w:val="14"/>
                <w:color w:val="auto"/>
              </w:rPr>
            </w:pPr>
          </w:p>
        </w:tc>
        <w:tc>
          <w:tcPr>
            <w:tcW w:w="1060" w:type="dxa"/>
            <w:vAlign w:val="bottom"/>
            <w:shd w:val="clear" w:color="auto" w:fill="DCE2EF"/>
          </w:tcPr>
          <w:p>
            <w:pPr>
              <w:spacing w:after="0"/>
              <w:rPr>
                <w:sz w:val="14"/>
                <w:szCs w:val="14"/>
                <w:color w:val="auto"/>
              </w:rPr>
            </w:pPr>
          </w:p>
        </w:tc>
        <w:tc>
          <w:tcPr>
            <w:tcW w:w="20" w:type="dxa"/>
            <w:vAlign w:val="bottom"/>
            <w:shd w:val="clear" w:color="auto" w:fill="DCE2EF"/>
          </w:tcPr>
          <w:p>
            <w:pPr>
              <w:spacing w:after="0"/>
              <w:rPr>
                <w:sz w:val="14"/>
                <w:szCs w:val="14"/>
                <w:color w:val="auto"/>
              </w:rPr>
            </w:pPr>
          </w:p>
        </w:tc>
        <w:tc>
          <w:tcPr>
            <w:tcW w:w="80" w:type="dxa"/>
            <w:vAlign w:val="bottom"/>
            <w:shd w:val="clear" w:color="auto" w:fill="DCE2EF"/>
          </w:tcPr>
          <w:p>
            <w:pPr>
              <w:spacing w:after="0"/>
              <w:rPr>
                <w:sz w:val="14"/>
                <w:szCs w:val="14"/>
                <w:color w:val="auto"/>
              </w:rPr>
            </w:pPr>
          </w:p>
        </w:tc>
        <w:tc>
          <w:tcPr>
            <w:tcW w:w="300" w:type="dxa"/>
            <w:vAlign w:val="bottom"/>
            <w:shd w:val="clear" w:color="auto" w:fill="DCE2EF"/>
          </w:tcPr>
          <w:p>
            <w:pPr>
              <w:spacing w:after="0"/>
              <w:rPr>
                <w:sz w:val="14"/>
                <w:szCs w:val="14"/>
                <w:color w:val="auto"/>
              </w:rPr>
            </w:pPr>
          </w:p>
        </w:tc>
        <w:tc>
          <w:tcPr>
            <w:tcW w:w="1020" w:type="dxa"/>
            <w:vAlign w:val="bottom"/>
            <w:shd w:val="clear" w:color="auto" w:fill="DCE2EF"/>
          </w:tcPr>
          <w:p>
            <w:pPr>
              <w:spacing w:after="0"/>
              <w:rPr>
                <w:sz w:val="14"/>
                <w:szCs w:val="14"/>
                <w:color w:val="auto"/>
              </w:rPr>
            </w:pPr>
          </w:p>
        </w:tc>
        <w:tc>
          <w:tcPr>
            <w:tcW w:w="40" w:type="dxa"/>
            <w:vAlign w:val="bottom"/>
            <w:shd w:val="clear" w:color="auto" w:fill="DCE2EF"/>
          </w:tcPr>
          <w:p>
            <w:pPr>
              <w:spacing w:after="0"/>
              <w:rPr>
                <w:sz w:val="14"/>
                <w:szCs w:val="14"/>
                <w:color w:val="auto"/>
              </w:rPr>
            </w:pPr>
          </w:p>
        </w:tc>
        <w:tc>
          <w:tcPr>
            <w:tcW w:w="100" w:type="dxa"/>
            <w:vAlign w:val="bottom"/>
            <w:shd w:val="clear" w:color="auto" w:fill="DCE2EF"/>
          </w:tcPr>
          <w:p>
            <w:pPr>
              <w:spacing w:after="0"/>
              <w:rPr>
                <w:sz w:val="14"/>
                <w:szCs w:val="14"/>
                <w:color w:val="auto"/>
              </w:rPr>
            </w:pPr>
          </w:p>
        </w:tc>
        <w:tc>
          <w:tcPr>
            <w:tcW w:w="140" w:type="dxa"/>
            <w:vAlign w:val="bottom"/>
            <w:shd w:val="clear" w:color="auto" w:fill="DCE2EF"/>
          </w:tcPr>
          <w:p>
            <w:pPr>
              <w:spacing w:after="0"/>
              <w:rPr>
                <w:sz w:val="14"/>
                <w:szCs w:val="14"/>
                <w:color w:val="auto"/>
              </w:rPr>
            </w:pPr>
          </w:p>
        </w:tc>
        <w:tc>
          <w:tcPr>
            <w:tcW w:w="60" w:type="dxa"/>
            <w:vAlign w:val="bottom"/>
            <w:shd w:val="clear" w:color="auto" w:fill="DCE2EF"/>
          </w:tcPr>
          <w:p>
            <w:pPr>
              <w:spacing w:after="0"/>
              <w:rPr>
                <w:sz w:val="14"/>
                <w:szCs w:val="14"/>
                <w:color w:val="auto"/>
              </w:rPr>
            </w:pPr>
          </w:p>
        </w:tc>
        <w:tc>
          <w:tcPr>
            <w:tcW w:w="100" w:type="dxa"/>
            <w:vAlign w:val="bottom"/>
            <w:shd w:val="clear" w:color="auto" w:fill="DCE2EF"/>
          </w:tcPr>
          <w:p>
            <w:pPr>
              <w:spacing w:after="0"/>
              <w:rPr>
                <w:sz w:val="14"/>
                <w:szCs w:val="14"/>
                <w:color w:val="auto"/>
              </w:rPr>
            </w:pPr>
          </w:p>
        </w:tc>
        <w:tc>
          <w:tcPr>
            <w:tcW w:w="1060" w:type="dxa"/>
            <w:vAlign w:val="bottom"/>
            <w:shd w:val="clear" w:color="auto" w:fill="DCE2EF"/>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20" w:type="dxa"/>
            <w:vAlign w:val="bottom"/>
            <w:shd w:val="clear" w:color="auto" w:fill="DCE2EF"/>
          </w:tcPr>
          <w:p>
            <w:pPr>
              <w:spacing w:after="0"/>
              <w:rPr>
                <w:sz w:val="20"/>
                <w:szCs w:val="20"/>
                <w:color w:val="auto"/>
              </w:rPr>
            </w:pPr>
          </w:p>
        </w:tc>
        <w:tc>
          <w:tcPr>
            <w:tcW w:w="240" w:type="dxa"/>
            <w:vAlign w:val="bottom"/>
            <w:shd w:val="clear" w:color="auto" w:fill="DCE2EF"/>
          </w:tcPr>
          <w:p>
            <w:pPr>
              <w:spacing w:after="0"/>
              <w:rPr>
                <w:sz w:val="20"/>
                <w:szCs w:val="20"/>
                <w:color w:val="auto"/>
              </w:rPr>
            </w:pPr>
          </w:p>
        </w:tc>
        <w:tc>
          <w:tcPr>
            <w:tcW w:w="4160" w:type="dxa"/>
            <w:vAlign w:val="bottom"/>
            <w:gridSpan w:val="3"/>
            <w:shd w:val="clear" w:color="auto" w:fill="DCE2EF"/>
          </w:tcPr>
          <w:p>
            <w:pPr>
              <w:spacing w:after="0"/>
              <w:rPr>
                <w:sz w:val="20"/>
                <w:szCs w:val="20"/>
                <w:color w:val="auto"/>
              </w:rPr>
            </w:pPr>
            <w:r>
              <w:rPr>
                <w:rFonts w:ascii="Arial" w:cs="Arial" w:eastAsia="Arial" w:hAnsi="Arial"/>
                <w:sz w:val="17"/>
                <w:szCs w:val="17"/>
                <w:b w:val="1"/>
                <w:bCs w:val="1"/>
                <w:color w:val="auto"/>
              </w:rPr>
              <w:t>shares outstanding — Basic</w:t>
            </w:r>
          </w:p>
        </w:tc>
        <w:tc>
          <w:tcPr>
            <w:tcW w:w="300" w:type="dxa"/>
            <w:vAlign w:val="bottom"/>
            <w:shd w:val="clear" w:color="auto" w:fill="DCE2EF"/>
          </w:tcPr>
          <w:p>
            <w:pPr>
              <w:spacing w:after="0"/>
              <w:rPr>
                <w:sz w:val="20"/>
                <w:szCs w:val="20"/>
                <w:color w:val="auto"/>
              </w:rPr>
            </w:pPr>
          </w:p>
        </w:tc>
        <w:tc>
          <w:tcPr>
            <w:tcW w:w="1060" w:type="dxa"/>
            <w:vAlign w:val="bottom"/>
            <w:shd w:val="clear" w:color="auto" w:fill="DCE2EF"/>
          </w:tcPr>
          <w:p>
            <w:pPr>
              <w:jc w:val="right"/>
              <w:spacing w:after="0"/>
              <w:rPr>
                <w:sz w:val="20"/>
                <w:szCs w:val="20"/>
                <w:color w:val="auto"/>
              </w:rPr>
            </w:pPr>
            <w:r>
              <w:rPr>
                <w:rFonts w:ascii="Arial" w:cs="Arial" w:eastAsia="Arial" w:hAnsi="Arial"/>
                <w:sz w:val="17"/>
                <w:szCs w:val="17"/>
                <w:color w:val="auto"/>
              </w:rPr>
              <w:t>62.3</w:t>
            </w:r>
          </w:p>
        </w:tc>
        <w:tc>
          <w:tcPr>
            <w:tcW w:w="20" w:type="dxa"/>
            <w:vAlign w:val="bottom"/>
            <w:shd w:val="clear" w:color="auto" w:fill="DCE2EF"/>
          </w:tcPr>
          <w:p>
            <w:pPr>
              <w:spacing w:after="0"/>
              <w:rPr>
                <w:sz w:val="20"/>
                <w:szCs w:val="20"/>
                <w:color w:val="auto"/>
              </w:rPr>
            </w:pPr>
          </w:p>
        </w:tc>
        <w:tc>
          <w:tcPr>
            <w:tcW w:w="80" w:type="dxa"/>
            <w:vAlign w:val="bottom"/>
            <w:shd w:val="clear" w:color="auto" w:fill="DCE2EF"/>
          </w:tcPr>
          <w:p>
            <w:pPr>
              <w:spacing w:after="0"/>
              <w:rPr>
                <w:sz w:val="20"/>
                <w:szCs w:val="20"/>
                <w:color w:val="auto"/>
              </w:rPr>
            </w:pPr>
          </w:p>
        </w:tc>
        <w:tc>
          <w:tcPr>
            <w:tcW w:w="300" w:type="dxa"/>
            <w:vAlign w:val="bottom"/>
            <w:shd w:val="clear" w:color="auto" w:fill="DCE2EF"/>
          </w:tcPr>
          <w:p>
            <w:pPr>
              <w:spacing w:after="0"/>
              <w:rPr>
                <w:sz w:val="20"/>
                <w:szCs w:val="20"/>
                <w:color w:val="auto"/>
              </w:rPr>
            </w:pPr>
          </w:p>
        </w:tc>
        <w:tc>
          <w:tcPr>
            <w:tcW w:w="1020" w:type="dxa"/>
            <w:vAlign w:val="bottom"/>
            <w:shd w:val="clear" w:color="auto" w:fill="DCE2EF"/>
          </w:tcPr>
          <w:p>
            <w:pPr>
              <w:jc w:val="right"/>
              <w:spacing w:after="0"/>
              <w:rPr>
                <w:sz w:val="20"/>
                <w:szCs w:val="20"/>
                <w:color w:val="auto"/>
              </w:rPr>
            </w:pPr>
            <w:r>
              <w:rPr>
                <w:rFonts w:ascii="Arial" w:cs="Arial" w:eastAsia="Arial" w:hAnsi="Arial"/>
                <w:sz w:val="17"/>
                <w:szCs w:val="17"/>
                <w:color w:val="auto"/>
              </w:rPr>
              <w:t>63.2</w:t>
            </w:r>
          </w:p>
        </w:tc>
        <w:tc>
          <w:tcPr>
            <w:tcW w:w="40" w:type="dxa"/>
            <w:vAlign w:val="bottom"/>
            <w:shd w:val="clear" w:color="auto" w:fill="DCE2EF"/>
          </w:tcPr>
          <w:p>
            <w:pPr>
              <w:spacing w:after="0"/>
              <w:rPr>
                <w:sz w:val="20"/>
                <w:szCs w:val="20"/>
                <w:color w:val="auto"/>
              </w:rPr>
            </w:pPr>
          </w:p>
        </w:tc>
        <w:tc>
          <w:tcPr>
            <w:tcW w:w="100" w:type="dxa"/>
            <w:vAlign w:val="bottom"/>
            <w:shd w:val="clear" w:color="auto" w:fill="DCE2EF"/>
          </w:tcPr>
          <w:p>
            <w:pPr>
              <w:spacing w:after="0"/>
              <w:rPr>
                <w:sz w:val="20"/>
                <w:szCs w:val="20"/>
                <w:color w:val="auto"/>
              </w:rPr>
            </w:pPr>
          </w:p>
        </w:tc>
        <w:tc>
          <w:tcPr>
            <w:tcW w:w="140" w:type="dxa"/>
            <w:vAlign w:val="bottom"/>
            <w:shd w:val="clear" w:color="auto" w:fill="DCE2EF"/>
          </w:tcPr>
          <w:p>
            <w:pPr>
              <w:spacing w:after="0"/>
              <w:rPr>
                <w:sz w:val="20"/>
                <w:szCs w:val="20"/>
                <w:color w:val="auto"/>
              </w:rPr>
            </w:pPr>
          </w:p>
        </w:tc>
        <w:tc>
          <w:tcPr>
            <w:tcW w:w="1220" w:type="dxa"/>
            <w:vAlign w:val="bottom"/>
            <w:gridSpan w:val="3"/>
            <w:shd w:val="clear" w:color="auto" w:fill="DCE2EF"/>
          </w:tcPr>
          <w:p>
            <w:pPr>
              <w:jc w:val="right"/>
              <w:spacing w:after="0"/>
              <w:rPr>
                <w:sz w:val="20"/>
                <w:szCs w:val="20"/>
                <w:color w:val="auto"/>
              </w:rPr>
            </w:pPr>
            <w:r>
              <w:rPr>
                <w:rFonts w:ascii="Arial" w:cs="Arial" w:eastAsia="Arial" w:hAnsi="Arial"/>
                <w:sz w:val="17"/>
                <w:szCs w:val="17"/>
                <w:color w:val="auto"/>
              </w:rPr>
              <w:t>66.0</w:t>
            </w: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4420" w:type="dxa"/>
            <w:vAlign w:val="bottom"/>
            <w:gridSpan w:val="5"/>
          </w:tcPr>
          <w:p>
            <w:pPr>
              <w:ind w:left="20"/>
              <w:spacing w:after="0"/>
              <w:rPr>
                <w:sz w:val="20"/>
                <w:szCs w:val="20"/>
                <w:color w:val="auto"/>
              </w:rPr>
            </w:pPr>
            <w:r>
              <w:rPr>
                <w:rFonts w:ascii="Arial" w:cs="Arial" w:eastAsia="Arial" w:hAnsi="Arial"/>
                <w:sz w:val="17"/>
                <w:szCs w:val="17"/>
                <w:color w:val="auto"/>
              </w:rPr>
              <w:t>Effect of dilutive securities</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DCE2EF"/>
          </w:tcPr>
          <w:p>
            <w:pPr>
              <w:spacing w:after="0"/>
              <w:rPr>
                <w:sz w:val="19"/>
                <w:szCs w:val="19"/>
                <w:color w:val="auto"/>
              </w:rPr>
            </w:pPr>
          </w:p>
        </w:tc>
        <w:tc>
          <w:tcPr>
            <w:tcW w:w="240" w:type="dxa"/>
            <w:vAlign w:val="bottom"/>
            <w:shd w:val="clear" w:color="auto" w:fill="DCE2EF"/>
          </w:tcPr>
          <w:p>
            <w:pPr>
              <w:spacing w:after="0"/>
              <w:rPr>
                <w:sz w:val="19"/>
                <w:szCs w:val="19"/>
                <w:color w:val="auto"/>
              </w:rPr>
            </w:pPr>
          </w:p>
        </w:tc>
        <w:tc>
          <w:tcPr>
            <w:tcW w:w="4160" w:type="dxa"/>
            <w:vAlign w:val="bottom"/>
            <w:gridSpan w:val="3"/>
            <w:shd w:val="clear" w:color="auto" w:fill="DCE2EF"/>
          </w:tcPr>
          <w:p>
            <w:pPr>
              <w:ind w:left="60"/>
              <w:spacing w:after="0"/>
              <w:rPr>
                <w:sz w:val="20"/>
                <w:szCs w:val="20"/>
                <w:color w:val="auto"/>
              </w:rPr>
            </w:pPr>
            <w:r>
              <w:rPr>
                <w:rFonts w:ascii="Arial" w:cs="Arial" w:eastAsia="Arial" w:hAnsi="Arial"/>
                <w:sz w:val="17"/>
                <w:szCs w:val="17"/>
                <w:color w:val="auto"/>
              </w:rPr>
              <w:t>RSUs</w:t>
            </w:r>
          </w:p>
        </w:tc>
        <w:tc>
          <w:tcPr>
            <w:tcW w:w="300" w:type="dxa"/>
            <w:vAlign w:val="bottom"/>
            <w:shd w:val="clear" w:color="auto" w:fill="DCE2EF"/>
          </w:tcPr>
          <w:p>
            <w:pPr>
              <w:spacing w:after="0"/>
              <w:rPr>
                <w:sz w:val="19"/>
                <w:szCs w:val="19"/>
                <w:color w:val="auto"/>
              </w:rPr>
            </w:pPr>
          </w:p>
        </w:tc>
        <w:tc>
          <w:tcPr>
            <w:tcW w:w="1060" w:type="dxa"/>
            <w:vAlign w:val="bottom"/>
            <w:shd w:val="clear" w:color="auto" w:fill="DCE2EF"/>
          </w:tcPr>
          <w:p>
            <w:pPr>
              <w:jc w:val="right"/>
              <w:spacing w:after="0"/>
              <w:rPr>
                <w:sz w:val="20"/>
                <w:szCs w:val="20"/>
                <w:color w:val="auto"/>
              </w:rPr>
            </w:pPr>
            <w:r>
              <w:rPr>
                <w:rFonts w:ascii="Arial" w:cs="Arial" w:eastAsia="Arial" w:hAnsi="Arial"/>
                <w:sz w:val="17"/>
                <w:szCs w:val="17"/>
                <w:color w:val="auto"/>
              </w:rPr>
              <w:t>0.3</w:t>
            </w:r>
          </w:p>
        </w:tc>
        <w:tc>
          <w:tcPr>
            <w:tcW w:w="20" w:type="dxa"/>
            <w:vAlign w:val="bottom"/>
            <w:shd w:val="clear" w:color="auto" w:fill="DCE2EF"/>
          </w:tcPr>
          <w:p>
            <w:pPr>
              <w:spacing w:after="0"/>
              <w:rPr>
                <w:sz w:val="19"/>
                <w:szCs w:val="19"/>
                <w:color w:val="auto"/>
              </w:rPr>
            </w:pPr>
          </w:p>
        </w:tc>
        <w:tc>
          <w:tcPr>
            <w:tcW w:w="80" w:type="dxa"/>
            <w:vAlign w:val="bottom"/>
            <w:shd w:val="clear" w:color="auto" w:fill="DCE2EF"/>
          </w:tcPr>
          <w:p>
            <w:pPr>
              <w:spacing w:after="0"/>
              <w:rPr>
                <w:sz w:val="19"/>
                <w:szCs w:val="19"/>
                <w:color w:val="auto"/>
              </w:rPr>
            </w:pPr>
          </w:p>
        </w:tc>
        <w:tc>
          <w:tcPr>
            <w:tcW w:w="300" w:type="dxa"/>
            <w:vAlign w:val="bottom"/>
            <w:shd w:val="clear" w:color="auto" w:fill="DCE2EF"/>
          </w:tcPr>
          <w:p>
            <w:pPr>
              <w:spacing w:after="0"/>
              <w:rPr>
                <w:sz w:val="19"/>
                <w:szCs w:val="19"/>
                <w:color w:val="auto"/>
              </w:rPr>
            </w:pPr>
          </w:p>
        </w:tc>
        <w:tc>
          <w:tcPr>
            <w:tcW w:w="1020" w:type="dxa"/>
            <w:vAlign w:val="bottom"/>
            <w:shd w:val="clear" w:color="auto" w:fill="DCE2EF"/>
          </w:tcPr>
          <w:p>
            <w:pPr>
              <w:jc w:val="right"/>
              <w:spacing w:after="0"/>
              <w:rPr>
                <w:sz w:val="20"/>
                <w:szCs w:val="20"/>
                <w:color w:val="auto"/>
              </w:rPr>
            </w:pPr>
            <w:r>
              <w:rPr>
                <w:rFonts w:ascii="Arial" w:cs="Arial" w:eastAsia="Arial" w:hAnsi="Arial"/>
                <w:sz w:val="17"/>
                <w:szCs w:val="17"/>
                <w:color w:val="auto"/>
              </w:rPr>
              <w:t>0.3</w:t>
            </w:r>
          </w:p>
        </w:tc>
        <w:tc>
          <w:tcPr>
            <w:tcW w:w="40" w:type="dxa"/>
            <w:vAlign w:val="bottom"/>
            <w:shd w:val="clear" w:color="auto" w:fill="DCE2EF"/>
          </w:tcPr>
          <w:p>
            <w:pPr>
              <w:spacing w:after="0"/>
              <w:rPr>
                <w:sz w:val="19"/>
                <w:szCs w:val="19"/>
                <w:color w:val="auto"/>
              </w:rPr>
            </w:pPr>
          </w:p>
        </w:tc>
        <w:tc>
          <w:tcPr>
            <w:tcW w:w="100" w:type="dxa"/>
            <w:vAlign w:val="bottom"/>
            <w:shd w:val="clear" w:color="auto" w:fill="DCE2EF"/>
          </w:tcPr>
          <w:p>
            <w:pPr>
              <w:spacing w:after="0"/>
              <w:rPr>
                <w:sz w:val="19"/>
                <w:szCs w:val="19"/>
                <w:color w:val="auto"/>
              </w:rPr>
            </w:pPr>
          </w:p>
        </w:tc>
        <w:tc>
          <w:tcPr>
            <w:tcW w:w="140" w:type="dxa"/>
            <w:vAlign w:val="bottom"/>
            <w:shd w:val="clear" w:color="auto" w:fill="DCE2EF"/>
          </w:tcPr>
          <w:p>
            <w:pPr>
              <w:spacing w:after="0"/>
              <w:rPr>
                <w:sz w:val="19"/>
                <w:szCs w:val="19"/>
                <w:color w:val="auto"/>
              </w:rPr>
            </w:pPr>
          </w:p>
        </w:tc>
        <w:tc>
          <w:tcPr>
            <w:tcW w:w="1220" w:type="dxa"/>
            <w:vAlign w:val="bottom"/>
            <w:gridSpan w:val="3"/>
            <w:shd w:val="clear" w:color="auto" w:fill="DCE2EF"/>
          </w:tcPr>
          <w:p>
            <w:pPr>
              <w:jc w:val="right"/>
              <w:spacing w:after="0"/>
              <w:rPr>
                <w:sz w:val="20"/>
                <w:szCs w:val="20"/>
                <w:color w:val="auto"/>
              </w:rPr>
            </w:pPr>
            <w:r>
              <w:rPr>
                <w:rFonts w:ascii="Arial" w:cs="Arial" w:eastAsia="Arial" w:hAnsi="Arial"/>
                <w:sz w:val="17"/>
                <w:szCs w:val="17"/>
                <w:color w:val="auto"/>
              </w:rPr>
              <w:t>0.2</w:t>
            </w: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Borders>
              <w:bottom w:val="single" w:sz="8" w:color="DCE2EF"/>
            </w:tcBorders>
          </w:tcPr>
          <w:p>
            <w:pPr>
              <w:spacing w:after="0"/>
              <w:rPr>
                <w:sz w:val="19"/>
                <w:szCs w:val="19"/>
                <w:color w:val="auto"/>
              </w:rPr>
            </w:pPr>
          </w:p>
        </w:tc>
        <w:tc>
          <w:tcPr>
            <w:tcW w:w="240" w:type="dxa"/>
            <w:vAlign w:val="bottom"/>
            <w:tcBorders>
              <w:bottom w:val="single" w:sz="8" w:color="DCE2EF"/>
            </w:tcBorders>
          </w:tcPr>
          <w:p>
            <w:pPr>
              <w:spacing w:after="0"/>
              <w:rPr>
                <w:sz w:val="19"/>
                <w:szCs w:val="19"/>
                <w:color w:val="auto"/>
              </w:rPr>
            </w:pPr>
          </w:p>
        </w:tc>
        <w:tc>
          <w:tcPr>
            <w:tcW w:w="4160" w:type="dxa"/>
            <w:vAlign w:val="bottom"/>
            <w:tcBorders>
              <w:bottom w:val="single" w:sz="8" w:color="DCE2EF"/>
            </w:tcBorders>
            <w:gridSpan w:val="3"/>
          </w:tcPr>
          <w:p>
            <w:pPr>
              <w:ind w:left="60"/>
              <w:spacing w:after="0"/>
              <w:rPr>
                <w:sz w:val="20"/>
                <w:szCs w:val="20"/>
                <w:color w:val="auto"/>
              </w:rPr>
            </w:pPr>
            <w:r>
              <w:rPr>
                <w:rFonts w:ascii="Arial" w:cs="Arial" w:eastAsia="Arial" w:hAnsi="Arial"/>
                <w:sz w:val="17"/>
                <w:szCs w:val="17"/>
                <w:color w:val="auto"/>
              </w:rPr>
              <w:t>Performance shares</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0.1</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DCE2E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0.1</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DCE2E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0.2</w:t>
            </w: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20" w:type="dxa"/>
            <w:vAlign w:val="bottom"/>
            <w:shd w:val="clear" w:color="auto" w:fill="DCE2EF"/>
          </w:tcPr>
          <w:p>
            <w:pPr>
              <w:spacing w:after="0"/>
              <w:rPr>
                <w:sz w:val="12"/>
                <w:szCs w:val="12"/>
                <w:color w:val="auto"/>
              </w:rPr>
            </w:pPr>
          </w:p>
        </w:tc>
        <w:tc>
          <w:tcPr>
            <w:tcW w:w="4400" w:type="dxa"/>
            <w:vAlign w:val="bottom"/>
            <w:gridSpan w:val="4"/>
            <w:shd w:val="clear" w:color="auto" w:fill="DCE2EF"/>
          </w:tcPr>
          <w:p>
            <w:pPr>
              <w:ind w:left="60"/>
              <w:spacing w:after="0" w:line="148" w:lineRule="exact"/>
              <w:rPr>
                <w:sz w:val="20"/>
                <w:szCs w:val="20"/>
                <w:color w:val="auto"/>
              </w:rPr>
            </w:pPr>
            <w:r>
              <w:rPr>
                <w:rFonts w:ascii="Arial" w:cs="Arial" w:eastAsia="Arial" w:hAnsi="Arial"/>
                <w:sz w:val="17"/>
                <w:szCs w:val="17"/>
                <w:b w:val="1"/>
                <w:bCs w:val="1"/>
                <w:color w:val="auto"/>
              </w:rPr>
              <w:t>Weighted-average common and common equivalent</w:t>
            </w:r>
          </w:p>
        </w:tc>
        <w:tc>
          <w:tcPr>
            <w:tcW w:w="300" w:type="dxa"/>
            <w:vAlign w:val="bottom"/>
            <w:shd w:val="clear" w:color="auto" w:fill="DCE2EF"/>
          </w:tcPr>
          <w:p>
            <w:pPr>
              <w:spacing w:after="0"/>
              <w:rPr>
                <w:sz w:val="12"/>
                <w:szCs w:val="12"/>
                <w:color w:val="auto"/>
              </w:rPr>
            </w:pPr>
          </w:p>
        </w:tc>
        <w:tc>
          <w:tcPr>
            <w:tcW w:w="1060" w:type="dxa"/>
            <w:vAlign w:val="bottom"/>
            <w:vMerge w:val="restart"/>
            <w:shd w:val="clear" w:color="auto" w:fill="DCE2EF"/>
          </w:tcPr>
          <w:p>
            <w:pPr>
              <w:jc w:val="right"/>
              <w:spacing w:after="0"/>
              <w:rPr>
                <w:sz w:val="20"/>
                <w:szCs w:val="20"/>
                <w:color w:val="auto"/>
              </w:rPr>
            </w:pPr>
            <w:r>
              <w:rPr>
                <w:rFonts w:ascii="Arial" w:cs="Arial" w:eastAsia="Arial" w:hAnsi="Arial"/>
                <w:sz w:val="17"/>
                <w:szCs w:val="17"/>
                <w:color w:val="auto"/>
              </w:rPr>
              <w:t>62.7</w:t>
            </w:r>
          </w:p>
        </w:tc>
        <w:tc>
          <w:tcPr>
            <w:tcW w:w="20" w:type="dxa"/>
            <w:vAlign w:val="bottom"/>
            <w:shd w:val="clear" w:color="auto" w:fill="DCE2EF"/>
          </w:tcPr>
          <w:p>
            <w:pPr>
              <w:spacing w:after="0"/>
              <w:rPr>
                <w:sz w:val="12"/>
                <w:szCs w:val="12"/>
                <w:color w:val="auto"/>
              </w:rPr>
            </w:pPr>
          </w:p>
        </w:tc>
        <w:tc>
          <w:tcPr>
            <w:tcW w:w="80" w:type="dxa"/>
            <w:vAlign w:val="bottom"/>
            <w:shd w:val="clear" w:color="auto" w:fill="DCE2EF"/>
          </w:tcPr>
          <w:p>
            <w:pPr>
              <w:spacing w:after="0"/>
              <w:rPr>
                <w:sz w:val="12"/>
                <w:szCs w:val="12"/>
                <w:color w:val="auto"/>
              </w:rPr>
            </w:pPr>
          </w:p>
        </w:tc>
        <w:tc>
          <w:tcPr>
            <w:tcW w:w="300" w:type="dxa"/>
            <w:vAlign w:val="bottom"/>
            <w:shd w:val="clear" w:color="auto" w:fill="DCE2EF"/>
          </w:tcPr>
          <w:p>
            <w:pPr>
              <w:spacing w:after="0"/>
              <w:rPr>
                <w:sz w:val="12"/>
                <w:szCs w:val="12"/>
                <w:color w:val="auto"/>
              </w:rPr>
            </w:pPr>
          </w:p>
        </w:tc>
        <w:tc>
          <w:tcPr>
            <w:tcW w:w="1020" w:type="dxa"/>
            <w:vAlign w:val="bottom"/>
            <w:vMerge w:val="restart"/>
            <w:shd w:val="clear" w:color="auto" w:fill="DCE2EF"/>
          </w:tcPr>
          <w:p>
            <w:pPr>
              <w:jc w:val="right"/>
              <w:spacing w:after="0"/>
              <w:rPr>
                <w:sz w:val="20"/>
                <w:szCs w:val="20"/>
                <w:color w:val="auto"/>
              </w:rPr>
            </w:pPr>
            <w:r>
              <w:rPr>
                <w:rFonts w:ascii="Arial" w:cs="Arial" w:eastAsia="Arial" w:hAnsi="Arial"/>
                <w:sz w:val="17"/>
                <w:szCs w:val="17"/>
                <w:color w:val="auto"/>
              </w:rPr>
              <w:t>63.6</w:t>
            </w:r>
          </w:p>
        </w:tc>
        <w:tc>
          <w:tcPr>
            <w:tcW w:w="40" w:type="dxa"/>
            <w:vAlign w:val="bottom"/>
            <w:shd w:val="clear" w:color="auto" w:fill="DCE2EF"/>
          </w:tcPr>
          <w:p>
            <w:pPr>
              <w:spacing w:after="0"/>
              <w:rPr>
                <w:sz w:val="12"/>
                <w:szCs w:val="12"/>
                <w:color w:val="auto"/>
              </w:rPr>
            </w:pPr>
          </w:p>
        </w:tc>
        <w:tc>
          <w:tcPr>
            <w:tcW w:w="100" w:type="dxa"/>
            <w:vAlign w:val="bottom"/>
            <w:shd w:val="clear" w:color="auto" w:fill="DCE2EF"/>
          </w:tcPr>
          <w:p>
            <w:pPr>
              <w:spacing w:after="0"/>
              <w:rPr>
                <w:sz w:val="12"/>
                <w:szCs w:val="12"/>
                <w:color w:val="auto"/>
              </w:rPr>
            </w:pPr>
          </w:p>
        </w:tc>
        <w:tc>
          <w:tcPr>
            <w:tcW w:w="140" w:type="dxa"/>
            <w:vAlign w:val="bottom"/>
            <w:shd w:val="clear" w:color="auto" w:fill="DCE2EF"/>
          </w:tcPr>
          <w:p>
            <w:pPr>
              <w:spacing w:after="0"/>
              <w:rPr>
                <w:sz w:val="12"/>
                <w:szCs w:val="12"/>
                <w:color w:val="auto"/>
              </w:rPr>
            </w:pPr>
          </w:p>
        </w:tc>
        <w:tc>
          <w:tcPr>
            <w:tcW w:w="1220" w:type="dxa"/>
            <w:vAlign w:val="bottom"/>
            <w:gridSpan w:val="3"/>
            <w:vMerge w:val="restart"/>
            <w:shd w:val="clear" w:color="auto" w:fill="DCE2EF"/>
          </w:tcPr>
          <w:p>
            <w:pPr>
              <w:jc w:val="right"/>
              <w:spacing w:after="0"/>
              <w:rPr>
                <w:sz w:val="20"/>
                <w:szCs w:val="20"/>
                <w:color w:val="auto"/>
              </w:rPr>
            </w:pPr>
            <w:r>
              <w:rPr>
                <w:rFonts w:ascii="Arial" w:cs="Arial" w:eastAsia="Arial" w:hAnsi="Arial"/>
                <w:sz w:val="17"/>
                <w:szCs w:val="17"/>
                <w:color w:val="auto"/>
              </w:rPr>
              <w:t>66.3</w:t>
            </w: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6"/>
        </w:trPr>
        <w:tc>
          <w:tcPr>
            <w:tcW w:w="20" w:type="dxa"/>
            <w:vAlign w:val="bottom"/>
            <w:tcBorders>
              <w:bottom w:val="single" w:sz="8" w:color="DCE2EF"/>
            </w:tcBorders>
            <w:shd w:val="clear" w:color="auto" w:fill="DCE2EF"/>
          </w:tcPr>
          <w:p>
            <w:pPr>
              <w:spacing w:after="0"/>
              <w:rPr>
                <w:sz w:val="19"/>
                <w:szCs w:val="19"/>
                <w:color w:val="auto"/>
              </w:rPr>
            </w:pPr>
          </w:p>
        </w:tc>
        <w:tc>
          <w:tcPr>
            <w:tcW w:w="240" w:type="dxa"/>
            <w:vAlign w:val="bottom"/>
            <w:tcBorders>
              <w:bottom w:val="single" w:sz="8" w:color="DCE2EF"/>
            </w:tcBorders>
            <w:shd w:val="clear" w:color="auto" w:fill="DCE2EF"/>
          </w:tcPr>
          <w:p>
            <w:pPr>
              <w:spacing w:after="0"/>
              <w:rPr>
                <w:sz w:val="19"/>
                <w:szCs w:val="19"/>
                <w:color w:val="auto"/>
              </w:rPr>
            </w:pPr>
          </w:p>
        </w:tc>
        <w:tc>
          <w:tcPr>
            <w:tcW w:w="4160" w:type="dxa"/>
            <w:vAlign w:val="bottom"/>
            <w:tcBorders>
              <w:bottom w:val="single" w:sz="8" w:color="DCE2EF"/>
            </w:tcBorders>
            <w:gridSpan w:val="3"/>
            <w:shd w:val="clear" w:color="auto" w:fill="DCE2EF"/>
          </w:tcPr>
          <w:p>
            <w:pPr>
              <w:spacing w:after="0"/>
              <w:rPr>
                <w:sz w:val="20"/>
                <w:szCs w:val="20"/>
                <w:color w:val="auto"/>
              </w:rPr>
            </w:pPr>
            <w:r>
              <w:rPr>
                <w:rFonts w:ascii="Arial" w:cs="Arial" w:eastAsia="Arial" w:hAnsi="Arial"/>
                <w:sz w:val="17"/>
                <w:szCs w:val="17"/>
                <w:b w:val="1"/>
                <w:bCs w:val="1"/>
                <w:color w:val="auto"/>
              </w:rPr>
              <w:t>shares outstanding — Diluted</w:t>
            </w:r>
          </w:p>
        </w:tc>
        <w:tc>
          <w:tcPr>
            <w:tcW w:w="300" w:type="dxa"/>
            <w:vAlign w:val="bottom"/>
            <w:tcBorders>
              <w:bottom w:val="single" w:sz="8" w:color="auto"/>
            </w:tcBorders>
            <w:shd w:val="clear" w:color="auto" w:fill="DCE2EF"/>
          </w:tcPr>
          <w:p>
            <w:pPr>
              <w:spacing w:after="0"/>
              <w:rPr>
                <w:sz w:val="19"/>
                <w:szCs w:val="19"/>
                <w:color w:val="auto"/>
              </w:rPr>
            </w:pPr>
          </w:p>
        </w:tc>
        <w:tc>
          <w:tcPr>
            <w:tcW w:w="1060" w:type="dxa"/>
            <w:vAlign w:val="bottom"/>
            <w:tcBorders>
              <w:bottom w:val="single" w:sz="8" w:color="auto"/>
            </w:tcBorders>
            <w:vMerge w:val="continue"/>
            <w:shd w:val="clear" w:color="auto" w:fill="DCE2EF"/>
          </w:tcPr>
          <w:p>
            <w:pPr>
              <w:spacing w:after="0"/>
              <w:rPr>
                <w:sz w:val="19"/>
                <w:szCs w:val="19"/>
                <w:color w:val="auto"/>
              </w:rPr>
            </w:pPr>
          </w:p>
        </w:tc>
        <w:tc>
          <w:tcPr>
            <w:tcW w:w="20" w:type="dxa"/>
            <w:vAlign w:val="bottom"/>
            <w:tcBorders>
              <w:bottom w:val="single" w:sz="8" w:color="auto"/>
            </w:tcBorders>
            <w:shd w:val="clear" w:color="auto" w:fill="DCE2EF"/>
          </w:tcPr>
          <w:p>
            <w:pPr>
              <w:spacing w:after="0"/>
              <w:rPr>
                <w:sz w:val="19"/>
                <w:szCs w:val="19"/>
                <w:color w:val="auto"/>
              </w:rPr>
            </w:pPr>
          </w:p>
        </w:tc>
        <w:tc>
          <w:tcPr>
            <w:tcW w:w="80" w:type="dxa"/>
            <w:vAlign w:val="bottom"/>
            <w:tcBorders>
              <w:bottom w:val="single" w:sz="8" w:color="DCE2EF"/>
            </w:tcBorders>
            <w:shd w:val="clear" w:color="auto" w:fill="DCE2EF"/>
          </w:tcPr>
          <w:p>
            <w:pPr>
              <w:spacing w:after="0"/>
              <w:rPr>
                <w:sz w:val="19"/>
                <w:szCs w:val="19"/>
                <w:color w:val="auto"/>
              </w:rPr>
            </w:pPr>
          </w:p>
        </w:tc>
        <w:tc>
          <w:tcPr>
            <w:tcW w:w="300" w:type="dxa"/>
            <w:vAlign w:val="bottom"/>
            <w:tcBorders>
              <w:bottom w:val="single" w:sz="8" w:color="auto"/>
            </w:tcBorders>
            <w:shd w:val="clear" w:color="auto" w:fill="DCE2EF"/>
          </w:tcPr>
          <w:p>
            <w:pPr>
              <w:spacing w:after="0"/>
              <w:rPr>
                <w:sz w:val="19"/>
                <w:szCs w:val="19"/>
                <w:color w:val="auto"/>
              </w:rPr>
            </w:pPr>
          </w:p>
        </w:tc>
        <w:tc>
          <w:tcPr>
            <w:tcW w:w="1020" w:type="dxa"/>
            <w:vAlign w:val="bottom"/>
            <w:tcBorders>
              <w:bottom w:val="single" w:sz="8" w:color="auto"/>
            </w:tcBorders>
            <w:vMerge w:val="continue"/>
            <w:shd w:val="clear" w:color="auto" w:fill="DCE2EF"/>
          </w:tcPr>
          <w:p>
            <w:pPr>
              <w:spacing w:after="0"/>
              <w:rPr>
                <w:sz w:val="19"/>
                <w:szCs w:val="19"/>
                <w:color w:val="auto"/>
              </w:rPr>
            </w:pPr>
          </w:p>
        </w:tc>
        <w:tc>
          <w:tcPr>
            <w:tcW w:w="40" w:type="dxa"/>
            <w:vAlign w:val="bottom"/>
            <w:tcBorders>
              <w:bottom w:val="single" w:sz="8" w:color="auto"/>
            </w:tcBorders>
            <w:shd w:val="clear" w:color="auto" w:fill="DCE2EF"/>
          </w:tcPr>
          <w:p>
            <w:pPr>
              <w:spacing w:after="0"/>
              <w:rPr>
                <w:sz w:val="19"/>
                <w:szCs w:val="19"/>
                <w:color w:val="auto"/>
              </w:rPr>
            </w:pPr>
          </w:p>
        </w:tc>
        <w:tc>
          <w:tcPr>
            <w:tcW w:w="100" w:type="dxa"/>
            <w:vAlign w:val="bottom"/>
            <w:tcBorders>
              <w:bottom w:val="single" w:sz="8" w:color="DCE2EF"/>
            </w:tcBorders>
            <w:shd w:val="clear" w:color="auto" w:fill="DCE2EF"/>
          </w:tcPr>
          <w:p>
            <w:pPr>
              <w:spacing w:after="0"/>
              <w:rPr>
                <w:sz w:val="19"/>
                <w:szCs w:val="19"/>
                <w:color w:val="auto"/>
              </w:rPr>
            </w:pPr>
          </w:p>
        </w:tc>
        <w:tc>
          <w:tcPr>
            <w:tcW w:w="140" w:type="dxa"/>
            <w:vAlign w:val="bottom"/>
            <w:tcBorders>
              <w:bottom w:val="single" w:sz="8" w:color="auto"/>
            </w:tcBorders>
            <w:shd w:val="clear" w:color="auto" w:fill="DCE2EF"/>
          </w:tcPr>
          <w:p>
            <w:pPr>
              <w:spacing w:after="0"/>
              <w:rPr>
                <w:sz w:val="19"/>
                <w:szCs w:val="19"/>
                <w:color w:val="auto"/>
              </w:rPr>
            </w:pPr>
          </w:p>
        </w:tc>
        <w:tc>
          <w:tcPr>
            <w:tcW w:w="1220" w:type="dxa"/>
            <w:vAlign w:val="bottom"/>
            <w:tcBorders>
              <w:bottom w:val="single" w:sz="8" w:color="auto"/>
            </w:tcBorders>
            <w:gridSpan w:val="3"/>
            <w:vMerge w:val="continue"/>
            <w:shd w:val="clear" w:color="auto" w:fill="DCE2EF"/>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DCE2EF"/>
            </w:tcBorders>
          </w:tcPr>
          <w:p>
            <w:pPr>
              <w:spacing w:after="0" w:line="20" w:lineRule="exact"/>
              <w:rPr>
                <w:sz w:val="1"/>
                <w:szCs w:val="1"/>
                <w:color w:val="auto"/>
              </w:rPr>
            </w:pPr>
          </w:p>
        </w:tc>
        <w:tc>
          <w:tcPr>
            <w:tcW w:w="240" w:type="dxa"/>
            <w:vAlign w:val="bottom"/>
            <w:tcBorders>
              <w:top w:val="single" w:sz="8" w:color="DCE2EF"/>
            </w:tcBorders>
          </w:tcPr>
          <w:p>
            <w:pPr>
              <w:spacing w:after="0" w:line="20" w:lineRule="exact"/>
              <w:rPr>
                <w:sz w:val="1"/>
                <w:szCs w:val="1"/>
                <w:color w:val="auto"/>
              </w:rPr>
            </w:pPr>
          </w:p>
        </w:tc>
        <w:tc>
          <w:tcPr>
            <w:tcW w:w="660" w:type="dxa"/>
            <w:vAlign w:val="bottom"/>
            <w:tcBorders>
              <w:top w:val="single" w:sz="8" w:color="DCE2EF"/>
            </w:tcBorders>
          </w:tcPr>
          <w:p>
            <w:pPr>
              <w:spacing w:after="0" w:line="20" w:lineRule="exact"/>
              <w:rPr>
                <w:sz w:val="1"/>
                <w:szCs w:val="1"/>
                <w:color w:val="auto"/>
              </w:rPr>
            </w:pPr>
          </w:p>
        </w:tc>
        <w:tc>
          <w:tcPr>
            <w:tcW w:w="1240" w:type="dxa"/>
            <w:vAlign w:val="bottom"/>
            <w:tcBorders>
              <w:top w:val="single" w:sz="8" w:color="DCE2EF"/>
            </w:tcBorders>
          </w:tcPr>
          <w:p>
            <w:pPr>
              <w:spacing w:after="0" w:line="20" w:lineRule="exact"/>
              <w:rPr>
                <w:sz w:val="1"/>
                <w:szCs w:val="1"/>
                <w:color w:val="auto"/>
              </w:rPr>
            </w:pPr>
          </w:p>
        </w:tc>
        <w:tc>
          <w:tcPr>
            <w:tcW w:w="2260" w:type="dxa"/>
            <w:vAlign w:val="bottom"/>
            <w:tcBorders>
              <w:top w:val="single" w:sz="8" w:color="DCE2EF"/>
            </w:tcBorders>
          </w:tcPr>
          <w:p>
            <w:pPr>
              <w:spacing w:after="0" w:line="20" w:lineRule="exact"/>
              <w:rPr>
                <w:sz w:val="1"/>
                <w:szCs w:val="1"/>
                <w:color w:val="auto"/>
              </w:rPr>
            </w:pPr>
          </w:p>
        </w:tc>
        <w:tc>
          <w:tcPr>
            <w:tcW w:w="300" w:type="dxa"/>
            <w:vAlign w:val="bottom"/>
            <w:tcBorders>
              <w:top w:val="single" w:sz="8" w:color="DCE2EF"/>
              <w:bottom w:val="single" w:sz="8" w:color="auto"/>
            </w:tcBorders>
          </w:tcPr>
          <w:p>
            <w:pPr>
              <w:spacing w:after="0" w:line="20" w:lineRule="exact"/>
              <w:rPr>
                <w:sz w:val="1"/>
                <w:szCs w:val="1"/>
                <w:color w:val="auto"/>
              </w:rPr>
            </w:pPr>
          </w:p>
        </w:tc>
        <w:tc>
          <w:tcPr>
            <w:tcW w:w="1060" w:type="dxa"/>
            <w:vAlign w:val="bottom"/>
            <w:tcBorders>
              <w:top w:val="single" w:sz="8" w:color="DCE2EF"/>
              <w:bottom w:val="single" w:sz="8" w:color="auto"/>
            </w:tcBorders>
          </w:tcPr>
          <w:p>
            <w:pPr>
              <w:spacing w:after="0" w:line="20" w:lineRule="exact"/>
              <w:rPr>
                <w:sz w:val="1"/>
                <w:szCs w:val="1"/>
                <w:color w:val="auto"/>
              </w:rPr>
            </w:pPr>
          </w:p>
        </w:tc>
        <w:tc>
          <w:tcPr>
            <w:tcW w:w="20" w:type="dxa"/>
            <w:vAlign w:val="bottom"/>
            <w:tcBorders>
              <w:top w:val="single" w:sz="8" w:color="DCE2EF"/>
              <w:bottom w:val="single" w:sz="8" w:color="auto"/>
            </w:tcBorders>
          </w:tcPr>
          <w:p>
            <w:pPr>
              <w:spacing w:after="0" w:line="20" w:lineRule="exact"/>
              <w:rPr>
                <w:sz w:val="1"/>
                <w:szCs w:val="1"/>
                <w:color w:val="auto"/>
              </w:rPr>
            </w:pPr>
          </w:p>
        </w:tc>
        <w:tc>
          <w:tcPr>
            <w:tcW w:w="80" w:type="dxa"/>
            <w:vAlign w:val="bottom"/>
            <w:tcBorders>
              <w:top w:val="single" w:sz="8" w:color="DCE2EF"/>
            </w:tcBorders>
          </w:tcPr>
          <w:p>
            <w:pPr>
              <w:spacing w:after="0" w:line="20" w:lineRule="exact"/>
              <w:rPr>
                <w:sz w:val="1"/>
                <w:szCs w:val="1"/>
                <w:color w:val="auto"/>
              </w:rPr>
            </w:pPr>
          </w:p>
        </w:tc>
        <w:tc>
          <w:tcPr>
            <w:tcW w:w="300" w:type="dxa"/>
            <w:vAlign w:val="bottom"/>
            <w:tcBorders>
              <w:top w:val="single" w:sz="8" w:color="DCE2EF"/>
              <w:bottom w:val="single" w:sz="8" w:color="auto"/>
            </w:tcBorders>
          </w:tcPr>
          <w:p>
            <w:pPr>
              <w:spacing w:after="0" w:line="20" w:lineRule="exact"/>
              <w:rPr>
                <w:sz w:val="1"/>
                <w:szCs w:val="1"/>
                <w:color w:val="auto"/>
              </w:rPr>
            </w:pPr>
          </w:p>
        </w:tc>
        <w:tc>
          <w:tcPr>
            <w:tcW w:w="1020" w:type="dxa"/>
            <w:vAlign w:val="bottom"/>
            <w:tcBorders>
              <w:top w:val="single" w:sz="8" w:color="DCE2EF"/>
              <w:bottom w:val="single" w:sz="8" w:color="auto"/>
            </w:tcBorders>
          </w:tcPr>
          <w:p>
            <w:pPr>
              <w:spacing w:after="0" w:line="20" w:lineRule="exact"/>
              <w:rPr>
                <w:sz w:val="1"/>
                <w:szCs w:val="1"/>
                <w:color w:val="auto"/>
              </w:rPr>
            </w:pPr>
          </w:p>
        </w:tc>
        <w:tc>
          <w:tcPr>
            <w:tcW w:w="40" w:type="dxa"/>
            <w:vAlign w:val="bottom"/>
            <w:tcBorders>
              <w:top w:val="single" w:sz="8" w:color="DCE2EF"/>
              <w:bottom w:val="single" w:sz="8" w:color="auto"/>
            </w:tcBorders>
          </w:tcPr>
          <w:p>
            <w:pPr>
              <w:spacing w:after="0" w:line="20" w:lineRule="exact"/>
              <w:rPr>
                <w:sz w:val="1"/>
                <w:szCs w:val="1"/>
                <w:color w:val="auto"/>
              </w:rPr>
            </w:pPr>
          </w:p>
        </w:tc>
        <w:tc>
          <w:tcPr>
            <w:tcW w:w="100" w:type="dxa"/>
            <w:vAlign w:val="bottom"/>
            <w:tcBorders>
              <w:top w:val="single" w:sz="8" w:color="DCE2EF"/>
            </w:tcBorders>
          </w:tcPr>
          <w:p>
            <w:pPr>
              <w:spacing w:after="0" w:line="20" w:lineRule="exact"/>
              <w:rPr>
                <w:sz w:val="1"/>
                <w:szCs w:val="1"/>
                <w:color w:val="auto"/>
              </w:rPr>
            </w:pPr>
          </w:p>
        </w:tc>
        <w:tc>
          <w:tcPr>
            <w:tcW w:w="140" w:type="dxa"/>
            <w:vAlign w:val="bottom"/>
            <w:tcBorders>
              <w:top w:val="single" w:sz="8" w:color="DCE2EF"/>
              <w:bottom w:val="single" w:sz="8" w:color="auto"/>
            </w:tcBorders>
          </w:tcPr>
          <w:p>
            <w:pPr>
              <w:spacing w:after="0" w:line="20" w:lineRule="exact"/>
              <w:rPr>
                <w:sz w:val="1"/>
                <w:szCs w:val="1"/>
                <w:color w:val="auto"/>
              </w:rPr>
            </w:pPr>
          </w:p>
        </w:tc>
        <w:tc>
          <w:tcPr>
            <w:tcW w:w="60" w:type="dxa"/>
            <w:vAlign w:val="bottom"/>
            <w:tcBorders>
              <w:top w:val="single" w:sz="8" w:color="DCE2EF"/>
              <w:bottom w:val="single" w:sz="8" w:color="auto"/>
            </w:tcBorders>
          </w:tcPr>
          <w:p>
            <w:pPr>
              <w:spacing w:after="0" w:line="20" w:lineRule="exact"/>
              <w:rPr>
                <w:sz w:val="1"/>
                <w:szCs w:val="1"/>
                <w:color w:val="auto"/>
              </w:rPr>
            </w:pPr>
          </w:p>
        </w:tc>
        <w:tc>
          <w:tcPr>
            <w:tcW w:w="100" w:type="dxa"/>
            <w:vAlign w:val="bottom"/>
            <w:tcBorders>
              <w:top w:val="single" w:sz="8" w:color="DCE2EF"/>
              <w:bottom w:val="single" w:sz="8" w:color="auto"/>
            </w:tcBorders>
          </w:tcPr>
          <w:p>
            <w:pPr>
              <w:spacing w:after="0" w:line="20" w:lineRule="exact"/>
              <w:rPr>
                <w:sz w:val="1"/>
                <w:szCs w:val="1"/>
                <w:color w:val="auto"/>
              </w:rPr>
            </w:pPr>
          </w:p>
        </w:tc>
        <w:tc>
          <w:tcPr>
            <w:tcW w:w="1060" w:type="dxa"/>
            <w:vAlign w:val="bottom"/>
            <w:tcBorders>
              <w:top w:val="single" w:sz="8" w:color="DCE2EF"/>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4420" w:type="dxa"/>
            <w:vAlign w:val="bottom"/>
            <w:gridSpan w:val="5"/>
            <w:shd w:val="clear" w:color="auto" w:fill="DCE2EF"/>
          </w:tcPr>
          <w:p>
            <w:pPr>
              <w:ind w:left="20"/>
              <w:spacing w:after="0"/>
              <w:rPr>
                <w:sz w:val="20"/>
                <w:szCs w:val="20"/>
                <w:color w:val="auto"/>
              </w:rPr>
            </w:pPr>
            <w:r>
              <w:rPr>
                <w:rFonts w:ascii="Arial" w:cs="Arial" w:eastAsia="Arial" w:hAnsi="Arial"/>
                <w:sz w:val="17"/>
                <w:szCs w:val="17"/>
                <w:b w:val="1"/>
                <w:bCs w:val="1"/>
                <w:color w:val="auto"/>
              </w:rPr>
              <w:t>Net income per common share</w:t>
            </w:r>
          </w:p>
        </w:tc>
        <w:tc>
          <w:tcPr>
            <w:tcW w:w="300" w:type="dxa"/>
            <w:vAlign w:val="bottom"/>
            <w:shd w:val="clear" w:color="auto" w:fill="DCE2EF"/>
          </w:tcPr>
          <w:p>
            <w:pPr>
              <w:spacing w:after="0"/>
              <w:rPr>
                <w:sz w:val="19"/>
                <w:szCs w:val="19"/>
                <w:color w:val="auto"/>
              </w:rPr>
            </w:pPr>
          </w:p>
        </w:tc>
        <w:tc>
          <w:tcPr>
            <w:tcW w:w="1060" w:type="dxa"/>
            <w:vAlign w:val="bottom"/>
            <w:shd w:val="clear" w:color="auto" w:fill="DCE2EF"/>
          </w:tcPr>
          <w:p>
            <w:pPr>
              <w:spacing w:after="0"/>
              <w:rPr>
                <w:sz w:val="19"/>
                <w:szCs w:val="19"/>
                <w:color w:val="auto"/>
              </w:rPr>
            </w:pPr>
          </w:p>
        </w:tc>
        <w:tc>
          <w:tcPr>
            <w:tcW w:w="20" w:type="dxa"/>
            <w:vAlign w:val="bottom"/>
            <w:shd w:val="clear" w:color="auto" w:fill="DCE2EF"/>
          </w:tcPr>
          <w:p>
            <w:pPr>
              <w:spacing w:after="0"/>
              <w:rPr>
                <w:sz w:val="19"/>
                <w:szCs w:val="19"/>
                <w:color w:val="auto"/>
              </w:rPr>
            </w:pPr>
          </w:p>
        </w:tc>
        <w:tc>
          <w:tcPr>
            <w:tcW w:w="80" w:type="dxa"/>
            <w:vAlign w:val="bottom"/>
            <w:shd w:val="clear" w:color="auto" w:fill="DCE2EF"/>
          </w:tcPr>
          <w:p>
            <w:pPr>
              <w:spacing w:after="0"/>
              <w:rPr>
                <w:sz w:val="19"/>
                <w:szCs w:val="19"/>
                <w:color w:val="auto"/>
              </w:rPr>
            </w:pPr>
          </w:p>
        </w:tc>
        <w:tc>
          <w:tcPr>
            <w:tcW w:w="300" w:type="dxa"/>
            <w:vAlign w:val="bottom"/>
            <w:shd w:val="clear" w:color="auto" w:fill="DCE2EF"/>
          </w:tcPr>
          <w:p>
            <w:pPr>
              <w:spacing w:after="0"/>
              <w:rPr>
                <w:sz w:val="19"/>
                <w:szCs w:val="19"/>
                <w:color w:val="auto"/>
              </w:rPr>
            </w:pPr>
          </w:p>
        </w:tc>
        <w:tc>
          <w:tcPr>
            <w:tcW w:w="1020" w:type="dxa"/>
            <w:vAlign w:val="bottom"/>
            <w:shd w:val="clear" w:color="auto" w:fill="DCE2EF"/>
          </w:tcPr>
          <w:p>
            <w:pPr>
              <w:spacing w:after="0"/>
              <w:rPr>
                <w:sz w:val="19"/>
                <w:szCs w:val="19"/>
                <w:color w:val="auto"/>
              </w:rPr>
            </w:pPr>
          </w:p>
        </w:tc>
        <w:tc>
          <w:tcPr>
            <w:tcW w:w="40" w:type="dxa"/>
            <w:vAlign w:val="bottom"/>
            <w:shd w:val="clear" w:color="auto" w:fill="DCE2EF"/>
          </w:tcPr>
          <w:p>
            <w:pPr>
              <w:spacing w:after="0"/>
              <w:rPr>
                <w:sz w:val="19"/>
                <w:szCs w:val="19"/>
                <w:color w:val="auto"/>
              </w:rPr>
            </w:pPr>
          </w:p>
        </w:tc>
        <w:tc>
          <w:tcPr>
            <w:tcW w:w="100" w:type="dxa"/>
            <w:vAlign w:val="bottom"/>
            <w:shd w:val="clear" w:color="auto" w:fill="DCE2EF"/>
          </w:tcPr>
          <w:p>
            <w:pPr>
              <w:spacing w:after="0"/>
              <w:rPr>
                <w:sz w:val="19"/>
                <w:szCs w:val="19"/>
                <w:color w:val="auto"/>
              </w:rPr>
            </w:pPr>
          </w:p>
        </w:tc>
        <w:tc>
          <w:tcPr>
            <w:tcW w:w="140" w:type="dxa"/>
            <w:vAlign w:val="bottom"/>
            <w:shd w:val="clear" w:color="auto" w:fill="DCE2EF"/>
          </w:tcPr>
          <w:p>
            <w:pPr>
              <w:spacing w:after="0"/>
              <w:rPr>
                <w:sz w:val="19"/>
                <w:szCs w:val="19"/>
                <w:color w:val="auto"/>
              </w:rPr>
            </w:pPr>
          </w:p>
        </w:tc>
        <w:tc>
          <w:tcPr>
            <w:tcW w:w="60" w:type="dxa"/>
            <w:vAlign w:val="bottom"/>
            <w:shd w:val="clear" w:color="auto" w:fill="DCE2EF"/>
          </w:tcPr>
          <w:p>
            <w:pPr>
              <w:spacing w:after="0"/>
              <w:rPr>
                <w:sz w:val="19"/>
                <w:szCs w:val="19"/>
                <w:color w:val="auto"/>
              </w:rPr>
            </w:pPr>
          </w:p>
        </w:tc>
        <w:tc>
          <w:tcPr>
            <w:tcW w:w="100" w:type="dxa"/>
            <w:vAlign w:val="bottom"/>
            <w:shd w:val="clear" w:color="auto" w:fill="DCE2EF"/>
          </w:tcPr>
          <w:p>
            <w:pPr>
              <w:spacing w:after="0"/>
              <w:rPr>
                <w:sz w:val="19"/>
                <w:szCs w:val="19"/>
                <w:color w:val="auto"/>
              </w:rPr>
            </w:pPr>
          </w:p>
        </w:tc>
        <w:tc>
          <w:tcPr>
            <w:tcW w:w="1060" w:type="dxa"/>
            <w:vAlign w:val="bottom"/>
            <w:shd w:val="clear" w:color="auto" w:fill="DCE2EF"/>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160" w:type="dxa"/>
            <w:vAlign w:val="bottom"/>
            <w:gridSpan w:val="3"/>
          </w:tcPr>
          <w:p>
            <w:pPr>
              <w:ind w:left="60"/>
              <w:spacing w:after="0"/>
              <w:rPr>
                <w:sz w:val="20"/>
                <w:szCs w:val="20"/>
                <w:color w:val="auto"/>
              </w:rPr>
            </w:pPr>
            <w:r>
              <w:rPr>
                <w:rFonts w:ascii="Arial" w:cs="Arial" w:eastAsia="Arial" w:hAnsi="Arial"/>
                <w:sz w:val="17"/>
                <w:szCs w:val="17"/>
                <w:color w:val="auto"/>
              </w:rPr>
              <w:t>Basic</w:t>
            </w:r>
          </w:p>
        </w:tc>
        <w:tc>
          <w:tcPr>
            <w:tcW w:w="300" w:type="dxa"/>
            <w:vAlign w:val="bottom"/>
          </w:tcPr>
          <w:p>
            <w:pPr>
              <w:jc w:val="right"/>
              <w:ind w:right="94"/>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2.61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jc w:val="right"/>
              <w:ind w:right="94"/>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1.29</w:t>
            </w:r>
          </w:p>
        </w:tc>
        <w:tc>
          <w:tcPr>
            <w:tcW w:w="28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1220" w:type="dxa"/>
            <w:vAlign w:val="bottom"/>
            <w:gridSpan w:val="3"/>
          </w:tcPr>
          <w:p>
            <w:pPr>
              <w:jc w:val="right"/>
              <w:spacing w:after="0"/>
              <w:rPr>
                <w:sz w:val="20"/>
                <w:szCs w:val="20"/>
                <w:color w:val="auto"/>
              </w:rPr>
            </w:pPr>
            <w:r>
              <w:rPr>
                <w:rFonts w:ascii="Arial" w:cs="Arial" w:eastAsia="Arial" w:hAnsi="Arial"/>
                <w:sz w:val="17"/>
                <w:szCs w:val="17"/>
                <w:color w:val="auto"/>
              </w:rPr>
              <w:t>3.81</w:t>
            </w: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DCE2EF"/>
          </w:tcPr>
          <w:p>
            <w:pPr>
              <w:spacing w:after="0"/>
              <w:rPr>
                <w:sz w:val="19"/>
                <w:szCs w:val="19"/>
                <w:color w:val="auto"/>
              </w:rPr>
            </w:pPr>
          </w:p>
        </w:tc>
        <w:tc>
          <w:tcPr>
            <w:tcW w:w="240" w:type="dxa"/>
            <w:vAlign w:val="bottom"/>
            <w:shd w:val="clear" w:color="auto" w:fill="DCE2EF"/>
          </w:tcPr>
          <w:p>
            <w:pPr>
              <w:spacing w:after="0"/>
              <w:rPr>
                <w:sz w:val="19"/>
                <w:szCs w:val="19"/>
                <w:color w:val="auto"/>
              </w:rPr>
            </w:pPr>
          </w:p>
        </w:tc>
        <w:tc>
          <w:tcPr>
            <w:tcW w:w="4160" w:type="dxa"/>
            <w:vAlign w:val="bottom"/>
            <w:gridSpan w:val="3"/>
            <w:shd w:val="clear" w:color="auto" w:fill="DCE2EF"/>
          </w:tcPr>
          <w:p>
            <w:pPr>
              <w:ind w:left="60"/>
              <w:spacing w:after="0"/>
              <w:rPr>
                <w:sz w:val="20"/>
                <w:szCs w:val="20"/>
                <w:color w:val="auto"/>
              </w:rPr>
            </w:pPr>
            <w:r>
              <w:rPr>
                <w:rFonts w:ascii="Arial" w:cs="Arial" w:eastAsia="Arial" w:hAnsi="Arial"/>
                <w:sz w:val="17"/>
                <w:szCs w:val="17"/>
                <w:color w:val="auto"/>
              </w:rPr>
              <w:t>Diluted</w:t>
            </w:r>
          </w:p>
        </w:tc>
        <w:tc>
          <w:tcPr>
            <w:tcW w:w="300" w:type="dxa"/>
            <w:vAlign w:val="bottom"/>
            <w:shd w:val="clear" w:color="auto" w:fill="DCE2EF"/>
          </w:tcPr>
          <w:p>
            <w:pPr>
              <w:jc w:val="right"/>
              <w:ind w:right="94"/>
              <w:spacing w:after="0"/>
              <w:rPr>
                <w:sz w:val="20"/>
                <w:szCs w:val="20"/>
                <w:color w:val="auto"/>
              </w:rPr>
            </w:pPr>
            <w:r>
              <w:rPr>
                <w:rFonts w:ascii="Arial" w:cs="Arial" w:eastAsia="Arial" w:hAnsi="Arial"/>
                <w:sz w:val="17"/>
                <w:szCs w:val="17"/>
                <w:color w:val="auto"/>
              </w:rPr>
              <w:t>$</w:t>
            </w:r>
          </w:p>
        </w:tc>
        <w:tc>
          <w:tcPr>
            <w:tcW w:w="1060" w:type="dxa"/>
            <w:vAlign w:val="bottom"/>
            <w:shd w:val="clear" w:color="auto" w:fill="DCE2EF"/>
          </w:tcPr>
          <w:p>
            <w:pPr>
              <w:jc w:val="right"/>
              <w:spacing w:after="0"/>
              <w:rPr>
                <w:sz w:val="20"/>
                <w:szCs w:val="20"/>
                <w:color w:val="auto"/>
              </w:rPr>
            </w:pPr>
            <w:r>
              <w:rPr>
                <w:rFonts w:ascii="Arial" w:cs="Arial" w:eastAsia="Arial" w:hAnsi="Arial"/>
                <w:sz w:val="17"/>
                <w:szCs w:val="17"/>
                <w:color w:val="auto"/>
              </w:rPr>
              <w:t>2.59</w:t>
            </w:r>
          </w:p>
        </w:tc>
        <w:tc>
          <w:tcPr>
            <w:tcW w:w="20" w:type="dxa"/>
            <w:vAlign w:val="bottom"/>
            <w:shd w:val="clear" w:color="auto" w:fill="DCE2EF"/>
          </w:tcPr>
          <w:p>
            <w:pPr>
              <w:spacing w:after="0"/>
              <w:rPr>
                <w:sz w:val="19"/>
                <w:szCs w:val="19"/>
                <w:color w:val="auto"/>
              </w:rPr>
            </w:pPr>
          </w:p>
        </w:tc>
        <w:tc>
          <w:tcPr>
            <w:tcW w:w="80" w:type="dxa"/>
            <w:vAlign w:val="bottom"/>
            <w:shd w:val="clear" w:color="auto" w:fill="DCE2EF"/>
          </w:tcPr>
          <w:p>
            <w:pPr>
              <w:spacing w:after="0"/>
              <w:rPr>
                <w:sz w:val="19"/>
                <w:szCs w:val="19"/>
                <w:color w:val="auto"/>
              </w:rPr>
            </w:pPr>
          </w:p>
        </w:tc>
        <w:tc>
          <w:tcPr>
            <w:tcW w:w="300" w:type="dxa"/>
            <w:vAlign w:val="bottom"/>
            <w:shd w:val="clear" w:color="auto" w:fill="DCE2EF"/>
          </w:tcPr>
          <w:p>
            <w:pPr>
              <w:jc w:val="right"/>
              <w:ind w:right="94"/>
              <w:spacing w:after="0"/>
              <w:rPr>
                <w:sz w:val="20"/>
                <w:szCs w:val="20"/>
                <w:color w:val="auto"/>
              </w:rPr>
            </w:pPr>
            <w:r>
              <w:rPr>
                <w:rFonts w:ascii="Arial" w:cs="Arial" w:eastAsia="Arial" w:hAnsi="Arial"/>
                <w:sz w:val="17"/>
                <w:szCs w:val="17"/>
                <w:color w:val="auto"/>
              </w:rPr>
              <w:t>$</w:t>
            </w:r>
          </w:p>
        </w:tc>
        <w:tc>
          <w:tcPr>
            <w:tcW w:w="1020" w:type="dxa"/>
            <w:vAlign w:val="bottom"/>
            <w:shd w:val="clear" w:color="auto" w:fill="DCE2EF"/>
          </w:tcPr>
          <w:p>
            <w:pPr>
              <w:jc w:val="right"/>
              <w:spacing w:after="0"/>
              <w:rPr>
                <w:sz w:val="20"/>
                <w:szCs w:val="20"/>
                <w:color w:val="auto"/>
              </w:rPr>
            </w:pPr>
            <w:r>
              <w:rPr>
                <w:rFonts w:ascii="Arial" w:cs="Arial" w:eastAsia="Arial" w:hAnsi="Arial"/>
                <w:sz w:val="17"/>
                <w:szCs w:val="17"/>
                <w:color w:val="auto"/>
              </w:rPr>
              <w:t>1.28</w:t>
            </w:r>
          </w:p>
        </w:tc>
        <w:tc>
          <w:tcPr>
            <w:tcW w:w="280" w:type="dxa"/>
            <w:vAlign w:val="bottom"/>
            <w:gridSpan w:val="3"/>
            <w:shd w:val="clear" w:color="auto" w:fill="DCE2EF"/>
          </w:tcPr>
          <w:p>
            <w:pPr>
              <w:jc w:val="right"/>
              <w:spacing w:after="0"/>
              <w:rPr>
                <w:sz w:val="20"/>
                <w:szCs w:val="20"/>
                <w:color w:val="auto"/>
              </w:rPr>
            </w:pPr>
            <w:r>
              <w:rPr>
                <w:rFonts w:ascii="Arial" w:cs="Arial" w:eastAsia="Arial" w:hAnsi="Arial"/>
                <w:sz w:val="17"/>
                <w:szCs w:val="17"/>
                <w:color w:val="auto"/>
              </w:rPr>
              <w:t>$</w:t>
            </w:r>
          </w:p>
        </w:tc>
        <w:tc>
          <w:tcPr>
            <w:tcW w:w="1220" w:type="dxa"/>
            <w:vAlign w:val="bottom"/>
            <w:gridSpan w:val="3"/>
            <w:shd w:val="clear" w:color="auto" w:fill="DCE2EF"/>
          </w:tcPr>
          <w:p>
            <w:pPr>
              <w:jc w:val="right"/>
              <w:spacing w:after="0"/>
              <w:rPr>
                <w:sz w:val="20"/>
                <w:szCs w:val="20"/>
                <w:color w:val="auto"/>
              </w:rPr>
            </w:pPr>
            <w:r>
              <w:rPr>
                <w:rFonts w:ascii="Arial" w:cs="Arial" w:eastAsia="Arial" w:hAnsi="Arial"/>
                <w:sz w:val="17"/>
                <w:szCs w:val="17"/>
                <w:color w:val="auto"/>
              </w:rPr>
              <w:t>3.79</w:t>
            </w: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54"/>
        </w:trPr>
        <w:tc>
          <w:tcPr>
            <w:tcW w:w="7480" w:type="dxa"/>
            <w:vAlign w:val="bottom"/>
            <w:gridSpan w:val="14"/>
          </w:tcPr>
          <w:p>
            <w:pPr>
              <w:spacing w:after="0"/>
              <w:rPr>
                <w:sz w:val="20"/>
                <w:szCs w:val="20"/>
                <w:color w:val="auto"/>
              </w:rPr>
            </w:pPr>
            <w:r>
              <w:rPr>
                <w:rFonts w:ascii="Arial" w:cs="Arial" w:eastAsia="Arial" w:hAnsi="Arial"/>
                <w:sz w:val="17"/>
                <w:szCs w:val="17"/>
                <w:b w:val="1"/>
                <w:bCs w:val="1"/>
                <w:color w:val="0046AD"/>
              </w:rPr>
              <w:t>Anti-Dilutive Outstanding Stock Awards Issued Under Share-Based Compensation Plans</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6"/>
          </w:tcPr>
          <w:p>
            <w:pPr>
              <w:ind w:left="20"/>
              <w:spacing w:after="0"/>
              <w:rPr>
                <w:sz w:val="20"/>
                <w:szCs w:val="20"/>
                <w:color w:val="auto"/>
              </w:rPr>
            </w:pPr>
            <w:r>
              <w:rPr>
                <w:rFonts w:ascii="Arial" w:cs="Arial" w:eastAsia="Arial" w:hAnsi="Arial"/>
                <w:sz w:val="17"/>
                <w:szCs w:val="17"/>
                <w:b w:val="1"/>
                <w:bCs w:val="1"/>
                <w:color w:val="auto"/>
              </w:rPr>
              <w:t>Years Ended October 31,</w:t>
            </w:r>
          </w:p>
        </w:tc>
        <w:tc>
          <w:tcPr>
            <w:tcW w:w="13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160" w:type="dxa"/>
            <w:vAlign w:val="bottom"/>
            <w:gridSpan w:val="3"/>
          </w:tcPr>
          <w:p>
            <w:pPr>
              <w:spacing w:after="0" w:line="148" w:lineRule="exact"/>
              <w:rPr>
                <w:sz w:val="20"/>
                <w:szCs w:val="20"/>
                <w:color w:val="auto"/>
              </w:rPr>
            </w:pPr>
            <w:r>
              <w:rPr>
                <w:rFonts w:ascii="Times New Roman" w:cs="Times New Roman" w:eastAsia="Times New Roman" w:hAnsi="Times New Roman"/>
                <w:sz w:val="14"/>
                <w:szCs w:val="14"/>
                <w:i w:val="1"/>
                <w:iCs w:val="1"/>
                <w:color w:val="auto"/>
              </w:rPr>
              <w:t>(in millions)</w:t>
            </w: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jc w:val="right"/>
              <w:ind w:right="274"/>
              <w:spacing w:after="0" w:line="148" w:lineRule="exact"/>
              <w:rPr>
                <w:sz w:val="20"/>
                <w:szCs w:val="20"/>
                <w:color w:val="auto"/>
              </w:rPr>
            </w:pPr>
            <w:r>
              <w:rPr>
                <w:rFonts w:ascii="Arial" w:cs="Arial" w:eastAsia="Arial" w:hAnsi="Arial"/>
                <w:sz w:val="17"/>
                <w:szCs w:val="17"/>
                <w:b w:val="1"/>
                <w:bCs w:val="1"/>
                <w:color w:val="auto"/>
              </w:rPr>
              <w:t>2025</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3"/>
          </w:tcPr>
          <w:p>
            <w:pPr>
              <w:jc w:val="right"/>
              <w:spacing w:after="0" w:line="148" w:lineRule="exact"/>
              <w:rPr>
                <w:sz w:val="20"/>
                <w:szCs w:val="20"/>
                <w:color w:val="auto"/>
              </w:rPr>
            </w:pPr>
            <w:r>
              <w:rPr>
                <w:rFonts w:ascii="Arial" w:cs="Arial" w:eastAsia="Arial" w:hAnsi="Arial"/>
                <w:sz w:val="17"/>
                <w:szCs w:val="17"/>
                <w:b w:val="1"/>
                <w:bCs w:val="1"/>
                <w:color w:val="auto"/>
              </w:rPr>
              <w:t>2024</w:t>
            </w: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80" w:type="dxa"/>
            <w:vAlign w:val="bottom"/>
          </w:tcPr>
          <w:p>
            <w:pPr>
              <w:jc w:val="right"/>
              <w:ind w:right="594"/>
              <w:spacing w:after="0" w:line="148" w:lineRule="exact"/>
              <w:rPr>
                <w:sz w:val="20"/>
                <w:szCs w:val="20"/>
                <w:color w:val="auto"/>
              </w:rPr>
            </w:pPr>
            <w:r>
              <w:rPr>
                <w:rFonts w:ascii="Arial" w:cs="Arial" w:eastAsia="Arial" w:hAnsi="Arial"/>
                <w:sz w:val="17"/>
                <w:szCs w:val="17"/>
                <w:b w:val="1"/>
                <w:bCs w:val="1"/>
                <w:color w:val="auto"/>
              </w:rPr>
              <w:t>2023</w:t>
            </w:r>
          </w:p>
        </w:tc>
        <w:tc>
          <w:tcPr>
            <w:tcW w:w="0" w:type="dxa"/>
            <w:vAlign w:val="bottom"/>
          </w:tcPr>
          <w:p>
            <w:pPr>
              <w:spacing w:after="0"/>
              <w:rPr>
                <w:sz w:val="1"/>
                <w:szCs w:val="1"/>
                <w:color w:val="auto"/>
              </w:rPr>
            </w:pPr>
          </w:p>
        </w:tc>
      </w:tr>
      <w:tr>
        <w:trPr>
          <w:trHeight w:val="32"/>
        </w:trPr>
        <w:tc>
          <w:tcPr>
            <w:tcW w:w="20" w:type="dxa"/>
            <w:vAlign w:val="bottom"/>
            <w:tcBorders>
              <w:bottom w:val="single" w:sz="8" w:color="DCE2EF"/>
            </w:tcBorders>
          </w:tcPr>
          <w:p>
            <w:pPr>
              <w:spacing w:after="0"/>
              <w:rPr>
                <w:sz w:val="2"/>
                <w:szCs w:val="2"/>
                <w:color w:val="auto"/>
              </w:rPr>
            </w:pPr>
          </w:p>
        </w:tc>
        <w:tc>
          <w:tcPr>
            <w:tcW w:w="240" w:type="dxa"/>
            <w:vAlign w:val="bottom"/>
            <w:tcBorders>
              <w:bottom w:val="single" w:sz="8" w:color="DCE2EF"/>
            </w:tcBorders>
          </w:tcPr>
          <w:p>
            <w:pPr>
              <w:spacing w:after="0"/>
              <w:rPr>
                <w:sz w:val="2"/>
                <w:szCs w:val="2"/>
                <w:color w:val="auto"/>
              </w:rPr>
            </w:pPr>
          </w:p>
        </w:tc>
        <w:tc>
          <w:tcPr>
            <w:tcW w:w="660" w:type="dxa"/>
            <w:vAlign w:val="bottom"/>
            <w:tcBorders>
              <w:top w:val="single" w:sz="8" w:color="auto"/>
              <w:bottom w:val="single" w:sz="8" w:color="DCE2EF"/>
            </w:tcBorders>
          </w:tcPr>
          <w:p>
            <w:pPr>
              <w:spacing w:after="0"/>
              <w:rPr>
                <w:sz w:val="2"/>
                <w:szCs w:val="2"/>
                <w:color w:val="auto"/>
              </w:rPr>
            </w:pPr>
          </w:p>
        </w:tc>
        <w:tc>
          <w:tcPr>
            <w:tcW w:w="1240" w:type="dxa"/>
            <w:vAlign w:val="bottom"/>
            <w:tcBorders>
              <w:bottom w:val="single" w:sz="8" w:color="DCE2EF"/>
            </w:tcBorders>
          </w:tcPr>
          <w:p>
            <w:pPr>
              <w:spacing w:after="0"/>
              <w:rPr>
                <w:sz w:val="2"/>
                <w:szCs w:val="2"/>
                <w:color w:val="auto"/>
              </w:rPr>
            </w:pPr>
          </w:p>
        </w:tc>
        <w:tc>
          <w:tcPr>
            <w:tcW w:w="2260" w:type="dxa"/>
            <w:vAlign w:val="bottom"/>
            <w:tcBorders>
              <w:bottom w:val="single" w:sz="8" w:color="DCE2EF"/>
            </w:tcBorders>
          </w:tcPr>
          <w:p>
            <w:pPr>
              <w:spacing w:after="0"/>
              <w:rPr>
                <w:sz w:val="2"/>
                <w:szCs w:val="2"/>
                <w:color w:val="auto"/>
              </w:rPr>
            </w:pPr>
          </w:p>
        </w:tc>
        <w:tc>
          <w:tcPr>
            <w:tcW w:w="300" w:type="dxa"/>
            <w:vAlign w:val="bottom"/>
            <w:tcBorders>
              <w:bottom w:val="single" w:sz="8" w:color="DCE2EF"/>
            </w:tcBorders>
          </w:tcPr>
          <w:p>
            <w:pPr>
              <w:spacing w:after="0"/>
              <w:rPr>
                <w:sz w:val="2"/>
                <w:szCs w:val="2"/>
                <w:color w:val="auto"/>
              </w:rPr>
            </w:pPr>
          </w:p>
        </w:tc>
        <w:tc>
          <w:tcPr>
            <w:tcW w:w="1060" w:type="dxa"/>
            <w:vAlign w:val="bottom"/>
            <w:tcBorders>
              <w:bottom w:val="single" w:sz="8" w:color="DCE2E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DCE2E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DCE2EF"/>
          </w:tcPr>
          <w:p>
            <w:pPr>
              <w:spacing w:after="0"/>
              <w:rPr>
                <w:sz w:val="18"/>
                <w:szCs w:val="18"/>
                <w:color w:val="auto"/>
              </w:rPr>
            </w:pPr>
          </w:p>
        </w:tc>
        <w:tc>
          <w:tcPr>
            <w:tcW w:w="4400" w:type="dxa"/>
            <w:vAlign w:val="bottom"/>
            <w:gridSpan w:val="4"/>
            <w:shd w:val="clear" w:color="auto" w:fill="DCE2EF"/>
          </w:tcPr>
          <w:p>
            <w:pPr>
              <w:ind w:left="80"/>
              <w:spacing w:after="0"/>
              <w:rPr>
                <w:sz w:val="20"/>
                <w:szCs w:val="20"/>
                <w:color w:val="auto"/>
              </w:rPr>
            </w:pPr>
            <w:r>
              <w:rPr>
                <w:rFonts w:ascii="Arial" w:cs="Arial" w:eastAsia="Arial" w:hAnsi="Arial"/>
                <w:sz w:val="17"/>
                <w:szCs w:val="17"/>
                <w:b w:val="1"/>
                <w:bCs w:val="1"/>
                <w:color w:val="auto"/>
              </w:rPr>
              <w:t>Anti-dilutive</w:t>
            </w:r>
          </w:p>
        </w:tc>
        <w:tc>
          <w:tcPr>
            <w:tcW w:w="300" w:type="dxa"/>
            <w:vAlign w:val="bottom"/>
            <w:shd w:val="clear" w:color="auto" w:fill="DCE2EF"/>
          </w:tcPr>
          <w:p>
            <w:pPr>
              <w:spacing w:after="0"/>
              <w:rPr>
                <w:sz w:val="18"/>
                <w:szCs w:val="18"/>
                <w:color w:val="auto"/>
              </w:rPr>
            </w:pPr>
          </w:p>
        </w:tc>
        <w:tc>
          <w:tcPr>
            <w:tcW w:w="1060" w:type="dxa"/>
            <w:vAlign w:val="bottom"/>
            <w:shd w:val="clear" w:color="auto" w:fill="DCE2EF"/>
          </w:tcPr>
          <w:p>
            <w:pPr>
              <w:spacing w:after="0"/>
              <w:rPr>
                <w:sz w:val="18"/>
                <w:szCs w:val="18"/>
                <w:color w:val="auto"/>
              </w:rPr>
            </w:pPr>
          </w:p>
        </w:tc>
        <w:tc>
          <w:tcPr>
            <w:tcW w:w="20" w:type="dxa"/>
            <w:vAlign w:val="bottom"/>
            <w:shd w:val="clear" w:color="auto" w:fill="DCE2EF"/>
          </w:tcPr>
          <w:p>
            <w:pPr>
              <w:spacing w:after="0"/>
              <w:rPr>
                <w:sz w:val="18"/>
                <w:szCs w:val="18"/>
                <w:color w:val="auto"/>
              </w:rPr>
            </w:pPr>
          </w:p>
        </w:tc>
        <w:tc>
          <w:tcPr>
            <w:tcW w:w="80" w:type="dxa"/>
            <w:vAlign w:val="bottom"/>
            <w:shd w:val="clear" w:color="auto" w:fill="DCE2EF"/>
          </w:tcPr>
          <w:p>
            <w:pPr>
              <w:spacing w:after="0"/>
              <w:rPr>
                <w:sz w:val="18"/>
                <w:szCs w:val="18"/>
                <w:color w:val="auto"/>
              </w:rPr>
            </w:pPr>
          </w:p>
        </w:tc>
        <w:tc>
          <w:tcPr>
            <w:tcW w:w="300" w:type="dxa"/>
            <w:vAlign w:val="bottom"/>
            <w:shd w:val="clear" w:color="auto" w:fill="DCE2EF"/>
          </w:tcPr>
          <w:p>
            <w:pPr>
              <w:spacing w:after="0"/>
              <w:rPr>
                <w:sz w:val="18"/>
                <w:szCs w:val="18"/>
                <w:color w:val="auto"/>
              </w:rPr>
            </w:pPr>
          </w:p>
        </w:tc>
        <w:tc>
          <w:tcPr>
            <w:tcW w:w="1020" w:type="dxa"/>
            <w:vAlign w:val="bottom"/>
            <w:shd w:val="clear" w:color="auto" w:fill="DCE2EF"/>
          </w:tcPr>
          <w:p>
            <w:pPr>
              <w:spacing w:after="0"/>
              <w:rPr>
                <w:sz w:val="18"/>
                <w:szCs w:val="18"/>
                <w:color w:val="auto"/>
              </w:rPr>
            </w:pPr>
          </w:p>
        </w:tc>
        <w:tc>
          <w:tcPr>
            <w:tcW w:w="280" w:type="dxa"/>
            <w:vAlign w:val="bottom"/>
            <w:gridSpan w:val="3"/>
            <w:shd w:val="clear" w:color="auto" w:fill="DCE2EF"/>
          </w:tcPr>
          <w:p>
            <w:pPr>
              <w:jc w:val="right"/>
              <w:spacing w:after="0"/>
              <w:rPr>
                <w:sz w:val="20"/>
                <w:szCs w:val="20"/>
                <w:color w:val="auto"/>
              </w:rPr>
            </w:pPr>
            <w:r>
              <w:rPr>
                <w:rFonts w:ascii="Arial" w:cs="Arial" w:eastAsia="Arial" w:hAnsi="Arial"/>
                <w:sz w:val="17"/>
                <w:szCs w:val="17"/>
                <w:color w:val="auto"/>
              </w:rPr>
              <w:t>0.2</w:t>
            </w:r>
          </w:p>
        </w:tc>
        <w:tc>
          <w:tcPr>
            <w:tcW w:w="60" w:type="dxa"/>
            <w:vAlign w:val="bottom"/>
            <w:shd w:val="clear" w:color="auto" w:fill="DCE2EF"/>
          </w:tcPr>
          <w:p>
            <w:pPr>
              <w:spacing w:after="0"/>
              <w:rPr>
                <w:sz w:val="18"/>
                <w:szCs w:val="18"/>
                <w:color w:val="auto"/>
              </w:rPr>
            </w:pPr>
          </w:p>
        </w:tc>
        <w:tc>
          <w:tcPr>
            <w:tcW w:w="100" w:type="dxa"/>
            <w:vAlign w:val="bottom"/>
            <w:shd w:val="clear" w:color="auto" w:fill="DCE2EF"/>
          </w:tcPr>
          <w:p>
            <w:pPr>
              <w:spacing w:after="0"/>
              <w:rPr>
                <w:sz w:val="18"/>
                <w:szCs w:val="18"/>
                <w:color w:val="auto"/>
              </w:rPr>
            </w:pPr>
          </w:p>
        </w:tc>
        <w:tc>
          <w:tcPr>
            <w:tcW w:w="1740" w:type="dxa"/>
            <w:vAlign w:val="bottom"/>
            <w:gridSpan w:val="2"/>
            <w:shd w:val="clear" w:color="auto" w:fill="DCE2EF"/>
          </w:tcPr>
          <w:p>
            <w:pPr>
              <w:jc w:val="right"/>
              <w:ind w:right="60"/>
              <w:spacing w:after="0"/>
              <w:rPr>
                <w:sz w:val="20"/>
                <w:szCs w:val="20"/>
                <w:color w:val="auto"/>
              </w:rPr>
            </w:pPr>
            <w:r>
              <w:rPr>
                <w:rFonts w:ascii="Arial" w:cs="Arial" w:eastAsia="Arial" w:hAnsi="Arial"/>
                <w:sz w:val="17"/>
                <w:szCs w:val="17"/>
                <w:color w:val="auto"/>
              </w:rPr>
              <w:t>0.1</w:t>
            </w:r>
          </w:p>
        </w:tc>
        <w:tc>
          <w:tcPr>
            <w:tcW w:w="120" w:type="dxa"/>
            <w:vAlign w:val="bottom"/>
            <w:shd w:val="clear" w:color="auto" w:fill="DCE2EF"/>
          </w:tcPr>
          <w:p>
            <w:pPr>
              <w:spacing w:after="0"/>
              <w:rPr>
                <w:sz w:val="18"/>
                <w:szCs w:val="18"/>
                <w:color w:val="auto"/>
              </w:rPr>
            </w:pPr>
          </w:p>
        </w:tc>
        <w:tc>
          <w:tcPr>
            <w:tcW w:w="360" w:type="dxa"/>
            <w:vAlign w:val="bottom"/>
            <w:shd w:val="clear" w:color="auto" w:fill="DCE2EF"/>
          </w:tcPr>
          <w:p>
            <w:pPr>
              <w:spacing w:after="0"/>
              <w:rPr>
                <w:sz w:val="18"/>
                <w:szCs w:val="18"/>
                <w:color w:val="auto"/>
              </w:rPr>
            </w:pPr>
          </w:p>
        </w:tc>
        <w:tc>
          <w:tcPr>
            <w:tcW w:w="1380" w:type="dxa"/>
            <w:vAlign w:val="bottom"/>
            <w:shd w:val="clear" w:color="auto" w:fill="DCE2EF"/>
          </w:tcPr>
          <w:p>
            <w:pPr>
              <w:jc w:val="right"/>
              <w:spacing w:after="0"/>
              <w:rPr>
                <w:sz w:val="20"/>
                <w:szCs w:val="20"/>
                <w:color w:val="auto"/>
              </w:rPr>
            </w:pPr>
            <w:r>
              <w:rPr>
                <w:rFonts w:ascii="Arial" w:cs="Arial" w:eastAsia="Arial" w:hAnsi="Arial"/>
                <w:sz w:val="17"/>
                <w:szCs w:val="17"/>
                <w:color w:val="auto"/>
              </w:rPr>
              <w:t>0.3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65" w:right="339" w:bottom="1440" w:gutter="0" w:footer="0" w:header="0"/>
        </w:sectPr>
      </w:pPr>
    </w:p>
    <w:bookmarkStart w:id="70" w:name="page71"/>
    <w:bookmarkEnd w:id="70"/>
    <w:p>
      <w:pPr>
        <w:spacing w:after="0"/>
        <w:rPr>
          <w:sz w:val="20"/>
          <w:szCs w:val="20"/>
          <w:color w:val="auto"/>
        </w:rPr>
      </w:pPr>
      <w:r>
        <w:rPr>
          <w:rFonts w:ascii="Arial" w:cs="Arial" w:eastAsia="Arial" w:hAnsi="Arial"/>
          <w:sz w:val="17"/>
          <w:szCs w:val="17"/>
          <w:b w:val="1"/>
          <w:bCs w:val="1"/>
          <w:color w:val="0046AD"/>
        </w:rPr>
        <w:t>8. FAIR VALUE OF FINANCIAL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wp:posOffset>
            </wp:positionV>
            <wp:extent cx="712216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22160" cy="8255"/>
                    </a:xfrm>
                    <a:prstGeom prst="rect">
                      <a:avLst/>
                    </a:prstGeom>
                    <a:noFill/>
                  </pic:spPr>
                </pic:pic>
              </a:graphicData>
            </a:graphic>
          </wp:anchor>
        </w:drawing>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00" w:type="dxa"/>
            <w:vAlign w:val="bottom"/>
            <w:gridSpan w:val="3"/>
          </w:tcPr>
          <w:p>
            <w:pPr>
              <w:spacing w:after="0"/>
              <w:rPr>
                <w:sz w:val="20"/>
                <w:szCs w:val="20"/>
                <w:color w:val="auto"/>
              </w:rPr>
            </w:pPr>
            <w:r>
              <w:rPr>
                <w:rFonts w:ascii="Arial" w:cs="Arial" w:eastAsia="Arial" w:hAnsi="Arial"/>
                <w:sz w:val="17"/>
                <w:szCs w:val="17"/>
                <w:b w:val="1"/>
                <w:bCs w:val="1"/>
                <w:color w:val="0046AD"/>
              </w:rPr>
              <w:t>Fair Value Hierarchy of Our Financial Instruments</w:t>
            </w: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1"/>
        </w:trPr>
        <w:tc>
          <w:tcPr>
            <w:tcW w:w="6700" w:type="dxa"/>
            <w:vAlign w:val="bottom"/>
            <w:gridSpan w:val="3"/>
          </w:tcPr>
          <w:p>
            <w:pPr>
              <w:spacing w:after="0"/>
              <w:rPr>
                <w:sz w:val="20"/>
                <w:szCs w:val="20"/>
                <w:color w:val="auto"/>
              </w:rPr>
            </w:pPr>
            <w:r>
              <w:rPr>
                <w:rFonts w:ascii="Arial" w:cs="Arial" w:eastAsia="Arial" w:hAnsi="Arial"/>
                <w:sz w:val="17"/>
                <w:szCs w:val="17"/>
                <w:b w:val="1"/>
                <w:bCs w:val="1"/>
                <w:i w:val="1"/>
                <w:iCs w:val="1"/>
                <w:color w:val="0046AD"/>
              </w:rPr>
              <w:t>Financial Assets and Liabilities Measured at Fair Value on a Recurring Basis</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00" w:type="dxa"/>
            <w:vAlign w:val="bottom"/>
          </w:tcPr>
          <w:p>
            <w:pPr>
              <w:spacing w:after="0"/>
              <w:rPr>
                <w:sz w:val="20"/>
                <w:szCs w:val="20"/>
                <w:color w:val="auto"/>
              </w:rPr>
            </w:pPr>
          </w:p>
        </w:tc>
        <w:tc>
          <w:tcPr>
            <w:tcW w:w="1520" w:type="dxa"/>
            <w:vAlign w:val="bottom"/>
            <w:gridSpan w:val="2"/>
            <w:vMerge w:val="restart"/>
          </w:tcPr>
          <w:p>
            <w:pPr>
              <w:jc w:val="center"/>
              <w:ind w:right="100"/>
              <w:spacing w:after="0"/>
              <w:rPr>
                <w:sz w:val="20"/>
                <w:szCs w:val="20"/>
                <w:color w:val="auto"/>
              </w:rPr>
            </w:pPr>
            <w:r>
              <w:rPr>
                <w:rFonts w:ascii="Arial" w:cs="Arial" w:eastAsia="Arial" w:hAnsi="Arial"/>
                <w:sz w:val="17"/>
                <w:szCs w:val="17"/>
                <w:b w:val="1"/>
                <w:bCs w:val="1"/>
                <w:color w:val="auto"/>
              </w:rPr>
              <w:t>Fair Value</w:t>
            </w:r>
          </w:p>
        </w:tc>
        <w:tc>
          <w:tcPr>
            <w:tcW w:w="32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gridSpan w:val="4"/>
          </w:tcPr>
          <w:p>
            <w:pPr>
              <w:jc w:val="right"/>
              <w:ind w:right="694"/>
              <w:spacing w:after="0"/>
              <w:rPr>
                <w:sz w:val="20"/>
                <w:szCs w:val="20"/>
                <w:color w:val="auto"/>
              </w:rPr>
            </w:pPr>
            <w:r>
              <w:rPr>
                <w:rFonts w:ascii="Arial" w:cs="Arial" w:eastAsia="Arial" w:hAnsi="Arial"/>
                <w:sz w:val="17"/>
                <w:szCs w:val="17"/>
                <w:b w:val="1"/>
                <w:bCs w:val="1"/>
                <w:color w:val="auto"/>
              </w:rPr>
              <w:t>As of October 31,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0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vMerge w:val="restart"/>
          </w:tcPr>
          <w:p>
            <w:pPr>
              <w:jc w:val="right"/>
              <w:ind w:right="454"/>
              <w:spacing w:after="0"/>
              <w:rPr>
                <w:sz w:val="20"/>
                <w:szCs w:val="20"/>
                <w:color w:val="auto"/>
              </w:rPr>
            </w:pPr>
            <w:r>
              <w:rPr>
                <w:rFonts w:ascii="Arial" w:cs="Arial" w:eastAsia="Arial" w:hAnsi="Arial"/>
                <w:sz w:val="17"/>
                <w:szCs w:val="17"/>
                <w:b w:val="1"/>
                <w:bCs w:val="1"/>
                <w:color w:val="auto"/>
              </w:rPr>
              <w:t>2025</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vMerge w:val="restart"/>
          </w:tcPr>
          <w:p>
            <w:pPr>
              <w:jc w:val="right"/>
              <w:ind w:right="454"/>
              <w:spacing w:after="0"/>
              <w:rPr>
                <w:sz w:val="20"/>
                <w:szCs w:val="20"/>
                <w:color w:val="auto"/>
              </w:rPr>
            </w:pPr>
            <w:r>
              <w:rPr>
                <w:rFonts w:ascii="Arial" w:cs="Arial" w:eastAsia="Arial" w:hAnsi="Arial"/>
                <w:sz w:val="17"/>
                <w:szCs w:val="17"/>
                <w:b w:val="1"/>
                <w:bCs w:val="1"/>
                <w:color w:val="auto"/>
              </w:rPr>
              <w:t>2024</w:t>
            </w:r>
          </w:p>
        </w:tc>
        <w:tc>
          <w:tcPr>
            <w:tcW w:w="0" w:type="dxa"/>
            <w:vAlign w:val="bottom"/>
          </w:tcPr>
          <w:p>
            <w:pPr>
              <w:spacing w:after="0"/>
              <w:rPr>
                <w:sz w:val="1"/>
                <w:szCs w:val="1"/>
                <w:color w:val="auto"/>
              </w:rPr>
            </w:pPr>
          </w:p>
        </w:tc>
      </w:tr>
      <w:tr>
        <w:trPr>
          <w:trHeight w:val="180"/>
        </w:trPr>
        <w:tc>
          <w:tcPr>
            <w:tcW w:w="6700" w:type="dxa"/>
            <w:vAlign w:val="bottom"/>
            <w:gridSpan w:val="3"/>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520" w:type="dxa"/>
            <w:vAlign w:val="bottom"/>
            <w:gridSpan w:val="2"/>
          </w:tcPr>
          <w:p>
            <w:pPr>
              <w:jc w:val="center"/>
              <w:ind w:right="100"/>
              <w:spacing w:after="0" w:line="161" w:lineRule="exact"/>
              <w:rPr>
                <w:sz w:val="20"/>
                <w:szCs w:val="20"/>
                <w:color w:val="auto"/>
              </w:rPr>
            </w:pPr>
            <w:r>
              <w:rPr>
                <w:rFonts w:ascii="Arial" w:cs="Arial" w:eastAsia="Arial" w:hAnsi="Arial"/>
                <w:sz w:val="17"/>
                <w:szCs w:val="17"/>
                <w:b w:val="1"/>
                <w:bCs w:val="1"/>
                <w:color w:val="auto"/>
                <w:w w:val="99"/>
              </w:rPr>
              <w:t>Hierarchy</w:t>
            </w:r>
          </w:p>
        </w:tc>
        <w:tc>
          <w:tcPr>
            <w:tcW w:w="32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2"/>
        </w:trPr>
        <w:tc>
          <w:tcPr>
            <w:tcW w:w="20" w:type="dxa"/>
            <w:vAlign w:val="bottom"/>
            <w:tcBorders>
              <w:bottom w:val="single" w:sz="8" w:color="DCE2EF"/>
            </w:tcBorders>
          </w:tcPr>
          <w:p>
            <w:pPr>
              <w:spacing w:after="0"/>
              <w:rPr>
                <w:sz w:val="2"/>
                <w:szCs w:val="2"/>
                <w:color w:val="auto"/>
              </w:rPr>
            </w:pPr>
          </w:p>
        </w:tc>
        <w:tc>
          <w:tcPr>
            <w:tcW w:w="680" w:type="dxa"/>
            <w:vAlign w:val="bottom"/>
            <w:tcBorders>
              <w:top w:val="single" w:sz="8" w:color="auto"/>
              <w:bottom w:val="single" w:sz="8" w:color="DCE2EF"/>
            </w:tcBorders>
          </w:tcPr>
          <w:p>
            <w:pPr>
              <w:spacing w:after="0"/>
              <w:rPr>
                <w:sz w:val="2"/>
                <w:szCs w:val="2"/>
                <w:color w:val="auto"/>
              </w:rPr>
            </w:pPr>
          </w:p>
        </w:tc>
        <w:tc>
          <w:tcPr>
            <w:tcW w:w="6000" w:type="dxa"/>
            <w:vAlign w:val="bottom"/>
            <w:tcBorders>
              <w:bottom w:val="single" w:sz="8" w:color="DCE2E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6700" w:type="dxa"/>
            <w:vAlign w:val="bottom"/>
            <w:gridSpan w:val="3"/>
            <w:shd w:val="clear" w:color="auto" w:fill="DCE2EF"/>
          </w:tcPr>
          <w:p>
            <w:pPr>
              <w:ind w:left="20"/>
              <w:spacing w:after="0" w:line="212" w:lineRule="exact"/>
              <w:rPr>
                <w:sz w:val="20"/>
                <w:szCs w:val="20"/>
                <w:color w:val="auto"/>
              </w:rPr>
            </w:pPr>
            <w:r>
              <w:rPr>
                <w:rFonts w:ascii="Arial" w:cs="Arial" w:eastAsia="Arial" w:hAnsi="Arial"/>
                <w:sz w:val="17"/>
                <w:szCs w:val="17"/>
                <w:color w:val="auto"/>
              </w:rPr>
              <w:t>Cash and cash equivalents</w:t>
            </w:r>
            <w:r>
              <w:rPr>
                <w:rFonts w:ascii="Arial" w:cs="Arial" w:eastAsia="Arial" w:hAnsi="Arial"/>
                <w:sz w:val="22"/>
                <w:szCs w:val="22"/>
                <w:color w:val="auto"/>
                <w:vertAlign w:val="superscript"/>
              </w:rPr>
              <w:t>(1)</w:t>
            </w:r>
          </w:p>
        </w:tc>
        <w:tc>
          <w:tcPr>
            <w:tcW w:w="1420" w:type="dxa"/>
            <w:vAlign w:val="bottom"/>
            <w:shd w:val="clear" w:color="auto" w:fill="DCE2EF"/>
          </w:tcPr>
          <w:p>
            <w:pPr>
              <w:jc w:val="center"/>
              <w:spacing w:after="0"/>
              <w:rPr>
                <w:sz w:val="20"/>
                <w:szCs w:val="20"/>
                <w:color w:val="auto"/>
              </w:rPr>
            </w:pPr>
            <w:r>
              <w:rPr>
                <w:rFonts w:ascii="Arial" w:cs="Arial" w:eastAsia="Arial" w:hAnsi="Arial"/>
                <w:sz w:val="17"/>
                <w:szCs w:val="17"/>
                <w:color w:val="auto"/>
              </w:rPr>
              <w:t>1</w:t>
            </w:r>
          </w:p>
        </w:tc>
        <w:tc>
          <w:tcPr>
            <w:tcW w:w="100" w:type="dxa"/>
            <w:vAlign w:val="bottom"/>
            <w:shd w:val="clear" w:color="auto" w:fill="DCE2EF"/>
          </w:tcPr>
          <w:p>
            <w:pPr>
              <w:spacing w:after="0"/>
              <w:rPr>
                <w:sz w:val="18"/>
                <w:szCs w:val="18"/>
                <w:color w:val="auto"/>
              </w:rPr>
            </w:pPr>
          </w:p>
        </w:tc>
        <w:tc>
          <w:tcPr>
            <w:tcW w:w="320" w:type="dxa"/>
            <w:vAlign w:val="bottom"/>
            <w:shd w:val="clear" w:color="auto" w:fill="DCE2EF"/>
          </w:tcPr>
          <w:p>
            <w:pPr>
              <w:jc w:val="right"/>
              <w:ind w:right="114"/>
              <w:spacing w:after="0"/>
              <w:rPr>
                <w:sz w:val="20"/>
                <w:szCs w:val="20"/>
                <w:color w:val="auto"/>
              </w:rPr>
            </w:pPr>
            <w:r>
              <w:rPr>
                <w:rFonts w:ascii="Arial" w:cs="Arial" w:eastAsia="Arial" w:hAnsi="Arial"/>
                <w:sz w:val="17"/>
                <w:szCs w:val="17"/>
                <w:color w:val="auto"/>
              </w:rPr>
              <w:t>$</w:t>
            </w:r>
          </w:p>
        </w:tc>
        <w:tc>
          <w:tcPr>
            <w:tcW w:w="1140" w:type="dxa"/>
            <w:vAlign w:val="bottom"/>
            <w:shd w:val="clear" w:color="auto" w:fill="DCE2EF"/>
          </w:tcPr>
          <w:p>
            <w:pPr>
              <w:jc w:val="right"/>
              <w:spacing w:after="0"/>
              <w:rPr>
                <w:sz w:val="20"/>
                <w:szCs w:val="20"/>
                <w:color w:val="auto"/>
              </w:rPr>
            </w:pPr>
            <w:r>
              <w:rPr>
                <w:rFonts w:ascii="Arial" w:cs="Arial" w:eastAsia="Arial" w:hAnsi="Arial"/>
                <w:sz w:val="17"/>
                <w:szCs w:val="17"/>
                <w:color w:val="auto"/>
              </w:rPr>
              <w:t>104.1</w:t>
            </w:r>
          </w:p>
        </w:tc>
        <w:tc>
          <w:tcPr>
            <w:tcW w:w="100" w:type="dxa"/>
            <w:vAlign w:val="bottom"/>
            <w:shd w:val="clear" w:color="auto" w:fill="DCE2EF"/>
          </w:tcPr>
          <w:p>
            <w:pPr>
              <w:spacing w:after="0"/>
              <w:rPr>
                <w:sz w:val="18"/>
                <w:szCs w:val="18"/>
                <w:color w:val="auto"/>
              </w:rPr>
            </w:pPr>
          </w:p>
        </w:tc>
        <w:tc>
          <w:tcPr>
            <w:tcW w:w="320" w:type="dxa"/>
            <w:vAlign w:val="bottom"/>
            <w:shd w:val="clear" w:color="auto" w:fill="DCE2EF"/>
          </w:tcPr>
          <w:p>
            <w:pPr>
              <w:jc w:val="right"/>
              <w:ind w:right="134"/>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DCE2EF"/>
          </w:tcPr>
          <w:p>
            <w:pPr>
              <w:jc w:val="right"/>
              <w:spacing w:after="0"/>
              <w:rPr>
                <w:sz w:val="20"/>
                <w:szCs w:val="20"/>
                <w:color w:val="auto"/>
              </w:rPr>
            </w:pPr>
            <w:r>
              <w:rPr>
                <w:rFonts w:ascii="Arial" w:cs="Arial" w:eastAsia="Arial" w:hAnsi="Arial"/>
                <w:sz w:val="17"/>
                <w:szCs w:val="17"/>
                <w:color w:val="auto"/>
              </w:rPr>
              <w:t>64.6</w:t>
            </w:r>
          </w:p>
        </w:tc>
        <w:tc>
          <w:tcPr>
            <w:tcW w:w="0" w:type="dxa"/>
            <w:vAlign w:val="bottom"/>
          </w:tcPr>
          <w:p>
            <w:pPr>
              <w:spacing w:after="0"/>
              <w:rPr>
                <w:sz w:val="1"/>
                <w:szCs w:val="1"/>
                <w:color w:val="auto"/>
              </w:rPr>
            </w:pPr>
          </w:p>
        </w:tc>
      </w:tr>
      <w:tr>
        <w:trPr>
          <w:trHeight w:val="219"/>
        </w:trPr>
        <w:tc>
          <w:tcPr>
            <w:tcW w:w="6700" w:type="dxa"/>
            <w:vAlign w:val="bottom"/>
            <w:gridSpan w:val="3"/>
          </w:tcPr>
          <w:p>
            <w:pPr>
              <w:ind w:left="20"/>
              <w:spacing w:after="0" w:line="219" w:lineRule="exact"/>
              <w:rPr>
                <w:sz w:val="20"/>
                <w:szCs w:val="20"/>
                <w:color w:val="auto"/>
              </w:rPr>
            </w:pPr>
            <w:r>
              <w:rPr>
                <w:rFonts w:ascii="Arial" w:cs="Arial" w:eastAsia="Arial" w:hAnsi="Arial"/>
                <w:sz w:val="17"/>
                <w:szCs w:val="17"/>
                <w:color w:val="auto"/>
              </w:rPr>
              <w:t>Insurance deposits</w:t>
            </w:r>
            <w:r>
              <w:rPr>
                <w:rFonts w:ascii="Arial" w:cs="Arial" w:eastAsia="Arial" w:hAnsi="Arial"/>
                <w:sz w:val="22"/>
                <w:szCs w:val="22"/>
                <w:color w:val="auto"/>
                <w:vertAlign w:val="superscript"/>
              </w:rPr>
              <w:t>(2)</w:t>
            </w:r>
          </w:p>
        </w:tc>
        <w:tc>
          <w:tcPr>
            <w:tcW w:w="1420" w:type="dxa"/>
            <w:vAlign w:val="bottom"/>
          </w:tcPr>
          <w:p>
            <w:pPr>
              <w:jc w:val="center"/>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4.8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2.3</w:t>
            </w:r>
          </w:p>
        </w:tc>
        <w:tc>
          <w:tcPr>
            <w:tcW w:w="0" w:type="dxa"/>
            <w:vAlign w:val="bottom"/>
          </w:tcPr>
          <w:p>
            <w:pPr>
              <w:spacing w:after="0"/>
              <w:rPr>
                <w:sz w:val="1"/>
                <w:szCs w:val="1"/>
                <w:color w:val="auto"/>
              </w:rPr>
            </w:pPr>
          </w:p>
        </w:tc>
      </w:tr>
      <w:tr>
        <w:trPr>
          <w:trHeight w:val="219"/>
        </w:trPr>
        <w:tc>
          <w:tcPr>
            <w:tcW w:w="6700" w:type="dxa"/>
            <w:vAlign w:val="bottom"/>
            <w:gridSpan w:val="3"/>
            <w:shd w:val="clear" w:color="auto" w:fill="DCE2EF"/>
          </w:tcPr>
          <w:p>
            <w:pPr>
              <w:ind w:left="20"/>
              <w:spacing w:after="0" w:line="219" w:lineRule="exact"/>
              <w:rPr>
                <w:sz w:val="20"/>
                <w:szCs w:val="20"/>
                <w:color w:val="auto"/>
              </w:rPr>
            </w:pPr>
            <w:r>
              <w:rPr>
                <w:rFonts w:ascii="Arial" w:cs="Arial" w:eastAsia="Arial" w:hAnsi="Arial"/>
                <w:sz w:val="17"/>
                <w:szCs w:val="17"/>
                <w:color w:val="auto"/>
              </w:rPr>
              <w:t>Assets held in funded deferred compensation plan</w:t>
            </w:r>
            <w:r>
              <w:rPr>
                <w:rFonts w:ascii="Arial" w:cs="Arial" w:eastAsia="Arial" w:hAnsi="Arial"/>
                <w:sz w:val="22"/>
                <w:szCs w:val="22"/>
                <w:color w:val="auto"/>
                <w:vertAlign w:val="superscript"/>
              </w:rPr>
              <w:t>(3)</w:t>
            </w:r>
          </w:p>
        </w:tc>
        <w:tc>
          <w:tcPr>
            <w:tcW w:w="1420" w:type="dxa"/>
            <w:vAlign w:val="bottom"/>
            <w:shd w:val="clear" w:color="auto" w:fill="DCE2EF"/>
          </w:tcPr>
          <w:p>
            <w:pPr>
              <w:jc w:val="center"/>
              <w:spacing w:after="0"/>
              <w:rPr>
                <w:sz w:val="20"/>
                <w:szCs w:val="20"/>
                <w:color w:val="auto"/>
              </w:rPr>
            </w:pPr>
            <w:r>
              <w:rPr>
                <w:rFonts w:ascii="Arial" w:cs="Arial" w:eastAsia="Arial" w:hAnsi="Arial"/>
                <w:sz w:val="17"/>
                <w:szCs w:val="17"/>
                <w:color w:val="auto"/>
              </w:rPr>
              <w:t>1</w:t>
            </w:r>
          </w:p>
        </w:tc>
        <w:tc>
          <w:tcPr>
            <w:tcW w:w="100" w:type="dxa"/>
            <w:vAlign w:val="bottom"/>
            <w:shd w:val="clear" w:color="auto" w:fill="DCE2EF"/>
          </w:tcPr>
          <w:p>
            <w:pPr>
              <w:spacing w:after="0"/>
              <w:rPr>
                <w:sz w:val="19"/>
                <w:szCs w:val="19"/>
                <w:color w:val="auto"/>
              </w:rPr>
            </w:pPr>
          </w:p>
        </w:tc>
        <w:tc>
          <w:tcPr>
            <w:tcW w:w="320" w:type="dxa"/>
            <w:vAlign w:val="bottom"/>
            <w:shd w:val="clear" w:color="auto" w:fill="DCE2EF"/>
          </w:tcPr>
          <w:p>
            <w:pPr>
              <w:spacing w:after="0"/>
              <w:rPr>
                <w:sz w:val="19"/>
                <w:szCs w:val="19"/>
                <w:color w:val="auto"/>
              </w:rPr>
            </w:pPr>
          </w:p>
        </w:tc>
        <w:tc>
          <w:tcPr>
            <w:tcW w:w="1140" w:type="dxa"/>
            <w:vAlign w:val="bottom"/>
            <w:shd w:val="clear" w:color="auto" w:fill="DCE2EF"/>
          </w:tcPr>
          <w:p>
            <w:pPr>
              <w:jc w:val="right"/>
              <w:spacing w:after="0"/>
              <w:rPr>
                <w:sz w:val="20"/>
                <w:szCs w:val="20"/>
                <w:color w:val="auto"/>
              </w:rPr>
            </w:pPr>
            <w:r>
              <w:rPr>
                <w:rFonts w:ascii="Arial" w:cs="Arial" w:eastAsia="Arial" w:hAnsi="Arial"/>
                <w:sz w:val="17"/>
                <w:szCs w:val="17"/>
                <w:color w:val="auto"/>
              </w:rPr>
              <w:t>4.8</w:t>
            </w:r>
          </w:p>
        </w:tc>
        <w:tc>
          <w:tcPr>
            <w:tcW w:w="100" w:type="dxa"/>
            <w:vAlign w:val="bottom"/>
            <w:shd w:val="clear" w:color="auto" w:fill="DCE2EF"/>
          </w:tcPr>
          <w:p>
            <w:pPr>
              <w:spacing w:after="0"/>
              <w:rPr>
                <w:sz w:val="19"/>
                <w:szCs w:val="19"/>
                <w:color w:val="auto"/>
              </w:rPr>
            </w:pPr>
          </w:p>
        </w:tc>
        <w:tc>
          <w:tcPr>
            <w:tcW w:w="320" w:type="dxa"/>
            <w:vAlign w:val="bottom"/>
            <w:shd w:val="clear" w:color="auto" w:fill="DCE2EF"/>
          </w:tcPr>
          <w:p>
            <w:pPr>
              <w:spacing w:after="0"/>
              <w:rPr>
                <w:sz w:val="19"/>
                <w:szCs w:val="19"/>
                <w:color w:val="auto"/>
              </w:rPr>
            </w:pPr>
          </w:p>
        </w:tc>
        <w:tc>
          <w:tcPr>
            <w:tcW w:w="1120" w:type="dxa"/>
            <w:vAlign w:val="bottom"/>
            <w:shd w:val="clear" w:color="auto" w:fill="DCE2EF"/>
          </w:tcPr>
          <w:p>
            <w:pPr>
              <w:jc w:val="right"/>
              <w:spacing w:after="0"/>
              <w:rPr>
                <w:sz w:val="20"/>
                <w:szCs w:val="20"/>
                <w:color w:val="auto"/>
              </w:rPr>
            </w:pPr>
            <w:r>
              <w:rPr>
                <w:rFonts w:ascii="Arial" w:cs="Arial" w:eastAsia="Arial" w:hAnsi="Arial"/>
                <w:sz w:val="17"/>
                <w:szCs w:val="17"/>
                <w:color w:val="auto"/>
              </w:rPr>
              <w:t>4.4</w:t>
            </w:r>
          </w:p>
        </w:tc>
        <w:tc>
          <w:tcPr>
            <w:tcW w:w="0" w:type="dxa"/>
            <w:vAlign w:val="bottom"/>
          </w:tcPr>
          <w:p>
            <w:pPr>
              <w:spacing w:after="0"/>
              <w:rPr>
                <w:sz w:val="1"/>
                <w:szCs w:val="1"/>
                <w:color w:val="auto"/>
              </w:rPr>
            </w:pPr>
          </w:p>
        </w:tc>
      </w:tr>
      <w:tr>
        <w:trPr>
          <w:trHeight w:val="219"/>
        </w:trPr>
        <w:tc>
          <w:tcPr>
            <w:tcW w:w="6700" w:type="dxa"/>
            <w:vAlign w:val="bottom"/>
            <w:gridSpan w:val="3"/>
          </w:tcPr>
          <w:p>
            <w:pPr>
              <w:ind w:left="20"/>
              <w:spacing w:after="0" w:line="219" w:lineRule="exact"/>
              <w:rPr>
                <w:sz w:val="20"/>
                <w:szCs w:val="20"/>
                <w:color w:val="auto"/>
              </w:rPr>
            </w:pPr>
            <w:r>
              <w:rPr>
                <w:rFonts w:ascii="Arial" w:cs="Arial" w:eastAsia="Arial" w:hAnsi="Arial"/>
                <w:sz w:val="17"/>
                <w:szCs w:val="17"/>
                <w:color w:val="auto"/>
              </w:rPr>
              <w:t>Credit facility</w:t>
            </w:r>
            <w:r>
              <w:rPr>
                <w:rFonts w:ascii="Arial" w:cs="Arial" w:eastAsia="Arial" w:hAnsi="Arial"/>
                <w:sz w:val="22"/>
                <w:szCs w:val="22"/>
                <w:color w:val="auto"/>
                <w:vertAlign w:val="superscript"/>
              </w:rPr>
              <w:t>(4)</w:t>
            </w:r>
          </w:p>
        </w:tc>
        <w:tc>
          <w:tcPr>
            <w:tcW w:w="1420" w:type="dxa"/>
            <w:vAlign w:val="bottom"/>
          </w:tcPr>
          <w:p>
            <w:pPr>
              <w:jc w:val="center"/>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1,569.0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1,335.3</w:t>
            </w:r>
          </w:p>
        </w:tc>
        <w:tc>
          <w:tcPr>
            <w:tcW w:w="0" w:type="dxa"/>
            <w:vAlign w:val="bottom"/>
          </w:tcPr>
          <w:p>
            <w:pPr>
              <w:spacing w:after="0"/>
              <w:rPr>
                <w:sz w:val="1"/>
                <w:szCs w:val="1"/>
                <w:color w:val="auto"/>
              </w:rPr>
            </w:pPr>
          </w:p>
        </w:tc>
      </w:tr>
      <w:tr>
        <w:trPr>
          <w:trHeight w:val="219"/>
        </w:trPr>
        <w:tc>
          <w:tcPr>
            <w:tcW w:w="6700" w:type="dxa"/>
            <w:vAlign w:val="bottom"/>
            <w:gridSpan w:val="3"/>
            <w:shd w:val="clear" w:color="auto" w:fill="DCE2EF"/>
          </w:tcPr>
          <w:p>
            <w:pPr>
              <w:ind w:left="20"/>
              <w:spacing w:after="0" w:line="219" w:lineRule="exact"/>
              <w:rPr>
                <w:sz w:val="20"/>
                <w:szCs w:val="20"/>
                <w:color w:val="auto"/>
              </w:rPr>
            </w:pPr>
            <w:r>
              <w:rPr>
                <w:rFonts w:ascii="Arial" w:cs="Arial" w:eastAsia="Arial" w:hAnsi="Arial"/>
                <w:sz w:val="17"/>
                <w:szCs w:val="17"/>
                <w:color w:val="auto"/>
              </w:rPr>
              <w:t>Interest rate swap assets</w:t>
            </w:r>
            <w:r>
              <w:rPr>
                <w:rFonts w:ascii="Arial" w:cs="Arial" w:eastAsia="Arial" w:hAnsi="Arial"/>
                <w:sz w:val="22"/>
                <w:szCs w:val="22"/>
                <w:color w:val="auto"/>
                <w:vertAlign w:val="superscript"/>
              </w:rPr>
              <w:t>(5)</w:t>
            </w:r>
          </w:p>
        </w:tc>
        <w:tc>
          <w:tcPr>
            <w:tcW w:w="1420" w:type="dxa"/>
            <w:vAlign w:val="bottom"/>
            <w:shd w:val="clear" w:color="auto" w:fill="DCE2EF"/>
          </w:tcPr>
          <w:p>
            <w:pPr>
              <w:jc w:val="center"/>
              <w:spacing w:after="0"/>
              <w:rPr>
                <w:sz w:val="20"/>
                <w:szCs w:val="20"/>
                <w:color w:val="auto"/>
              </w:rPr>
            </w:pPr>
            <w:r>
              <w:rPr>
                <w:rFonts w:ascii="Arial" w:cs="Arial" w:eastAsia="Arial" w:hAnsi="Arial"/>
                <w:sz w:val="17"/>
                <w:szCs w:val="17"/>
                <w:color w:val="auto"/>
              </w:rPr>
              <w:t>2</w:t>
            </w:r>
          </w:p>
        </w:tc>
        <w:tc>
          <w:tcPr>
            <w:tcW w:w="100" w:type="dxa"/>
            <w:vAlign w:val="bottom"/>
            <w:shd w:val="clear" w:color="auto" w:fill="DCE2EF"/>
          </w:tcPr>
          <w:p>
            <w:pPr>
              <w:spacing w:after="0"/>
              <w:rPr>
                <w:sz w:val="19"/>
                <w:szCs w:val="19"/>
                <w:color w:val="auto"/>
              </w:rPr>
            </w:pPr>
          </w:p>
        </w:tc>
        <w:tc>
          <w:tcPr>
            <w:tcW w:w="320" w:type="dxa"/>
            <w:vAlign w:val="bottom"/>
            <w:shd w:val="clear" w:color="auto" w:fill="DCE2EF"/>
          </w:tcPr>
          <w:p>
            <w:pPr>
              <w:spacing w:after="0"/>
              <w:rPr>
                <w:sz w:val="19"/>
                <w:szCs w:val="19"/>
                <w:color w:val="auto"/>
              </w:rPr>
            </w:pPr>
          </w:p>
        </w:tc>
        <w:tc>
          <w:tcPr>
            <w:tcW w:w="1140" w:type="dxa"/>
            <w:vAlign w:val="bottom"/>
            <w:shd w:val="clear" w:color="auto" w:fill="DCE2EF"/>
          </w:tcPr>
          <w:p>
            <w:pPr>
              <w:jc w:val="right"/>
              <w:spacing w:after="0"/>
              <w:rPr>
                <w:sz w:val="20"/>
                <w:szCs w:val="20"/>
                <w:color w:val="auto"/>
              </w:rPr>
            </w:pPr>
            <w:r>
              <w:rPr>
                <w:rFonts w:ascii="Arial" w:cs="Arial" w:eastAsia="Arial" w:hAnsi="Arial"/>
                <w:sz w:val="17"/>
                <w:szCs w:val="17"/>
                <w:color w:val="auto"/>
              </w:rPr>
              <w:t>4.3</w:t>
            </w:r>
          </w:p>
        </w:tc>
        <w:tc>
          <w:tcPr>
            <w:tcW w:w="100" w:type="dxa"/>
            <w:vAlign w:val="bottom"/>
            <w:shd w:val="clear" w:color="auto" w:fill="DCE2EF"/>
          </w:tcPr>
          <w:p>
            <w:pPr>
              <w:spacing w:after="0"/>
              <w:rPr>
                <w:sz w:val="19"/>
                <w:szCs w:val="19"/>
                <w:color w:val="auto"/>
              </w:rPr>
            </w:pPr>
          </w:p>
        </w:tc>
        <w:tc>
          <w:tcPr>
            <w:tcW w:w="320" w:type="dxa"/>
            <w:vAlign w:val="bottom"/>
            <w:shd w:val="clear" w:color="auto" w:fill="DCE2EF"/>
          </w:tcPr>
          <w:p>
            <w:pPr>
              <w:spacing w:after="0"/>
              <w:rPr>
                <w:sz w:val="19"/>
                <w:szCs w:val="19"/>
                <w:color w:val="auto"/>
              </w:rPr>
            </w:pPr>
          </w:p>
        </w:tc>
        <w:tc>
          <w:tcPr>
            <w:tcW w:w="1120" w:type="dxa"/>
            <w:vAlign w:val="bottom"/>
            <w:shd w:val="clear" w:color="auto" w:fill="DCE2EF"/>
          </w:tcPr>
          <w:p>
            <w:pPr>
              <w:jc w:val="right"/>
              <w:spacing w:after="0"/>
              <w:rPr>
                <w:sz w:val="20"/>
                <w:szCs w:val="20"/>
                <w:color w:val="auto"/>
              </w:rPr>
            </w:pPr>
            <w:r>
              <w:rPr>
                <w:rFonts w:ascii="Arial" w:cs="Arial" w:eastAsia="Arial" w:hAnsi="Arial"/>
                <w:sz w:val="17"/>
                <w:szCs w:val="17"/>
                <w:color w:val="auto"/>
              </w:rPr>
              <w:t>13.5</w:t>
            </w:r>
          </w:p>
        </w:tc>
        <w:tc>
          <w:tcPr>
            <w:tcW w:w="0" w:type="dxa"/>
            <w:vAlign w:val="bottom"/>
          </w:tcPr>
          <w:p>
            <w:pPr>
              <w:spacing w:after="0"/>
              <w:rPr>
                <w:sz w:val="1"/>
                <w:szCs w:val="1"/>
                <w:color w:val="auto"/>
              </w:rPr>
            </w:pPr>
          </w:p>
        </w:tc>
      </w:tr>
      <w:tr>
        <w:trPr>
          <w:trHeight w:val="219"/>
        </w:trPr>
        <w:tc>
          <w:tcPr>
            <w:tcW w:w="6700" w:type="dxa"/>
            <w:vAlign w:val="bottom"/>
            <w:gridSpan w:val="3"/>
          </w:tcPr>
          <w:p>
            <w:pPr>
              <w:ind w:left="20"/>
              <w:spacing w:after="0" w:line="219" w:lineRule="exact"/>
              <w:rPr>
                <w:sz w:val="20"/>
                <w:szCs w:val="20"/>
                <w:color w:val="auto"/>
              </w:rPr>
            </w:pPr>
            <w:r>
              <w:rPr>
                <w:rFonts w:ascii="Arial" w:cs="Arial" w:eastAsia="Arial" w:hAnsi="Arial"/>
                <w:sz w:val="17"/>
                <w:szCs w:val="17"/>
                <w:color w:val="auto"/>
              </w:rPr>
              <w:t>Interest rate swap liabilities</w:t>
            </w:r>
            <w:r>
              <w:rPr>
                <w:rFonts w:ascii="Arial" w:cs="Arial" w:eastAsia="Arial" w:hAnsi="Arial"/>
                <w:sz w:val="22"/>
                <w:szCs w:val="22"/>
                <w:color w:val="auto"/>
                <w:vertAlign w:val="superscript"/>
              </w:rPr>
              <w:t>(5)</w:t>
            </w:r>
          </w:p>
        </w:tc>
        <w:tc>
          <w:tcPr>
            <w:tcW w:w="1420" w:type="dxa"/>
            <w:vAlign w:val="bottom"/>
          </w:tcPr>
          <w:p>
            <w:pPr>
              <w:jc w:val="center"/>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0.1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9"/>
        </w:trPr>
        <w:tc>
          <w:tcPr>
            <w:tcW w:w="6700" w:type="dxa"/>
            <w:vAlign w:val="bottom"/>
            <w:gridSpan w:val="3"/>
            <w:shd w:val="clear" w:color="auto" w:fill="DCE2EF"/>
          </w:tcPr>
          <w:p>
            <w:pPr>
              <w:ind w:left="20"/>
              <w:spacing w:after="0" w:line="219" w:lineRule="exact"/>
              <w:rPr>
                <w:sz w:val="20"/>
                <w:szCs w:val="20"/>
                <w:color w:val="auto"/>
              </w:rPr>
            </w:pPr>
            <w:r>
              <w:rPr>
                <w:rFonts w:ascii="Arial" w:cs="Arial" w:eastAsia="Arial" w:hAnsi="Arial"/>
                <w:sz w:val="17"/>
                <w:szCs w:val="17"/>
                <w:color w:val="auto"/>
              </w:rPr>
              <w:t>Investments in equity securities</w:t>
            </w:r>
            <w:r>
              <w:rPr>
                <w:rFonts w:ascii="Arial" w:cs="Arial" w:eastAsia="Arial" w:hAnsi="Arial"/>
                <w:sz w:val="22"/>
                <w:szCs w:val="22"/>
                <w:color w:val="auto"/>
                <w:vertAlign w:val="superscript"/>
              </w:rPr>
              <w:t>(6)</w:t>
            </w:r>
          </w:p>
        </w:tc>
        <w:tc>
          <w:tcPr>
            <w:tcW w:w="1420" w:type="dxa"/>
            <w:vAlign w:val="bottom"/>
            <w:shd w:val="clear" w:color="auto" w:fill="DCE2EF"/>
          </w:tcPr>
          <w:p>
            <w:pPr>
              <w:jc w:val="center"/>
              <w:spacing w:after="0"/>
              <w:rPr>
                <w:sz w:val="20"/>
                <w:szCs w:val="20"/>
                <w:color w:val="auto"/>
              </w:rPr>
            </w:pPr>
            <w:r>
              <w:rPr>
                <w:rFonts w:ascii="Arial" w:cs="Arial" w:eastAsia="Arial" w:hAnsi="Arial"/>
                <w:sz w:val="17"/>
                <w:szCs w:val="17"/>
                <w:color w:val="auto"/>
              </w:rPr>
              <w:t>3</w:t>
            </w:r>
          </w:p>
        </w:tc>
        <w:tc>
          <w:tcPr>
            <w:tcW w:w="100" w:type="dxa"/>
            <w:vAlign w:val="bottom"/>
            <w:shd w:val="clear" w:color="auto" w:fill="DCE2EF"/>
          </w:tcPr>
          <w:p>
            <w:pPr>
              <w:spacing w:after="0"/>
              <w:rPr>
                <w:sz w:val="19"/>
                <w:szCs w:val="19"/>
                <w:color w:val="auto"/>
              </w:rPr>
            </w:pPr>
          </w:p>
        </w:tc>
        <w:tc>
          <w:tcPr>
            <w:tcW w:w="320" w:type="dxa"/>
            <w:vAlign w:val="bottom"/>
            <w:shd w:val="clear" w:color="auto" w:fill="DCE2EF"/>
          </w:tcPr>
          <w:p>
            <w:pPr>
              <w:spacing w:after="0"/>
              <w:rPr>
                <w:sz w:val="19"/>
                <w:szCs w:val="19"/>
                <w:color w:val="auto"/>
              </w:rPr>
            </w:pPr>
          </w:p>
        </w:tc>
        <w:tc>
          <w:tcPr>
            <w:tcW w:w="1140" w:type="dxa"/>
            <w:vAlign w:val="bottom"/>
            <w:shd w:val="clear" w:color="auto" w:fill="DCE2EF"/>
          </w:tcPr>
          <w:p>
            <w:pPr>
              <w:jc w:val="right"/>
              <w:spacing w:after="0"/>
              <w:rPr>
                <w:sz w:val="20"/>
                <w:szCs w:val="20"/>
                <w:color w:val="auto"/>
              </w:rPr>
            </w:pPr>
            <w:r>
              <w:rPr>
                <w:rFonts w:ascii="Arial" w:cs="Arial" w:eastAsia="Arial" w:hAnsi="Arial"/>
                <w:sz w:val="17"/>
                <w:szCs w:val="17"/>
                <w:color w:val="auto"/>
              </w:rPr>
              <w:t>34.1</w:t>
            </w:r>
          </w:p>
        </w:tc>
        <w:tc>
          <w:tcPr>
            <w:tcW w:w="100" w:type="dxa"/>
            <w:vAlign w:val="bottom"/>
            <w:shd w:val="clear" w:color="auto" w:fill="DCE2EF"/>
          </w:tcPr>
          <w:p>
            <w:pPr>
              <w:spacing w:after="0"/>
              <w:rPr>
                <w:sz w:val="19"/>
                <w:szCs w:val="19"/>
                <w:color w:val="auto"/>
              </w:rPr>
            </w:pPr>
          </w:p>
        </w:tc>
        <w:tc>
          <w:tcPr>
            <w:tcW w:w="320" w:type="dxa"/>
            <w:vAlign w:val="bottom"/>
            <w:shd w:val="clear" w:color="auto" w:fill="DCE2EF"/>
          </w:tcPr>
          <w:p>
            <w:pPr>
              <w:spacing w:after="0"/>
              <w:rPr>
                <w:sz w:val="19"/>
                <w:szCs w:val="19"/>
                <w:color w:val="auto"/>
              </w:rPr>
            </w:pPr>
          </w:p>
        </w:tc>
        <w:tc>
          <w:tcPr>
            <w:tcW w:w="1120" w:type="dxa"/>
            <w:vAlign w:val="bottom"/>
            <w:shd w:val="clear" w:color="auto" w:fill="DCE2EF"/>
          </w:tcPr>
          <w:p>
            <w:pPr>
              <w:jc w:val="right"/>
              <w:spacing w:after="0"/>
              <w:rPr>
                <w:sz w:val="20"/>
                <w:szCs w:val="20"/>
                <w:color w:val="auto"/>
              </w:rPr>
            </w:pPr>
            <w:r>
              <w:rPr>
                <w:rFonts w:ascii="Arial" w:cs="Arial" w:eastAsia="Arial" w:hAnsi="Arial"/>
                <w:sz w:val="17"/>
                <w:szCs w:val="17"/>
                <w:color w:val="auto"/>
              </w:rPr>
              <w:t>15.4</w:t>
            </w:r>
          </w:p>
        </w:tc>
        <w:tc>
          <w:tcPr>
            <w:tcW w:w="0" w:type="dxa"/>
            <w:vAlign w:val="bottom"/>
          </w:tcPr>
          <w:p>
            <w:pPr>
              <w:spacing w:after="0"/>
              <w:rPr>
                <w:sz w:val="1"/>
                <w:szCs w:val="1"/>
                <w:color w:val="auto"/>
              </w:rPr>
            </w:pPr>
          </w:p>
        </w:tc>
      </w:tr>
      <w:tr>
        <w:trPr>
          <w:trHeight w:val="299"/>
        </w:trPr>
        <w:tc>
          <w:tcPr>
            <w:tcW w:w="6700" w:type="dxa"/>
            <w:vAlign w:val="bottom"/>
            <w:gridSpan w:val="3"/>
          </w:tcPr>
          <w:p>
            <w:pPr>
              <w:ind w:left="20"/>
              <w:spacing w:after="0"/>
              <w:rPr>
                <w:sz w:val="20"/>
                <w:szCs w:val="20"/>
                <w:color w:val="auto"/>
              </w:rPr>
            </w:pPr>
            <w:r>
              <w:rPr>
                <w:rFonts w:ascii="Arial" w:cs="Arial" w:eastAsia="Arial" w:hAnsi="Arial"/>
                <w:sz w:val="17"/>
                <w:szCs w:val="17"/>
                <w:color w:val="auto"/>
              </w:rPr>
              <w:t>Contingent consideration</w:t>
            </w:r>
            <w:r>
              <w:rPr>
                <w:rFonts w:ascii="Arial" w:cs="Arial" w:eastAsia="Arial" w:hAnsi="Arial"/>
                <w:sz w:val="22"/>
                <w:szCs w:val="22"/>
                <w:color w:val="auto"/>
                <w:vertAlign w:val="superscript"/>
              </w:rPr>
              <w:t>(7)(8)</w:t>
            </w:r>
          </w:p>
        </w:tc>
        <w:tc>
          <w:tcPr>
            <w:tcW w:w="1420" w:type="dxa"/>
            <w:vAlign w:val="bottom"/>
          </w:tcPr>
          <w:p>
            <w:pPr>
              <w:jc w:val="center"/>
              <w:spacing w:after="0"/>
              <w:rPr>
                <w:sz w:val="20"/>
                <w:szCs w:val="20"/>
                <w:color w:val="auto"/>
              </w:rPr>
            </w:pPr>
            <w:r>
              <w:rPr>
                <w:rFonts w:ascii="Arial" w:cs="Arial" w:eastAsia="Arial" w:hAnsi="Arial"/>
                <w:sz w:val="17"/>
                <w:szCs w:val="17"/>
                <w:color w:val="auto"/>
              </w:rPr>
              <w:t>3</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38.3</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109.1</w:t>
            </w:r>
          </w:p>
        </w:tc>
        <w:tc>
          <w:tcPr>
            <w:tcW w:w="0" w:type="dxa"/>
            <w:vAlign w:val="bottom"/>
          </w:tcPr>
          <w:p>
            <w:pPr>
              <w:spacing w:after="0"/>
              <w:rPr>
                <w:sz w:val="1"/>
                <w:szCs w:val="1"/>
                <w:color w:val="auto"/>
              </w:rPr>
            </w:pPr>
          </w:p>
        </w:tc>
      </w:tr>
    </w:tbl>
    <w:p>
      <w:pPr>
        <w:spacing w:after="0" w:line="178" w:lineRule="exact"/>
        <w:rPr>
          <w:sz w:val="20"/>
          <w:szCs w:val="20"/>
          <w:color w:val="auto"/>
        </w:rPr>
      </w:pPr>
    </w:p>
    <w:p>
      <w:pPr>
        <w:ind w:left="160" w:hanging="157"/>
        <w:spacing w:after="0"/>
        <w:tabs>
          <w:tab w:leader="none" w:pos="160" w:val="left"/>
        </w:tabs>
        <w:numPr>
          <w:ilvl w:val="0"/>
          <w:numId w:val="29"/>
        </w:numPr>
        <w:rPr>
          <w:rFonts w:ascii="Arial" w:cs="Arial" w:eastAsia="Arial" w:hAnsi="Arial"/>
          <w:sz w:val="19"/>
          <w:szCs w:val="19"/>
          <w:color w:val="auto"/>
          <w:vertAlign w:val="superscript"/>
        </w:rPr>
      </w:pPr>
      <w:r>
        <w:rPr>
          <w:rFonts w:ascii="Arial" w:cs="Arial" w:eastAsia="Arial" w:hAnsi="Arial"/>
          <w:sz w:val="15"/>
          <w:szCs w:val="15"/>
          <w:color w:val="auto"/>
        </w:rPr>
        <w:t>Cash and cash equivalents are stated at nominal value, which equals fair value.</w:t>
      </w:r>
    </w:p>
    <w:p>
      <w:pPr>
        <w:spacing w:after="0" w:line="92" w:lineRule="exact"/>
        <w:rPr>
          <w:rFonts w:ascii="Arial" w:cs="Arial" w:eastAsia="Arial" w:hAnsi="Arial"/>
          <w:sz w:val="19"/>
          <w:szCs w:val="19"/>
          <w:color w:val="auto"/>
          <w:vertAlign w:val="superscript"/>
        </w:rPr>
      </w:pPr>
    </w:p>
    <w:p>
      <w:pPr>
        <w:ind w:left="240" w:hanging="237"/>
        <w:spacing w:after="0" w:line="229" w:lineRule="auto"/>
        <w:tabs>
          <w:tab w:leader="none" w:pos="174" w:val="left"/>
        </w:tabs>
        <w:numPr>
          <w:ilvl w:val="0"/>
          <w:numId w:val="29"/>
        </w:numPr>
        <w:rPr>
          <w:rFonts w:ascii="Arial" w:cs="Arial" w:eastAsia="Arial" w:hAnsi="Arial"/>
          <w:sz w:val="20"/>
          <w:szCs w:val="20"/>
          <w:color w:val="auto"/>
          <w:vertAlign w:val="superscript"/>
        </w:rPr>
      </w:pPr>
      <w:r>
        <w:rPr>
          <w:rFonts w:ascii="Arial" w:cs="Arial" w:eastAsia="Arial" w:hAnsi="Arial"/>
          <w:sz w:val="15"/>
          <w:szCs w:val="15"/>
          <w:color w:val="auto"/>
        </w:rPr>
        <w:t>Represents restricted deposits that are used to collateralize our insurance obligations and are stated at nominal value, which equals fair value. These insurance deposits are included in “Other noncurrent assets” on the accompanying Consolidated Balance Sheets. See Note 11, “Insurance,” for further information.</w:t>
      </w:r>
    </w:p>
    <w:p>
      <w:pPr>
        <w:spacing w:after="0" w:line="80" w:lineRule="exact"/>
        <w:rPr>
          <w:rFonts w:ascii="Arial" w:cs="Arial" w:eastAsia="Arial" w:hAnsi="Arial"/>
          <w:sz w:val="20"/>
          <w:szCs w:val="20"/>
          <w:color w:val="auto"/>
          <w:vertAlign w:val="superscript"/>
        </w:rPr>
      </w:pPr>
    </w:p>
    <w:p>
      <w:pPr>
        <w:jc w:val="both"/>
        <w:ind w:left="240" w:hanging="237"/>
        <w:spacing w:after="0" w:line="241" w:lineRule="auto"/>
        <w:tabs>
          <w:tab w:leader="none" w:pos="186" w:val="left"/>
        </w:tabs>
        <w:numPr>
          <w:ilvl w:val="0"/>
          <w:numId w:val="29"/>
        </w:numPr>
        <w:rPr>
          <w:rFonts w:ascii="Arial" w:cs="Arial" w:eastAsia="Arial" w:hAnsi="Arial"/>
          <w:sz w:val="20"/>
          <w:szCs w:val="20"/>
          <w:color w:val="auto"/>
          <w:vertAlign w:val="superscript"/>
        </w:rPr>
      </w:pPr>
      <w:r>
        <w:rPr>
          <w:rFonts w:ascii="Arial" w:cs="Arial" w:eastAsia="Arial" w:hAnsi="Arial"/>
          <w:sz w:val="15"/>
          <w:szCs w:val="15"/>
          <w:color w:val="auto"/>
        </w:rPr>
        <w:t>Represents investments held in Rabbi trusts associated with one of our deferred compensation plans, which we include in “Other noncurrent assets” on the accompanying Consolidated Balance Sheets. The fair value of the assets held in the funded deferred compensation plan is based on quoted market prices. See Note 13, “Employee Benefit Plans,” for further information.</w:t>
      </w:r>
    </w:p>
    <w:p>
      <w:pPr>
        <w:spacing w:after="0" w:line="93" w:lineRule="exact"/>
        <w:rPr>
          <w:rFonts w:ascii="Arial" w:cs="Arial" w:eastAsia="Arial" w:hAnsi="Arial"/>
          <w:sz w:val="20"/>
          <w:szCs w:val="20"/>
          <w:color w:val="auto"/>
          <w:vertAlign w:val="superscript"/>
        </w:rPr>
      </w:pPr>
    </w:p>
    <w:p>
      <w:pPr>
        <w:ind w:left="240" w:hanging="237"/>
        <w:spacing w:after="0" w:line="229" w:lineRule="auto"/>
        <w:tabs>
          <w:tab w:leader="none" w:pos="174" w:val="left"/>
        </w:tabs>
        <w:numPr>
          <w:ilvl w:val="0"/>
          <w:numId w:val="29"/>
        </w:numPr>
        <w:rPr>
          <w:rFonts w:ascii="Arial" w:cs="Arial" w:eastAsia="Arial" w:hAnsi="Arial"/>
          <w:sz w:val="20"/>
          <w:szCs w:val="20"/>
          <w:color w:val="auto"/>
          <w:vertAlign w:val="superscript"/>
        </w:rPr>
      </w:pPr>
      <w:r>
        <w:rPr>
          <w:rFonts w:ascii="Arial" w:cs="Arial" w:eastAsia="Arial" w:hAnsi="Arial"/>
          <w:sz w:val="15"/>
          <w:szCs w:val="15"/>
          <w:color w:val="auto"/>
        </w:rPr>
        <w:t>Represents gross outstanding borrowings under our Amended Credit Facility. Due to variable interest rates, the carrying value of outstanding borrowings under our line of credit and term loan approximates the fair value. See Note 12, “Credit Facility,” for further information.</w:t>
      </w:r>
    </w:p>
    <w:p>
      <w:pPr>
        <w:spacing w:after="0" w:line="80" w:lineRule="exact"/>
        <w:rPr>
          <w:rFonts w:ascii="Arial" w:cs="Arial" w:eastAsia="Arial" w:hAnsi="Arial"/>
          <w:sz w:val="20"/>
          <w:szCs w:val="20"/>
          <w:color w:val="auto"/>
          <w:vertAlign w:val="superscript"/>
        </w:rPr>
      </w:pPr>
    </w:p>
    <w:p>
      <w:pPr>
        <w:ind w:left="240" w:hanging="237"/>
        <w:spacing w:after="0" w:line="250" w:lineRule="auto"/>
        <w:tabs>
          <w:tab w:leader="none" w:pos="174" w:val="left"/>
        </w:tabs>
        <w:numPr>
          <w:ilvl w:val="0"/>
          <w:numId w:val="29"/>
        </w:numPr>
        <w:rPr>
          <w:rFonts w:ascii="Arial" w:cs="Arial" w:eastAsia="Arial" w:hAnsi="Arial"/>
          <w:sz w:val="20"/>
          <w:szCs w:val="20"/>
          <w:color w:val="auto"/>
          <w:vertAlign w:val="superscript"/>
        </w:rPr>
      </w:pPr>
      <w:r>
        <w:rPr>
          <w:rFonts w:ascii="Arial" w:cs="Arial" w:eastAsia="Arial" w:hAnsi="Arial"/>
          <w:sz w:val="15"/>
          <w:szCs w:val="15"/>
          <w:color w:val="auto"/>
        </w:rPr>
        <w:t>Represents interest rate swap derivatives designated as cash flow hedges. The fair values of the interest rate swaps are estimated based on the present value of the difference between expected cash flows calculated at the contracted interest rates and the expected cash flows at current market interest rates using observable benchmarks for the SOFR forward rates at the end of the period. At October 31, 2025 and 2024, our interest rate swap assets and liabilities are included in “Other current assets” and “Other accrued liabilities,” respectively, on the accompanying Consolidated Balance Sheets. See Note 12, “Credit Facility,” for further information. Our interest rate swaps will mature in 2026.</w:t>
      </w:r>
    </w:p>
    <w:p>
      <w:pPr>
        <w:spacing w:after="0" w:line="73" w:lineRule="exact"/>
        <w:rPr>
          <w:rFonts w:ascii="Arial" w:cs="Arial" w:eastAsia="Arial" w:hAnsi="Arial"/>
          <w:sz w:val="20"/>
          <w:szCs w:val="20"/>
          <w:color w:val="auto"/>
          <w:vertAlign w:val="superscript"/>
        </w:rPr>
      </w:pPr>
    </w:p>
    <w:p>
      <w:pPr>
        <w:ind w:left="240" w:hanging="237"/>
        <w:spacing w:after="0" w:line="255" w:lineRule="auto"/>
        <w:tabs>
          <w:tab w:leader="none" w:pos="159" w:val="left"/>
        </w:tabs>
        <w:numPr>
          <w:ilvl w:val="0"/>
          <w:numId w:val="29"/>
        </w:numPr>
        <w:rPr>
          <w:rFonts w:ascii="Arial" w:cs="Arial" w:eastAsia="Arial" w:hAnsi="Arial"/>
          <w:sz w:val="19"/>
          <w:szCs w:val="19"/>
          <w:color w:val="auto"/>
          <w:vertAlign w:val="superscript"/>
        </w:rPr>
      </w:pPr>
      <w:r>
        <w:rPr>
          <w:rFonts w:ascii="Arial" w:cs="Arial" w:eastAsia="Arial" w:hAnsi="Arial"/>
          <w:sz w:val="15"/>
          <w:szCs w:val="15"/>
          <w:color w:val="auto"/>
        </w:rPr>
        <w:t>During the three months ended October 31, 2025, we purchased a $20.0 million call option to acquire an ownership interest in a privately held company, which we include in “Other investments” on the accompanying Consolidated Balance Sheet. Refer to Note 19, “Subsequent Events,” for further information. Our investments do not have a readily determinable fair value; therefore, we account for the investments using the measurement alternative under Topic 321 and measure the investments at initial cost plus or minus fair value adjustments if there are observable prices minus impairment, if any.</w:t>
      </w:r>
    </w:p>
    <w:p>
      <w:pPr>
        <w:spacing w:after="0" w:line="68" w:lineRule="exact"/>
        <w:rPr>
          <w:rFonts w:ascii="Arial" w:cs="Arial" w:eastAsia="Arial" w:hAnsi="Arial"/>
          <w:sz w:val="19"/>
          <w:szCs w:val="19"/>
          <w:color w:val="auto"/>
          <w:vertAlign w:val="superscript"/>
        </w:rPr>
      </w:pPr>
    </w:p>
    <w:p>
      <w:pPr>
        <w:ind w:left="240" w:hanging="237"/>
        <w:spacing w:after="0" w:line="250" w:lineRule="auto"/>
        <w:tabs>
          <w:tab w:leader="none" w:pos="174" w:val="left"/>
        </w:tabs>
        <w:numPr>
          <w:ilvl w:val="0"/>
          <w:numId w:val="29"/>
        </w:numPr>
        <w:rPr>
          <w:rFonts w:ascii="Arial" w:cs="Arial" w:eastAsia="Arial" w:hAnsi="Arial"/>
          <w:sz w:val="20"/>
          <w:szCs w:val="20"/>
          <w:color w:val="auto"/>
          <w:vertAlign w:val="superscript"/>
        </w:rPr>
      </w:pPr>
      <w:r>
        <w:rPr>
          <w:rFonts w:ascii="Arial" w:cs="Arial" w:eastAsia="Arial" w:hAnsi="Arial"/>
          <w:sz w:val="15"/>
          <w:szCs w:val="15"/>
          <w:color w:val="auto"/>
        </w:rPr>
        <w:t>Our contingent consideration payable related to the RavenVolt Acquisition is recorded at fair value as a liability on the acquisition date and is remeasured at each reporting date, based on significant inputs not observable in the market. The contingent consideration payment related to calendar year 2024, which was made in May 2025, represented a Level 3 measurement at October 31, 2024, and the amount related to calendar year 2025, payable in calendar year 2026, represents a Level 3 measurement at October 31, 2025, and October 31, 2024, within the fair value hierarchy. After the acquisition date and until the contingency is resolved, the fair value of contingent consideration payable is adjusted each reporting period based primarily on the expected probability of achievement of the contingency targets, which are subject to our estimate. These changes in fair value are recognized within the “Selling, general and administrative expenses” of the Consolidated Statements of Comprehensive Income. See Note 3, “Acquisitions,” for further information.</w:t>
      </w:r>
    </w:p>
    <w:p>
      <w:pPr>
        <w:spacing w:after="0" w:line="73" w:lineRule="exact"/>
        <w:rPr>
          <w:rFonts w:ascii="Arial" w:cs="Arial" w:eastAsia="Arial" w:hAnsi="Arial"/>
          <w:sz w:val="20"/>
          <w:szCs w:val="20"/>
          <w:color w:val="auto"/>
          <w:vertAlign w:val="superscript"/>
        </w:rPr>
      </w:pPr>
    </w:p>
    <w:p>
      <w:pPr>
        <w:ind w:left="160" w:hanging="157"/>
        <w:spacing w:after="0"/>
        <w:tabs>
          <w:tab w:leader="none" w:pos="160" w:val="left"/>
        </w:tabs>
        <w:numPr>
          <w:ilvl w:val="0"/>
          <w:numId w:val="29"/>
        </w:numPr>
        <w:rPr>
          <w:rFonts w:ascii="Arial" w:cs="Arial" w:eastAsia="Arial" w:hAnsi="Arial"/>
          <w:sz w:val="19"/>
          <w:szCs w:val="19"/>
          <w:color w:val="auto"/>
          <w:vertAlign w:val="superscript"/>
        </w:rPr>
      </w:pPr>
      <w:r>
        <w:rPr>
          <w:rFonts w:ascii="Arial" w:cs="Arial" w:eastAsia="Arial" w:hAnsi="Arial"/>
          <w:sz w:val="15"/>
          <w:szCs w:val="15"/>
          <w:color w:val="auto"/>
        </w:rPr>
        <w:t>The balance at October 31, 2025, also includes the contingent consideration payable in calendar year 2027 related to the LMC Acquisition.</w:t>
      </w:r>
    </w:p>
    <w:p>
      <w:pPr>
        <w:spacing w:after="0" w:line="200" w:lineRule="exact"/>
        <w:rPr>
          <w:sz w:val="20"/>
          <w:szCs w:val="20"/>
          <w:color w:val="auto"/>
        </w:rPr>
      </w:pPr>
    </w:p>
    <w:p>
      <w:pPr>
        <w:spacing w:after="0" w:line="262" w:lineRule="exact"/>
        <w:rPr>
          <w:sz w:val="20"/>
          <w:szCs w:val="20"/>
          <w:color w:val="auto"/>
        </w:rPr>
      </w:pPr>
    </w:p>
    <w:p>
      <w:pPr>
        <w:ind w:firstLine="619"/>
        <w:spacing w:after="0" w:line="290" w:lineRule="auto"/>
        <w:rPr>
          <w:sz w:val="20"/>
          <w:szCs w:val="20"/>
          <w:color w:val="auto"/>
        </w:rPr>
      </w:pPr>
      <w:r>
        <w:rPr>
          <w:rFonts w:ascii="Arial" w:cs="Arial" w:eastAsia="Arial" w:hAnsi="Arial"/>
          <w:sz w:val="17"/>
          <w:szCs w:val="17"/>
          <w:color w:val="auto"/>
        </w:rPr>
        <w:t>There were no transfers to or from Level 3 financial assets or liabilities during 2025 and 2024. At October 31, 2025 and 2024, the Company had no financial assets recorded at fair value using Level 3 inputs.</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65" w:right="339" w:bottom="1440" w:gutter="0" w:footer="0" w:header="0"/>
        </w:sectPr>
      </w:pPr>
    </w:p>
    <w:bookmarkStart w:id="71" w:name="page72"/>
    <w:bookmarkEnd w:id="71"/>
    <w:p>
      <w:pPr>
        <w:spacing w:after="0"/>
        <w:rPr>
          <w:sz w:val="20"/>
          <w:szCs w:val="20"/>
          <w:color w:val="auto"/>
        </w:rPr>
      </w:pPr>
      <w:r>
        <w:rPr>
          <w:rFonts w:ascii="Arial" w:cs="Arial" w:eastAsia="Arial" w:hAnsi="Arial"/>
          <w:sz w:val="17"/>
          <w:szCs w:val="17"/>
          <w:b w:val="1"/>
          <w:bCs w:val="1"/>
          <w:color w:val="0046AD"/>
        </w:rPr>
        <w:t>Non-Financial Assets Measured at Fair Value on a Non-Recurring Basis</w:t>
      </w:r>
    </w:p>
    <w:p>
      <w:pPr>
        <w:spacing w:after="0" w:line="168"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In addition to assets and liabilities that are measured at fair value on a recurring basis, we are also required to measure certain items at fair value on a non-recurring basis. These assets can include: goodwill; intangible assets; property, plant and equipment; lease-related ROU assets; and long-lived assets that have been reduced to fair value when they are held for sale. If certain triggering events occur or if an annual impairment test is required, we would evaluate these non-financial assets for impairment. If an impairment were to occur, the asset would be recorded at the estimated fair value, using primarily unobservable Level 3 inputs.</w:t>
      </w:r>
    </w:p>
    <w:p>
      <w:pPr>
        <w:spacing w:after="0" w:line="117" w:lineRule="exact"/>
        <w:rPr>
          <w:sz w:val="20"/>
          <w:szCs w:val="20"/>
          <w:color w:val="auto"/>
        </w:rPr>
      </w:pPr>
    </w:p>
    <w:p>
      <w:pPr>
        <w:ind w:right="7960" w:firstLine="3"/>
        <w:spacing w:after="0" w:line="474" w:lineRule="auto"/>
        <w:tabs>
          <w:tab w:leader="none" w:pos="191" w:val="left"/>
        </w:tabs>
        <w:numPr>
          <w:ilvl w:val="0"/>
          <w:numId w:val="30"/>
        </w:numPr>
        <w:rPr>
          <w:rFonts w:ascii="Arial" w:cs="Arial" w:eastAsia="Arial" w:hAnsi="Arial"/>
          <w:sz w:val="17"/>
          <w:szCs w:val="17"/>
          <w:b w:val="1"/>
          <w:bCs w:val="1"/>
          <w:color w:val="0046AD"/>
        </w:rPr>
      </w:pPr>
      <w:r>
        <w:rPr>
          <w:rFonts w:ascii="Arial" w:cs="Arial" w:eastAsia="Arial" w:hAnsi="Arial"/>
          <w:sz w:val="17"/>
          <w:szCs w:val="17"/>
          <w:b w:val="1"/>
          <w:bCs w:val="1"/>
          <w:color w:val="0046AD"/>
        </w:rPr>
        <w:t>PROPERTY, PLANT AND EQUIPMENT Property, Plant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-330200</wp:posOffset>
            </wp:positionV>
            <wp:extent cx="712216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2216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5"/>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34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240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rPr>
              <w:t>As of October 31,</w:t>
            </w:r>
          </w:p>
        </w:tc>
        <w:tc>
          <w:tcPr>
            <w:tcW w:w="1300" w:type="dxa"/>
            <w:vAlign w:val="bottom"/>
            <w:tcBorders>
              <w:bottom w:val="single" w:sz="8" w:color="auto"/>
            </w:tcBorders>
          </w:tcPr>
          <w:p>
            <w:pPr>
              <w:spacing w:after="0"/>
              <w:rPr>
                <w:sz w:val="19"/>
                <w:szCs w:val="19"/>
                <w:color w:val="auto"/>
              </w:rPr>
            </w:pPr>
          </w:p>
        </w:tc>
      </w:tr>
      <w:tr>
        <w:trPr>
          <w:trHeight w:val="160"/>
        </w:trPr>
        <w:tc>
          <w:tcPr>
            <w:tcW w:w="7040" w:type="dxa"/>
            <w:vAlign w:val="bottom"/>
            <w:gridSpan w:val="3"/>
          </w:tcPr>
          <w:p>
            <w:pPr>
              <w:ind w:left="20"/>
              <w:spacing w:after="0" w:line="148" w:lineRule="exact"/>
              <w:rPr>
                <w:sz w:val="20"/>
                <w:szCs w:val="20"/>
                <w:color w:val="auto"/>
              </w:rPr>
            </w:pPr>
            <w:r>
              <w:rPr>
                <w:rFonts w:ascii="Times New Roman" w:cs="Times New Roman" w:eastAsia="Times New Roman" w:hAnsi="Times New Roman"/>
                <w:sz w:val="14"/>
                <w:szCs w:val="14"/>
                <w:i w:val="1"/>
                <w:iCs w:val="1"/>
                <w:color w:val="auto"/>
              </w:rPr>
              <w:t>(in millions)</w:t>
            </w:r>
          </w:p>
        </w:tc>
        <w:tc>
          <w:tcPr>
            <w:tcW w:w="480" w:type="dxa"/>
            <w:vAlign w:val="bottom"/>
          </w:tcPr>
          <w:p>
            <w:pPr>
              <w:spacing w:after="0"/>
              <w:rPr>
                <w:sz w:val="13"/>
                <w:szCs w:val="13"/>
                <w:color w:val="auto"/>
              </w:rPr>
            </w:pPr>
          </w:p>
        </w:tc>
        <w:tc>
          <w:tcPr>
            <w:tcW w:w="1560" w:type="dxa"/>
            <w:vAlign w:val="bottom"/>
          </w:tcPr>
          <w:p>
            <w:pPr>
              <w:jc w:val="right"/>
              <w:ind w:right="734"/>
              <w:spacing w:after="0" w:line="148" w:lineRule="exact"/>
              <w:rPr>
                <w:sz w:val="20"/>
                <w:szCs w:val="20"/>
                <w:color w:val="auto"/>
              </w:rPr>
            </w:pPr>
            <w:r>
              <w:rPr>
                <w:rFonts w:ascii="Arial" w:cs="Arial" w:eastAsia="Arial" w:hAnsi="Arial"/>
                <w:sz w:val="17"/>
                <w:szCs w:val="17"/>
                <w:b w:val="1"/>
                <w:bCs w:val="1"/>
                <w:color w:val="auto"/>
              </w:rPr>
              <w:t>2025</w:t>
            </w: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300" w:type="dxa"/>
            <w:vAlign w:val="bottom"/>
          </w:tcPr>
          <w:p>
            <w:pPr>
              <w:jc w:val="right"/>
              <w:ind w:right="734"/>
              <w:spacing w:after="0" w:line="148" w:lineRule="exact"/>
              <w:rPr>
                <w:sz w:val="20"/>
                <w:szCs w:val="20"/>
                <w:color w:val="auto"/>
              </w:rPr>
            </w:pPr>
            <w:r>
              <w:rPr>
                <w:rFonts w:ascii="Arial" w:cs="Arial" w:eastAsia="Arial" w:hAnsi="Arial"/>
                <w:sz w:val="17"/>
                <w:szCs w:val="17"/>
                <w:b w:val="1"/>
                <w:bCs w:val="1"/>
                <w:color w:val="auto"/>
              </w:rPr>
              <w:t>2024</w:t>
            </w:r>
          </w:p>
        </w:tc>
      </w:tr>
      <w:tr>
        <w:trPr>
          <w:trHeight w:val="32"/>
        </w:trPr>
        <w:tc>
          <w:tcPr>
            <w:tcW w:w="20" w:type="dxa"/>
            <w:vAlign w:val="bottom"/>
            <w:tcBorders>
              <w:bottom w:val="single" w:sz="8" w:color="DCE2EF"/>
            </w:tcBorders>
          </w:tcPr>
          <w:p>
            <w:pPr>
              <w:spacing w:after="0"/>
              <w:rPr>
                <w:sz w:val="2"/>
                <w:szCs w:val="2"/>
                <w:color w:val="auto"/>
              </w:rPr>
            </w:pPr>
          </w:p>
        </w:tc>
        <w:tc>
          <w:tcPr>
            <w:tcW w:w="680" w:type="dxa"/>
            <w:vAlign w:val="bottom"/>
            <w:tcBorders>
              <w:top w:val="single" w:sz="8" w:color="auto"/>
              <w:bottom w:val="single" w:sz="8" w:color="DCE2EF"/>
            </w:tcBorders>
          </w:tcPr>
          <w:p>
            <w:pPr>
              <w:spacing w:after="0"/>
              <w:rPr>
                <w:sz w:val="2"/>
                <w:szCs w:val="2"/>
                <w:color w:val="auto"/>
              </w:rPr>
            </w:pPr>
          </w:p>
        </w:tc>
        <w:tc>
          <w:tcPr>
            <w:tcW w:w="6340" w:type="dxa"/>
            <w:vAlign w:val="bottom"/>
            <w:tcBorders>
              <w:bottom w:val="single" w:sz="8" w:color="DCE2E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2"/>
        </w:trPr>
        <w:tc>
          <w:tcPr>
            <w:tcW w:w="7040" w:type="dxa"/>
            <w:vAlign w:val="bottom"/>
            <w:gridSpan w:val="3"/>
            <w:shd w:val="clear" w:color="auto" w:fill="DCE2EF"/>
          </w:tcPr>
          <w:p>
            <w:pPr>
              <w:ind w:left="20"/>
              <w:spacing w:after="0"/>
              <w:rPr>
                <w:sz w:val="20"/>
                <w:szCs w:val="20"/>
                <w:color w:val="auto"/>
              </w:rPr>
            </w:pPr>
            <w:r>
              <w:rPr>
                <w:rFonts w:ascii="Arial" w:cs="Arial" w:eastAsia="Arial" w:hAnsi="Arial"/>
                <w:sz w:val="17"/>
                <w:szCs w:val="17"/>
                <w:color w:val="auto"/>
              </w:rPr>
              <w:t>Machinery and other equipment</w:t>
            </w:r>
          </w:p>
        </w:tc>
        <w:tc>
          <w:tcPr>
            <w:tcW w:w="480" w:type="dxa"/>
            <w:vAlign w:val="bottom"/>
            <w:shd w:val="clear" w:color="auto" w:fill="DCE2EF"/>
          </w:tcPr>
          <w:p>
            <w:pPr>
              <w:jc w:val="right"/>
              <w:ind w:right="274"/>
              <w:spacing w:after="0"/>
              <w:rPr>
                <w:sz w:val="20"/>
                <w:szCs w:val="20"/>
                <w:color w:val="auto"/>
              </w:rPr>
            </w:pPr>
            <w:r>
              <w:rPr>
                <w:rFonts w:ascii="Arial" w:cs="Arial" w:eastAsia="Arial" w:hAnsi="Arial"/>
                <w:sz w:val="17"/>
                <w:szCs w:val="17"/>
                <w:color w:val="auto"/>
              </w:rPr>
              <w:t>$</w:t>
            </w:r>
          </w:p>
        </w:tc>
        <w:tc>
          <w:tcPr>
            <w:tcW w:w="1560" w:type="dxa"/>
            <w:vAlign w:val="bottom"/>
            <w:shd w:val="clear" w:color="auto" w:fill="DCE2EF"/>
          </w:tcPr>
          <w:p>
            <w:pPr>
              <w:jc w:val="right"/>
              <w:spacing w:after="0"/>
              <w:rPr>
                <w:sz w:val="20"/>
                <w:szCs w:val="20"/>
                <w:color w:val="auto"/>
              </w:rPr>
            </w:pPr>
            <w:r>
              <w:rPr>
                <w:rFonts w:ascii="Arial" w:cs="Arial" w:eastAsia="Arial" w:hAnsi="Arial"/>
                <w:sz w:val="17"/>
                <w:szCs w:val="17"/>
                <w:color w:val="auto"/>
              </w:rPr>
              <w:t>183.5</w:t>
            </w:r>
          </w:p>
        </w:tc>
        <w:tc>
          <w:tcPr>
            <w:tcW w:w="100" w:type="dxa"/>
            <w:vAlign w:val="bottom"/>
            <w:shd w:val="clear" w:color="auto" w:fill="DCE2EF"/>
          </w:tcPr>
          <w:p>
            <w:pPr>
              <w:spacing w:after="0"/>
              <w:rPr>
                <w:sz w:val="18"/>
                <w:szCs w:val="18"/>
                <w:color w:val="auto"/>
              </w:rPr>
            </w:pPr>
          </w:p>
        </w:tc>
        <w:tc>
          <w:tcPr>
            <w:tcW w:w="740" w:type="dxa"/>
            <w:vAlign w:val="bottom"/>
            <w:shd w:val="clear" w:color="auto" w:fill="DCE2EF"/>
          </w:tcPr>
          <w:p>
            <w:pPr>
              <w:jc w:val="right"/>
              <w:ind w:right="534"/>
              <w:spacing w:after="0"/>
              <w:rPr>
                <w:sz w:val="20"/>
                <w:szCs w:val="20"/>
                <w:color w:val="auto"/>
              </w:rPr>
            </w:pPr>
            <w:r>
              <w:rPr>
                <w:rFonts w:ascii="Arial" w:cs="Arial" w:eastAsia="Arial" w:hAnsi="Arial"/>
                <w:sz w:val="17"/>
                <w:szCs w:val="17"/>
                <w:color w:val="auto"/>
              </w:rPr>
              <w:t>$</w:t>
            </w:r>
          </w:p>
        </w:tc>
        <w:tc>
          <w:tcPr>
            <w:tcW w:w="1300" w:type="dxa"/>
            <w:vAlign w:val="bottom"/>
            <w:shd w:val="clear" w:color="auto" w:fill="DCE2EF"/>
          </w:tcPr>
          <w:p>
            <w:pPr>
              <w:jc w:val="right"/>
              <w:spacing w:after="0"/>
              <w:rPr>
                <w:sz w:val="20"/>
                <w:szCs w:val="20"/>
                <w:color w:val="auto"/>
              </w:rPr>
            </w:pPr>
            <w:r>
              <w:rPr>
                <w:rFonts w:ascii="Arial" w:cs="Arial" w:eastAsia="Arial" w:hAnsi="Arial"/>
                <w:sz w:val="17"/>
                <w:szCs w:val="17"/>
                <w:color w:val="auto"/>
              </w:rPr>
              <w:t>172.9</w:t>
            </w:r>
          </w:p>
        </w:tc>
      </w:tr>
      <w:tr>
        <w:trPr>
          <w:trHeight w:val="219"/>
        </w:trPr>
        <w:tc>
          <w:tcPr>
            <w:tcW w:w="7040" w:type="dxa"/>
            <w:vAlign w:val="bottom"/>
            <w:gridSpan w:val="3"/>
          </w:tcPr>
          <w:p>
            <w:pPr>
              <w:ind w:left="20"/>
              <w:spacing w:after="0"/>
              <w:rPr>
                <w:sz w:val="20"/>
                <w:szCs w:val="20"/>
                <w:color w:val="auto"/>
              </w:rPr>
            </w:pPr>
            <w:r>
              <w:rPr>
                <w:rFonts w:ascii="Arial" w:cs="Arial" w:eastAsia="Arial" w:hAnsi="Arial"/>
                <w:sz w:val="17"/>
                <w:szCs w:val="17"/>
                <w:color w:val="auto"/>
              </w:rPr>
              <w:t>Computer equipment and software</w:t>
            </w:r>
          </w:p>
        </w:tc>
        <w:tc>
          <w:tcPr>
            <w:tcW w:w="4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121.8</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117.2</w:t>
            </w:r>
          </w:p>
        </w:tc>
      </w:tr>
      <w:tr>
        <w:trPr>
          <w:trHeight w:val="219"/>
        </w:trPr>
        <w:tc>
          <w:tcPr>
            <w:tcW w:w="7040" w:type="dxa"/>
            <w:vAlign w:val="bottom"/>
            <w:gridSpan w:val="3"/>
            <w:shd w:val="clear" w:color="auto" w:fill="DCE2EF"/>
          </w:tcPr>
          <w:p>
            <w:pPr>
              <w:ind w:left="20"/>
              <w:spacing w:after="0"/>
              <w:rPr>
                <w:sz w:val="20"/>
                <w:szCs w:val="20"/>
                <w:color w:val="auto"/>
              </w:rPr>
            </w:pPr>
            <w:r>
              <w:rPr>
                <w:rFonts w:ascii="Arial" w:cs="Arial" w:eastAsia="Arial" w:hAnsi="Arial"/>
                <w:sz w:val="17"/>
                <w:szCs w:val="17"/>
                <w:color w:val="auto"/>
              </w:rPr>
              <w:t>Transportation equipment</w:t>
            </w:r>
          </w:p>
        </w:tc>
        <w:tc>
          <w:tcPr>
            <w:tcW w:w="480" w:type="dxa"/>
            <w:vAlign w:val="bottom"/>
            <w:shd w:val="clear" w:color="auto" w:fill="DCE2EF"/>
          </w:tcPr>
          <w:p>
            <w:pPr>
              <w:spacing w:after="0"/>
              <w:rPr>
                <w:sz w:val="19"/>
                <w:szCs w:val="19"/>
                <w:color w:val="auto"/>
              </w:rPr>
            </w:pPr>
          </w:p>
        </w:tc>
        <w:tc>
          <w:tcPr>
            <w:tcW w:w="1560" w:type="dxa"/>
            <w:vAlign w:val="bottom"/>
            <w:shd w:val="clear" w:color="auto" w:fill="DCE2EF"/>
          </w:tcPr>
          <w:p>
            <w:pPr>
              <w:jc w:val="right"/>
              <w:spacing w:after="0"/>
              <w:rPr>
                <w:sz w:val="20"/>
                <w:szCs w:val="20"/>
                <w:color w:val="auto"/>
              </w:rPr>
            </w:pPr>
            <w:r>
              <w:rPr>
                <w:rFonts w:ascii="Arial" w:cs="Arial" w:eastAsia="Arial" w:hAnsi="Arial"/>
                <w:sz w:val="17"/>
                <w:szCs w:val="17"/>
                <w:color w:val="auto"/>
              </w:rPr>
              <w:t>116.4</w:t>
            </w:r>
          </w:p>
        </w:tc>
        <w:tc>
          <w:tcPr>
            <w:tcW w:w="100" w:type="dxa"/>
            <w:vAlign w:val="bottom"/>
            <w:shd w:val="clear" w:color="auto" w:fill="DCE2EF"/>
          </w:tcPr>
          <w:p>
            <w:pPr>
              <w:spacing w:after="0"/>
              <w:rPr>
                <w:sz w:val="19"/>
                <w:szCs w:val="19"/>
                <w:color w:val="auto"/>
              </w:rPr>
            </w:pPr>
          </w:p>
        </w:tc>
        <w:tc>
          <w:tcPr>
            <w:tcW w:w="740" w:type="dxa"/>
            <w:vAlign w:val="bottom"/>
            <w:shd w:val="clear" w:color="auto" w:fill="DCE2EF"/>
          </w:tcPr>
          <w:p>
            <w:pPr>
              <w:spacing w:after="0"/>
              <w:rPr>
                <w:sz w:val="19"/>
                <w:szCs w:val="19"/>
                <w:color w:val="auto"/>
              </w:rPr>
            </w:pPr>
          </w:p>
        </w:tc>
        <w:tc>
          <w:tcPr>
            <w:tcW w:w="1300" w:type="dxa"/>
            <w:vAlign w:val="bottom"/>
            <w:shd w:val="clear" w:color="auto" w:fill="DCE2EF"/>
          </w:tcPr>
          <w:p>
            <w:pPr>
              <w:jc w:val="right"/>
              <w:spacing w:after="0"/>
              <w:rPr>
                <w:sz w:val="20"/>
                <w:szCs w:val="20"/>
                <w:color w:val="auto"/>
              </w:rPr>
            </w:pPr>
            <w:r>
              <w:rPr>
                <w:rFonts w:ascii="Arial" w:cs="Arial" w:eastAsia="Arial" w:hAnsi="Arial"/>
                <w:sz w:val="17"/>
                <w:szCs w:val="17"/>
                <w:color w:val="auto"/>
              </w:rPr>
              <w:t>95.9</w:t>
            </w:r>
          </w:p>
        </w:tc>
      </w:tr>
      <w:tr>
        <w:trPr>
          <w:trHeight w:val="219"/>
        </w:trPr>
        <w:tc>
          <w:tcPr>
            <w:tcW w:w="7040" w:type="dxa"/>
            <w:vAlign w:val="bottom"/>
            <w:gridSpan w:val="3"/>
          </w:tcPr>
          <w:p>
            <w:pPr>
              <w:ind w:left="20"/>
              <w:spacing w:after="0"/>
              <w:rPr>
                <w:sz w:val="20"/>
                <w:szCs w:val="20"/>
                <w:color w:val="auto"/>
              </w:rPr>
            </w:pPr>
            <w:r>
              <w:rPr>
                <w:rFonts w:ascii="Arial" w:cs="Arial" w:eastAsia="Arial" w:hAnsi="Arial"/>
                <w:sz w:val="17"/>
                <w:szCs w:val="17"/>
                <w:color w:val="auto"/>
              </w:rPr>
              <w:t>Leasehold improvements</w:t>
            </w:r>
          </w:p>
        </w:tc>
        <w:tc>
          <w:tcPr>
            <w:tcW w:w="4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77.0</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72.5</w:t>
            </w:r>
          </w:p>
        </w:tc>
      </w:tr>
      <w:tr>
        <w:trPr>
          <w:trHeight w:val="219"/>
        </w:trPr>
        <w:tc>
          <w:tcPr>
            <w:tcW w:w="7040" w:type="dxa"/>
            <w:vAlign w:val="bottom"/>
            <w:gridSpan w:val="3"/>
            <w:shd w:val="clear" w:color="auto" w:fill="DCE2EF"/>
          </w:tcPr>
          <w:p>
            <w:pPr>
              <w:ind w:left="20"/>
              <w:spacing w:after="0"/>
              <w:rPr>
                <w:sz w:val="20"/>
                <w:szCs w:val="20"/>
                <w:color w:val="auto"/>
              </w:rPr>
            </w:pPr>
            <w:r>
              <w:rPr>
                <w:rFonts w:ascii="Arial" w:cs="Arial" w:eastAsia="Arial" w:hAnsi="Arial"/>
                <w:sz w:val="17"/>
                <w:szCs w:val="17"/>
                <w:color w:val="auto"/>
              </w:rPr>
              <w:t>Furniture and fixtures</w:t>
            </w:r>
          </w:p>
        </w:tc>
        <w:tc>
          <w:tcPr>
            <w:tcW w:w="480" w:type="dxa"/>
            <w:vAlign w:val="bottom"/>
            <w:shd w:val="clear" w:color="auto" w:fill="DCE2EF"/>
          </w:tcPr>
          <w:p>
            <w:pPr>
              <w:spacing w:after="0"/>
              <w:rPr>
                <w:sz w:val="19"/>
                <w:szCs w:val="19"/>
                <w:color w:val="auto"/>
              </w:rPr>
            </w:pPr>
          </w:p>
        </w:tc>
        <w:tc>
          <w:tcPr>
            <w:tcW w:w="1560" w:type="dxa"/>
            <w:vAlign w:val="bottom"/>
            <w:shd w:val="clear" w:color="auto" w:fill="DCE2EF"/>
          </w:tcPr>
          <w:p>
            <w:pPr>
              <w:jc w:val="right"/>
              <w:spacing w:after="0"/>
              <w:rPr>
                <w:sz w:val="20"/>
                <w:szCs w:val="20"/>
                <w:color w:val="auto"/>
              </w:rPr>
            </w:pPr>
            <w:r>
              <w:rPr>
                <w:rFonts w:ascii="Arial" w:cs="Arial" w:eastAsia="Arial" w:hAnsi="Arial"/>
                <w:sz w:val="17"/>
                <w:szCs w:val="17"/>
                <w:color w:val="auto"/>
              </w:rPr>
              <w:t>24.2</w:t>
            </w:r>
          </w:p>
        </w:tc>
        <w:tc>
          <w:tcPr>
            <w:tcW w:w="100" w:type="dxa"/>
            <w:vAlign w:val="bottom"/>
            <w:shd w:val="clear" w:color="auto" w:fill="DCE2EF"/>
          </w:tcPr>
          <w:p>
            <w:pPr>
              <w:spacing w:after="0"/>
              <w:rPr>
                <w:sz w:val="19"/>
                <w:szCs w:val="19"/>
                <w:color w:val="auto"/>
              </w:rPr>
            </w:pPr>
          </w:p>
        </w:tc>
        <w:tc>
          <w:tcPr>
            <w:tcW w:w="740" w:type="dxa"/>
            <w:vAlign w:val="bottom"/>
            <w:shd w:val="clear" w:color="auto" w:fill="DCE2EF"/>
          </w:tcPr>
          <w:p>
            <w:pPr>
              <w:spacing w:after="0"/>
              <w:rPr>
                <w:sz w:val="19"/>
                <w:szCs w:val="19"/>
                <w:color w:val="auto"/>
              </w:rPr>
            </w:pPr>
          </w:p>
        </w:tc>
        <w:tc>
          <w:tcPr>
            <w:tcW w:w="1300" w:type="dxa"/>
            <w:vAlign w:val="bottom"/>
            <w:shd w:val="clear" w:color="auto" w:fill="DCE2EF"/>
          </w:tcPr>
          <w:p>
            <w:pPr>
              <w:jc w:val="right"/>
              <w:spacing w:after="0"/>
              <w:rPr>
                <w:sz w:val="20"/>
                <w:szCs w:val="20"/>
                <w:color w:val="auto"/>
              </w:rPr>
            </w:pPr>
            <w:r>
              <w:rPr>
                <w:rFonts w:ascii="Arial" w:cs="Arial" w:eastAsia="Arial" w:hAnsi="Arial"/>
                <w:sz w:val="17"/>
                <w:szCs w:val="17"/>
                <w:color w:val="auto"/>
              </w:rPr>
              <w:t>22.1</w:t>
            </w:r>
          </w:p>
        </w:tc>
      </w:tr>
      <w:tr>
        <w:trPr>
          <w:trHeight w:val="219"/>
        </w:trPr>
        <w:tc>
          <w:tcPr>
            <w:tcW w:w="7040" w:type="dxa"/>
            <w:vAlign w:val="bottom"/>
            <w:gridSpan w:val="3"/>
          </w:tcPr>
          <w:p>
            <w:pPr>
              <w:ind w:left="20"/>
              <w:spacing w:after="0" w:line="219" w:lineRule="exact"/>
              <w:rPr>
                <w:sz w:val="20"/>
                <w:szCs w:val="20"/>
                <w:color w:val="auto"/>
              </w:rPr>
            </w:pPr>
            <w:r>
              <w:rPr>
                <w:rFonts w:ascii="Arial" w:cs="Arial" w:eastAsia="Arial" w:hAnsi="Arial"/>
                <w:sz w:val="17"/>
                <w:szCs w:val="17"/>
                <w:color w:val="auto"/>
              </w:rPr>
              <w:t>Construction in progress</w:t>
            </w:r>
            <w:r>
              <w:rPr>
                <w:rFonts w:ascii="Arial" w:cs="Arial" w:eastAsia="Arial" w:hAnsi="Arial"/>
                <w:sz w:val="22"/>
                <w:szCs w:val="22"/>
                <w:color w:val="auto"/>
                <w:vertAlign w:val="superscript"/>
              </w:rPr>
              <w:t>(1)</w:t>
            </w:r>
          </w:p>
        </w:tc>
        <w:tc>
          <w:tcPr>
            <w:tcW w:w="4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25.6</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13.0</w:t>
            </w:r>
          </w:p>
        </w:tc>
      </w:tr>
      <w:tr>
        <w:trPr>
          <w:trHeight w:val="219"/>
        </w:trPr>
        <w:tc>
          <w:tcPr>
            <w:tcW w:w="7040" w:type="dxa"/>
            <w:vAlign w:val="bottom"/>
            <w:gridSpan w:val="3"/>
            <w:shd w:val="clear" w:color="auto" w:fill="DCE2EF"/>
          </w:tcPr>
          <w:p>
            <w:pPr>
              <w:ind w:left="20"/>
              <w:spacing w:after="0"/>
              <w:rPr>
                <w:sz w:val="20"/>
                <w:szCs w:val="20"/>
                <w:color w:val="auto"/>
              </w:rPr>
            </w:pPr>
            <w:r>
              <w:rPr>
                <w:rFonts w:ascii="Arial" w:cs="Arial" w:eastAsia="Arial" w:hAnsi="Arial"/>
                <w:sz w:val="17"/>
                <w:szCs w:val="17"/>
                <w:color w:val="auto"/>
              </w:rPr>
              <w:t>Buildings</w:t>
            </w:r>
          </w:p>
        </w:tc>
        <w:tc>
          <w:tcPr>
            <w:tcW w:w="480" w:type="dxa"/>
            <w:vAlign w:val="bottom"/>
            <w:shd w:val="clear" w:color="auto" w:fill="DCE2EF"/>
          </w:tcPr>
          <w:p>
            <w:pPr>
              <w:spacing w:after="0"/>
              <w:rPr>
                <w:sz w:val="19"/>
                <w:szCs w:val="19"/>
                <w:color w:val="auto"/>
              </w:rPr>
            </w:pPr>
          </w:p>
        </w:tc>
        <w:tc>
          <w:tcPr>
            <w:tcW w:w="1560" w:type="dxa"/>
            <w:vAlign w:val="bottom"/>
            <w:shd w:val="clear" w:color="auto" w:fill="DCE2EF"/>
          </w:tcPr>
          <w:p>
            <w:pPr>
              <w:jc w:val="right"/>
              <w:spacing w:after="0"/>
              <w:rPr>
                <w:sz w:val="20"/>
                <w:szCs w:val="20"/>
                <w:color w:val="auto"/>
              </w:rPr>
            </w:pPr>
            <w:r>
              <w:rPr>
                <w:rFonts w:ascii="Arial" w:cs="Arial" w:eastAsia="Arial" w:hAnsi="Arial"/>
                <w:sz w:val="17"/>
                <w:szCs w:val="17"/>
                <w:color w:val="auto"/>
              </w:rPr>
              <w:t>7.9</w:t>
            </w:r>
          </w:p>
        </w:tc>
        <w:tc>
          <w:tcPr>
            <w:tcW w:w="100" w:type="dxa"/>
            <w:vAlign w:val="bottom"/>
            <w:shd w:val="clear" w:color="auto" w:fill="DCE2EF"/>
          </w:tcPr>
          <w:p>
            <w:pPr>
              <w:spacing w:after="0"/>
              <w:rPr>
                <w:sz w:val="19"/>
                <w:szCs w:val="19"/>
                <w:color w:val="auto"/>
              </w:rPr>
            </w:pPr>
          </w:p>
        </w:tc>
        <w:tc>
          <w:tcPr>
            <w:tcW w:w="740" w:type="dxa"/>
            <w:vAlign w:val="bottom"/>
            <w:shd w:val="clear" w:color="auto" w:fill="DCE2EF"/>
          </w:tcPr>
          <w:p>
            <w:pPr>
              <w:spacing w:after="0"/>
              <w:rPr>
                <w:sz w:val="19"/>
                <w:szCs w:val="19"/>
                <w:color w:val="auto"/>
              </w:rPr>
            </w:pPr>
          </w:p>
        </w:tc>
        <w:tc>
          <w:tcPr>
            <w:tcW w:w="1300" w:type="dxa"/>
            <w:vAlign w:val="bottom"/>
            <w:shd w:val="clear" w:color="auto" w:fill="DCE2EF"/>
          </w:tcPr>
          <w:p>
            <w:pPr>
              <w:jc w:val="right"/>
              <w:spacing w:after="0"/>
              <w:rPr>
                <w:sz w:val="20"/>
                <w:szCs w:val="20"/>
                <w:color w:val="auto"/>
              </w:rPr>
            </w:pPr>
            <w:r>
              <w:rPr>
                <w:rFonts w:ascii="Arial" w:cs="Arial" w:eastAsia="Arial" w:hAnsi="Arial"/>
                <w:sz w:val="17"/>
                <w:szCs w:val="17"/>
                <w:color w:val="auto"/>
              </w:rPr>
              <w:t>7.7</w:t>
            </w:r>
          </w:p>
        </w:tc>
      </w:tr>
      <w:tr>
        <w:trPr>
          <w:trHeight w:val="219"/>
        </w:trPr>
        <w:tc>
          <w:tcPr>
            <w:tcW w:w="7040" w:type="dxa"/>
            <w:vAlign w:val="bottom"/>
            <w:tcBorders>
              <w:bottom w:val="single" w:sz="8" w:color="DCE2EF"/>
            </w:tcBorders>
            <w:gridSpan w:val="3"/>
          </w:tcPr>
          <w:p>
            <w:pPr>
              <w:ind w:left="20"/>
              <w:spacing w:after="0"/>
              <w:rPr>
                <w:sz w:val="20"/>
                <w:szCs w:val="20"/>
                <w:color w:val="auto"/>
              </w:rPr>
            </w:pPr>
            <w:r>
              <w:rPr>
                <w:rFonts w:ascii="Arial" w:cs="Arial" w:eastAsia="Arial" w:hAnsi="Arial"/>
                <w:sz w:val="17"/>
                <w:szCs w:val="17"/>
                <w:color w:val="auto"/>
              </w:rPr>
              <w:t>Land</w:t>
            </w:r>
          </w:p>
        </w:tc>
        <w:tc>
          <w:tcPr>
            <w:tcW w:w="4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0.7</w:t>
            </w:r>
          </w:p>
        </w:tc>
        <w:tc>
          <w:tcPr>
            <w:tcW w:w="100" w:type="dxa"/>
            <w:vAlign w:val="bottom"/>
            <w:tcBorders>
              <w:bottom w:val="single" w:sz="8" w:color="DCE2E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0.7</w:t>
            </w:r>
          </w:p>
        </w:tc>
      </w:tr>
      <w:tr>
        <w:trPr>
          <w:trHeight w:val="212"/>
        </w:trPr>
        <w:tc>
          <w:tcPr>
            <w:tcW w:w="20" w:type="dxa"/>
            <w:vAlign w:val="bottom"/>
            <w:shd w:val="clear" w:color="auto" w:fill="DCE2EF"/>
          </w:tcPr>
          <w:p>
            <w:pPr>
              <w:spacing w:after="0"/>
              <w:rPr>
                <w:sz w:val="18"/>
                <w:szCs w:val="18"/>
                <w:color w:val="auto"/>
              </w:rPr>
            </w:pPr>
          </w:p>
        </w:tc>
        <w:tc>
          <w:tcPr>
            <w:tcW w:w="680" w:type="dxa"/>
            <w:vAlign w:val="bottom"/>
            <w:shd w:val="clear" w:color="auto" w:fill="DCE2EF"/>
          </w:tcPr>
          <w:p>
            <w:pPr>
              <w:spacing w:after="0"/>
              <w:rPr>
                <w:sz w:val="18"/>
                <w:szCs w:val="18"/>
                <w:color w:val="auto"/>
              </w:rPr>
            </w:pPr>
          </w:p>
        </w:tc>
        <w:tc>
          <w:tcPr>
            <w:tcW w:w="6340" w:type="dxa"/>
            <w:vAlign w:val="bottom"/>
            <w:shd w:val="clear" w:color="auto" w:fill="DCE2EF"/>
          </w:tcPr>
          <w:p>
            <w:pPr>
              <w:spacing w:after="0"/>
              <w:rPr>
                <w:sz w:val="18"/>
                <w:szCs w:val="18"/>
                <w:color w:val="auto"/>
              </w:rPr>
            </w:pPr>
          </w:p>
        </w:tc>
        <w:tc>
          <w:tcPr>
            <w:tcW w:w="480" w:type="dxa"/>
            <w:vAlign w:val="bottom"/>
            <w:shd w:val="clear" w:color="auto" w:fill="DCE2EF"/>
          </w:tcPr>
          <w:p>
            <w:pPr>
              <w:spacing w:after="0"/>
              <w:rPr>
                <w:sz w:val="18"/>
                <w:szCs w:val="18"/>
                <w:color w:val="auto"/>
              </w:rPr>
            </w:pPr>
          </w:p>
        </w:tc>
        <w:tc>
          <w:tcPr>
            <w:tcW w:w="1560" w:type="dxa"/>
            <w:vAlign w:val="bottom"/>
            <w:shd w:val="clear" w:color="auto" w:fill="DCE2EF"/>
          </w:tcPr>
          <w:p>
            <w:pPr>
              <w:jc w:val="right"/>
              <w:spacing w:after="0"/>
              <w:rPr>
                <w:sz w:val="20"/>
                <w:szCs w:val="20"/>
                <w:color w:val="auto"/>
              </w:rPr>
            </w:pPr>
            <w:r>
              <w:rPr>
                <w:rFonts w:ascii="Arial" w:cs="Arial" w:eastAsia="Arial" w:hAnsi="Arial"/>
                <w:sz w:val="17"/>
                <w:szCs w:val="17"/>
                <w:color w:val="auto"/>
              </w:rPr>
              <w:t>557.1</w:t>
            </w:r>
          </w:p>
        </w:tc>
        <w:tc>
          <w:tcPr>
            <w:tcW w:w="100" w:type="dxa"/>
            <w:vAlign w:val="bottom"/>
            <w:shd w:val="clear" w:color="auto" w:fill="DCE2EF"/>
          </w:tcPr>
          <w:p>
            <w:pPr>
              <w:spacing w:after="0"/>
              <w:rPr>
                <w:sz w:val="18"/>
                <w:szCs w:val="18"/>
                <w:color w:val="auto"/>
              </w:rPr>
            </w:pPr>
          </w:p>
        </w:tc>
        <w:tc>
          <w:tcPr>
            <w:tcW w:w="740" w:type="dxa"/>
            <w:vAlign w:val="bottom"/>
            <w:shd w:val="clear" w:color="auto" w:fill="DCE2EF"/>
          </w:tcPr>
          <w:p>
            <w:pPr>
              <w:spacing w:after="0"/>
              <w:rPr>
                <w:sz w:val="18"/>
                <w:szCs w:val="18"/>
                <w:color w:val="auto"/>
              </w:rPr>
            </w:pPr>
          </w:p>
        </w:tc>
        <w:tc>
          <w:tcPr>
            <w:tcW w:w="1300" w:type="dxa"/>
            <w:vAlign w:val="bottom"/>
            <w:shd w:val="clear" w:color="auto" w:fill="DCE2EF"/>
          </w:tcPr>
          <w:p>
            <w:pPr>
              <w:jc w:val="right"/>
              <w:spacing w:after="0"/>
              <w:rPr>
                <w:sz w:val="20"/>
                <w:szCs w:val="20"/>
                <w:color w:val="auto"/>
              </w:rPr>
            </w:pPr>
            <w:r>
              <w:rPr>
                <w:rFonts w:ascii="Arial" w:cs="Arial" w:eastAsia="Arial" w:hAnsi="Arial"/>
                <w:sz w:val="17"/>
                <w:szCs w:val="17"/>
                <w:color w:val="auto"/>
              </w:rPr>
              <w:t>502.0</w:t>
            </w:r>
          </w:p>
        </w:tc>
      </w:tr>
      <w:tr>
        <w:trPr>
          <w:trHeight w:val="219"/>
        </w:trPr>
        <w:tc>
          <w:tcPr>
            <w:tcW w:w="7040" w:type="dxa"/>
            <w:vAlign w:val="bottom"/>
            <w:gridSpan w:val="3"/>
          </w:tcPr>
          <w:p>
            <w:pPr>
              <w:ind w:left="20"/>
              <w:spacing w:after="0" w:line="219" w:lineRule="exact"/>
              <w:rPr>
                <w:sz w:val="20"/>
                <w:szCs w:val="20"/>
                <w:color w:val="auto"/>
              </w:rPr>
            </w:pPr>
            <w:r>
              <w:rPr>
                <w:rFonts w:ascii="Arial" w:cs="Arial" w:eastAsia="Arial" w:hAnsi="Arial"/>
                <w:sz w:val="17"/>
                <w:szCs w:val="17"/>
                <w:color w:val="auto"/>
              </w:rPr>
              <w:t>Less: Accumulated depreciation</w:t>
            </w:r>
            <w:r>
              <w:rPr>
                <w:rFonts w:ascii="Arial" w:cs="Arial" w:eastAsia="Arial" w:hAnsi="Arial"/>
                <w:sz w:val="22"/>
                <w:szCs w:val="22"/>
                <w:color w:val="auto"/>
                <w:vertAlign w:val="superscript"/>
              </w:rPr>
              <w:t>(2)</w:t>
            </w:r>
          </w:p>
        </w:tc>
        <w:tc>
          <w:tcPr>
            <w:tcW w:w="4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379.8</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351.3</w:t>
            </w:r>
          </w:p>
        </w:tc>
      </w:tr>
      <w:tr>
        <w:trPr>
          <w:trHeight w:val="244"/>
        </w:trPr>
        <w:tc>
          <w:tcPr>
            <w:tcW w:w="7040" w:type="dxa"/>
            <w:vAlign w:val="bottom"/>
            <w:tcBorders>
              <w:bottom w:val="single" w:sz="8" w:color="DCE2EF"/>
            </w:tcBorders>
            <w:gridSpan w:val="3"/>
            <w:shd w:val="clear" w:color="auto" w:fill="DCE2EF"/>
          </w:tcPr>
          <w:p>
            <w:pPr>
              <w:ind w:left="20"/>
              <w:spacing w:after="0"/>
              <w:rPr>
                <w:sz w:val="20"/>
                <w:szCs w:val="20"/>
                <w:color w:val="auto"/>
              </w:rPr>
            </w:pPr>
            <w:r>
              <w:rPr>
                <w:rFonts w:ascii="Arial" w:cs="Arial" w:eastAsia="Arial" w:hAnsi="Arial"/>
                <w:sz w:val="17"/>
                <w:szCs w:val="17"/>
                <w:color w:val="auto"/>
              </w:rPr>
              <w:t>Total</w:t>
            </w:r>
          </w:p>
        </w:tc>
        <w:tc>
          <w:tcPr>
            <w:tcW w:w="480" w:type="dxa"/>
            <w:vAlign w:val="bottom"/>
            <w:tcBorders>
              <w:bottom w:val="single" w:sz="8" w:color="auto"/>
            </w:tcBorders>
            <w:shd w:val="clear" w:color="auto" w:fill="DCE2EF"/>
          </w:tcPr>
          <w:p>
            <w:pPr>
              <w:jc w:val="right"/>
              <w:ind w:right="274"/>
              <w:spacing w:after="0"/>
              <w:rPr>
                <w:sz w:val="20"/>
                <w:szCs w:val="20"/>
                <w:color w:val="auto"/>
              </w:rPr>
            </w:pPr>
            <w:r>
              <w:rPr>
                <w:rFonts w:ascii="Arial" w:cs="Arial" w:eastAsia="Arial" w:hAnsi="Arial"/>
                <w:sz w:val="17"/>
                <w:szCs w:val="17"/>
                <w:color w:val="auto"/>
              </w:rPr>
              <w:t>$</w:t>
            </w:r>
          </w:p>
        </w:tc>
        <w:tc>
          <w:tcPr>
            <w:tcW w:w="156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7"/>
                <w:szCs w:val="17"/>
                <w:color w:val="auto"/>
              </w:rPr>
              <w:t>177.2</w:t>
            </w:r>
          </w:p>
        </w:tc>
        <w:tc>
          <w:tcPr>
            <w:tcW w:w="100" w:type="dxa"/>
            <w:vAlign w:val="bottom"/>
            <w:tcBorders>
              <w:bottom w:val="single" w:sz="8" w:color="DCE2EF"/>
            </w:tcBorders>
            <w:shd w:val="clear" w:color="auto" w:fill="DCE2EF"/>
          </w:tcPr>
          <w:p>
            <w:pPr>
              <w:spacing w:after="0"/>
              <w:rPr>
                <w:sz w:val="20"/>
                <w:szCs w:val="20"/>
                <w:color w:val="auto"/>
              </w:rPr>
            </w:pPr>
          </w:p>
        </w:tc>
        <w:tc>
          <w:tcPr>
            <w:tcW w:w="740" w:type="dxa"/>
            <w:vAlign w:val="bottom"/>
            <w:tcBorders>
              <w:bottom w:val="single" w:sz="8" w:color="auto"/>
            </w:tcBorders>
            <w:shd w:val="clear" w:color="auto" w:fill="DCE2EF"/>
          </w:tcPr>
          <w:p>
            <w:pPr>
              <w:jc w:val="right"/>
              <w:ind w:right="534"/>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7"/>
                <w:szCs w:val="17"/>
                <w:color w:val="auto"/>
              </w:rPr>
              <w:t>150.7</w:t>
            </w:r>
          </w:p>
        </w:tc>
      </w:tr>
      <w:tr>
        <w:trPr>
          <w:trHeight w:val="20"/>
        </w:trPr>
        <w:tc>
          <w:tcPr>
            <w:tcW w:w="20" w:type="dxa"/>
            <w:vAlign w:val="bottom"/>
            <w:tcBorders>
              <w:top w:val="single" w:sz="8" w:color="DCE2EF"/>
            </w:tcBorders>
          </w:tcPr>
          <w:p>
            <w:pPr>
              <w:spacing w:after="0" w:line="20" w:lineRule="exact"/>
              <w:rPr>
                <w:sz w:val="1"/>
                <w:szCs w:val="1"/>
                <w:color w:val="auto"/>
              </w:rPr>
            </w:pPr>
          </w:p>
        </w:tc>
        <w:tc>
          <w:tcPr>
            <w:tcW w:w="680" w:type="dxa"/>
            <w:vAlign w:val="bottom"/>
            <w:tcBorders>
              <w:top w:val="single" w:sz="8" w:color="DCE2EF"/>
            </w:tcBorders>
          </w:tcPr>
          <w:p>
            <w:pPr>
              <w:spacing w:after="0" w:line="20" w:lineRule="exact"/>
              <w:rPr>
                <w:sz w:val="1"/>
                <w:szCs w:val="1"/>
                <w:color w:val="auto"/>
              </w:rPr>
            </w:pPr>
          </w:p>
        </w:tc>
        <w:tc>
          <w:tcPr>
            <w:tcW w:w="6340" w:type="dxa"/>
            <w:vAlign w:val="bottom"/>
            <w:tcBorders>
              <w:top w:val="single" w:sz="8" w:color="DCE2EF"/>
            </w:tcBorders>
          </w:tcPr>
          <w:p>
            <w:pPr>
              <w:spacing w:after="0" w:line="20" w:lineRule="exact"/>
              <w:rPr>
                <w:sz w:val="1"/>
                <w:szCs w:val="1"/>
                <w:color w:val="auto"/>
              </w:rPr>
            </w:pPr>
          </w:p>
        </w:tc>
        <w:tc>
          <w:tcPr>
            <w:tcW w:w="480" w:type="dxa"/>
            <w:vAlign w:val="bottom"/>
            <w:tcBorders>
              <w:top w:val="single" w:sz="8" w:color="DCE2EF"/>
              <w:bottom w:val="single" w:sz="8" w:color="auto"/>
            </w:tcBorders>
          </w:tcPr>
          <w:p>
            <w:pPr>
              <w:spacing w:after="0" w:line="20" w:lineRule="exact"/>
              <w:rPr>
                <w:sz w:val="1"/>
                <w:szCs w:val="1"/>
                <w:color w:val="auto"/>
              </w:rPr>
            </w:pPr>
          </w:p>
        </w:tc>
        <w:tc>
          <w:tcPr>
            <w:tcW w:w="1560" w:type="dxa"/>
            <w:vAlign w:val="bottom"/>
            <w:tcBorders>
              <w:top w:val="single" w:sz="8" w:color="DCE2EF"/>
              <w:bottom w:val="single" w:sz="8" w:color="auto"/>
            </w:tcBorders>
          </w:tcPr>
          <w:p>
            <w:pPr>
              <w:spacing w:after="0" w:line="20" w:lineRule="exact"/>
              <w:rPr>
                <w:sz w:val="1"/>
                <w:szCs w:val="1"/>
                <w:color w:val="auto"/>
              </w:rPr>
            </w:pPr>
          </w:p>
        </w:tc>
        <w:tc>
          <w:tcPr>
            <w:tcW w:w="100" w:type="dxa"/>
            <w:vAlign w:val="bottom"/>
            <w:tcBorders>
              <w:top w:val="single" w:sz="8" w:color="DCE2EF"/>
            </w:tcBorders>
          </w:tcPr>
          <w:p>
            <w:pPr>
              <w:spacing w:after="0" w:line="20" w:lineRule="exact"/>
              <w:rPr>
                <w:sz w:val="1"/>
                <w:szCs w:val="1"/>
                <w:color w:val="auto"/>
              </w:rPr>
            </w:pPr>
          </w:p>
        </w:tc>
        <w:tc>
          <w:tcPr>
            <w:tcW w:w="740" w:type="dxa"/>
            <w:vAlign w:val="bottom"/>
            <w:tcBorders>
              <w:top w:val="single" w:sz="8" w:color="DCE2EF"/>
              <w:bottom w:val="single" w:sz="8" w:color="auto"/>
            </w:tcBorders>
          </w:tcPr>
          <w:p>
            <w:pPr>
              <w:spacing w:after="0" w:line="20" w:lineRule="exact"/>
              <w:rPr>
                <w:sz w:val="1"/>
                <w:szCs w:val="1"/>
                <w:color w:val="auto"/>
              </w:rPr>
            </w:pPr>
          </w:p>
        </w:tc>
        <w:tc>
          <w:tcPr>
            <w:tcW w:w="1300" w:type="dxa"/>
            <w:vAlign w:val="bottom"/>
            <w:tcBorders>
              <w:top w:val="single" w:sz="8" w:color="DCE2EF"/>
              <w:bottom w:val="single" w:sz="8" w:color="auto"/>
            </w:tcBorders>
          </w:tcPr>
          <w:p>
            <w:pPr>
              <w:spacing w:after="0" w:line="20" w:lineRule="exact"/>
              <w:rPr>
                <w:sz w:val="1"/>
                <w:szCs w:val="1"/>
                <w:color w:val="auto"/>
              </w:rPr>
            </w:pPr>
          </w:p>
        </w:tc>
      </w:tr>
    </w:tbl>
    <w:p>
      <w:pPr>
        <w:spacing w:after="0" w:line="154" w:lineRule="exact"/>
        <w:rPr>
          <w:sz w:val="20"/>
          <w:szCs w:val="20"/>
          <w:color w:val="auto"/>
        </w:rPr>
      </w:pPr>
    </w:p>
    <w:p>
      <w:pPr>
        <w:ind w:left="160" w:hanging="157"/>
        <w:spacing w:after="0"/>
        <w:tabs>
          <w:tab w:leader="none" w:pos="160" w:val="left"/>
        </w:tabs>
        <w:numPr>
          <w:ilvl w:val="0"/>
          <w:numId w:val="31"/>
        </w:numPr>
        <w:rPr>
          <w:rFonts w:ascii="Arial" w:cs="Arial" w:eastAsia="Arial" w:hAnsi="Arial"/>
          <w:sz w:val="19"/>
          <w:szCs w:val="19"/>
          <w:color w:val="auto"/>
          <w:vertAlign w:val="superscript"/>
        </w:rPr>
      </w:pPr>
      <w:r>
        <w:rPr>
          <w:rFonts w:ascii="Arial" w:cs="Arial" w:eastAsia="Arial" w:hAnsi="Arial"/>
          <w:sz w:val="15"/>
          <w:szCs w:val="15"/>
          <w:color w:val="auto"/>
        </w:rPr>
        <w:t>Construction in progress represents assets that have not yet been placed in service.</w:t>
      </w:r>
    </w:p>
    <w:p>
      <w:pPr>
        <w:spacing w:after="0" w:line="78" w:lineRule="exact"/>
        <w:rPr>
          <w:rFonts w:ascii="Arial" w:cs="Arial" w:eastAsia="Arial" w:hAnsi="Arial"/>
          <w:sz w:val="19"/>
          <w:szCs w:val="19"/>
          <w:color w:val="auto"/>
          <w:vertAlign w:val="superscript"/>
        </w:rPr>
      </w:pPr>
    </w:p>
    <w:p>
      <w:pPr>
        <w:ind w:left="160" w:hanging="157"/>
        <w:spacing w:after="0"/>
        <w:tabs>
          <w:tab w:leader="none" w:pos="160" w:val="left"/>
        </w:tabs>
        <w:numPr>
          <w:ilvl w:val="0"/>
          <w:numId w:val="31"/>
        </w:numPr>
        <w:rPr>
          <w:rFonts w:ascii="Arial" w:cs="Arial" w:eastAsia="Arial" w:hAnsi="Arial"/>
          <w:sz w:val="19"/>
          <w:szCs w:val="19"/>
          <w:color w:val="auto"/>
          <w:vertAlign w:val="superscript"/>
        </w:rPr>
      </w:pPr>
      <w:r>
        <w:rPr>
          <w:rFonts w:ascii="Arial" w:cs="Arial" w:eastAsia="Arial" w:hAnsi="Arial"/>
          <w:sz w:val="15"/>
          <w:szCs w:val="15"/>
          <w:color w:val="auto"/>
        </w:rPr>
        <w:t>For 2025, 2024, and 2023, depreciation expense was $53.1 million, $50.5 million, and $44.2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65" w:right="339" w:bottom="1440" w:gutter="0" w:footer="0" w:header="0"/>
        </w:sectPr>
      </w:pPr>
    </w:p>
    <w:bookmarkStart w:id="72" w:name="page73"/>
    <w:bookmarkEnd w:id="72"/>
    <w:p>
      <w:pPr>
        <w:spacing w:after="0"/>
        <w:rPr>
          <w:sz w:val="20"/>
          <w:szCs w:val="20"/>
          <w:color w:val="auto"/>
        </w:rPr>
      </w:pPr>
      <w:r>
        <w:rPr>
          <w:rFonts w:ascii="Arial" w:cs="Arial" w:eastAsia="Arial" w:hAnsi="Arial"/>
          <w:sz w:val="17"/>
          <w:szCs w:val="17"/>
          <w:b w:val="1"/>
          <w:bCs w:val="1"/>
          <w:color w:val="0046AD"/>
        </w:rPr>
        <w:t>10. GOODWILL AND OTHER 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wp:posOffset>
            </wp:positionV>
            <wp:extent cx="712216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22160" cy="8255"/>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Goodwill</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0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020" w:type="dxa"/>
            <w:vAlign w:val="bottom"/>
            <w:gridSpan w:val="3"/>
          </w:tcPr>
          <w:p>
            <w:pPr>
              <w:jc w:val="center"/>
              <w:ind w:right="120"/>
              <w:spacing w:after="0"/>
              <w:rPr>
                <w:sz w:val="20"/>
                <w:szCs w:val="20"/>
                <w:color w:val="auto"/>
              </w:rPr>
            </w:pPr>
            <w:r>
              <w:rPr>
                <w:rFonts w:ascii="Arial" w:cs="Arial" w:eastAsia="Arial" w:hAnsi="Arial"/>
                <w:sz w:val="15"/>
                <w:szCs w:val="15"/>
                <w:b w:val="1"/>
                <w:bCs w:val="1"/>
                <w:color w:val="auto"/>
              </w:rPr>
              <w:t>Business &amp;</w:t>
            </w:r>
          </w:p>
        </w:tc>
        <w:tc>
          <w:tcPr>
            <w:tcW w:w="1220" w:type="dxa"/>
            <w:vAlign w:val="bottom"/>
            <w:gridSpan w:val="3"/>
          </w:tcPr>
          <w:p>
            <w:pPr>
              <w:ind w:left="40"/>
              <w:spacing w:after="0"/>
              <w:rPr>
                <w:sz w:val="20"/>
                <w:szCs w:val="20"/>
                <w:color w:val="auto"/>
              </w:rPr>
            </w:pPr>
            <w:r>
              <w:rPr>
                <w:rFonts w:ascii="Arial" w:cs="Arial" w:eastAsia="Arial" w:hAnsi="Arial"/>
                <w:sz w:val="15"/>
                <w:szCs w:val="15"/>
                <w:b w:val="1"/>
                <w:bCs w:val="1"/>
                <w:color w:val="auto"/>
              </w:rPr>
              <w:t>Manufacturing</w:t>
            </w:r>
          </w:p>
        </w:tc>
        <w:tc>
          <w:tcPr>
            <w:tcW w:w="120" w:type="dxa"/>
            <w:vAlign w:val="bottom"/>
          </w:tcPr>
          <w:p>
            <w:pPr>
              <w:spacing w:after="0"/>
              <w:rPr>
                <w:sz w:val="14"/>
                <w:szCs w:val="14"/>
                <w:color w:val="auto"/>
              </w:rPr>
            </w:pPr>
          </w:p>
        </w:tc>
        <w:tc>
          <w:tcPr>
            <w:tcW w:w="800" w:type="dxa"/>
            <w:vAlign w:val="bottom"/>
            <w:gridSpan w:val="2"/>
            <w:vMerge w:val="restart"/>
          </w:tcPr>
          <w:p>
            <w:pPr>
              <w:spacing w:after="0"/>
              <w:rPr>
                <w:sz w:val="20"/>
                <w:szCs w:val="20"/>
                <w:color w:val="auto"/>
              </w:rPr>
            </w:pPr>
            <w:r>
              <w:rPr>
                <w:rFonts w:ascii="Arial" w:cs="Arial" w:eastAsia="Arial" w:hAnsi="Arial"/>
                <w:sz w:val="15"/>
                <w:szCs w:val="15"/>
                <w:b w:val="1"/>
                <w:bCs w:val="1"/>
                <w:color w:val="auto"/>
              </w:rPr>
              <w:t>Aviation</w:t>
            </w:r>
          </w:p>
        </w:tc>
        <w:tc>
          <w:tcPr>
            <w:tcW w:w="920" w:type="dxa"/>
            <w:vAlign w:val="bottom"/>
            <w:gridSpan w:val="3"/>
            <w:vMerge w:val="restart"/>
          </w:tcPr>
          <w:p>
            <w:pPr>
              <w:ind w:left="40"/>
              <w:spacing w:after="0"/>
              <w:rPr>
                <w:sz w:val="20"/>
                <w:szCs w:val="20"/>
                <w:color w:val="auto"/>
              </w:rPr>
            </w:pPr>
            <w:r>
              <w:rPr>
                <w:rFonts w:ascii="Arial" w:cs="Arial" w:eastAsia="Arial" w:hAnsi="Arial"/>
                <w:sz w:val="15"/>
                <w:szCs w:val="15"/>
                <w:b w:val="1"/>
                <w:bCs w:val="1"/>
                <w:color w:val="auto"/>
              </w:rPr>
              <w:t>Education</w:t>
            </w:r>
          </w:p>
        </w:tc>
        <w:tc>
          <w:tcPr>
            <w:tcW w:w="920" w:type="dxa"/>
            <w:vAlign w:val="bottom"/>
            <w:gridSpan w:val="3"/>
          </w:tcPr>
          <w:p>
            <w:pPr>
              <w:ind w:left="80"/>
              <w:spacing w:after="0"/>
              <w:rPr>
                <w:sz w:val="20"/>
                <w:szCs w:val="20"/>
                <w:color w:val="auto"/>
              </w:rPr>
            </w:pPr>
            <w:r>
              <w:rPr>
                <w:rFonts w:ascii="Arial" w:cs="Arial" w:eastAsia="Arial" w:hAnsi="Arial"/>
                <w:sz w:val="15"/>
                <w:szCs w:val="15"/>
                <w:b w:val="1"/>
                <w:bCs w:val="1"/>
                <w:color w:val="auto"/>
              </w:rPr>
              <w:t>Technical</w:t>
            </w:r>
          </w:p>
        </w:tc>
        <w:tc>
          <w:tcPr>
            <w:tcW w:w="160" w:type="dxa"/>
            <w:vAlign w:val="bottom"/>
          </w:tcPr>
          <w:p>
            <w:pPr>
              <w:spacing w:after="0"/>
              <w:rPr>
                <w:sz w:val="14"/>
                <w:szCs w:val="14"/>
                <w:color w:val="auto"/>
              </w:rPr>
            </w:pPr>
          </w:p>
        </w:tc>
        <w:tc>
          <w:tcPr>
            <w:tcW w:w="640" w:type="dxa"/>
            <w:vAlign w:val="bottom"/>
            <w:vMerge w:val="restart"/>
          </w:tcPr>
          <w:p>
            <w:pPr>
              <w:jc w:val="right"/>
              <w:ind w:right="143"/>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142"/>
        </w:trPr>
        <w:tc>
          <w:tcPr>
            <w:tcW w:w="300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220"/>
              <w:spacing w:after="0" w:line="122" w:lineRule="exact"/>
              <w:rPr>
                <w:sz w:val="20"/>
                <w:szCs w:val="20"/>
                <w:color w:val="auto"/>
              </w:rPr>
            </w:pPr>
            <w:r>
              <w:rPr>
                <w:rFonts w:ascii="Arial" w:cs="Arial" w:eastAsia="Arial" w:hAnsi="Arial"/>
                <w:sz w:val="14"/>
                <w:szCs w:val="14"/>
                <w:b w:val="1"/>
                <w:bCs w:val="1"/>
                <w:color w:val="auto"/>
              </w:rPr>
              <w:t>Industry</w:t>
            </w:r>
          </w:p>
        </w:tc>
        <w:tc>
          <w:tcPr>
            <w:tcW w:w="1220" w:type="dxa"/>
            <w:vAlign w:val="bottom"/>
            <w:gridSpan w:val="3"/>
          </w:tcPr>
          <w:p>
            <w:pPr>
              <w:ind w:left="60"/>
              <w:spacing w:after="0" w:line="122" w:lineRule="exact"/>
              <w:rPr>
                <w:sz w:val="20"/>
                <w:szCs w:val="20"/>
                <w:color w:val="auto"/>
              </w:rPr>
            </w:pPr>
            <w:r>
              <w:rPr>
                <w:rFonts w:ascii="Arial" w:cs="Arial" w:eastAsia="Arial" w:hAnsi="Arial"/>
                <w:sz w:val="14"/>
                <w:szCs w:val="14"/>
                <w:b w:val="1"/>
                <w:bCs w:val="1"/>
                <w:color w:val="auto"/>
              </w:rPr>
              <w:t>&amp; Distribution</w:t>
            </w:r>
          </w:p>
        </w:tc>
        <w:tc>
          <w:tcPr>
            <w:tcW w:w="12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920" w:type="dxa"/>
            <w:vAlign w:val="bottom"/>
            <w:gridSpan w:val="3"/>
          </w:tcPr>
          <w:p>
            <w:pPr>
              <w:ind w:left="80"/>
              <w:spacing w:after="0" w:line="122" w:lineRule="exact"/>
              <w:rPr>
                <w:sz w:val="20"/>
                <w:szCs w:val="20"/>
                <w:color w:val="auto"/>
              </w:rPr>
            </w:pPr>
            <w:r>
              <w:rPr>
                <w:rFonts w:ascii="Arial" w:cs="Arial" w:eastAsia="Arial" w:hAnsi="Arial"/>
                <w:sz w:val="14"/>
                <w:szCs w:val="14"/>
                <w:b w:val="1"/>
                <w:bCs w:val="1"/>
                <w:color w:val="auto"/>
              </w:rPr>
              <w:t>Solutions</w:t>
            </w:r>
          </w:p>
        </w:tc>
        <w:tc>
          <w:tcPr>
            <w:tcW w:w="16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20" w:type="dxa"/>
            <w:vAlign w:val="bottom"/>
            <w:tcBorders>
              <w:bottom w:val="single" w:sz="8" w:color="DCE2EF"/>
            </w:tcBorders>
          </w:tcPr>
          <w:p>
            <w:pPr>
              <w:spacing w:after="0"/>
              <w:rPr>
                <w:sz w:val="2"/>
                <w:szCs w:val="2"/>
                <w:color w:val="auto"/>
              </w:rPr>
            </w:pPr>
          </w:p>
        </w:tc>
        <w:tc>
          <w:tcPr>
            <w:tcW w:w="680" w:type="dxa"/>
            <w:vAlign w:val="bottom"/>
            <w:tcBorders>
              <w:top w:val="single" w:sz="8" w:color="auto"/>
              <w:bottom w:val="single" w:sz="8" w:color="DCE2EF"/>
            </w:tcBorders>
          </w:tcPr>
          <w:p>
            <w:pPr>
              <w:spacing w:after="0"/>
              <w:rPr>
                <w:sz w:val="2"/>
                <w:szCs w:val="2"/>
                <w:color w:val="auto"/>
              </w:rPr>
            </w:pPr>
          </w:p>
        </w:tc>
        <w:tc>
          <w:tcPr>
            <w:tcW w:w="2300" w:type="dxa"/>
            <w:vAlign w:val="bottom"/>
            <w:tcBorders>
              <w:bottom w:val="single" w:sz="8" w:color="DCE2E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DCE2E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DCE2E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DCE2E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9"/>
        </w:trPr>
        <w:tc>
          <w:tcPr>
            <w:tcW w:w="3000" w:type="dxa"/>
            <w:vAlign w:val="bottom"/>
            <w:gridSpan w:val="3"/>
            <w:shd w:val="clear" w:color="auto" w:fill="DCE2EF"/>
          </w:tcPr>
          <w:p>
            <w:pPr>
              <w:ind w:left="20"/>
              <w:spacing w:after="0"/>
              <w:rPr>
                <w:sz w:val="20"/>
                <w:szCs w:val="20"/>
                <w:color w:val="auto"/>
              </w:rPr>
            </w:pPr>
            <w:r>
              <w:rPr>
                <w:rFonts w:ascii="Arial" w:cs="Arial" w:eastAsia="Arial" w:hAnsi="Arial"/>
                <w:sz w:val="15"/>
                <w:szCs w:val="15"/>
                <w:b w:val="1"/>
                <w:bCs w:val="1"/>
                <w:color w:val="auto"/>
              </w:rPr>
              <w:t>Balance at October 31, 2023</w:t>
            </w:r>
          </w:p>
        </w:tc>
        <w:tc>
          <w:tcPr>
            <w:tcW w:w="120" w:type="dxa"/>
            <w:vAlign w:val="bottom"/>
            <w:shd w:val="clear" w:color="auto" w:fill="DCE2EF"/>
          </w:tcPr>
          <w:p>
            <w:pPr>
              <w:jc w:val="right"/>
              <w:spacing w:after="0"/>
              <w:rPr>
                <w:sz w:val="20"/>
                <w:szCs w:val="20"/>
                <w:color w:val="auto"/>
              </w:rPr>
            </w:pPr>
            <w:r>
              <w:rPr>
                <w:rFonts w:ascii="Arial" w:cs="Arial" w:eastAsia="Arial" w:hAnsi="Arial"/>
                <w:sz w:val="15"/>
                <w:szCs w:val="15"/>
                <w:color w:val="auto"/>
                <w:w w:val="95"/>
              </w:rPr>
              <w:t>$</w:t>
            </w:r>
          </w:p>
        </w:tc>
        <w:tc>
          <w:tcPr>
            <w:tcW w:w="800" w:type="dxa"/>
            <w:vAlign w:val="bottom"/>
            <w:shd w:val="clear" w:color="auto" w:fill="DCE2EF"/>
          </w:tcPr>
          <w:p>
            <w:pPr>
              <w:jc w:val="right"/>
              <w:spacing w:after="0"/>
              <w:rPr>
                <w:sz w:val="20"/>
                <w:szCs w:val="20"/>
                <w:color w:val="auto"/>
              </w:rPr>
            </w:pPr>
            <w:r>
              <w:rPr>
                <w:rFonts w:ascii="Arial" w:cs="Arial" w:eastAsia="Arial" w:hAnsi="Arial"/>
                <w:sz w:val="15"/>
                <w:szCs w:val="15"/>
                <w:color w:val="auto"/>
              </w:rPr>
              <w:t>1,092.7</w:t>
            </w:r>
          </w:p>
        </w:tc>
        <w:tc>
          <w:tcPr>
            <w:tcW w:w="100" w:type="dxa"/>
            <w:vAlign w:val="bottom"/>
            <w:shd w:val="clear" w:color="auto" w:fill="DCE2EF"/>
          </w:tcPr>
          <w:p>
            <w:pPr>
              <w:spacing w:after="0"/>
              <w:rPr>
                <w:sz w:val="17"/>
                <w:szCs w:val="17"/>
                <w:color w:val="auto"/>
              </w:rPr>
            </w:pPr>
          </w:p>
        </w:tc>
        <w:tc>
          <w:tcPr>
            <w:tcW w:w="380" w:type="dxa"/>
            <w:vAlign w:val="bottom"/>
            <w:shd w:val="clear" w:color="auto" w:fill="DCE2EF"/>
          </w:tcPr>
          <w:p>
            <w:pPr>
              <w:jc w:val="right"/>
              <w:ind w:right="204"/>
              <w:spacing w:after="0"/>
              <w:rPr>
                <w:sz w:val="20"/>
                <w:szCs w:val="20"/>
                <w:color w:val="auto"/>
              </w:rPr>
            </w:pPr>
            <w:r>
              <w:rPr>
                <w:rFonts w:ascii="Arial" w:cs="Arial" w:eastAsia="Arial" w:hAnsi="Arial"/>
                <w:sz w:val="15"/>
                <w:szCs w:val="15"/>
                <w:color w:val="auto"/>
                <w:w w:val="95"/>
              </w:rPr>
              <w:t>$</w:t>
            </w:r>
          </w:p>
        </w:tc>
        <w:tc>
          <w:tcPr>
            <w:tcW w:w="740" w:type="dxa"/>
            <w:vAlign w:val="bottom"/>
            <w:shd w:val="clear" w:color="auto" w:fill="DCE2EF"/>
          </w:tcPr>
          <w:p>
            <w:pPr>
              <w:jc w:val="right"/>
              <w:spacing w:after="0"/>
              <w:rPr>
                <w:sz w:val="20"/>
                <w:szCs w:val="20"/>
                <w:color w:val="auto"/>
              </w:rPr>
            </w:pPr>
            <w:r>
              <w:rPr>
                <w:rFonts w:ascii="Arial" w:cs="Arial" w:eastAsia="Arial" w:hAnsi="Arial"/>
                <w:sz w:val="15"/>
                <w:szCs w:val="15"/>
                <w:color w:val="auto"/>
              </w:rPr>
              <w:t>502.2</w:t>
            </w:r>
          </w:p>
        </w:tc>
        <w:tc>
          <w:tcPr>
            <w:tcW w:w="100" w:type="dxa"/>
            <w:vAlign w:val="bottom"/>
            <w:shd w:val="clear" w:color="auto" w:fill="DCE2EF"/>
          </w:tcPr>
          <w:p>
            <w:pPr>
              <w:spacing w:after="0"/>
              <w:rPr>
                <w:sz w:val="17"/>
                <w:szCs w:val="17"/>
                <w:color w:val="auto"/>
              </w:rPr>
            </w:pPr>
          </w:p>
        </w:tc>
        <w:tc>
          <w:tcPr>
            <w:tcW w:w="120" w:type="dxa"/>
            <w:vAlign w:val="bottom"/>
            <w:shd w:val="clear" w:color="auto" w:fill="DCE2EF"/>
          </w:tcPr>
          <w:p>
            <w:pPr>
              <w:jc w:val="right"/>
              <w:spacing w:after="0"/>
              <w:rPr>
                <w:sz w:val="20"/>
                <w:szCs w:val="20"/>
                <w:color w:val="auto"/>
              </w:rPr>
            </w:pPr>
            <w:r>
              <w:rPr>
                <w:rFonts w:ascii="Arial" w:cs="Arial" w:eastAsia="Arial" w:hAnsi="Arial"/>
                <w:sz w:val="15"/>
                <w:szCs w:val="15"/>
                <w:color w:val="auto"/>
                <w:w w:val="95"/>
              </w:rPr>
              <w:t>$</w:t>
            </w:r>
          </w:p>
        </w:tc>
        <w:tc>
          <w:tcPr>
            <w:tcW w:w="720" w:type="dxa"/>
            <w:vAlign w:val="bottom"/>
            <w:shd w:val="clear" w:color="auto" w:fill="DCE2EF"/>
          </w:tcPr>
          <w:p>
            <w:pPr>
              <w:jc w:val="right"/>
              <w:ind w:right="2"/>
              <w:spacing w:after="0"/>
              <w:rPr>
                <w:sz w:val="20"/>
                <w:szCs w:val="20"/>
                <w:color w:val="auto"/>
              </w:rPr>
            </w:pPr>
            <w:r>
              <w:rPr>
                <w:rFonts w:ascii="Arial" w:cs="Arial" w:eastAsia="Arial" w:hAnsi="Arial"/>
                <w:sz w:val="15"/>
                <w:szCs w:val="15"/>
                <w:color w:val="auto"/>
              </w:rPr>
              <w:t>69.0</w:t>
            </w:r>
          </w:p>
        </w:tc>
        <w:tc>
          <w:tcPr>
            <w:tcW w:w="80" w:type="dxa"/>
            <w:vAlign w:val="bottom"/>
            <w:shd w:val="clear" w:color="auto" w:fill="DCE2EF"/>
          </w:tcPr>
          <w:p>
            <w:pPr>
              <w:spacing w:after="0"/>
              <w:rPr>
                <w:sz w:val="17"/>
                <w:szCs w:val="17"/>
                <w:color w:val="auto"/>
              </w:rPr>
            </w:pPr>
          </w:p>
        </w:tc>
        <w:tc>
          <w:tcPr>
            <w:tcW w:w="240" w:type="dxa"/>
            <w:vAlign w:val="bottom"/>
            <w:shd w:val="clear" w:color="auto" w:fill="DCE2EF"/>
          </w:tcPr>
          <w:p>
            <w:pPr>
              <w:jc w:val="right"/>
              <w:ind w:right="63"/>
              <w:spacing w:after="0"/>
              <w:rPr>
                <w:sz w:val="20"/>
                <w:szCs w:val="20"/>
                <w:color w:val="auto"/>
              </w:rPr>
            </w:pPr>
            <w:r>
              <w:rPr>
                <w:rFonts w:ascii="Arial" w:cs="Arial" w:eastAsia="Arial" w:hAnsi="Arial"/>
                <w:sz w:val="15"/>
                <w:szCs w:val="15"/>
                <w:color w:val="auto"/>
                <w:w w:val="95"/>
              </w:rPr>
              <w:t>$</w:t>
            </w:r>
          </w:p>
        </w:tc>
        <w:tc>
          <w:tcPr>
            <w:tcW w:w="600" w:type="dxa"/>
            <w:vAlign w:val="bottom"/>
            <w:shd w:val="clear" w:color="auto" w:fill="DCE2EF"/>
          </w:tcPr>
          <w:p>
            <w:pPr>
              <w:jc w:val="right"/>
              <w:ind w:right="3"/>
              <w:spacing w:after="0"/>
              <w:rPr>
                <w:sz w:val="20"/>
                <w:szCs w:val="20"/>
                <w:color w:val="auto"/>
              </w:rPr>
            </w:pPr>
            <w:r>
              <w:rPr>
                <w:rFonts w:ascii="Arial" w:cs="Arial" w:eastAsia="Arial" w:hAnsi="Arial"/>
                <w:sz w:val="15"/>
                <w:szCs w:val="15"/>
                <w:color w:val="auto"/>
              </w:rPr>
              <w:t>459.3</w:t>
            </w:r>
          </w:p>
        </w:tc>
        <w:tc>
          <w:tcPr>
            <w:tcW w:w="80" w:type="dxa"/>
            <w:vAlign w:val="bottom"/>
            <w:shd w:val="clear" w:color="auto" w:fill="DCE2EF"/>
          </w:tcPr>
          <w:p>
            <w:pPr>
              <w:spacing w:after="0"/>
              <w:rPr>
                <w:sz w:val="17"/>
                <w:szCs w:val="17"/>
                <w:color w:val="auto"/>
              </w:rPr>
            </w:pPr>
          </w:p>
        </w:tc>
        <w:tc>
          <w:tcPr>
            <w:tcW w:w="240" w:type="dxa"/>
            <w:vAlign w:val="bottom"/>
            <w:shd w:val="clear" w:color="auto" w:fill="DCE2EF"/>
          </w:tcPr>
          <w:p>
            <w:pPr>
              <w:jc w:val="right"/>
              <w:ind w:right="64"/>
              <w:spacing w:after="0"/>
              <w:rPr>
                <w:sz w:val="20"/>
                <w:szCs w:val="20"/>
                <w:color w:val="auto"/>
              </w:rPr>
            </w:pPr>
            <w:r>
              <w:rPr>
                <w:rFonts w:ascii="Arial" w:cs="Arial" w:eastAsia="Arial" w:hAnsi="Arial"/>
                <w:sz w:val="15"/>
                <w:szCs w:val="15"/>
                <w:color w:val="auto"/>
                <w:w w:val="95"/>
              </w:rPr>
              <w:t>$</w:t>
            </w:r>
          </w:p>
        </w:tc>
        <w:tc>
          <w:tcPr>
            <w:tcW w:w="600" w:type="dxa"/>
            <w:vAlign w:val="bottom"/>
            <w:shd w:val="clear" w:color="auto" w:fill="DCE2EF"/>
          </w:tcPr>
          <w:p>
            <w:pPr>
              <w:jc w:val="right"/>
              <w:spacing w:after="0"/>
              <w:rPr>
                <w:sz w:val="20"/>
                <w:szCs w:val="20"/>
                <w:color w:val="auto"/>
              </w:rPr>
            </w:pPr>
            <w:r>
              <w:rPr>
                <w:rFonts w:ascii="Arial" w:cs="Arial" w:eastAsia="Arial" w:hAnsi="Arial"/>
                <w:sz w:val="15"/>
                <w:szCs w:val="15"/>
                <w:color w:val="auto"/>
              </w:rPr>
              <w:t>368.0</w:t>
            </w:r>
          </w:p>
        </w:tc>
        <w:tc>
          <w:tcPr>
            <w:tcW w:w="80" w:type="dxa"/>
            <w:vAlign w:val="bottom"/>
            <w:shd w:val="clear" w:color="auto" w:fill="DCE2EF"/>
          </w:tcPr>
          <w:p>
            <w:pPr>
              <w:spacing w:after="0"/>
              <w:rPr>
                <w:sz w:val="17"/>
                <w:szCs w:val="17"/>
                <w:color w:val="auto"/>
              </w:rPr>
            </w:pPr>
          </w:p>
        </w:tc>
        <w:tc>
          <w:tcPr>
            <w:tcW w:w="160" w:type="dxa"/>
            <w:vAlign w:val="bottom"/>
            <w:shd w:val="clear" w:color="auto" w:fill="DCE2EF"/>
          </w:tcPr>
          <w:p>
            <w:pPr>
              <w:jc w:val="right"/>
              <w:spacing w:after="0"/>
              <w:rPr>
                <w:sz w:val="20"/>
                <w:szCs w:val="20"/>
                <w:color w:val="auto"/>
              </w:rPr>
            </w:pPr>
            <w:r>
              <w:rPr>
                <w:rFonts w:ascii="Arial" w:cs="Arial" w:eastAsia="Arial" w:hAnsi="Arial"/>
                <w:sz w:val="15"/>
                <w:szCs w:val="15"/>
                <w:color w:val="auto"/>
              </w:rPr>
              <w:t>$</w:t>
            </w:r>
          </w:p>
        </w:tc>
        <w:tc>
          <w:tcPr>
            <w:tcW w:w="640" w:type="dxa"/>
            <w:vAlign w:val="bottom"/>
            <w:shd w:val="clear" w:color="auto" w:fill="DCE2EF"/>
          </w:tcPr>
          <w:p>
            <w:pPr>
              <w:jc w:val="right"/>
              <w:ind w:right="3"/>
              <w:spacing w:after="0"/>
              <w:rPr>
                <w:sz w:val="20"/>
                <w:szCs w:val="20"/>
                <w:color w:val="auto"/>
              </w:rPr>
            </w:pPr>
            <w:r>
              <w:rPr>
                <w:rFonts w:ascii="Arial" w:cs="Arial" w:eastAsia="Arial" w:hAnsi="Arial"/>
                <w:sz w:val="15"/>
                <w:szCs w:val="15"/>
                <w:color w:val="auto"/>
              </w:rPr>
              <w:t>2,491.3</w:t>
            </w:r>
          </w:p>
        </w:tc>
        <w:tc>
          <w:tcPr>
            <w:tcW w:w="0" w:type="dxa"/>
            <w:vAlign w:val="bottom"/>
          </w:tcPr>
          <w:p>
            <w:pPr>
              <w:spacing w:after="0"/>
              <w:rPr>
                <w:sz w:val="1"/>
                <w:szCs w:val="1"/>
                <w:color w:val="auto"/>
              </w:rPr>
            </w:pPr>
          </w:p>
        </w:tc>
      </w:tr>
      <w:tr>
        <w:trPr>
          <w:trHeight w:val="219"/>
        </w:trPr>
        <w:tc>
          <w:tcPr>
            <w:tcW w:w="3000" w:type="dxa"/>
            <w:vAlign w:val="bottom"/>
            <w:gridSpan w:val="3"/>
          </w:tcPr>
          <w:p>
            <w:pPr>
              <w:ind w:left="20"/>
              <w:spacing w:after="0"/>
              <w:rPr>
                <w:sz w:val="20"/>
                <w:szCs w:val="20"/>
                <w:color w:val="auto"/>
              </w:rPr>
            </w:pPr>
            <w:r>
              <w:rPr>
                <w:rFonts w:ascii="Arial" w:cs="Arial" w:eastAsia="Arial" w:hAnsi="Arial"/>
                <w:sz w:val="15"/>
                <w:szCs w:val="15"/>
                <w:color w:val="auto"/>
              </w:rPr>
              <w:t>Acquisitions</w:t>
            </w:r>
          </w:p>
        </w:tc>
        <w:tc>
          <w:tcPr>
            <w:tcW w:w="12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38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80.6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ind w:right="3"/>
              <w:spacing w:after="0"/>
              <w:rPr>
                <w:sz w:val="20"/>
                <w:szCs w:val="20"/>
                <w:color w:val="auto"/>
              </w:rPr>
            </w:pPr>
            <w:r>
              <w:rPr>
                <w:rFonts w:ascii="Arial" w:cs="Arial" w:eastAsia="Arial" w:hAnsi="Arial"/>
                <w:sz w:val="15"/>
                <w:szCs w:val="15"/>
                <w:color w:val="auto"/>
              </w:rPr>
              <w:t>80.6</w:t>
            </w:r>
          </w:p>
        </w:tc>
        <w:tc>
          <w:tcPr>
            <w:tcW w:w="0" w:type="dxa"/>
            <w:vAlign w:val="bottom"/>
          </w:tcPr>
          <w:p>
            <w:pPr>
              <w:spacing w:after="0"/>
              <w:rPr>
                <w:sz w:val="1"/>
                <w:szCs w:val="1"/>
                <w:color w:val="auto"/>
              </w:rPr>
            </w:pPr>
          </w:p>
        </w:tc>
      </w:tr>
      <w:tr>
        <w:trPr>
          <w:trHeight w:val="205"/>
        </w:trPr>
        <w:tc>
          <w:tcPr>
            <w:tcW w:w="3000" w:type="dxa"/>
            <w:vAlign w:val="bottom"/>
            <w:gridSpan w:val="3"/>
            <w:shd w:val="clear" w:color="auto" w:fill="DCE2EF"/>
          </w:tcPr>
          <w:p>
            <w:pPr>
              <w:ind w:left="20"/>
              <w:spacing w:after="0"/>
              <w:rPr>
                <w:sz w:val="20"/>
                <w:szCs w:val="20"/>
                <w:color w:val="auto"/>
              </w:rPr>
            </w:pPr>
            <w:r>
              <w:rPr>
                <w:rFonts w:ascii="Arial" w:cs="Arial" w:eastAsia="Arial" w:hAnsi="Arial"/>
                <w:sz w:val="15"/>
                <w:szCs w:val="15"/>
                <w:color w:val="auto"/>
              </w:rPr>
              <w:t>Foreign currency translation</w:t>
            </w:r>
          </w:p>
        </w:tc>
        <w:tc>
          <w:tcPr>
            <w:tcW w:w="120" w:type="dxa"/>
            <w:vAlign w:val="bottom"/>
            <w:shd w:val="clear" w:color="auto" w:fill="DCE2EF"/>
          </w:tcPr>
          <w:p>
            <w:pPr>
              <w:spacing w:after="0"/>
              <w:rPr>
                <w:sz w:val="17"/>
                <w:szCs w:val="17"/>
                <w:color w:val="auto"/>
              </w:rPr>
            </w:pPr>
          </w:p>
        </w:tc>
        <w:tc>
          <w:tcPr>
            <w:tcW w:w="800" w:type="dxa"/>
            <w:vAlign w:val="bottom"/>
            <w:shd w:val="clear" w:color="auto" w:fill="DCE2EF"/>
          </w:tcPr>
          <w:p>
            <w:pPr>
              <w:jc w:val="right"/>
              <w:spacing w:after="0"/>
              <w:rPr>
                <w:sz w:val="20"/>
                <w:szCs w:val="20"/>
                <w:color w:val="auto"/>
              </w:rPr>
            </w:pPr>
            <w:r>
              <w:rPr>
                <w:rFonts w:ascii="Arial" w:cs="Arial" w:eastAsia="Arial" w:hAnsi="Arial"/>
                <w:sz w:val="15"/>
                <w:szCs w:val="15"/>
                <w:color w:val="auto"/>
              </w:rPr>
              <w:t>2.6</w:t>
            </w:r>
          </w:p>
        </w:tc>
        <w:tc>
          <w:tcPr>
            <w:tcW w:w="100" w:type="dxa"/>
            <w:vAlign w:val="bottom"/>
            <w:shd w:val="clear" w:color="auto" w:fill="DCE2EF"/>
          </w:tcPr>
          <w:p>
            <w:pPr>
              <w:spacing w:after="0"/>
              <w:rPr>
                <w:sz w:val="17"/>
                <w:szCs w:val="17"/>
                <w:color w:val="auto"/>
              </w:rPr>
            </w:pPr>
          </w:p>
        </w:tc>
        <w:tc>
          <w:tcPr>
            <w:tcW w:w="380" w:type="dxa"/>
            <w:vAlign w:val="bottom"/>
            <w:shd w:val="clear" w:color="auto" w:fill="DCE2EF"/>
          </w:tcPr>
          <w:p>
            <w:pPr>
              <w:spacing w:after="0"/>
              <w:rPr>
                <w:sz w:val="17"/>
                <w:szCs w:val="17"/>
                <w:color w:val="auto"/>
              </w:rPr>
            </w:pPr>
          </w:p>
        </w:tc>
        <w:tc>
          <w:tcPr>
            <w:tcW w:w="840" w:type="dxa"/>
            <w:vAlign w:val="bottom"/>
            <w:gridSpan w:val="2"/>
            <w:shd w:val="clear" w:color="auto" w:fill="DCE2E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shd w:val="clear" w:color="auto" w:fill="DCE2EF"/>
          </w:tcPr>
          <w:p>
            <w:pPr>
              <w:spacing w:after="0"/>
              <w:rPr>
                <w:sz w:val="17"/>
                <w:szCs w:val="17"/>
                <w:color w:val="auto"/>
              </w:rPr>
            </w:pPr>
          </w:p>
        </w:tc>
        <w:tc>
          <w:tcPr>
            <w:tcW w:w="720" w:type="dxa"/>
            <w:vAlign w:val="bottom"/>
            <w:shd w:val="clear" w:color="auto" w:fill="DCE2EF"/>
          </w:tcPr>
          <w:p>
            <w:pPr>
              <w:jc w:val="right"/>
              <w:ind w:right="2"/>
              <w:spacing w:after="0"/>
              <w:rPr>
                <w:sz w:val="20"/>
                <w:szCs w:val="20"/>
                <w:color w:val="auto"/>
              </w:rPr>
            </w:pPr>
            <w:r>
              <w:rPr>
                <w:rFonts w:ascii="Arial" w:cs="Arial" w:eastAsia="Arial" w:hAnsi="Arial"/>
                <w:sz w:val="15"/>
                <w:szCs w:val="15"/>
                <w:color w:val="auto"/>
              </w:rPr>
              <w:t>0.4</w:t>
            </w:r>
          </w:p>
        </w:tc>
        <w:tc>
          <w:tcPr>
            <w:tcW w:w="80" w:type="dxa"/>
            <w:vAlign w:val="bottom"/>
            <w:shd w:val="clear" w:color="auto" w:fill="DCE2EF"/>
          </w:tcPr>
          <w:p>
            <w:pPr>
              <w:spacing w:after="0"/>
              <w:rPr>
                <w:sz w:val="17"/>
                <w:szCs w:val="17"/>
                <w:color w:val="auto"/>
              </w:rPr>
            </w:pPr>
          </w:p>
        </w:tc>
        <w:tc>
          <w:tcPr>
            <w:tcW w:w="240" w:type="dxa"/>
            <w:vAlign w:val="bottom"/>
            <w:shd w:val="clear" w:color="auto" w:fill="DCE2EF"/>
          </w:tcPr>
          <w:p>
            <w:pPr>
              <w:spacing w:after="0"/>
              <w:rPr>
                <w:sz w:val="17"/>
                <w:szCs w:val="17"/>
                <w:color w:val="auto"/>
              </w:rPr>
            </w:pPr>
          </w:p>
        </w:tc>
        <w:tc>
          <w:tcPr>
            <w:tcW w:w="680" w:type="dxa"/>
            <w:vAlign w:val="bottom"/>
            <w:gridSpan w:val="2"/>
            <w:shd w:val="clear" w:color="auto" w:fill="DCE2EF"/>
          </w:tcPr>
          <w:p>
            <w:pPr>
              <w:jc w:val="right"/>
              <w:ind w:right="160"/>
              <w:spacing w:after="0"/>
              <w:rPr>
                <w:sz w:val="20"/>
                <w:szCs w:val="20"/>
                <w:color w:val="auto"/>
              </w:rPr>
            </w:pPr>
            <w:r>
              <w:rPr>
                <w:rFonts w:ascii="Arial" w:cs="Arial" w:eastAsia="Arial" w:hAnsi="Arial"/>
                <w:sz w:val="15"/>
                <w:szCs w:val="15"/>
                <w:color w:val="auto"/>
              </w:rPr>
              <w:t>—</w:t>
            </w:r>
          </w:p>
        </w:tc>
        <w:tc>
          <w:tcPr>
            <w:tcW w:w="240" w:type="dxa"/>
            <w:vAlign w:val="bottom"/>
            <w:shd w:val="clear" w:color="auto" w:fill="DCE2EF"/>
          </w:tcPr>
          <w:p>
            <w:pPr>
              <w:spacing w:after="0"/>
              <w:rPr>
                <w:sz w:val="17"/>
                <w:szCs w:val="17"/>
                <w:color w:val="auto"/>
              </w:rPr>
            </w:pPr>
          </w:p>
        </w:tc>
        <w:tc>
          <w:tcPr>
            <w:tcW w:w="600" w:type="dxa"/>
            <w:vAlign w:val="bottom"/>
            <w:shd w:val="clear" w:color="auto" w:fill="DCE2EF"/>
          </w:tcPr>
          <w:p>
            <w:pPr>
              <w:jc w:val="right"/>
              <w:spacing w:after="0"/>
              <w:rPr>
                <w:sz w:val="20"/>
                <w:szCs w:val="20"/>
                <w:color w:val="auto"/>
              </w:rPr>
            </w:pPr>
            <w:r>
              <w:rPr>
                <w:rFonts w:ascii="Arial" w:cs="Arial" w:eastAsia="Arial" w:hAnsi="Arial"/>
                <w:sz w:val="15"/>
                <w:szCs w:val="15"/>
                <w:color w:val="auto"/>
              </w:rPr>
              <w:t>1.1</w:t>
            </w:r>
          </w:p>
        </w:tc>
        <w:tc>
          <w:tcPr>
            <w:tcW w:w="80" w:type="dxa"/>
            <w:vAlign w:val="bottom"/>
            <w:shd w:val="clear" w:color="auto" w:fill="DCE2EF"/>
          </w:tcPr>
          <w:p>
            <w:pPr>
              <w:spacing w:after="0"/>
              <w:rPr>
                <w:sz w:val="17"/>
                <w:szCs w:val="17"/>
                <w:color w:val="auto"/>
              </w:rPr>
            </w:pPr>
          </w:p>
        </w:tc>
        <w:tc>
          <w:tcPr>
            <w:tcW w:w="160" w:type="dxa"/>
            <w:vAlign w:val="bottom"/>
            <w:shd w:val="clear" w:color="auto" w:fill="DCE2EF"/>
          </w:tcPr>
          <w:p>
            <w:pPr>
              <w:spacing w:after="0"/>
              <w:rPr>
                <w:sz w:val="17"/>
                <w:szCs w:val="17"/>
                <w:color w:val="auto"/>
              </w:rPr>
            </w:pPr>
          </w:p>
        </w:tc>
        <w:tc>
          <w:tcPr>
            <w:tcW w:w="640" w:type="dxa"/>
            <w:vAlign w:val="bottom"/>
            <w:shd w:val="clear" w:color="auto" w:fill="DCE2EF"/>
          </w:tcPr>
          <w:p>
            <w:pPr>
              <w:jc w:val="right"/>
              <w:ind w:right="3"/>
              <w:spacing w:after="0"/>
              <w:rPr>
                <w:sz w:val="20"/>
                <w:szCs w:val="20"/>
                <w:color w:val="auto"/>
              </w:rPr>
            </w:pPr>
            <w:r>
              <w:rPr>
                <w:rFonts w:ascii="Arial" w:cs="Arial" w:eastAsia="Arial" w:hAnsi="Arial"/>
                <w:sz w:val="15"/>
                <w:szCs w:val="15"/>
                <w:color w:val="auto"/>
              </w:rPr>
              <w:t>4.1</w:t>
            </w:r>
          </w:p>
        </w:tc>
        <w:tc>
          <w:tcPr>
            <w:tcW w:w="0" w:type="dxa"/>
            <w:vAlign w:val="bottom"/>
          </w:tcPr>
          <w:p>
            <w:pPr>
              <w:spacing w:after="0"/>
              <w:rPr>
                <w:sz w:val="1"/>
                <w:szCs w:val="1"/>
                <w:color w:val="auto"/>
              </w:rPr>
            </w:pPr>
          </w:p>
        </w:tc>
      </w:tr>
      <w:tr>
        <w:trPr>
          <w:trHeight w:val="200"/>
        </w:trPr>
        <w:tc>
          <w:tcPr>
            <w:tcW w:w="3000" w:type="dxa"/>
            <w:vAlign w:val="bottom"/>
            <w:gridSpan w:val="3"/>
          </w:tcPr>
          <w:p>
            <w:pPr>
              <w:ind w:left="20"/>
              <w:spacing w:after="0"/>
              <w:rPr>
                <w:sz w:val="20"/>
                <w:szCs w:val="20"/>
                <w:color w:val="auto"/>
              </w:rPr>
            </w:pPr>
            <w:r>
              <w:rPr>
                <w:rFonts w:ascii="Arial" w:cs="Arial" w:eastAsia="Arial" w:hAnsi="Arial"/>
                <w:sz w:val="15"/>
                <w:szCs w:val="15"/>
                <w:b w:val="1"/>
                <w:bCs w:val="1"/>
                <w:color w:val="auto"/>
              </w:rPr>
              <w:t>Balance at October 31, 2024</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1,095.5</w:t>
            </w:r>
          </w:p>
        </w:tc>
        <w:tc>
          <w:tcPr>
            <w:tcW w:w="100" w:type="dxa"/>
            <w:vAlign w:val="bottom"/>
          </w:tcPr>
          <w:p>
            <w:pPr>
              <w:spacing w:after="0"/>
              <w:rPr>
                <w:sz w:val="17"/>
                <w:szCs w:val="17"/>
                <w:color w:val="auto"/>
              </w:rPr>
            </w:pPr>
          </w:p>
        </w:tc>
        <w:tc>
          <w:tcPr>
            <w:tcW w:w="380" w:type="dxa"/>
            <w:vAlign w:val="bottom"/>
            <w:tcBorders>
              <w:top w:val="single" w:sz="8" w:color="auto"/>
              <w:bottom w:val="single" w:sz="8" w:color="auto"/>
            </w:tcBorders>
          </w:tcPr>
          <w:p>
            <w:pPr>
              <w:jc w:val="right"/>
              <w:ind w:right="204"/>
              <w:spacing w:after="0"/>
              <w:rPr>
                <w:sz w:val="20"/>
                <w:szCs w:val="20"/>
                <w:color w:val="auto"/>
              </w:rPr>
            </w:pPr>
            <w:r>
              <w:rPr>
                <w:rFonts w:ascii="Arial" w:cs="Arial" w:eastAsia="Arial" w:hAnsi="Arial"/>
                <w:sz w:val="15"/>
                <w:szCs w:val="15"/>
                <w:color w:val="auto"/>
                <w:w w:val="9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502.2</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72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5"/>
                <w:szCs w:val="15"/>
                <w:color w:val="auto"/>
              </w:rPr>
              <w:t>69.4</w:t>
            </w:r>
          </w:p>
        </w:tc>
        <w:tc>
          <w:tcPr>
            <w:tcW w:w="8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63"/>
              <w:spacing w:after="0"/>
              <w:rPr>
                <w:sz w:val="20"/>
                <w:szCs w:val="20"/>
                <w:color w:val="auto"/>
              </w:rPr>
            </w:pPr>
            <w:r>
              <w:rPr>
                <w:rFonts w:ascii="Arial" w:cs="Arial" w:eastAsia="Arial" w:hAnsi="Arial"/>
                <w:sz w:val="15"/>
                <w:szCs w:val="15"/>
                <w:color w:val="auto"/>
                <w:w w:val="95"/>
              </w:rPr>
              <w:t>$</w:t>
            </w:r>
          </w:p>
        </w:tc>
        <w:tc>
          <w:tcPr>
            <w:tcW w:w="60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rPr>
              <w:t>459.3</w:t>
            </w:r>
          </w:p>
        </w:tc>
        <w:tc>
          <w:tcPr>
            <w:tcW w:w="8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64"/>
              <w:spacing w:after="0"/>
              <w:rPr>
                <w:sz w:val="20"/>
                <w:szCs w:val="20"/>
                <w:color w:val="auto"/>
              </w:rPr>
            </w:pPr>
            <w:r>
              <w:rPr>
                <w:rFonts w:ascii="Arial" w:cs="Arial" w:eastAsia="Arial" w:hAnsi="Arial"/>
                <w:sz w:val="15"/>
                <w:szCs w:val="15"/>
                <w:color w:val="auto"/>
                <w:w w:val="95"/>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449.6</w:t>
            </w:r>
          </w:p>
        </w:tc>
        <w:tc>
          <w:tcPr>
            <w:tcW w:w="8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64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rPr>
              <w:t>2,575.9</w:t>
            </w:r>
          </w:p>
        </w:tc>
        <w:tc>
          <w:tcPr>
            <w:tcW w:w="0" w:type="dxa"/>
            <w:vAlign w:val="bottom"/>
          </w:tcPr>
          <w:p>
            <w:pPr>
              <w:spacing w:after="0"/>
              <w:rPr>
                <w:sz w:val="1"/>
                <w:szCs w:val="1"/>
                <w:color w:val="auto"/>
              </w:rPr>
            </w:pPr>
          </w:p>
        </w:tc>
      </w:tr>
      <w:tr>
        <w:trPr>
          <w:trHeight w:val="20"/>
        </w:trPr>
        <w:tc>
          <w:tcPr>
            <w:tcW w:w="20" w:type="dxa"/>
            <w:vAlign w:val="bottom"/>
            <w:tcBorders>
              <w:bottom w:val="single" w:sz="8" w:color="DCE2EF"/>
            </w:tcBorders>
          </w:tcPr>
          <w:p>
            <w:pPr>
              <w:spacing w:after="0" w:line="20" w:lineRule="exact"/>
              <w:rPr>
                <w:sz w:val="1"/>
                <w:szCs w:val="1"/>
                <w:color w:val="auto"/>
              </w:rPr>
            </w:pPr>
          </w:p>
        </w:tc>
        <w:tc>
          <w:tcPr>
            <w:tcW w:w="680" w:type="dxa"/>
            <w:vAlign w:val="bottom"/>
            <w:tcBorders>
              <w:bottom w:val="single" w:sz="8" w:color="DCE2EF"/>
            </w:tcBorders>
          </w:tcPr>
          <w:p>
            <w:pPr>
              <w:spacing w:after="0" w:line="20" w:lineRule="exact"/>
              <w:rPr>
                <w:sz w:val="1"/>
                <w:szCs w:val="1"/>
                <w:color w:val="auto"/>
              </w:rPr>
            </w:pPr>
          </w:p>
        </w:tc>
        <w:tc>
          <w:tcPr>
            <w:tcW w:w="2300" w:type="dxa"/>
            <w:vAlign w:val="bottom"/>
            <w:tcBorders>
              <w:bottom w:val="single" w:sz="8" w:color="DCE2E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CE2E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CE2E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CE2E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3000" w:type="dxa"/>
            <w:vAlign w:val="bottom"/>
            <w:gridSpan w:val="3"/>
            <w:shd w:val="clear" w:color="auto" w:fill="DCE2EF"/>
          </w:tcPr>
          <w:p>
            <w:pPr>
              <w:ind w:left="20"/>
              <w:spacing w:after="0" w:line="198" w:lineRule="exact"/>
              <w:rPr>
                <w:sz w:val="20"/>
                <w:szCs w:val="20"/>
                <w:color w:val="auto"/>
              </w:rPr>
            </w:pPr>
            <w:r>
              <w:rPr>
                <w:rFonts w:ascii="Arial" w:cs="Arial" w:eastAsia="Arial" w:hAnsi="Arial"/>
                <w:sz w:val="15"/>
                <w:szCs w:val="15"/>
                <w:color w:val="auto"/>
              </w:rPr>
              <w:t xml:space="preserve">Acquisitions </w:t>
            </w:r>
            <w:r>
              <w:rPr>
                <w:rFonts w:ascii="Arial" w:cs="Arial" w:eastAsia="Arial" w:hAnsi="Arial"/>
                <w:sz w:val="20"/>
                <w:szCs w:val="20"/>
                <w:color w:val="auto"/>
                <w:vertAlign w:val="superscript"/>
              </w:rPr>
              <w:t>(1)</w:t>
            </w:r>
          </w:p>
        </w:tc>
        <w:tc>
          <w:tcPr>
            <w:tcW w:w="120" w:type="dxa"/>
            <w:vAlign w:val="bottom"/>
            <w:shd w:val="clear" w:color="auto" w:fill="DCE2EF"/>
          </w:tcPr>
          <w:p>
            <w:pPr>
              <w:spacing w:after="0"/>
              <w:rPr>
                <w:sz w:val="17"/>
                <w:szCs w:val="17"/>
                <w:color w:val="auto"/>
              </w:rPr>
            </w:pPr>
          </w:p>
        </w:tc>
        <w:tc>
          <w:tcPr>
            <w:tcW w:w="900" w:type="dxa"/>
            <w:vAlign w:val="bottom"/>
            <w:gridSpan w:val="2"/>
            <w:shd w:val="clear" w:color="auto" w:fill="DCE2EF"/>
          </w:tcPr>
          <w:p>
            <w:pPr>
              <w:jc w:val="right"/>
              <w:ind w:right="160"/>
              <w:spacing w:after="0"/>
              <w:rPr>
                <w:sz w:val="20"/>
                <w:szCs w:val="20"/>
                <w:color w:val="auto"/>
              </w:rPr>
            </w:pPr>
            <w:r>
              <w:rPr>
                <w:rFonts w:ascii="Arial" w:cs="Arial" w:eastAsia="Arial" w:hAnsi="Arial"/>
                <w:sz w:val="15"/>
                <w:szCs w:val="15"/>
                <w:color w:val="auto"/>
              </w:rPr>
              <w:t>—</w:t>
            </w:r>
          </w:p>
        </w:tc>
        <w:tc>
          <w:tcPr>
            <w:tcW w:w="380" w:type="dxa"/>
            <w:vAlign w:val="bottom"/>
            <w:shd w:val="clear" w:color="auto" w:fill="DCE2EF"/>
          </w:tcPr>
          <w:p>
            <w:pPr>
              <w:spacing w:after="0"/>
              <w:rPr>
                <w:sz w:val="17"/>
                <w:szCs w:val="17"/>
                <w:color w:val="auto"/>
              </w:rPr>
            </w:pPr>
          </w:p>
        </w:tc>
        <w:tc>
          <w:tcPr>
            <w:tcW w:w="840" w:type="dxa"/>
            <w:vAlign w:val="bottom"/>
            <w:gridSpan w:val="2"/>
            <w:shd w:val="clear" w:color="auto" w:fill="DCE2E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shd w:val="clear" w:color="auto" w:fill="DCE2EF"/>
          </w:tcPr>
          <w:p>
            <w:pPr>
              <w:spacing w:after="0"/>
              <w:rPr>
                <w:sz w:val="17"/>
                <w:szCs w:val="17"/>
                <w:color w:val="auto"/>
              </w:rPr>
            </w:pPr>
          </w:p>
        </w:tc>
        <w:tc>
          <w:tcPr>
            <w:tcW w:w="800" w:type="dxa"/>
            <w:vAlign w:val="bottom"/>
            <w:gridSpan w:val="2"/>
            <w:shd w:val="clear" w:color="auto" w:fill="DCE2EF"/>
          </w:tcPr>
          <w:p>
            <w:pPr>
              <w:jc w:val="right"/>
              <w:ind w:right="160"/>
              <w:spacing w:after="0"/>
              <w:rPr>
                <w:sz w:val="20"/>
                <w:szCs w:val="20"/>
                <w:color w:val="auto"/>
              </w:rPr>
            </w:pPr>
            <w:r>
              <w:rPr>
                <w:rFonts w:ascii="Arial" w:cs="Arial" w:eastAsia="Arial" w:hAnsi="Arial"/>
                <w:sz w:val="15"/>
                <w:szCs w:val="15"/>
                <w:color w:val="auto"/>
              </w:rPr>
              <w:t>—</w:t>
            </w:r>
          </w:p>
        </w:tc>
        <w:tc>
          <w:tcPr>
            <w:tcW w:w="240" w:type="dxa"/>
            <w:vAlign w:val="bottom"/>
            <w:shd w:val="clear" w:color="auto" w:fill="DCE2EF"/>
          </w:tcPr>
          <w:p>
            <w:pPr>
              <w:spacing w:after="0"/>
              <w:rPr>
                <w:sz w:val="17"/>
                <w:szCs w:val="17"/>
                <w:color w:val="auto"/>
              </w:rPr>
            </w:pPr>
          </w:p>
        </w:tc>
        <w:tc>
          <w:tcPr>
            <w:tcW w:w="680" w:type="dxa"/>
            <w:vAlign w:val="bottom"/>
            <w:gridSpan w:val="2"/>
            <w:shd w:val="clear" w:color="auto" w:fill="DCE2EF"/>
          </w:tcPr>
          <w:p>
            <w:pPr>
              <w:jc w:val="right"/>
              <w:ind w:right="160"/>
              <w:spacing w:after="0"/>
              <w:rPr>
                <w:sz w:val="20"/>
                <w:szCs w:val="20"/>
                <w:color w:val="auto"/>
              </w:rPr>
            </w:pPr>
            <w:r>
              <w:rPr>
                <w:rFonts w:ascii="Arial" w:cs="Arial" w:eastAsia="Arial" w:hAnsi="Arial"/>
                <w:sz w:val="15"/>
                <w:szCs w:val="15"/>
                <w:color w:val="auto"/>
              </w:rPr>
              <w:t>—</w:t>
            </w:r>
          </w:p>
        </w:tc>
        <w:tc>
          <w:tcPr>
            <w:tcW w:w="240" w:type="dxa"/>
            <w:vAlign w:val="bottom"/>
            <w:shd w:val="clear" w:color="auto" w:fill="DCE2EF"/>
          </w:tcPr>
          <w:p>
            <w:pPr>
              <w:spacing w:after="0"/>
              <w:rPr>
                <w:sz w:val="17"/>
                <w:szCs w:val="17"/>
                <w:color w:val="auto"/>
              </w:rPr>
            </w:pPr>
          </w:p>
        </w:tc>
        <w:tc>
          <w:tcPr>
            <w:tcW w:w="600" w:type="dxa"/>
            <w:vAlign w:val="bottom"/>
            <w:shd w:val="clear" w:color="auto" w:fill="DCE2EF"/>
          </w:tcPr>
          <w:p>
            <w:pPr>
              <w:jc w:val="right"/>
              <w:spacing w:after="0"/>
              <w:rPr>
                <w:sz w:val="20"/>
                <w:szCs w:val="20"/>
                <w:color w:val="auto"/>
              </w:rPr>
            </w:pPr>
            <w:r>
              <w:rPr>
                <w:rFonts w:ascii="Arial" w:cs="Arial" w:eastAsia="Arial" w:hAnsi="Arial"/>
                <w:sz w:val="15"/>
                <w:szCs w:val="15"/>
                <w:color w:val="auto"/>
              </w:rPr>
              <w:t>14.7</w:t>
            </w:r>
          </w:p>
        </w:tc>
        <w:tc>
          <w:tcPr>
            <w:tcW w:w="80" w:type="dxa"/>
            <w:vAlign w:val="bottom"/>
            <w:shd w:val="clear" w:color="auto" w:fill="DCE2EF"/>
          </w:tcPr>
          <w:p>
            <w:pPr>
              <w:spacing w:after="0"/>
              <w:rPr>
                <w:sz w:val="17"/>
                <w:szCs w:val="17"/>
                <w:color w:val="auto"/>
              </w:rPr>
            </w:pPr>
          </w:p>
        </w:tc>
        <w:tc>
          <w:tcPr>
            <w:tcW w:w="160" w:type="dxa"/>
            <w:vAlign w:val="bottom"/>
            <w:shd w:val="clear" w:color="auto" w:fill="DCE2EF"/>
          </w:tcPr>
          <w:p>
            <w:pPr>
              <w:spacing w:after="0"/>
              <w:rPr>
                <w:sz w:val="17"/>
                <w:szCs w:val="17"/>
                <w:color w:val="auto"/>
              </w:rPr>
            </w:pPr>
          </w:p>
        </w:tc>
        <w:tc>
          <w:tcPr>
            <w:tcW w:w="640" w:type="dxa"/>
            <w:vAlign w:val="bottom"/>
            <w:shd w:val="clear" w:color="auto" w:fill="DCE2EF"/>
          </w:tcPr>
          <w:p>
            <w:pPr>
              <w:jc w:val="right"/>
              <w:ind w:right="3"/>
              <w:spacing w:after="0"/>
              <w:rPr>
                <w:sz w:val="20"/>
                <w:szCs w:val="20"/>
                <w:color w:val="auto"/>
              </w:rPr>
            </w:pPr>
            <w:r>
              <w:rPr>
                <w:rFonts w:ascii="Arial" w:cs="Arial" w:eastAsia="Arial" w:hAnsi="Arial"/>
                <w:sz w:val="15"/>
                <w:szCs w:val="15"/>
                <w:color w:val="auto"/>
              </w:rPr>
              <w:t>14.7</w:t>
            </w:r>
          </w:p>
        </w:tc>
        <w:tc>
          <w:tcPr>
            <w:tcW w:w="0" w:type="dxa"/>
            <w:vAlign w:val="bottom"/>
          </w:tcPr>
          <w:p>
            <w:pPr>
              <w:spacing w:after="0"/>
              <w:rPr>
                <w:sz w:val="1"/>
                <w:szCs w:val="1"/>
                <w:color w:val="auto"/>
              </w:rPr>
            </w:pPr>
          </w:p>
        </w:tc>
      </w:tr>
      <w:tr>
        <w:trPr>
          <w:trHeight w:val="205"/>
        </w:trPr>
        <w:tc>
          <w:tcPr>
            <w:tcW w:w="3000" w:type="dxa"/>
            <w:vAlign w:val="bottom"/>
            <w:gridSpan w:val="3"/>
          </w:tcPr>
          <w:p>
            <w:pPr>
              <w:ind w:left="20"/>
              <w:spacing w:after="0"/>
              <w:rPr>
                <w:sz w:val="20"/>
                <w:szCs w:val="20"/>
                <w:color w:val="auto"/>
              </w:rPr>
            </w:pPr>
            <w:r>
              <w:rPr>
                <w:rFonts w:ascii="Arial" w:cs="Arial" w:eastAsia="Arial" w:hAnsi="Arial"/>
                <w:sz w:val="15"/>
                <w:szCs w:val="15"/>
                <w:color w:val="auto"/>
              </w:rPr>
              <w:t>Foreign currency translation</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3.2</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720" w:type="dxa"/>
            <w:vAlign w:val="bottom"/>
          </w:tcPr>
          <w:p>
            <w:pPr>
              <w:jc w:val="right"/>
              <w:ind w:right="2"/>
              <w:spacing w:after="0"/>
              <w:rPr>
                <w:sz w:val="20"/>
                <w:szCs w:val="20"/>
                <w:color w:val="auto"/>
              </w:rPr>
            </w:pPr>
            <w:r>
              <w:rPr>
                <w:rFonts w:ascii="Arial" w:cs="Arial" w:eastAsia="Arial" w:hAnsi="Arial"/>
                <w:sz w:val="15"/>
                <w:szCs w:val="15"/>
                <w:color w:val="auto"/>
              </w:rPr>
              <w:t>0.1</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0.3</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ind w:right="3"/>
              <w:spacing w:after="0"/>
              <w:rPr>
                <w:sz w:val="20"/>
                <w:szCs w:val="20"/>
                <w:color w:val="auto"/>
              </w:rPr>
            </w:pPr>
            <w:r>
              <w:rPr>
                <w:rFonts w:ascii="Arial" w:cs="Arial" w:eastAsia="Arial" w:hAnsi="Arial"/>
                <w:sz w:val="15"/>
                <w:szCs w:val="15"/>
                <w:color w:val="auto"/>
              </w:rPr>
              <w:t>3.7</w:t>
            </w:r>
          </w:p>
        </w:tc>
        <w:tc>
          <w:tcPr>
            <w:tcW w:w="0" w:type="dxa"/>
            <w:vAlign w:val="bottom"/>
          </w:tcPr>
          <w:p>
            <w:pPr>
              <w:spacing w:after="0"/>
              <w:rPr>
                <w:sz w:val="1"/>
                <w:szCs w:val="1"/>
                <w:color w:val="auto"/>
              </w:rPr>
            </w:pPr>
          </w:p>
        </w:tc>
      </w:tr>
      <w:tr>
        <w:trPr>
          <w:trHeight w:val="206"/>
        </w:trPr>
        <w:tc>
          <w:tcPr>
            <w:tcW w:w="3000" w:type="dxa"/>
            <w:vAlign w:val="bottom"/>
            <w:gridSpan w:val="3"/>
            <w:shd w:val="clear" w:color="auto" w:fill="DCE2EF"/>
          </w:tcPr>
          <w:p>
            <w:pPr>
              <w:ind w:left="20"/>
              <w:spacing w:after="0"/>
              <w:rPr>
                <w:sz w:val="20"/>
                <w:szCs w:val="20"/>
                <w:color w:val="auto"/>
              </w:rPr>
            </w:pPr>
            <w:r>
              <w:rPr>
                <w:rFonts w:ascii="Arial" w:cs="Arial" w:eastAsia="Arial" w:hAnsi="Arial"/>
                <w:sz w:val="15"/>
                <w:szCs w:val="15"/>
                <w:color w:val="auto"/>
              </w:rPr>
              <w:t>Adjustments</w:t>
            </w:r>
          </w:p>
        </w:tc>
        <w:tc>
          <w:tcPr>
            <w:tcW w:w="120" w:type="dxa"/>
            <w:vAlign w:val="bottom"/>
            <w:shd w:val="clear" w:color="auto" w:fill="DCE2EF"/>
          </w:tcPr>
          <w:p>
            <w:pPr>
              <w:spacing w:after="0"/>
              <w:rPr>
                <w:sz w:val="17"/>
                <w:szCs w:val="17"/>
                <w:color w:val="auto"/>
              </w:rPr>
            </w:pPr>
          </w:p>
        </w:tc>
        <w:tc>
          <w:tcPr>
            <w:tcW w:w="900" w:type="dxa"/>
            <w:vAlign w:val="bottom"/>
            <w:gridSpan w:val="2"/>
            <w:shd w:val="clear" w:color="auto" w:fill="DCE2EF"/>
          </w:tcPr>
          <w:p>
            <w:pPr>
              <w:jc w:val="right"/>
              <w:ind w:right="160"/>
              <w:spacing w:after="0"/>
              <w:rPr>
                <w:sz w:val="20"/>
                <w:szCs w:val="20"/>
                <w:color w:val="auto"/>
              </w:rPr>
            </w:pPr>
            <w:r>
              <w:rPr>
                <w:rFonts w:ascii="Arial" w:cs="Arial" w:eastAsia="Arial" w:hAnsi="Arial"/>
                <w:sz w:val="15"/>
                <w:szCs w:val="15"/>
                <w:color w:val="auto"/>
              </w:rPr>
              <w:t>—</w:t>
            </w:r>
          </w:p>
        </w:tc>
        <w:tc>
          <w:tcPr>
            <w:tcW w:w="380" w:type="dxa"/>
            <w:vAlign w:val="bottom"/>
            <w:shd w:val="clear" w:color="auto" w:fill="DCE2EF"/>
          </w:tcPr>
          <w:p>
            <w:pPr>
              <w:spacing w:after="0"/>
              <w:rPr>
                <w:sz w:val="17"/>
                <w:szCs w:val="17"/>
                <w:color w:val="auto"/>
              </w:rPr>
            </w:pPr>
          </w:p>
        </w:tc>
        <w:tc>
          <w:tcPr>
            <w:tcW w:w="840" w:type="dxa"/>
            <w:vAlign w:val="bottom"/>
            <w:gridSpan w:val="2"/>
            <w:shd w:val="clear" w:color="auto" w:fill="DCE2E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shd w:val="clear" w:color="auto" w:fill="DCE2EF"/>
          </w:tcPr>
          <w:p>
            <w:pPr>
              <w:spacing w:after="0"/>
              <w:rPr>
                <w:sz w:val="17"/>
                <w:szCs w:val="17"/>
                <w:color w:val="auto"/>
              </w:rPr>
            </w:pPr>
          </w:p>
        </w:tc>
        <w:tc>
          <w:tcPr>
            <w:tcW w:w="800" w:type="dxa"/>
            <w:vAlign w:val="bottom"/>
            <w:gridSpan w:val="2"/>
            <w:shd w:val="clear" w:color="auto" w:fill="DCE2EF"/>
          </w:tcPr>
          <w:p>
            <w:pPr>
              <w:jc w:val="right"/>
              <w:ind w:right="160"/>
              <w:spacing w:after="0"/>
              <w:rPr>
                <w:sz w:val="20"/>
                <w:szCs w:val="20"/>
                <w:color w:val="auto"/>
              </w:rPr>
            </w:pPr>
            <w:r>
              <w:rPr>
                <w:rFonts w:ascii="Arial" w:cs="Arial" w:eastAsia="Arial" w:hAnsi="Arial"/>
                <w:sz w:val="15"/>
                <w:szCs w:val="15"/>
                <w:color w:val="auto"/>
              </w:rPr>
              <w:t>—</w:t>
            </w:r>
          </w:p>
        </w:tc>
        <w:tc>
          <w:tcPr>
            <w:tcW w:w="240" w:type="dxa"/>
            <w:vAlign w:val="bottom"/>
            <w:shd w:val="clear" w:color="auto" w:fill="DCE2EF"/>
          </w:tcPr>
          <w:p>
            <w:pPr>
              <w:spacing w:after="0"/>
              <w:rPr>
                <w:sz w:val="17"/>
                <w:szCs w:val="17"/>
                <w:color w:val="auto"/>
              </w:rPr>
            </w:pPr>
          </w:p>
        </w:tc>
        <w:tc>
          <w:tcPr>
            <w:tcW w:w="680" w:type="dxa"/>
            <w:vAlign w:val="bottom"/>
            <w:gridSpan w:val="2"/>
            <w:shd w:val="clear" w:color="auto" w:fill="DCE2EF"/>
          </w:tcPr>
          <w:p>
            <w:pPr>
              <w:jc w:val="right"/>
              <w:ind w:right="160"/>
              <w:spacing w:after="0"/>
              <w:rPr>
                <w:sz w:val="20"/>
                <w:szCs w:val="20"/>
                <w:color w:val="auto"/>
              </w:rPr>
            </w:pPr>
            <w:r>
              <w:rPr>
                <w:rFonts w:ascii="Arial" w:cs="Arial" w:eastAsia="Arial" w:hAnsi="Arial"/>
                <w:sz w:val="15"/>
                <w:szCs w:val="15"/>
                <w:color w:val="auto"/>
              </w:rPr>
              <w:t>—</w:t>
            </w:r>
          </w:p>
        </w:tc>
        <w:tc>
          <w:tcPr>
            <w:tcW w:w="240" w:type="dxa"/>
            <w:vAlign w:val="bottom"/>
            <w:shd w:val="clear" w:color="auto" w:fill="DCE2EF"/>
          </w:tcPr>
          <w:p>
            <w:pPr>
              <w:spacing w:after="0"/>
              <w:rPr>
                <w:sz w:val="17"/>
                <w:szCs w:val="17"/>
                <w:color w:val="auto"/>
              </w:rPr>
            </w:pPr>
          </w:p>
        </w:tc>
        <w:tc>
          <w:tcPr>
            <w:tcW w:w="600" w:type="dxa"/>
            <w:vAlign w:val="bottom"/>
            <w:shd w:val="clear" w:color="auto" w:fill="DCE2EF"/>
          </w:tcPr>
          <w:p>
            <w:pPr>
              <w:jc w:val="right"/>
              <w:spacing w:after="0"/>
              <w:rPr>
                <w:sz w:val="20"/>
                <w:szCs w:val="20"/>
                <w:color w:val="auto"/>
              </w:rPr>
            </w:pPr>
            <w:r>
              <w:rPr>
                <w:rFonts w:ascii="Arial" w:cs="Arial" w:eastAsia="Arial" w:hAnsi="Arial"/>
                <w:sz w:val="15"/>
                <w:szCs w:val="15"/>
                <w:color w:val="auto"/>
              </w:rPr>
              <w:t>(3.2)</w:t>
            </w:r>
          </w:p>
        </w:tc>
        <w:tc>
          <w:tcPr>
            <w:tcW w:w="80" w:type="dxa"/>
            <w:vAlign w:val="bottom"/>
            <w:shd w:val="clear" w:color="auto" w:fill="DCE2EF"/>
          </w:tcPr>
          <w:p>
            <w:pPr>
              <w:spacing w:after="0"/>
              <w:rPr>
                <w:sz w:val="17"/>
                <w:szCs w:val="17"/>
                <w:color w:val="auto"/>
              </w:rPr>
            </w:pPr>
          </w:p>
        </w:tc>
        <w:tc>
          <w:tcPr>
            <w:tcW w:w="160" w:type="dxa"/>
            <w:vAlign w:val="bottom"/>
            <w:shd w:val="clear" w:color="auto" w:fill="DCE2EF"/>
          </w:tcPr>
          <w:p>
            <w:pPr>
              <w:spacing w:after="0"/>
              <w:rPr>
                <w:sz w:val="17"/>
                <w:szCs w:val="17"/>
                <w:color w:val="auto"/>
              </w:rPr>
            </w:pPr>
          </w:p>
        </w:tc>
        <w:tc>
          <w:tcPr>
            <w:tcW w:w="640" w:type="dxa"/>
            <w:vAlign w:val="bottom"/>
            <w:shd w:val="clear" w:color="auto" w:fill="DCE2EF"/>
          </w:tcPr>
          <w:p>
            <w:pPr>
              <w:jc w:val="right"/>
              <w:spacing w:after="0"/>
              <w:rPr>
                <w:sz w:val="20"/>
                <w:szCs w:val="20"/>
                <w:color w:val="auto"/>
              </w:rPr>
            </w:pPr>
            <w:r>
              <w:rPr>
                <w:rFonts w:ascii="Arial" w:cs="Arial" w:eastAsia="Arial" w:hAnsi="Arial"/>
                <w:sz w:val="15"/>
                <w:szCs w:val="15"/>
                <w:color w:val="auto"/>
              </w:rPr>
              <w:t>(3.2)</w:t>
            </w:r>
          </w:p>
        </w:tc>
        <w:tc>
          <w:tcPr>
            <w:tcW w:w="0" w:type="dxa"/>
            <w:vAlign w:val="bottom"/>
          </w:tcPr>
          <w:p>
            <w:pPr>
              <w:spacing w:after="0"/>
              <w:rPr>
                <w:sz w:val="1"/>
                <w:szCs w:val="1"/>
                <w:color w:val="auto"/>
              </w:rPr>
            </w:pPr>
          </w:p>
        </w:tc>
      </w:tr>
      <w:tr>
        <w:trPr>
          <w:trHeight w:val="200"/>
        </w:trPr>
        <w:tc>
          <w:tcPr>
            <w:tcW w:w="3000" w:type="dxa"/>
            <w:vAlign w:val="bottom"/>
            <w:gridSpan w:val="3"/>
          </w:tcPr>
          <w:p>
            <w:pPr>
              <w:ind w:left="20"/>
              <w:spacing w:after="0"/>
              <w:rPr>
                <w:sz w:val="20"/>
                <w:szCs w:val="20"/>
                <w:color w:val="auto"/>
              </w:rPr>
            </w:pPr>
            <w:r>
              <w:rPr>
                <w:rFonts w:ascii="Arial" w:cs="Arial" w:eastAsia="Arial" w:hAnsi="Arial"/>
                <w:sz w:val="15"/>
                <w:szCs w:val="15"/>
                <w:b w:val="1"/>
                <w:bCs w:val="1"/>
                <w:color w:val="auto"/>
              </w:rPr>
              <w:t>Balance at October 31, 2025</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1,098.7</w:t>
            </w:r>
          </w:p>
        </w:tc>
        <w:tc>
          <w:tcPr>
            <w:tcW w:w="100" w:type="dxa"/>
            <w:vAlign w:val="bottom"/>
          </w:tcPr>
          <w:p>
            <w:pPr>
              <w:spacing w:after="0"/>
              <w:rPr>
                <w:sz w:val="17"/>
                <w:szCs w:val="17"/>
                <w:color w:val="auto"/>
              </w:rPr>
            </w:pPr>
          </w:p>
        </w:tc>
        <w:tc>
          <w:tcPr>
            <w:tcW w:w="380" w:type="dxa"/>
            <w:vAlign w:val="bottom"/>
            <w:tcBorders>
              <w:top w:val="single" w:sz="8" w:color="auto"/>
              <w:bottom w:val="single" w:sz="8" w:color="auto"/>
            </w:tcBorders>
          </w:tcPr>
          <w:p>
            <w:pPr>
              <w:jc w:val="right"/>
              <w:ind w:right="204"/>
              <w:spacing w:after="0"/>
              <w:rPr>
                <w:sz w:val="20"/>
                <w:szCs w:val="20"/>
                <w:color w:val="auto"/>
              </w:rPr>
            </w:pPr>
            <w:r>
              <w:rPr>
                <w:rFonts w:ascii="Arial" w:cs="Arial" w:eastAsia="Arial" w:hAnsi="Arial"/>
                <w:sz w:val="15"/>
                <w:szCs w:val="15"/>
                <w:color w:val="auto"/>
                <w:w w:val="9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502.2</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72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5"/>
                <w:szCs w:val="15"/>
                <w:color w:val="auto"/>
              </w:rPr>
              <w:t>69.6</w:t>
            </w:r>
          </w:p>
        </w:tc>
        <w:tc>
          <w:tcPr>
            <w:tcW w:w="8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63"/>
              <w:spacing w:after="0"/>
              <w:rPr>
                <w:sz w:val="20"/>
                <w:szCs w:val="20"/>
                <w:color w:val="auto"/>
              </w:rPr>
            </w:pPr>
            <w:r>
              <w:rPr>
                <w:rFonts w:ascii="Arial" w:cs="Arial" w:eastAsia="Arial" w:hAnsi="Arial"/>
                <w:sz w:val="15"/>
                <w:szCs w:val="15"/>
                <w:color w:val="auto"/>
                <w:w w:val="95"/>
              </w:rPr>
              <w:t>$</w:t>
            </w:r>
          </w:p>
        </w:tc>
        <w:tc>
          <w:tcPr>
            <w:tcW w:w="60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rPr>
              <w:t>459.3</w:t>
            </w:r>
          </w:p>
        </w:tc>
        <w:tc>
          <w:tcPr>
            <w:tcW w:w="8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64"/>
              <w:spacing w:after="0"/>
              <w:rPr>
                <w:sz w:val="20"/>
                <w:szCs w:val="20"/>
                <w:color w:val="auto"/>
              </w:rPr>
            </w:pPr>
            <w:r>
              <w:rPr>
                <w:rFonts w:ascii="Arial" w:cs="Arial" w:eastAsia="Arial" w:hAnsi="Arial"/>
                <w:sz w:val="15"/>
                <w:szCs w:val="15"/>
                <w:color w:val="auto"/>
                <w:w w:val="95"/>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461.4</w:t>
            </w:r>
          </w:p>
        </w:tc>
        <w:tc>
          <w:tcPr>
            <w:tcW w:w="8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64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rPr>
              <w:t>2,591.1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7" w:lineRule="exact"/>
        <w:rPr>
          <w:sz w:val="20"/>
          <w:szCs w:val="20"/>
          <w:color w:val="auto"/>
        </w:rPr>
      </w:pPr>
    </w:p>
    <w:p>
      <w:pPr>
        <w:ind w:left="160" w:hanging="157"/>
        <w:spacing w:after="0"/>
        <w:tabs>
          <w:tab w:leader="none" w:pos="160" w:val="left"/>
        </w:tabs>
        <w:numPr>
          <w:ilvl w:val="0"/>
          <w:numId w:val="32"/>
        </w:numPr>
        <w:rPr>
          <w:rFonts w:ascii="Arial" w:cs="Arial" w:eastAsia="Arial" w:hAnsi="Arial"/>
          <w:sz w:val="19"/>
          <w:szCs w:val="19"/>
          <w:color w:val="auto"/>
          <w:vertAlign w:val="superscript"/>
        </w:rPr>
      </w:pPr>
      <w:r>
        <w:rPr>
          <w:rFonts w:ascii="Arial" w:cs="Arial" w:eastAsia="Arial" w:hAnsi="Arial"/>
          <w:sz w:val="15"/>
          <w:szCs w:val="15"/>
          <w:color w:val="auto"/>
        </w:rPr>
        <w:t>During 2025, goodwill increased primarily as a result of the LMC Acquisition. See Note 3, “Acquisitions,” for additional information.</w:t>
      </w:r>
    </w:p>
    <w:p>
      <w:pPr>
        <w:spacing w:after="0" w:line="139" w:lineRule="exact"/>
        <w:rPr>
          <w:rFonts w:ascii="Arial" w:cs="Arial" w:eastAsia="Arial" w:hAnsi="Arial"/>
          <w:sz w:val="19"/>
          <w:szCs w:val="19"/>
          <w:color w:val="auto"/>
          <w:vertAlign w:val="superscript"/>
        </w:rPr>
      </w:pPr>
    </w:p>
    <w:p>
      <w:pPr>
        <w:ind w:left="620"/>
        <w:spacing w:after="0"/>
        <w:rPr>
          <w:rFonts w:ascii="Arial" w:cs="Arial" w:eastAsia="Arial" w:hAnsi="Arial"/>
          <w:sz w:val="19"/>
          <w:szCs w:val="19"/>
          <w:color w:val="auto"/>
          <w:vertAlign w:val="superscript"/>
        </w:rPr>
      </w:pPr>
      <w:r>
        <w:rPr>
          <w:rFonts w:ascii="Arial" w:cs="Arial" w:eastAsia="Arial" w:hAnsi="Arial"/>
          <w:sz w:val="17"/>
          <w:szCs w:val="17"/>
          <w:color w:val="auto"/>
        </w:rPr>
        <w:t>We did not record goodwill impairment charges during fiscal years 2025 and 2024.</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Other Intangible Assets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gridSpan w:val="5"/>
          </w:tcPr>
          <w:p>
            <w:pPr>
              <w:ind w:left="240"/>
              <w:spacing w:after="0"/>
              <w:rPr>
                <w:sz w:val="20"/>
                <w:szCs w:val="20"/>
                <w:color w:val="auto"/>
              </w:rPr>
            </w:pPr>
            <w:r>
              <w:rPr>
                <w:rFonts w:ascii="Arial" w:cs="Arial" w:eastAsia="Arial" w:hAnsi="Arial"/>
                <w:sz w:val="15"/>
                <w:szCs w:val="15"/>
                <w:b w:val="1"/>
                <w:bCs w:val="1"/>
                <w:color w:val="auto"/>
              </w:rPr>
              <w:t>As of October 31,</w:t>
            </w: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63"/>
              <w:spacing w:after="0"/>
              <w:rPr>
                <w:sz w:val="20"/>
                <w:szCs w:val="20"/>
                <w:color w:val="auto"/>
              </w:rPr>
            </w:pPr>
            <w:r>
              <w:rPr>
                <w:rFonts w:ascii="Arial" w:cs="Arial" w:eastAsia="Arial" w:hAnsi="Arial"/>
                <w:sz w:val="15"/>
                <w:szCs w:val="15"/>
                <w:b w:val="1"/>
                <w:bCs w:val="1"/>
                <w:color w:val="auto"/>
              </w:rPr>
              <w:t>2025</w:t>
            </w: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63"/>
              <w:spacing w:after="0"/>
              <w:rPr>
                <w:sz w:val="20"/>
                <w:szCs w:val="20"/>
                <w:color w:val="auto"/>
              </w:rPr>
            </w:pPr>
            <w:r>
              <w:rPr>
                <w:rFonts w:ascii="Arial" w:cs="Arial" w:eastAsia="Arial" w:hAnsi="Arial"/>
                <w:sz w:val="15"/>
                <w:szCs w:val="15"/>
                <w:b w:val="1"/>
                <w:bCs w:val="1"/>
                <w:color w:val="auto"/>
              </w:rPr>
              <w:t>2024</w:t>
            </w: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center"/>
              <w:ind w:right="280"/>
              <w:spacing w:after="0" w:line="148" w:lineRule="exact"/>
              <w:rPr>
                <w:sz w:val="20"/>
                <w:szCs w:val="20"/>
                <w:color w:val="auto"/>
              </w:rPr>
            </w:pPr>
            <w:r>
              <w:rPr>
                <w:rFonts w:ascii="Arial" w:cs="Arial" w:eastAsia="Arial" w:hAnsi="Arial"/>
                <w:sz w:val="15"/>
                <w:szCs w:val="15"/>
                <w:b w:val="1"/>
                <w:bCs w:val="1"/>
                <w:color w:val="auto"/>
              </w:rPr>
              <w:t>Gross</w:t>
            </w:r>
          </w:p>
        </w:tc>
        <w:tc>
          <w:tcPr>
            <w:tcW w:w="140" w:type="dxa"/>
            <w:vAlign w:val="bottom"/>
          </w:tcPr>
          <w:p>
            <w:pPr>
              <w:spacing w:after="0"/>
              <w:rPr>
                <w:sz w:val="12"/>
                <w:szCs w:val="12"/>
                <w:color w:val="auto"/>
              </w:rPr>
            </w:pPr>
          </w:p>
        </w:tc>
        <w:tc>
          <w:tcPr>
            <w:tcW w:w="1340" w:type="dxa"/>
            <w:vAlign w:val="bottom"/>
            <w:gridSpan w:val="2"/>
            <w:vMerge w:val="restart"/>
          </w:tcPr>
          <w:p>
            <w:pPr>
              <w:ind w:left="60"/>
              <w:spacing w:after="0"/>
              <w:rPr>
                <w:sz w:val="20"/>
                <w:szCs w:val="20"/>
                <w:color w:val="auto"/>
              </w:rPr>
            </w:pPr>
            <w:r>
              <w:rPr>
                <w:rFonts w:ascii="Arial" w:cs="Arial" w:eastAsia="Arial" w:hAnsi="Arial"/>
                <w:sz w:val="15"/>
                <w:szCs w:val="15"/>
                <w:b w:val="1"/>
                <w:bCs w:val="1"/>
                <w:color w:val="auto"/>
              </w:rPr>
              <w:t>Accumulated</w:t>
            </w: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jc w:val="center"/>
              <w:ind w:right="280"/>
              <w:spacing w:after="0" w:line="148" w:lineRule="exact"/>
              <w:rPr>
                <w:sz w:val="20"/>
                <w:szCs w:val="20"/>
                <w:color w:val="auto"/>
              </w:rPr>
            </w:pPr>
            <w:r>
              <w:rPr>
                <w:rFonts w:ascii="Arial" w:cs="Arial" w:eastAsia="Arial" w:hAnsi="Arial"/>
                <w:sz w:val="15"/>
                <w:szCs w:val="15"/>
                <w:b w:val="1"/>
                <w:bCs w:val="1"/>
                <w:color w:val="auto"/>
              </w:rPr>
              <w:t>Gross</w:t>
            </w:r>
          </w:p>
        </w:tc>
        <w:tc>
          <w:tcPr>
            <w:tcW w:w="140" w:type="dxa"/>
            <w:vAlign w:val="bottom"/>
          </w:tcPr>
          <w:p>
            <w:pPr>
              <w:spacing w:after="0"/>
              <w:rPr>
                <w:sz w:val="12"/>
                <w:szCs w:val="12"/>
                <w:color w:val="auto"/>
              </w:rPr>
            </w:pPr>
          </w:p>
        </w:tc>
        <w:tc>
          <w:tcPr>
            <w:tcW w:w="1340" w:type="dxa"/>
            <w:vAlign w:val="bottom"/>
            <w:gridSpan w:val="2"/>
            <w:vMerge w:val="restart"/>
          </w:tcPr>
          <w:p>
            <w:pPr>
              <w:ind w:left="60"/>
              <w:spacing w:after="0"/>
              <w:rPr>
                <w:sz w:val="20"/>
                <w:szCs w:val="20"/>
                <w:color w:val="auto"/>
              </w:rPr>
            </w:pPr>
            <w:r>
              <w:rPr>
                <w:rFonts w:ascii="Arial" w:cs="Arial" w:eastAsia="Arial" w:hAnsi="Arial"/>
                <w:sz w:val="15"/>
                <w:szCs w:val="15"/>
                <w:b w:val="1"/>
                <w:bCs w:val="1"/>
                <w:color w:val="auto"/>
              </w:rPr>
              <w:t>Accumulated</w:t>
            </w: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gridSpan w:val="2"/>
          </w:tcPr>
          <w:p>
            <w:pPr>
              <w:jc w:val="center"/>
              <w:ind w:right="280"/>
              <w:spacing w:after="0" w:line="155" w:lineRule="exact"/>
              <w:rPr>
                <w:sz w:val="20"/>
                <w:szCs w:val="20"/>
                <w:color w:val="auto"/>
              </w:rPr>
            </w:pPr>
            <w:r>
              <w:rPr>
                <w:rFonts w:ascii="Arial" w:cs="Arial" w:eastAsia="Arial" w:hAnsi="Arial"/>
                <w:sz w:val="15"/>
                <w:szCs w:val="15"/>
                <w:b w:val="1"/>
                <w:bCs w:val="1"/>
                <w:color w:val="auto"/>
              </w:rPr>
              <w:t>Carrying</w:t>
            </w:r>
          </w:p>
        </w:tc>
        <w:tc>
          <w:tcPr>
            <w:tcW w:w="140" w:type="dxa"/>
            <w:vAlign w:val="bottom"/>
          </w:tcPr>
          <w:p>
            <w:pPr>
              <w:spacing w:after="0"/>
              <w:rPr>
                <w:sz w:val="13"/>
                <w:szCs w:val="13"/>
                <w:color w:val="auto"/>
              </w:rPr>
            </w:pPr>
          </w:p>
        </w:tc>
        <w:tc>
          <w:tcPr>
            <w:tcW w:w="134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5"/>
                <w:szCs w:val="15"/>
                <w:b w:val="1"/>
                <w:bCs w:val="1"/>
                <w:color w:val="auto"/>
              </w:rPr>
              <w:t>Total</w:t>
            </w:r>
          </w:p>
        </w:tc>
        <w:tc>
          <w:tcPr>
            <w:tcW w:w="180" w:type="dxa"/>
            <w:vAlign w:val="bottom"/>
          </w:tcPr>
          <w:p>
            <w:pPr>
              <w:spacing w:after="0"/>
              <w:rPr>
                <w:sz w:val="13"/>
                <w:szCs w:val="13"/>
                <w:color w:val="auto"/>
              </w:rPr>
            </w:pPr>
          </w:p>
        </w:tc>
        <w:tc>
          <w:tcPr>
            <w:tcW w:w="1040" w:type="dxa"/>
            <w:vAlign w:val="bottom"/>
            <w:gridSpan w:val="2"/>
          </w:tcPr>
          <w:p>
            <w:pPr>
              <w:jc w:val="center"/>
              <w:ind w:right="280"/>
              <w:spacing w:after="0" w:line="155" w:lineRule="exact"/>
              <w:rPr>
                <w:sz w:val="20"/>
                <w:szCs w:val="20"/>
                <w:color w:val="auto"/>
              </w:rPr>
            </w:pPr>
            <w:r>
              <w:rPr>
                <w:rFonts w:ascii="Arial" w:cs="Arial" w:eastAsia="Arial" w:hAnsi="Arial"/>
                <w:sz w:val="15"/>
                <w:szCs w:val="15"/>
                <w:b w:val="1"/>
                <w:bCs w:val="1"/>
                <w:color w:val="auto"/>
              </w:rPr>
              <w:t>Carrying</w:t>
            </w:r>
          </w:p>
        </w:tc>
        <w:tc>
          <w:tcPr>
            <w:tcW w:w="140" w:type="dxa"/>
            <w:vAlign w:val="bottom"/>
          </w:tcPr>
          <w:p>
            <w:pPr>
              <w:spacing w:after="0"/>
              <w:rPr>
                <w:sz w:val="13"/>
                <w:szCs w:val="13"/>
                <w:color w:val="auto"/>
              </w:rPr>
            </w:pPr>
          </w:p>
        </w:tc>
        <w:tc>
          <w:tcPr>
            <w:tcW w:w="134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vMerge w:val="restart"/>
          </w:tcPr>
          <w:p>
            <w:pPr>
              <w:jc w:val="right"/>
              <w:ind w:right="263"/>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155"/>
        </w:trPr>
        <w:tc>
          <w:tcPr>
            <w:tcW w:w="366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4"/>
                <w:szCs w:val="14"/>
                <w:i w:val="1"/>
                <w:iCs w:val="1"/>
                <w:color w:val="auto"/>
              </w:rPr>
              <w:t>(in millions)</w:t>
            </w:r>
          </w:p>
        </w:tc>
        <w:tc>
          <w:tcPr>
            <w:tcW w:w="160" w:type="dxa"/>
            <w:vAlign w:val="bottom"/>
          </w:tcPr>
          <w:p>
            <w:pPr>
              <w:spacing w:after="0"/>
              <w:rPr>
                <w:sz w:val="13"/>
                <w:szCs w:val="13"/>
                <w:color w:val="auto"/>
              </w:rPr>
            </w:pPr>
          </w:p>
        </w:tc>
        <w:tc>
          <w:tcPr>
            <w:tcW w:w="1040" w:type="dxa"/>
            <w:vAlign w:val="bottom"/>
            <w:gridSpan w:val="2"/>
          </w:tcPr>
          <w:p>
            <w:pPr>
              <w:jc w:val="center"/>
              <w:ind w:right="280"/>
              <w:spacing w:after="0" w:line="135" w:lineRule="exact"/>
              <w:rPr>
                <w:sz w:val="20"/>
                <w:szCs w:val="20"/>
                <w:color w:val="auto"/>
              </w:rPr>
            </w:pPr>
            <w:r>
              <w:rPr>
                <w:rFonts w:ascii="Arial" w:cs="Arial" w:eastAsia="Arial" w:hAnsi="Arial"/>
                <w:sz w:val="15"/>
                <w:szCs w:val="15"/>
                <w:b w:val="1"/>
                <w:bCs w:val="1"/>
                <w:color w:val="auto"/>
              </w:rPr>
              <w:t>Amount</w:t>
            </w:r>
          </w:p>
        </w:tc>
        <w:tc>
          <w:tcPr>
            <w:tcW w:w="140" w:type="dxa"/>
            <w:vAlign w:val="bottom"/>
          </w:tcPr>
          <w:p>
            <w:pPr>
              <w:spacing w:after="0"/>
              <w:rPr>
                <w:sz w:val="13"/>
                <w:szCs w:val="13"/>
                <w:color w:val="auto"/>
              </w:rPr>
            </w:pPr>
          </w:p>
        </w:tc>
        <w:tc>
          <w:tcPr>
            <w:tcW w:w="1340" w:type="dxa"/>
            <w:vAlign w:val="bottom"/>
            <w:gridSpan w:val="2"/>
          </w:tcPr>
          <w:p>
            <w:pPr>
              <w:ind w:left="60"/>
              <w:spacing w:after="0" w:line="135" w:lineRule="exact"/>
              <w:rPr>
                <w:sz w:val="20"/>
                <w:szCs w:val="20"/>
                <w:color w:val="auto"/>
              </w:rPr>
            </w:pPr>
            <w:r>
              <w:rPr>
                <w:rFonts w:ascii="Arial" w:cs="Arial" w:eastAsia="Arial" w:hAnsi="Arial"/>
                <w:sz w:val="15"/>
                <w:szCs w:val="15"/>
                <w:b w:val="1"/>
                <w:bCs w:val="1"/>
                <w:color w:val="auto"/>
              </w:rPr>
              <w:t>Amortization</w:t>
            </w:r>
          </w:p>
        </w:tc>
        <w:tc>
          <w:tcPr>
            <w:tcW w:w="220" w:type="dxa"/>
            <w:vAlign w:val="bottom"/>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gridSpan w:val="2"/>
          </w:tcPr>
          <w:p>
            <w:pPr>
              <w:jc w:val="center"/>
              <w:ind w:right="300"/>
              <w:spacing w:after="0" w:line="135" w:lineRule="exact"/>
              <w:rPr>
                <w:sz w:val="20"/>
                <w:szCs w:val="20"/>
                <w:color w:val="auto"/>
              </w:rPr>
            </w:pPr>
            <w:r>
              <w:rPr>
                <w:rFonts w:ascii="Arial" w:cs="Arial" w:eastAsia="Arial" w:hAnsi="Arial"/>
                <w:sz w:val="15"/>
                <w:szCs w:val="15"/>
                <w:b w:val="1"/>
                <w:bCs w:val="1"/>
                <w:color w:val="auto"/>
              </w:rPr>
              <w:t>Amount</w:t>
            </w:r>
          </w:p>
        </w:tc>
        <w:tc>
          <w:tcPr>
            <w:tcW w:w="140" w:type="dxa"/>
            <w:vAlign w:val="bottom"/>
          </w:tcPr>
          <w:p>
            <w:pPr>
              <w:spacing w:after="0"/>
              <w:rPr>
                <w:sz w:val="13"/>
                <w:szCs w:val="13"/>
                <w:color w:val="auto"/>
              </w:rPr>
            </w:pPr>
          </w:p>
        </w:tc>
        <w:tc>
          <w:tcPr>
            <w:tcW w:w="1340" w:type="dxa"/>
            <w:vAlign w:val="bottom"/>
            <w:gridSpan w:val="2"/>
          </w:tcPr>
          <w:p>
            <w:pPr>
              <w:ind w:left="80"/>
              <w:spacing w:after="0" w:line="135" w:lineRule="exact"/>
              <w:rPr>
                <w:sz w:val="20"/>
                <w:szCs w:val="20"/>
                <w:color w:val="auto"/>
              </w:rPr>
            </w:pPr>
            <w:r>
              <w:rPr>
                <w:rFonts w:ascii="Arial" w:cs="Arial" w:eastAsia="Arial" w:hAnsi="Arial"/>
                <w:sz w:val="15"/>
                <w:szCs w:val="15"/>
                <w:b w:val="1"/>
                <w:bCs w:val="1"/>
                <w:color w:val="auto"/>
              </w:rPr>
              <w:t>Amortization</w:t>
            </w:r>
          </w:p>
        </w:tc>
        <w:tc>
          <w:tcPr>
            <w:tcW w:w="24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2"/>
        </w:trPr>
        <w:tc>
          <w:tcPr>
            <w:tcW w:w="20" w:type="dxa"/>
            <w:vAlign w:val="bottom"/>
            <w:tcBorders>
              <w:bottom w:val="single" w:sz="8" w:color="DCE2EF"/>
            </w:tcBorders>
          </w:tcPr>
          <w:p>
            <w:pPr>
              <w:spacing w:after="0"/>
              <w:rPr>
                <w:sz w:val="2"/>
                <w:szCs w:val="2"/>
                <w:color w:val="auto"/>
              </w:rPr>
            </w:pPr>
          </w:p>
        </w:tc>
        <w:tc>
          <w:tcPr>
            <w:tcW w:w="680" w:type="dxa"/>
            <w:vAlign w:val="bottom"/>
            <w:tcBorders>
              <w:top w:val="single" w:sz="8" w:color="auto"/>
              <w:bottom w:val="single" w:sz="8" w:color="DCE2EF"/>
            </w:tcBorders>
          </w:tcPr>
          <w:p>
            <w:pPr>
              <w:spacing w:after="0"/>
              <w:rPr>
                <w:sz w:val="2"/>
                <w:szCs w:val="2"/>
                <w:color w:val="auto"/>
              </w:rPr>
            </w:pPr>
          </w:p>
        </w:tc>
        <w:tc>
          <w:tcPr>
            <w:tcW w:w="2960" w:type="dxa"/>
            <w:vAlign w:val="bottom"/>
            <w:tcBorders>
              <w:bottom w:val="single" w:sz="8" w:color="DCE2E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DCE2E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DCE2E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DCE2E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9"/>
        </w:trPr>
        <w:tc>
          <w:tcPr>
            <w:tcW w:w="3660" w:type="dxa"/>
            <w:vAlign w:val="bottom"/>
            <w:gridSpan w:val="3"/>
            <w:shd w:val="clear" w:color="auto" w:fill="DCE2EF"/>
          </w:tcPr>
          <w:p>
            <w:pPr>
              <w:ind w:left="20"/>
              <w:spacing w:after="0"/>
              <w:rPr>
                <w:sz w:val="20"/>
                <w:szCs w:val="20"/>
                <w:color w:val="auto"/>
              </w:rPr>
            </w:pPr>
            <w:r>
              <w:rPr>
                <w:rFonts w:ascii="Arial" w:cs="Arial" w:eastAsia="Arial" w:hAnsi="Arial"/>
                <w:sz w:val="15"/>
                <w:szCs w:val="15"/>
                <w:color w:val="auto"/>
              </w:rPr>
              <w:t>Customer contracts and relationships</w:t>
            </w:r>
          </w:p>
        </w:tc>
        <w:tc>
          <w:tcPr>
            <w:tcW w:w="160" w:type="dxa"/>
            <w:vAlign w:val="bottom"/>
            <w:shd w:val="clear" w:color="auto" w:fill="DCE2EF"/>
          </w:tcPr>
          <w:p>
            <w:pPr>
              <w:jc w:val="right"/>
              <w:spacing w:after="0"/>
              <w:rPr>
                <w:sz w:val="20"/>
                <w:szCs w:val="20"/>
                <w:color w:val="auto"/>
              </w:rPr>
            </w:pPr>
            <w:r>
              <w:rPr>
                <w:rFonts w:ascii="Arial" w:cs="Arial" w:eastAsia="Arial" w:hAnsi="Arial"/>
                <w:sz w:val="15"/>
                <w:szCs w:val="15"/>
                <w:color w:val="auto"/>
                <w:w w:val="95"/>
              </w:rPr>
              <w:t>$</w:t>
            </w:r>
          </w:p>
        </w:tc>
        <w:tc>
          <w:tcPr>
            <w:tcW w:w="920" w:type="dxa"/>
            <w:vAlign w:val="bottom"/>
            <w:shd w:val="clear" w:color="auto" w:fill="DCE2EF"/>
          </w:tcPr>
          <w:p>
            <w:pPr>
              <w:jc w:val="right"/>
              <w:spacing w:after="0"/>
              <w:rPr>
                <w:sz w:val="20"/>
                <w:szCs w:val="20"/>
                <w:color w:val="auto"/>
              </w:rPr>
            </w:pPr>
            <w:r>
              <w:rPr>
                <w:rFonts w:ascii="Arial" w:cs="Arial" w:eastAsia="Arial" w:hAnsi="Arial"/>
                <w:sz w:val="15"/>
                <w:szCs w:val="15"/>
                <w:color w:val="auto"/>
              </w:rPr>
              <w:t>761.7</w:t>
            </w:r>
          </w:p>
        </w:tc>
        <w:tc>
          <w:tcPr>
            <w:tcW w:w="120" w:type="dxa"/>
            <w:vAlign w:val="bottom"/>
            <w:shd w:val="clear" w:color="auto" w:fill="DCE2EF"/>
          </w:tcPr>
          <w:p>
            <w:pPr>
              <w:spacing w:after="0"/>
              <w:rPr>
                <w:sz w:val="17"/>
                <w:szCs w:val="17"/>
                <w:color w:val="auto"/>
              </w:rPr>
            </w:pPr>
          </w:p>
        </w:tc>
        <w:tc>
          <w:tcPr>
            <w:tcW w:w="140" w:type="dxa"/>
            <w:vAlign w:val="bottom"/>
            <w:shd w:val="clear" w:color="auto" w:fill="DCE2EF"/>
          </w:tcPr>
          <w:p>
            <w:pPr>
              <w:jc w:val="right"/>
              <w:spacing w:after="0"/>
              <w:rPr>
                <w:sz w:val="20"/>
                <w:szCs w:val="20"/>
                <w:color w:val="auto"/>
              </w:rPr>
            </w:pPr>
            <w:r>
              <w:rPr>
                <w:rFonts w:ascii="Arial" w:cs="Arial" w:eastAsia="Arial" w:hAnsi="Arial"/>
                <w:sz w:val="15"/>
                <w:szCs w:val="15"/>
                <w:color w:val="auto"/>
                <w:w w:val="95"/>
              </w:rPr>
              <w:t>$</w:t>
            </w:r>
          </w:p>
        </w:tc>
        <w:tc>
          <w:tcPr>
            <w:tcW w:w="1220" w:type="dxa"/>
            <w:vAlign w:val="bottom"/>
            <w:shd w:val="clear" w:color="auto" w:fill="DCE2EF"/>
          </w:tcPr>
          <w:p>
            <w:pPr>
              <w:jc w:val="right"/>
              <w:spacing w:after="0"/>
              <w:rPr>
                <w:sz w:val="20"/>
                <w:szCs w:val="20"/>
                <w:color w:val="auto"/>
              </w:rPr>
            </w:pPr>
            <w:r>
              <w:rPr>
                <w:rFonts w:ascii="Arial" w:cs="Arial" w:eastAsia="Arial" w:hAnsi="Arial"/>
                <w:sz w:val="15"/>
                <w:szCs w:val="15"/>
                <w:color w:val="auto"/>
              </w:rPr>
              <w:t>(518.7)</w:t>
            </w:r>
          </w:p>
        </w:tc>
        <w:tc>
          <w:tcPr>
            <w:tcW w:w="120" w:type="dxa"/>
            <w:vAlign w:val="bottom"/>
            <w:shd w:val="clear" w:color="auto" w:fill="DCE2EF"/>
          </w:tcPr>
          <w:p>
            <w:pPr>
              <w:spacing w:after="0"/>
              <w:rPr>
                <w:sz w:val="17"/>
                <w:szCs w:val="17"/>
                <w:color w:val="auto"/>
              </w:rPr>
            </w:pPr>
          </w:p>
        </w:tc>
        <w:tc>
          <w:tcPr>
            <w:tcW w:w="220" w:type="dxa"/>
            <w:vAlign w:val="bottom"/>
            <w:shd w:val="clear" w:color="auto" w:fill="DCE2EF"/>
          </w:tcPr>
          <w:p>
            <w:pPr>
              <w:jc w:val="right"/>
              <w:ind w:right="43"/>
              <w:spacing w:after="0"/>
              <w:rPr>
                <w:sz w:val="20"/>
                <w:szCs w:val="20"/>
                <w:color w:val="auto"/>
              </w:rPr>
            </w:pPr>
            <w:r>
              <w:rPr>
                <w:rFonts w:ascii="Arial" w:cs="Arial" w:eastAsia="Arial" w:hAnsi="Arial"/>
                <w:sz w:val="15"/>
                <w:szCs w:val="15"/>
                <w:color w:val="auto"/>
                <w:w w:val="95"/>
              </w:rPr>
              <w:t>$</w:t>
            </w:r>
          </w:p>
        </w:tc>
        <w:tc>
          <w:tcPr>
            <w:tcW w:w="820" w:type="dxa"/>
            <w:vAlign w:val="bottom"/>
            <w:shd w:val="clear" w:color="auto" w:fill="DCE2EF"/>
          </w:tcPr>
          <w:p>
            <w:pPr>
              <w:jc w:val="right"/>
              <w:ind w:right="3"/>
              <w:spacing w:after="0"/>
              <w:rPr>
                <w:sz w:val="20"/>
                <w:szCs w:val="20"/>
                <w:color w:val="auto"/>
              </w:rPr>
            </w:pPr>
            <w:r>
              <w:rPr>
                <w:rFonts w:ascii="Arial" w:cs="Arial" w:eastAsia="Arial" w:hAnsi="Arial"/>
                <w:sz w:val="15"/>
                <w:szCs w:val="15"/>
                <w:color w:val="auto"/>
              </w:rPr>
              <w:t>242.9</w:t>
            </w:r>
          </w:p>
        </w:tc>
        <w:tc>
          <w:tcPr>
            <w:tcW w:w="100" w:type="dxa"/>
            <w:vAlign w:val="bottom"/>
            <w:shd w:val="clear" w:color="auto" w:fill="DCE2EF"/>
          </w:tcPr>
          <w:p>
            <w:pPr>
              <w:spacing w:after="0"/>
              <w:rPr>
                <w:sz w:val="17"/>
                <w:szCs w:val="17"/>
                <w:color w:val="auto"/>
              </w:rPr>
            </w:pPr>
          </w:p>
        </w:tc>
        <w:tc>
          <w:tcPr>
            <w:tcW w:w="180" w:type="dxa"/>
            <w:vAlign w:val="bottom"/>
            <w:shd w:val="clear" w:color="auto" w:fill="DCE2EF"/>
          </w:tcPr>
          <w:p>
            <w:pPr>
              <w:jc w:val="right"/>
              <w:ind w:right="3"/>
              <w:spacing w:after="0"/>
              <w:rPr>
                <w:sz w:val="20"/>
                <w:szCs w:val="20"/>
                <w:color w:val="auto"/>
              </w:rPr>
            </w:pPr>
            <w:r>
              <w:rPr>
                <w:rFonts w:ascii="Arial" w:cs="Arial" w:eastAsia="Arial" w:hAnsi="Arial"/>
                <w:sz w:val="15"/>
                <w:szCs w:val="15"/>
                <w:color w:val="auto"/>
                <w:w w:val="95"/>
              </w:rPr>
              <w:t>$</w:t>
            </w:r>
          </w:p>
        </w:tc>
        <w:tc>
          <w:tcPr>
            <w:tcW w:w="920" w:type="dxa"/>
            <w:vAlign w:val="bottom"/>
            <w:shd w:val="clear" w:color="auto" w:fill="DCE2EF"/>
          </w:tcPr>
          <w:p>
            <w:pPr>
              <w:jc w:val="right"/>
              <w:spacing w:after="0"/>
              <w:rPr>
                <w:sz w:val="20"/>
                <w:szCs w:val="20"/>
                <w:color w:val="auto"/>
              </w:rPr>
            </w:pPr>
            <w:r>
              <w:rPr>
                <w:rFonts w:ascii="Arial" w:cs="Arial" w:eastAsia="Arial" w:hAnsi="Arial"/>
                <w:sz w:val="15"/>
                <w:szCs w:val="15"/>
                <w:color w:val="auto"/>
              </w:rPr>
              <w:t>748.2</w:t>
            </w:r>
          </w:p>
        </w:tc>
        <w:tc>
          <w:tcPr>
            <w:tcW w:w="120" w:type="dxa"/>
            <w:vAlign w:val="bottom"/>
            <w:shd w:val="clear" w:color="auto" w:fill="DCE2EF"/>
          </w:tcPr>
          <w:p>
            <w:pPr>
              <w:spacing w:after="0"/>
              <w:rPr>
                <w:sz w:val="17"/>
                <w:szCs w:val="17"/>
                <w:color w:val="auto"/>
              </w:rPr>
            </w:pPr>
          </w:p>
        </w:tc>
        <w:tc>
          <w:tcPr>
            <w:tcW w:w="140" w:type="dxa"/>
            <w:vAlign w:val="bottom"/>
            <w:shd w:val="clear" w:color="auto" w:fill="DCE2EF"/>
          </w:tcPr>
          <w:p>
            <w:pPr>
              <w:jc w:val="right"/>
              <w:spacing w:after="0"/>
              <w:rPr>
                <w:sz w:val="20"/>
                <w:szCs w:val="20"/>
                <w:color w:val="auto"/>
              </w:rPr>
            </w:pPr>
            <w:r>
              <w:rPr>
                <w:rFonts w:ascii="Arial" w:cs="Arial" w:eastAsia="Arial" w:hAnsi="Arial"/>
                <w:sz w:val="15"/>
                <w:szCs w:val="15"/>
                <w:color w:val="auto"/>
                <w:w w:val="95"/>
              </w:rPr>
              <w:t>$</w:t>
            </w:r>
          </w:p>
        </w:tc>
        <w:tc>
          <w:tcPr>
            <w:tcW w:w="1240" w:type="dxa"/>
            <w:vAlign w:val="bottom"/>
            <w:shd w:val="clear" w:color="auto" w:fill="DCE2EF"/>
          </w:tcPr>
          <w:p>
            <w:pPr>
              <w:jc w:val="right"/>
              <w:spacing w:after="0"/>
              <w:rPr>
                <w:sz w:val="20"/>
                <w:szCs w:val="20"/>
                <w:color w:val="auto"/>
              </w:rPr>
            </w:pPr>
            <w:r>
              <w:rPr>
                <w:rFonts w:ascii="Arial" w:cs="Arial" w:eastAsia="Arial" w:hAnsi="Arial"/>
                <w:sz w:val="15"/>
                <w:szCs w:val="15"/>
                <w:color w:val="auto"/>
              </w:rPr>
              <w:t>(467.2)</w:t>
            </w:r>
          </w:p>
        </w:tc>
        <w:tc>
          <w:tcPr>
            <w:tcW w:w="100" w:type="dxa"/>
            <w:vAlign w:val="bottom"/>
            <w:shd w:val="clear" w:color="auto" w:fill="DCE2EF"/>
          </w:tcPr>
          <w:p>
            <w:pPr>
              <w:spacing w:after="0"/>
              <w:rPr>
                <w:sz w:val="17"/>
                <w:szCs w:val="17"/>
                <w:color w:val="auto"/>
              </w:rPr>
            </w:pPr>
          </w:p>
        </w:tc>
        <w:tc>
          <w:tcPr>
            <w:tcW w:w="240" w:type="dxa"/>
            <w:vAlign w:val="bottom"/>
            <w:shd w:val="clear" w:color="auto" w:fill="DCE2EF"/>
          </w:tcPr>
          <w:p>
            <w:pPr>
              <w:jc w:val="right"/>
              <w:ind w:right="43"/>
              <w:spacing w:after="0"/>
              <w:rPr>
                <w:sz w:val="20"/>
                <w:szCs w:val="20"/>
                <w:color w:val="auto"/>
              </w:rPr>
            </w:pPr>
            <w:r>
              <w:rPr>
                <w:rFonts w:ascii="Arial" w:cs="Arial" w:eastAsia="Arial" w:hAnsi="Arial"/>
                <w:sz w:val="15"/>
                <w:szCs w:val="15"/>
                <w:color w:val="auto"/>
              </w:rPr>
              <w:t>$</w:t>
            </w:r>
          </w:p>
        </w:tc>
        <w:tc>
          <w:tcPr>
            <w:tcW w:w="820" w:type="dxa"/>
            <w:vAlign w:val="bottom"/>
            <w:shd w:val="clear" w:color="auto" w:fill="DCE2EF"/>
          </w:tcPr>
          <w:p>
            <w:pPr>
              <w:jc w:val="right"/>
              <w:spacing w:after="0"/>
              <w:rPr>
                <w:sz w:val="20"/>
                <w:szCs w:val="20"/>
                <w:color w:val="auto"/>
              </w:rPr>
            </w:pPr>
            <w:r>
              <w:rPr>
                <w:rFonts w:ascii="Arial" w:cs="Arial" w:eastAsia="Arial" w:hAnsi="Arial"/>
                <w:sz w:val="15"/>
                <w:szCs w:val="15"/>
                <w:color w:val="auto"/>
              </w:rPr>
              <w:t>281.0</w:t>
            </w:r>
          </w:p>
        </w:tc>
        <w:tc>
          <w:tcPr>
            <w:tcW w:w="0" w:type="dxa"/>
            <w:vAlign w:val="bottom"/>
          </w:tcPr>
          <w:p>
            <w:pPr>
              <w:spacing w:after="0"/>
              <w:rPr>
                <w:sz w:val="1"/>
                <w:szCs w:val="1"/>
                <w:color w:val="auto"/>
              </w:rPr>
            </w:pPr>
          </w:p>
        </w:tc>
      </w:tr>
      <w:tr>
        <w:trPr>
          <w:trHeight w:val="205"/>
        </w:trPr>
        <w:tc>
          <w:tcPr>
            <w:tcW w:w="3660" w:type="dxa"/>
            <w:vAlign w:val="bottom"/>
            <w:gridSpan w:val="3"/>
          </w:tcPr>
          <w:p>
            <w:pPr>
              <w:ind w:left="20"/>
              <w:spacing w:after="0"/>
              <w:rPr>
                <w:sz w:val="20"/>
                <w:szCs w:val="20"/>
                <w:color w:val="auto"/>
              </w:rPr>
            </w:pPr>
            <w:r>
              <w:rPr>
                <w:rFonts w:ascii="Arial" w:cs="Arial" w:eastAsia="Arial" w:hAnsi="Arial"/>
                <w:sz w:val="15"/>
                <w:szCs w:val="15"/>
                <w:color w:val="auto"/>
              </w:rPr>
              <w:t>Trademarks and trade names</w:t>
            </w: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13.1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(12.8)</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ind w:right="3"/>
              <w:spacing w:after="0"/>
              <w:rPr>
                <w:sz w:val="20"/>
                <w:szCs w:val="20"/>
                <w:color w:val="auto"/>
              </w:rPr>
            </w:pPr>
            <w:r>
              <w:rPr>
                <w:rFonts w:ascii="Arial" w:cs="Arial" w:eastAsia="Arial" w:hAnsi="Arial"/>
                <w:sz w:val="15"/>
                <w:szCs w:val="15"/>
                <w:color w:val="auto"/>
              </w:rPr>
              <w:t>0.3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12.7</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(11.7)</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1.0</w:t>
            </w:r>
          </w:p>
        </w:tc>
        <w:tc>
          <w:tcPr>
            <w:tcW w:w="0" w:type="dxa"/>
            <w:vAlign w:val="bottom"/>
          </w:tcPr>
          <w:p>
            <w:pPr>
              <w:spacing w:after="0"/>
              <w:rPr>
                <w:sz w:val="1"/>
                <w:szCs w:val="1"/>
                <w:color w:val="auto"/>
              </w:rPr>
            </w:pPr>
          </w:p>
        </w:tc>
      </w:tr>
      <w:tr>
        <w:trPr>
          <w:trHeight w:val="207"/>
        </w:trPr>
        <w:tc>
          <w:tcPr>
            <w:tcW w:w="3660" w:type="dxa"/>
            <w:vAlign w:val="bottom"/>
            <w:gridSpan w:val="3"/>
            <w:shd w:val="clear" w:color="auto" w:fill="DCE2EF"/>
          </w:tcPr>
          <w:p>
            <w:pPr>
              <w:ind w:left="20"/>
              <w:spacing w:after="0"/>
              <w:rPr>
                <w:sz w:val="20"/>
                <w:szCs w:val="20"/>
                <w:color w:val="auto"/>
              </w:rPr>
            </w:pPr>
            <w:r>
              <w:rPr>
                <w:rFonts w:ascii="Arial" w:cs="Arial" w:eastAsia="Arial" w:hAnsi="Arial"/>
                <w:sz w:val="15"/>
                <w:szCs w:val="15"/>
                <w:color w:val="auto"/>
              </w:rPr>
              <w:t>Contract rights and other</w:t>
            </w:r>
          </w:p>
        </w:tc>
        <w:tc>
          <w:tcPr>
            <w:tcW w:w="160" w:type="dxa"/>
            <w:vAlign w:val="bottom"/>
            <w:shd w:val="clear" w:color="auto" w:fill="DCE2EF"/>
          </w:tcPr>
          <w:p>
            <w:pPr>
              <w:spacing w:after="0"/>
              <w:rPr>
                <w:sz w:val="18"/>
                <w:szCs w:val="18"/>
                <w:color w:val="auto"/>
              </w:rPr>
            </w:pPr>
          </w:p>
        </w:tc>
        <w:tc>
          <w:tcPr>
            <w:tcW w:w="920" w:type="dxa"/>
            <w:vAlign w:val="bottom"/>
            <w:shd w:val="clear" w:color="auto" w:fill="DCE2EF"/>
          </w:tcPr>
          <w:p>
            <w:pPr>
              <w:jc w:val="right"/>
              <w:spacing w:after="0"/>
              <w:rPr>
                <w:sz w:val="20"/>
                <w:szCs w:val="20"/>
                <w:color w:val="auto"/>
              </w:rPr>
            </w:pPr>
            <w:r>
              <w:rPr>
                <w:rFonts w:ascii="Arial" w:cs="Arial" w:eastAsia="Arial" w:hAnsi="Arial"/>
                <w:sz w:val="15"/>
                <w:szCs w:val="15"/>
                <w:color w:val="auto"/>
              </w:rPr>
              <w:t>0.7</w:t>
            </w:r>
          </w:p>
        </w:tc>
        <w:tc>
          <w:tcPr>
            <w:tcW w:w="120" w:type="dxa"/>
            <w:vAlign w:val="bottom"/>
            <w:shd w:val="clear" w:color="auto" w:fill="DCE2EF"/>
          </w:tcPr>
          <w:p>
            <w:pPr>
              <w:spacing w:after="0"/>
              <w:rPr>
                <w:sz w:val="18"/>
                <w:szCs w:val="18"/>
                <w:color w:val="auto"/>
              </w:rPr>
            </w:pPr>
          </w:p>
        </w:tc>
        <w:tc>
          <w:tcPr>
            <w:tcW w:w="140" w:type="dxa"/>
            <w:vAlign w:val="bottom"/>
            <w:shd w:val="clear" w:color="auto" w:fill="DCE2EF"/>
          </w:tcPr>
          <w:p>
            <w:pPr>
              <w:spacing w:after="0"/>
              <w:rPr>
                <w:sz w:val="18"/>
                <w:szCs w:val="18"/>
                <w:color w:val="auto"/>
              </w:rPr>
            </w:pPr>
          </w:p>
        </w:tc>
        <w:tc>
          <w:tcPr>
            <w:tcW w:w="1220" w:type="dxa"/>
            <w:vAlign w:val="bottom"/>
            <w:shd w:val="clear" w:color="auto" w:fill="DCE2EF"/>
          </w:tcPr>
          <w:p>
            <w:pPr>
              <w:jc w:val="right"/>
              <w:spacing w:after="0"/>
              <w:rPr>
                <w:sz w:val="20"/>
                <w:szCs w:val="20"/>
                <w:color w:val="auto"/>
              </w:rPr>
            </w:pPr>
            <w:r>
              <w:rPr>
                <w:rFonts w:ascii="Arial" w:cs="Arial" w:eastAsia="Arial" w:hAnsi="Arial"/>
                <w:sz w:val="15"/>
                <w:szCs w:val="15"/>
                <w:color w:val="auto"/>
              </w:rPr>
              <w:t>(0.7)</w:t>
            </w:r>
          </w:p>
        </w:tc>
        <w:tc>
          <w:tcPr>
            <w:tcW w:w="120" w:type="dxa"/>
            <w:vAlign w:val="bottom"/>
            <w:shd w:val="clear" w:color="auto" w:fill="DCE2EF"/>
          </w:tcPr>
          <w:p>
            <w:pPr>
              <w:spacing w:after="0"/>
              <w:rPr>
                <w:sz w:val="18"/>
                <w:szCs w:val="18"/>
                <w:color w:val="auto"/>
              </w:rPr>
            </w:pPr>
          </w:p>
        </w:tc>
        <w:tc>
          <w:tcPr>
            <w:tcW w:w="220" w:type="dxa"/>
            <w:vAlign w:val="bottom"/>
            <w:shd w:val="clear" w:color="auto" w:fill="DCE2EF"/>
          </w:tcPr>
          <w:p>
            <w:pPr>
              <w:spacing w:after="0"/>
              <w:rPr>
                <w:sz w:val="18"/>
                <w:szCs w:val="18"/>
                <w:color w:val="auto"/>
              </w:rPr>
            </w:pPr>
          </w:p>
        </w:tc>
        <w:tc>
          <w:tcPr>
            <w:tcW w:w="920" w:type="dxa"/>
            <w:vAlign w:val="bottom"/>
            <w:gridSpan w:val="2"/>
            <w:shd w:val="clear" w:color="auto" w:fill="DCE2EF"/>
          </w:tcPr>
          <w:p>
            <w:pPr>
              <w:jc w:val="right"/>
              <w:ind w:right="180"/>
              <w:spacing w:after="0"/>
              <w:rPr>
                <w:sz w:val="20"/>
                <w:szCs w:val="20"/>
                <w:color w:val="auto"/>
              </w:rPr>
            </w:pPr>
            <w:r>
              <w:rPr>
                <w:rFonts w:ascii="Arial" w:cs="Arial" w:eastAsia="Arial" w:hAnsi="Arial"/>
                <w:sz w:val="15"/>
                <w:szCs w:val="15"/>
                <w:color w:val="auto"/>
              </w:rPr>
              <w:t>—</w:t>
            </w:r>
          </w:p>
        </w:tc>
        <w:tc>
          <w:tcPr>
            <w:tcW w:w="180" w:type="dxa"/>
            <w:vAlign w:val="bottom"/>
            <w:shd w:val="clear" w:color="auto" w:fill="DCE2EF"/>
          </w:tcPr>
          <w:p>
            <w:pPr>
              <w:spacing w:after="0"/>
              <w:rPr>
                <w:sz w:val="18"/>
                <w:szCs w:val="18"/>
                <w:color w:val="auto"/>
              </w:rPr>
            </w:pPr>
          </w:p>
        </w:tc>
        <w:tc>
          <w:tcPr>
            <w:tcW w:w="920" w:type="dxa"/>
            <w:vAlign w:val="bottom"/>
            <w:shd w:val="clear" w:color="auto" w:fill="DCE2EF"/>
          </w:tcPr>
          <w:p>
            <w:pPr>
              <w:jc w:val="right"/>
              <w:spacing w:after="0"/>
              <w:rPr>
                <w:sz w:val="20"/>
                <w:szCs w:val="20"/>
                <w:color w:val="auto"/>
              </w:rPr>
            </w:pPr>
            <w:r>
              <w:rPr>
                <w:rFonts w:ascii="Arial" w:cs="Arial" w:eastAsia="Arial" w:hAnsi="Arial"/>
                <w:sz w:val="15"/>
                <w:szCs w:val="15"/>
                <w:color w:val="auto"/>
              </w:rPr>
              <w:t>0.7</w:t>
            </w:r>
          </w:p>
        </w:tc>
        <w:tc>
          <w:tcPr>
            <w:tcW w:w="120" w:type="dxa"/>
            <w:vAlign w:val="bottom"/>
            <w:shd w:val="clear" w:color="auto" w:fill="DCE2EF"/>
          </w:tcPr>
          <w:p>
            <w:pPr>
              <w:spacing w:after="0"/>
              <w:rPr>
                <w:sz w:val="18"/>
                <w:szCs w:val="18"/>
                <w:color w:val="auto"/>
              </w:rPr>
            </w:pPr>
          </w:p>
        </w:tc>
        <w:tc>
          <w:tcPr>
            <w:tcW w:w="140" w:type="dxa"/>
            <w:vAlign w:val="bottom"/>
            <w:shd w:val="clear" w:color="auto" w:fill="DCE2EF"/>
          </w:tcPr>
          <w:p>
            <w:pPr>
              <w:spacing w:after="0"/>
              <w:rPr>
                <w:sz w:val="18"/>
                <w:szCs w:val="18"/>
                <w:color w:val="auto"/>
              </w:rPr>
            </w:pPr>
          </w:p>
        </w:tc>
        <w:tc>
          <w:tcPr>
            <w:tcW w:w="1240" w:type="dxa"/>
            <w:vAlign w:val="bottom"/>
            <w:shd w:val="clear" w:color="auto" w:fill="DCE2EF"/>
          </w:tcPr>
          <w:p>
            <w:pPr>
              <w:jc w:val="right"/>
              <w:spacing w:after="0"/>
              <w:rPr>
                <w:sz w:val="20"/>
                <w:szCs w:val="20"/>
                <w:color w:val="auto"/>
              </w:rPr>
            </w:pPr>
            <w:r>
              <w:rPr>
                <w:rFonts w:ascii="Arial" w:cs="Arial" w:eastAsia="Arial" w:hAnsi="Arial"/>
                <w:sz w:val="15"/>
                <w:szCs w:val="15"/>
                <w:color w:val="auto"/>
              </w:rPr>
              <w:t>(0.3)</w:t>
            </w:r>
          </w:p>
        </w:tc>
        <w:tc>
          <w:tcPr>
            <w:tcW w:w="100" w:type="dxa"/>
            <w:vAlign w:val="bottom"/>
            <w:shd w:val="clear" w:color="auto" w:fill="DCE2EF"/>
          </w:tcPr>
          <w:p>
            <w:pPr>
              <w:spacing w:after="0"/>
              <w:rPr>
                <w:sz w:val="18"/>
                <w:szCs w:val="18"/>
                <w:color w:val="auto"/>
              </w:rPr>
            </w:pPr>
          </w:p>
        </w:tc>
        <w:tc>
          <w:tcPr>
            <w:tcW w:w="240" w:type="dxa"/>
            <w:vAlign w:val="bottom"/>
            <w:shd w:val="clear" w:color="auto" w:fill="DCE2EF"/>
          </w:tcPr>
          <w:p>
            <w:pPr>
              <w:spacing w:after="0"/>
              <w:rPr>
                <w:sz w:val="18"/>
                <w:szCs w:val="18"/>
                <w:color w:val="auto"/>
              </w:rPr>
            </w:pPr>
          </w:p>
        </w:tc>
        <w:tc>
          <w:tcPr>
            <w:tcW w:w="820" w:type="dxa"/>
            <w:vAlign w:val="bottom"/>
            <w:shd w:val="clear" w:color="auto" w:fill="DCE2EF"/>
          </w:tcPr>
          <w:p>
            <w:pPr>
              <w:jc w:val="right"/>
              <w:spacing w:after="0"/>
              <w:rPr>
                <w:sz w:val="20"/>
                <w:szCs w:val="20"/>
                <w:color w:val="auto"/>
              </w:rPr>
            </w:pPr>
            <w:r>
              <w:rPr>
                <w:rFonts w:ascii="Arial" w:cs="Arial" w:eastAsia="Arial" w:hAnsi="Arial"/>
                <w:sz w:val="15"/>
                <w:szCs w:val="15"/>
                <w:color w:val="auto"/>
              </w:rPr>
              <w:t>0.5</w:t>
            </w:r>
          </w:p>
        </w:tc>
        <w:tc>
          <w:tcPr>
            <w:tcW w:w="0" w:type="dxa"/>
            <w:vAlign w:val="bottom"/>
          </w:tcPr>
          <w:p>
            <w:pPr>
              <w:spacing w:after="0"/>
              <w:rPr>
                <w:sz w:val="1"/>
                <w:szCs w:val="1"/>
                <w:color w:val="auto"/>
              </w:rPr>
            </w:pPr>
          </w:p>
        </w:tc>
      </w:tr>
      <w:tr>
        <w:trPr>
          <w:trHeight w:val="431"/>
        </w:trPr>
        <w:tc>
          <w:tcPr>
            <w:tcW w:w="3660" w:type="dxa"/>
            <w:vAlign w:val="bottom"/>
            <w:gridSpan w:val="3"/>
          </w:tcPr>
          <w:p>
            <w:pPr>
              <w:ind w:left="20"/>
              <w:spacing w:after="0"/>
              <w:rPr>
                <w:sz w:val="20"/>
                <w:szCs w:val="20"/>
                <w:color w:val="auto"/>
              </w:rPr>
            </w:pPr>
            <w:r>
              <w:rPr>
                <w:rFonts w:ascii="Arial" w:cs="Arial" w:eastAsia="Arial" w:hAnsi="Arial"/>
                <w:sz w:val="15"/>
                <w:szCs w:val="15"/>
                <w:b w:val="1"/>
                <w:bCs w:val="1"/>
                <w:color w:val="auto"/>
              </w:rPr>
              <w:t>Total</w:t>
            </w:r>
            <w:r>
              <w:rPr>
                <w:rFonts w:ascii="Arial" w:cs="Arial" w:eastAsia="Arial" w:hAnsi="Arial"/>
                <w:sz w:val="20"/>
                <w:szCs w:val="20"/>
                <w:color w:val="auto"/>
                <w:vertAlign w:val="superscript"/>
              </w:rPr>
              <w:t>(1)</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775.5</w:t>
            </w:r>
          </w:p>
        </w:tc>
        <w:tc>
          <w:tcPr>
            <w:tcW w:w="120" w:type="dxa"/>
            <w:vAlign w:val="bottom"/>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(532.2)</w:t>
            </w:r>
          </w:p>
        </w:tc>
        <w:tc>
          <w:tcPr>
            <w:tcW w:w="120" w:type="dxa"/>
            <w:vAlign w:val="bottom"/>
          </w:tcPr>
          <w:p>
            <w:pPr>
              <w:spacing w:after="0"/>
              <w:rPr>
                <w:sz w:val="24"/>
                <w:szCs w:val="24"/>
                <w:color w:val="auto"/>
              </w:rPr>
            </w:pPr>
          </w:p>
        </w:tc>
        <w:tc>
          <w:tcPr>
            <w:tcW w:w="22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5"/>
                <w:szCs w:val="15"/>
                <w:color w:val="auto"/>
                <w:w w:val="95"/>
              </w:rPr>
              <w:t>$</w:t>
            </w:r>
          </w:p>
        </w:tc>
        <w:tc>
          <w:tcPr>
            <w:tcW w:w="82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rPr>
              <w:t>243.2</w:t>
            </w:r>
          </w:p>
        </w:tc>
        <w:tc>
          <w:tcPr>
            <w:tcW w:w="100" w:type="dxa"/>
            <w:vAlign w:val="bottom"/>
          </w:tcPr>
          <w:p>
            <w:pPr>
              <w:spacing w:after="0"/>
              <w:rPr>
                <w:sz w:val="24"/>
                <w:szCs w:val="24"/>
                <w:color w:val="auto"/>
              </w:rPr>
            </w:pPr>
          </w:p>
        </w:tc>
        <w:tc>
          <w:tcPr>
            <w:tcW w:w="18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w w:val="95"/>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761.7</w:t>
            </w:r>
          </w:p>
        </w:tc>
        <w:tc>
          <w:tcPr>
            <w:tcW w:w="120" w:type="dxa"/>
            <w:vAlign w:val="bottom"/>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(479.3)</w:t>
            </w:r>
          </w:p>
        </w:tc>
        <w:tc>
          <w:tcPr>
            <w:tcW w:w="100" w:type="dxa"/>
            <w:vAlign w:val="bottom"/>
          </w:tcPr>
          <w:p>
            <w:pPr>
              <w:spacing w:after="0"/>
              <w:rPr>
                <w:sz w:val="24"/>
                <w:szCs w:val="24"/>
                <w:color w:val="auto"/>
              </w:rPr>
            </w:pPr>
          </w:p>
        </w:tc>
        <w:tc>
          <w:tcPr>
            <w:tcW w:w="24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5"/>
                <w:szCs w:val="15"/>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282.4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left="160" w:hanging="157"/>
        <w:spacing w:after="0"/>
        <w:tabs>
          <w:tab w:leader="none" w:pos="160" w:val="left"/>
        </w:tabs>
        <w:numPr>
          <w:ilvl w:val="0"/>
          <w:numId w:val="33"/>
        </w:numPr>
        <w:rPr>
          <w:rFonts w:ascii="Arial" w:cs="Arial" w:eastAsia="Arial" w:hAnsi="Arial"/>
          <w:sz w:val="19"/>
          <w:szCs w:val="19"/>
          <w:color w:val="auto"/>
          <w:vertAlign w:val="superscript"/>
        </w:rPr>
      </w:pPr>
      <w:r>
        <w:rPr>
          <w:rFonts w:ascii="Arial" w:cs="Arial" w:eastAsia="Arial" w:hAnsi="Arial"/>
          <w:sz w:val="15"/>
          <w:szCs w:val="15"/>
          <w:color w:val="auto"/>
        </w:rPr>
        <w:t>These intangible assets are being amortized over the expected period of benefit, with a weighted average life of approximately 11 years.</w:t>
      </w: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020" w:type="dxa"/>
            <w:vAlign w:val="bottom"/>
            <w:gridSpan w:val="7"/>
          </w:tcPr>
          <w:p>
            <w:pPr>
              <w:spacing w:after="0"/>
              <w:rPr>
                <w:sz w:val="20"/>
                <w:szCs w:val="20"/>
                <w:color w:val="auto"/>
              </w:rPr>
            </w:pPr>
            <w:r>
              <w:rPr>
                <w:rFonts w:ascii="Arial" w:cs="Arial" w:eastAsia="Arial" w:hAnsi="Arial"/>
                <w:sz w:val="17"/>
                <w:szCs w:val="17"/>
                <w:b w:val="1"/>
                <w:bCs w:val="1"/>
                <w:i w:val="1"/>
                <w:iCs w:val="1"/>
                <w:color w:val="0046AD"/>
              </w:rPr>
              <w:t>Estimated Annual Amortization Expense for Each of the Next Five Years</w:t>
            </w: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336"/>
        </w:trPr>
        <w:tc>
          <w:tcPr>
            <w:tcW w:w="4260" w:type="dxa"/>
            <w:vAlign w:val="bottom"/>
            <w:gridSpan w:val="3"/>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80" w:type="dxa"/>
            <w:vAlign w:val="bottom"/>
          </w:tcPr>
          <w:p>
            <w:pPr>
              <w:spacing w:after="0"/>
              <w:rPr>
                <w:sz w:val="24"/>
                <w:szCs w:val="24"/>
                <w:color w:val="auto"/>
              </w:rPr>
            </w:pPr>
          </w:p>
        </w:tc>
        <w:tc>
          <w:tcPr>
            <w:tcW w:w="1040" w:type="dxa"/>
            <w:vAlign w:val="bottom"/>
          </w:tcPr>
          <w:p>
            <w:pPr>
              <w:jc w:val="right"/>
              <w:ind w:right="394"/>
              <w:spacing w:after="0"/>
              <w:rPr>
                <w:sz w:val="20"/>
                <w:szCs w:val="20"/>
                <w:color w:val="auto"/>
              </w:rPr>
            </w:pPr>
            <w:r>
              <w:rPr>
                <w:rFonts w:ascii="Arial" w:cs="Arial" w:eastAsia="Arial" w:hAnsi="Arial"/>
                <w:sz w:val="17"/>
                <w:szCs w:val="17"/>
                <w:b w:val="1"/>
                <w:bCs w:val="1"/>
                <w:color w:val="auto"/>
              </w:rPr>
              <w:t>2026</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jc w:val="right"/>
              <w:ind w:right="394"/>
              <w:spacing w:after="0"/>
              <w:rPr>
                <w:sz w:val="20"/>
                <w:szCs w:val="20"/>
                <w:color w:val="auto"/>
              </w:rPr>
            </w:pPr>
            <w:r>
              <w:rPr>
                <w:rFonts w:ascii="Arial" w:cs="Arial" w:eastAsia="Arial" w:hAnsi="Arial"/>
                <w:sz w:val="17"/>
                <w:szCs w:val="17"/>
                <w:b w:val="1"/>
                <w:bCs w:val="1"/>
                <w:color w:val="auto"/>
              </w:rPr>
              <w:t>2027</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ind w:right="374"/>
              <w:spacing w:after="0"/>
              <w:rPr>
                <w:sz w:val="20"/>
                <w:szCs w:val="20"/>
                <w:color w:val="auto"/>
              </w:rPr>
            </w:pPr>
            <w:r>
              <w:rPr>
                <w:rFonts w:ascii="Arial" w:cs="Arial" w:eastAsia="Arial" w:hAnsi="Arial"/>
                <w:sz w:val="17"/>
                <w:szCs w:val="17"/>
                <w:b w:val="1"/>
                <w:bCs w:val="1"/>
                <w:color w:val="auto"/>
              </w:rPr>
              <w:t>2028</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ind w:right="374"/>
              <w:spacing w:after="0"/>
              <w:rPr>
                <w:sz w:val="20"/>
                <w:szCs w:val="20"/>
                <w:color w:val="auto"/>
              </w:rPr>
            </w:pPr>
            <w:r>
              <w:rPr>
                <w:rFonts w:ascii="Arial" w:cs="Arial" w:eastAsia="Arial" w:hAnsi="Arial"/>
                <w:sz w:val="17"/>
                <w:szCs w:val="17"/>
                <w:b w:val="1"/>
                <w:bCs w:val="1"/>
                <w:color w:val="auto"/>
              </w:rPr>
              <w:t>2029</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ind w:right="374"/>
              <w:spacing w:after="0"/>
              <w:rPr>
                <w:sz w:val="20"/>
                <w:szCs w:val="20"/>
                <w:color w:val="auto"/>
              </w:rPr>
            </w:pPr>
            <w:r>
              <w:rPr>
                <w:rFonts w:ascii="Arial" w:cs="Arial" w:eastAsia="Arial" w:hAnsi="Arial"/>
                <w:sz w:val="17"/>
                <w:szCs w:val="17"/>
                <w:b w:val="1"/>
                <w:bCs w:val="1"/>
                <w:color w:val="auto"/>
              </w:rPr>
              <w:t>2030</w:t>
            </w:r>
          </w:p>
        </w:tc>
      </w:tr>
      <w:tr>
        <w:trPr>
          <w:trHeight w:val="32"/>
        </w:trPr>
        <w:tc>
          <w:tcPr>
            <w:tcW w:w="20" w:type="dxa"/>
            <w:vAlign w:val="bottom"/>
            <w:tcBorders>
              <w:bottom w:val="single" w:sz="8" w:color="DCE2EF"/>
            </w:tcBorders>
          </w:tcPr>
          <w:p>
            <w:pPr>
              <w:spacing w:after="0"/>
              <w:rPr>
                <w:sz w:val="2"/>
                <w:szCs w:val="2"/>
                <w:color w:val="auto"/>
              </w:rPr>
            </w:pPr>
          </w:p>
        </w:tc>
        <w:tc>
          <w:tcPr>
            <w:tcW w:w="680" w:type="dxa"/>
            <w:vAlign w:val="bottom"/>
            <w:tcBorders>
              <w:top w:val="single" w:sz="8" w:color="auto"/>
              <w:bottom w:val="single" w:sz="8" w:color="DCE2EF"/>
            </w:tcBorders>
          </w:tcPr>
          <w:p>
            <w:pPr>
              <w:spacing w:after="0"/>
              <w:rPr>
                <w:sz w:val="2"/>
                <w:szCs w:val="2"/>
                <w:color w:val="auto"/>
              </w:rPr>
            </w:pPr>
          </w:p>
        </w:tc>
        <w:tc>
          <w:tcPr>
            <w:tcW w:w="3560" w:type="dxa"/>
            <w:vAlign w:val="bottom"/>
            <w:tcBorders>
              <w:bottom w:val="single" w:sz="8" w:color="DCE2E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DCE2E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2"/>
        </w:trPr>
        <w:tc>
          <w:tcPr>
            <w:tcW w:w="4260" w:type="dxa"/>
            <w:vAlign w:val="bottom"/>
            <w:gridSpan w:val="3"/>
            <w:shd w:val="clear" w:color="auto" w:fill="DCE2EF"/>
          </w:tcPr>
          <w:p>
            <w:pPr>
              <w:ind w:left="20"/>
              <w:spacing w:after="0" w:line="212" w:lineRule="exact"/>
              <w:rPr>
                <w:sz w:val="20"/>
                <w:szCs w:val="20"/>
                <w:color w:val="auto"/>
              </w:rPr>
            </w:pPr>
            <w:r>
              <w:rPr>
                <w:rFonts w:ascii="Arial" w:cs="Arial" w:eastAsia="Arial" w:hAnsi="Arial"/>
                <w:sz w:val="17"/>
                <w:szCs w:val="17"/>
                <w:color w:val="auto"/>
              </w:rPr>
              <w:t>Estimated amortization expense</w:t>
            </w:r>
            <w:r>
              <w:rPr>
                <w:rFonts w:ascii="Arial" w:cs="Arial" w:eastAsia="Arial" w:hAnsi="Arial"/>
                <w:sz w:val="22"/>
                <w:szCs w:val="22"/>
                <w:color w:val="auto"/>
                <w:vertAlign w:val="superscript"/>
              </w:rPr>
              <w:t>(1)</w:t>
            </w:r>
          </w:p>
        </w:tc>
        <w:tc>
          <w:tcPr>
            <w:tcW w:w="280" w:type="dxa"/>
            <w:vAlign w:val="bottom"/>
            <w:shd w:val="clear" w:color="auto" w:fill="DCE2EF"/>
          </w:tcPr>
          <w:p>
            <w:pPr>
              <w:jc w:val="right"/>
              <w:ind w:right="74"/>
              <w:spacing w:after="0"/>
              <w:rPr>
                <w:sz w:val="20"/>
                <w:szCs w:val="20"/>
                <w:color w:val="auto"/>
              </w:rPr>
            </w:pPr>
            <w:r>
              <w:rPr>
                <w:rFonts w:ascii="Arial" w:cs="Arial" w:eastAsia="Arial" w:hAnsi="Arial"/>
                <w:sz w:val="17"/>
                <w:szCs w:val="17"/>
                <w:color w:val="auto"/>
              </w:rPr>
              <w:t>$</w:t>
            </w:r>
          </w:p>
        </w:tc>
        <w:tc>
          <w:tcPr>
            <w:tcW w:w="1040" w:type="dxa"/>
            <w:vAlign w:val="bottom"/>
            <w:shd w:val="clear" w:color="auto" w:fill="DCE2EF"/>
          </w:tcPr>
          <w:p>
            <w:pPr>
              <w:jc w:val="right"/>
              <w:spacing w:after="0"/>
              <w:rPr>
                <w:sz w:val="20"/>
                <w:szCs w:val="20"/>
                <w:color w:val="auto"/>
              </w:rPr>
            </w:pPr>
            <w:r>
              <w:rPr>
                <w:rFonts w:ascii="Arial" w:cs="Arial" w:eastAsia="Arial" w:hAnsi="Arial"/>
                <w:sz w:val="17"/>
                <w:szCs w:val="17"/>
                <w:color w:val="auto"/>
              </w:rPr>
              <w:t>46.5</w:t>
            </w:r>
          </w:p>
        </w:tc>
        <w:tc>
          <w:tcPr>
            <w:tcW w:w="100" w:type="dxa"/>
            <w:vAlign w:val="bottom"/>
            <w:shd w:val="clear" w:color="auto" w:fill="DCE2EF"/>
          </w:tcPr>
          <w:p>
            <w:pPr>
              <w:spacing w:after="0"/>
              <w:rPr>
                <w:sz w:val="18"/>
                <w:szCs w:val="18"/>
                <w:color w:val="auto"/>
              </w:rPr>
            </w:pPr>
          </w:p>
        </w:tc>
        <w:tc>
          <w:tcPr>
            <w:tcW w:w="340" w:type="dxa"/>
            <w:vAlign w:val="bottom"/>
            <w:shd w:val="clear" w:color="auto" w:fill="DCE2EF"/>
          </w:tcPr>
          <w:p>
            <w:pPr>
              <w:jc w:val="right"/>
              <w:ind w:right="154"/>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DCE2EF"/>
          </w:tcPr>
          <w:p>
            <w:pPr>
              <w:jc w:val="right"/>
              <w:spacing w:after="0"/>
              <w:rPr>
                <w:sz w:val="20"/>
                <w:szCs w:val="20"/>
                <w:color w:val="auto"/>
              </w:rPr>
            </w:pPr>
            <w:r>
              <w:rPr>
                <w:rFonts w:ascii="Arial" w:cs="Arial" w:eastAsia="Arial" w:hAnsi="Arial"/>
                <w:sz w:val="17"/>
                <w:szCs w:val="17"/>
                <w:color w:val="auto"/>
              </w:rPr>
              <w:t>40.4</w:t>
            </w:r>
          </w:p>
        </w:tc>
        <w:tc>
          <w:tcPr>
            <w:tcW w:w="100" w:type="dxa"/>
            <w:vAlign w:val="bottom"/>
            <w:shd w:val="clear" w:color="auto" w:fill="DCE2EF"/>
          </w:tcPr>
          <w:p>
            <w:pPr>
              <w:spacing w:after="0"/>
              <w:rPr>
                <w:sz w:val="18"/>
                <w:szCs w:val="18"/>
                <w:color w:val="auto"/>
              </w:rPr>
            </w:pPr>
          </w:p>
        </w:tc>
        <w:tc>
          <w:tcPr>
            <w:tcW w:w="280" w:type="dxa"/>
            <w:vAlign w:val="bottom"/>
            <w:shd w:val="clear" w:color="auto" w:fill="DCE2EF"/>
          </w:tcPr>
          <w:p>
            <w:pPr>
              <w:jc w:val="right"/>
              <w:ind w:right="94"/>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DCE2EF"/>
          </w:tcPr>
          <w:p>
            <w:pPr>
              <w:jc w:val="right"/>
              <w:spacing w:after="0"/>
              <w:rPr>
                <w:sz w:val="20"/>
                <w:szCs w:val="20"/>
                <w:color w:val="auto"/>
              </w:rPr>
            </w:pPr>
            <w:r>
              <w:rPr>
                <w:rFonts w:ascii="Arial" w:cs="Arial" w:eastAsia="Arial" w:hAnsi="Arial"/>
                <w:sz w:val="17"/>
                <w:szCs w:val="17"/>
                <w:color w:val="auto"/>
              </w:rPr>
              <w:t>35.0</w:t>
            </w:r>
          </w:p>
        </w:tc>
        <w:tc>
          <w:tcPr>
            <w:tcW w:w="120" w:type="dxa"/>
            <w:vAlign w:val="bottom"/>
            <w:shd w:val="clear" w:color="auto" w:fill="DCE2EF"/>
          </w:tcPr>
          <w:p>
            <w:pPr>
              <w:spacing w:after="0"/>
              <w:rPr>
                <w:sz w:val="18"/>
                <w:szCs w:val="18"/>
                <w:color w:val="auto"/>
              </w:rPr>
            </w:pPr>
          </w:p>
        </w:tc>
        <w:tc>
          <w:tcPr>
            <w:tcW w:w="280" w:type="dxa"/>
            <w:vAlign w:val="bottom"/>
            <w:shd w:val="clear" w:color="auto" w:fill="DCE2EF"/>
          </w:tcPr>
          <w:p>
            <w:pPr>
              <w:jc w:val="right"/>
              <w:ind w:right="94"/>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DCE2EF"/>
          </w:tcPr>
          <w:p>
            <w:pPr>
              <w:jc w:val="right"/>
              <w:spacing w:after="0"/>
              <w:rPr>
                <w:sz w:val="20"/>
                <w:szCs w:val="20"/>
                <w:color w:val="auto"/>
              </w:rPr>
            </w:pPr>
            <w:r>
              <w:rPr>
                <w:rFonts w:ascii="Arial" w:cs="Arial" w:eastAsia="Arial" w:hAnsi="Arial"/>
                <w:sz w:val="17"/>
                <w:szCs w:val="17"/>
                <w:color w:val="auto"/>
              </w:rPr>
              <w:t>29.7</w:t>
            </w:r>
          </w:p>
        </w:tc>
        <w:tc>
          <w:tcPr>
            <w:tcW w:w="100" w:type="dxa"/>
            <w:vAlign w:val="bottom"/>
            <w:shd w:val="clear" w:color="auto" w:fill="DCE2EF"/>
          </w:tcPr>
          <w:p>
            <w:pPr>
              <w:spacing w:after="0"/>
              <w:rPr>
                <w:sz w:val="18"/>
                <w:szCs w:val="18"/>
                <w:color w:val="auto"/>
              </w:rPr>
            </w:pPr>
          </w:p>
        </w:tc>
        <w:tc>
          <w:tcPr>
            <w:tcW w:w="300" w:type="dxa"/>
            <w:vAlign w:val="bottom"/>
            <w:shd w:val="clear" w:color="auto" w:fill="DCE2EF"/>
          </w:tcPr>
          <w:p>
            <w:pPr>
              <w:jc w:val="right"/>
              <w:ind w:right="94"/>
              <w:spacing w:after="0"/>
              <w:rPr>
                <w:sz w:val="20"/>
                <w:szCs w:val="20"/>
                <w:color w:val="auto"/>
              </w:rPr>
            </w:pPr>
            <w:r>
              <w:rPr>
                <w:rFonts w:ascii="Arial" w:cs="Arial" w:eastAsia="Arial" w:hAnsi="Arial"/>
                <w:sz w:val="17"/>
                <w:szCs w:val="17"/>
                <w:color w:val="auto"/>
              </w:rPr>
              <w:t>$</w:t>
            </w:r>
          </w:p>
        </w:tc>
        <w:tc>
          <w:tcPr>
            <w:tcW w:w="1020" w:type="dxa"/>
            <w:vAlign w:val="bottom"/>
            <w:shd w:val="clear" w:color="auto" w:fill="DCE2EF"/>
          </w:tcPr>
          <w:p>
            <w:pPr>
              <w:jc w:val="right"/>
              <w:spacing w:after="0"/>
              <w:rPr>
                <w:sz w:val="20"/>
                <w:szCs w:val="20"/>
                <w:color w:val="auto"/>
              </w:rPr>
            </w:pPr>
            <w:r>
              <w:rPr>
                <w:rFonts w:ascii="Arial" w:cs="Arial" w:eastAsia="Arial" w:hAnsi="Arial"/>
                <w:sz w:val="17"/>
                <w:szCs w:val="17"/>
                <w:color w:val="auto"/>
              </w:rPr>
              <w:t>24.6</w:t>
            </w:r>
          </w:p>
        </w:tc>
      </w:tr>
    </w:tbl>
    <w:p>
      <w:pPr>
        <w:spacing w:after="0" w:line="257" w:lineRule="exact"/>
        <w:rPr>
          <w:sz w:val="20"/>
          <w:szCs w:val="20"/>
          <w:color w:val="auto"/>
        </w:rPr>
      </w:pPr>
    </w:p>
    <w:p>
      <w:pPr>
        <w:ind w:left="160" w:hanging="157"/>
        <w:spacing w:after="0"/>
        <w:tabs>
          <w:tab w:leader="none" w:pos="160" w:val="left"/>
        </w:tabs>
        <w:numPr>
          <w:ilvl w:val="0"/>
          <w:numId w:val="34"/>
        </w:numPr>
        <w:rPr>
          <w:rFonts w:ascii="Arial" w:cs="Arial" w:eastAsia="Arial" w:hAnsi="Arial"/>
          <w:sz w:val="19"/>
          <w:szCs w:val="19"/>
          <w:color w:val="auto"/>
          <w:vertAlign w:val="superscript"/>
        </w:rPr>
      </w:pPr>
      <w:r>
        <w:rPr>
          <w:rFonts w:ascii="Arial" w:cs="Arial" w:eastAsia="Arial" w:hAnsi="Arial"/>
          <w:sz w:val="15"/>
          <w:szCs w:val="15"/>
          <w:color w:val="auto"/>
        </w:rPr>
        <w:t>These amounts could vary as acquisitions of additional intangible assets occur in the future and as acquisition accounting is finalized for existing acquisitions.</w:t>
      </w:r>
    </w:p>
    <w:p>
      <w:pPr>
        <w:spacing w:after="0" w:line="139"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The estimates of future cash flows used in determining the fair value of goodwill and other intangible assets involve significant management judgment and are based upon assumptions about expected future operating performance, economic conditions, market conditions, and cost of capital. Inherent in estimating the future cash flows are uncertainties beyond our control, such as changes in capital markets. The actual cash flows could differ materially from management’s estimates due to changes in business conditions, operating performance, and economic conditions.</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65" w:right="339" w:bottom="1440" w:gutter="0" w:footer="0" w:header="0"/>
        </w:sectPr>
      </w:pPr>
    </w:p>
    <w:bookmarkStart w:id="73" w:name="page74"/>
    <w:bookmarkEnd w:id="73"/>
    <w:p>
      <w:pPr>
        <w:spacing w:after="0" w:line="112"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11. INSURANCE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wp:posOffset>
            </wp:positionV>
            <wp:extent cx="712216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22160" cy="8255"/>
                    </a:xfrm>
                    <a:prstGeom prst="rect">
                      <a:avLst/>
                    </a:prstGeom>
                    <a:noFill/>
                  </pic:spPr>
                </pic:pic>
              </a:graphicData>
            </a:graphic>
          </wp:anchor>
        </w:drawing>
      </w:r>
    </w:p>
    <w:p>
      <w:pPr>
        <w:spacing w:after="0" w:line="315" w:lineRule="exact"/>
        <w:rPr>
          <w:sz w:val="20"/>
          <w:szCs w:val="20"/>
          <w:color w:val="auto"/>
        </w:rPr>
      </w:pPr>
    </w:p>
    <w:p>
      <w:pPr>
        <w:jc w:val="both"/>
        <w:ind w:firstLine="619"/>
        <w:spacing w:after="0" w:line="258" w:lineRule="auto"/>
        <w:rPr>
          <w:sz w:val="20"/>
          <w:szCs w:val="20"/>
          <w:color w:val="auto"/>
        </w:rPr>
      </w:pPr>
      <w:r>
        <w:rPr>
          <w:rFonts w:ascii="Arial" w:cs="Arial" w:eastAsia="Arial" w:hAnsi="Arial"/>
          <w:sz w:val="17"/>
          <w:szCs w:val="17"/>
          <w:color w:val="auto"/>
        </w:rPr>
        <w:t>We utilize a combination of insured and self-insurance programs to manage risks associated with workers’ compensation, general liability, automobile liability, property damage, and other insurable exposures. For most of these programs, we retain the initial $1.0 million to $5.0 million of exposure per occurrence through deductibles or self-insured retentions. To protect against losses exceeding the retained deductible or self-insured retention, we carry commercial umbrella insurance providing aggregate coverage of up to $200.0 million for general liability and automobile liability claims. Our workers’ compensation insurance provides coverage to the full extent of statutory requirements. For property damage risks, we maintain policies that provide per-occurrence limits of $75.0 million above our retained amounts. We are also self-insured for certain employee medical and dental benefits and maintain stop-loss insurance for our self-insured medical plan under which we retain up to $0.5 million of exposure per participant, per policy year.</w:t>
      </w:r>
    </w:p>
    <w:p>
      <w:pPr>
        <w:spacing w:after="0" w:line="124" w:lineRule="exact"/>
        <w:rPr>
          <w:sz w:val="20"/>
          <w:szCs w:val="20"/>
          <w:color w:val="auto"/>
        </w:rPr>
      </w:pPr>
    </w:p>
    <w:p>
      <w:pPr>
        <w:jc w:val="both"/>
        <w:ind w:firstLine="619"/>
        <w:spacing w:after="0" w:line="260" w:lineRule="auto"/>
        <w:rPr>
          <w:sz w:val="20"/>
          <w:szCs w:val="20"/>
          <w:color w:val="auto"/>
        </w:rPr>
      </w:pPr>
      <w:r>
        <w:rPr>
          <w:rFonts w:ascii="Arial" w:cs="Arial" w:eastAsia="Arial" w:hAnsi="Arial"/>
          <w:sz w:val="17"/>
          <w:szCs w:val="17"/>
          <w:color w:val="auto"/>
        </w:rPr>
        <w:t>We maintain reserves for workers’ compensation, general liability, automobile liability, and property damage insurance claims based on known trends, current events, and actuarial estimates of required reserves, as reflected in our most recently completed actuarial reports. These reserves represent our best estimate of potential liabilities for unpaid losses and loss adjustment expenses. The estimate of the ultimate unpaid obligation for such risks includes both case reserves for reported claims and an amount for losses incurred but not yet reported as of the balance sheet date. The results of actuarial reviews are used to estimate our insurance rates and insurance reserves for future periods and to adjust reserves, if appropriate, for prior years.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Insurance Reserve Adjustments</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46AD"/>
        </w:rPr>
        <w:t>Actuarial Reviews and Updates Performed During 2025</w:t>
      </w:r>
    </w:p>
    <w:p>
      <w:pPr>
        <w:spacing w:after="0" w:line="165"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We utilize a combination of third-party insurance and self-insurance mechanisms, including a wholly owned captive insurance subsidiary, to manage potential liabilities associated with automobile liability, general liability, and workers’ compensation risks. Claim and claim adjustment expense reserves represent management’s estimates of the amounts required to resolve all outstanding claims, including IBNR claims, as of the reporting date.</w:t>
      </w:r>
    </w:p>
    <w:p>
      <w:pPr>
        <w:spacing w:after="0" w:line="116"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Reserves are determined using generally accepted actuarial methods applied to historical claims data and adjusted for assumptions regarding loss development patterns, expected loss costs, and trends in claim frequency and severity. Estimates also consider factors such as settlement practices, inflation, and changes in economic, legal, and social environments. Because reserve estimation involves significant judgment and inherent variability, actual results may differ from recorded amounts. Management believes current reserves are reasonable and adequate based on available information and actuarial analyses.</w:t>
      </w:r>
    </w:p>
    <w:p>
      <w:pPr>
        <w:spacing w:after="0" w:line="119"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During 2025, we completed comprehensive actuarial reviews of our casualty insurance programs (the “Actuarial Reviews”) covering the periods of May 1, 2024, through October 31, 2024, November 1, 2024, through April 30, 2025, and May 1, 2025, through September 30, 2025. The Actuarial Reviews evaluated reserve adequacy based on loss-development patterns, trend assumptions, and underlying expected loss costs. During the second quarter of 2025, we performed interim actuarial update (the “Interim Update”) reflecting actual versus expected claim development and payment activity for the respective periods, relying on key assumptions from the Actuarial Reviews.</w:t>
      </w:r>
    </w:p>
    <w:p>
      <w:pPr>
        <w:spacing w:after="0" w:line="119"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7"/>
          <w:szCs w:val="17"/>
          <w:color w:val="auto"/>
        </w:rPr>
        <w:t>Based on these analyses, we increased our total reserves related to prior year known claims and estimated IBNR losses during 2025 by $23.3 million. The adverse development was primarily attributable to higher-than-expected development on workers’ compensation claims in California and general liability claims from prior years. In 2024, we increased our total reserves related to prior year claims by $20.3 million.</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46AD"/>
        </w:rPr>
        <w:t>Insurance-Related Balances and Activity</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18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rPr>
              <w:t>As of October 31,</w:t>
            </w:r>
          </w:p>
        </w:tc>
        <w:tc>
          <w:tcPr>
            <w:tcW w:w="1200" w:type="dxa"/>
            <w:vAlign w:val="bottom"/>
            <w:tcBorders>
              <w:bottom w:val="single" w:sz="8" w:color="auto"/>
            </w:tcBorders>
          </w:tcPr>
          <w:p>
            <w:pPr>
              <w:spacing w:after="0"/>
              <w:rPr>
                <w:sz w:val="19"/>
                <w:szCs w:val="19"/>
                <w:color w:val="auto"/>
              </w:rPr>
            </w:pPr>
          </w:p>
        </w:tc>
      </w:tr>
      <w:tr>
        <w:trPr>
          <w:trHeight w:val="160"/>
        </w:trPr>
        <w:tc>
          <w:tcPr>
            <w:tcW w:w="4880" w:type="dxa"/>
            <w:vAlign w:val="bottom"/>
            <w:gridSpan w:val="3"/>
          </w:tcPr>
          <w:p>
            <w:pPr>
              <w:ind w:left="20"/>
              <w:spacing w:after="0" w:line="148" w:lineRule="exact"/>
              <w:rPr>
                <w:sz w:val="20"/>
                <w:szCs w:val="20"/>
                <w:color w:val="auto"/>
              </w:rPr>
            </w:pPr>
            <w:r>
              <w:rPr>
                <w:rFonts w:ascii="Times New Roman" w:cs="Times New Roman" w:eastAsia="Times New Roman" w:hAnsi="Times New Roman"/>
                <w:sz w:val="14"/>
                <w:szCs w:val="14"/>
                <w:i w:val="1"/>
                <w:iCs w:val="1"/>
                <w:color w:val="auto"/>
              </w:rPr>
              <w:t>(in millions)</w:t>
            </w:r>
          </w:p>
        </w:tc>
        <w:tc>
          <w:tcPr>
            <w:tcW w:w="24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80" w:type="dxa"/>
            <w:vAlign w:val="bottom"/>
          </w:tcPr>
          <w:p>
            <w:pPr>
              <w:jc w:val="right"/>
              <w:ind w:right="694"/>
              <w:spacing w:after="0" w:line="148" w:lineRule="exact"/>
              <w:rPr>
                <w:sz w:val="20"/>
                <w:szCs w:val="20"/>
                <w:color w:val="auto"/>
              </w:rPr>
            </w:pPr>
            <w:r>
              <w:rPr>
                <w:rFonts w:ascii="Arial" w:cs="Arial" w:eastAsia="Arial" w:hAnsi="Arial"/>
                <w:sz w:val="17"/>
                <w:szCs w:val="17"/>
                <w:b w:val="1"/>
                <w:bCs w:val="1"/>
                <w:color w:val="auto"/>
              </w:rPr>
              <w:t>2025</w:t>
            </w: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0" w:type="dxa"/>
            <w:vAlign w:val="bottom"/>
          </w:tcPr>
          <w:p>
            <w:pPr>
              <w:jc w:val="right"/>
              <w:ind w:right="674"/>
              <w:spacing w:after="0" w:line="148" w:lineRule="exact"/>
              <w:rPr>
                <w:sz w:val="20"/>
                <w:szCs w:val="20"/>
                <w:color w:val="auto"/>
              </w:rPr>
            </w:pPr>
            <w:r>
              <w:rPr>
                <w:rFonts w:ascii="Arial" w:cs="Arial" w:eastAsia="Arial" w:hAnsi="Arial"/>
                <w:sz w:val="17"/>
                <w:szCs w:val="17"/>
                <w:b w:val="1"/>
                <w:bCs w:val="1"/>
                <w:color w:val="auto"/>
              </w:rPr>
              <w:t>2024</w:t>
            </w:r>
          </w:p>
        </w:tc>
      </w:tr>
      <w:tr>
        <w:trPr>
          <w:trHeight w:val="32"/>
        </w:trPr>
        <w:tc>
          <w:tcPr>
            <w:tcW w:w="20" w:type="dxa"/>
            <w:vAlign w:val="bottom"/>
            <w:tcBorders>
              <w:bottom w:val="single" w:sz="8" w:color="DCE2EF"/>
            </w:tcBorders>
          </w:tcPr>
          <w:p>
            <w:pPr>
              <w:spacing w:after="0"/>
              <w:rPr>
                <w:sz w:val="2"/>
                <w:szCs w:val="2"/>
                <w:color w:val="auto"/>
              </w:rPr>
            </w:pPr>
          </w:p>
        </w:tc>
        <w:tc>
          <w:tcPr>
            <w:tcW w:w="680" w:type="dxa"/>
            <w:vAlign w:val="bottom"/>
            <w:tcBorders>
              <w:top w:val="single" w:sz="8" w:color="auto"/>
              <w:bottom w:val="single" w:sz="8" w:color="DCE2EF"/>
            </w:tcBorders>
          </w:tcPr>
          <w:p>
            <w:pPr>
              <w:spacing w:after="0"/>
              <w:rPr>
                <w:sz w:val="2"/>
                <w:szCs w:val="2"/>
                <w:color w:val="auto"/>
              </w:rPr>
            </w:pPr>
          </w:p>
        </w:tc>
        <w:tc>
          <w:tcPr>
            <w:tcW w:w="4180" w:type="dxa"/>
            <w:vAlign w:val="bottom"/>
            <w:tcBorders>
              <w:bottom w:val="single" w:sz="8" w:color="DCE2EF"/>
            </w:tcBorders>
          </w:tcPr>
          <w:p>
            <w:pPr>
              <w:spacing w:after="0"/>
              <w:rPr>
                <w:sz w:val="2"/>
                <w:szCs w:val="2"/>
                <w:color w:val="auto"/>
              </w:rPr>
            </w:pPr>
          </w:p>
        </w:tc>
        <w:tc>
          <w:tcPr>
            <w:tcW w:w="2400" w:type="dxa"/>
            <w:vAlign w:val="bottom"/>
            <w:tcBorders>
              <w:bottom w:val="single" w:sz="8" w:color="DCE2E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12"/>
        </w:trPr>
        <w:tc>
          <w:tcPr>
            <w:tcW w:w="4880" w:type="dxa"/>
            <w:vAlign w:val="bottom"/>
            <w:gridSpan w:val="3"/>
            <w:shd w:val="clear" w:color="auto" w:fill="DCE2EF"/>
          </w:tcPr>
          <w:p>
            <w:pPr>
              <w:ind w:left="20"/>
              <w:spacing w:after="0"/>
              <w:rPr>
                <w:sz w:val="20"/>
                <w:szCs w:val="20"/>
                <w:color w:val="auto"/>
              </w:rPr>
            </w:pPr>
            <w:r>
              <w:rPr>
                <w:rFonts w:ascii="Arial" w:cs="Arial" w:eastAsia="Arial" w:hAnsi="Arial"/>
                <w:sz w:val="17"/>
                <w:szCs w:val="17"/>
                <w:color w:val="auto"/>
              </w:rPr>
              <w:t>Insurance claim reserves, excluding medical and dental</w:t>
            </w:r>
          </w:p>
        </w:tc>
        <w:tc>
          <w:tcPr>
            <w:tcW w:w="2400" w:type="dxa"/>
            <w:vAlign w:val="bottom"/>
            <w:shd w:val="clear" w:color="auto" w:fill="DCE2EF"/>
          </w:tcPr>
          <w:p>
            <w:pPr>
              <w:spacing w:after="0"/>
              <w:rPr>
                <w:sz w:val="18"/>
                <w:szCs w:val="18"/>
                <w:color w:val="auto"/>
              </w:rPr>
            </w:pPr>
          </w:p>
        </w:tc>
        <w:tc>
          <w:tcPr>
            <w:tcW w:w="460" w:type="dxa"/>
            <w:vAlign w:val="bottom"/>
            <w:shd w:val="clear" w:color="auto" w:fill="DCE2EF"/>
          </w:tcPr>
          <w:p>
            <w:pPr>
              <w:jc w:val="right"/>
              <w:ind w:right="254"/>
              <w:spacing w:after="0"/>
              <w:rPr>
                <w:sz w:val="20"/>
                <w:szCs w:val="20"/>
                <w:color w:val="auto"/>
              </w:rPr>
            </w:pPr>
            <w:r>
              <w:rPr>
                <w:rFonts w:ascii="Arial" w:cs="Arial" w:eastAsia="Arial" w:hAnsi="Arial"/>
                <w:sz w:val="17"/>
                <w:szCs w:val="17"/>
                <w:color w:val="auto"/>
              </w:rPr>
              <w:t>$</w:t>
            </w:r>
          </w:p>
        </w:tc>
        <w:tc>
          <w:tcPr>
            <w:tcW w:w="1480" w:type="dxa"/>
            <w:vAlign w:val="bottom"/>
            <w:shd w:val="clear" w:color="auto" w:fill="DCE2EF"/>
          </w:tcPr>
          <w:p>
            <w:pPr>
              <w:jc w:val="right"/>
              <w:spacing w:after="0"/>
              <w:rPr>
                <w:sz w:val="20"/>
                <w:szCs w:val="20"/>
                <w:color w:val="auto"/>
              </w:rPr>
            </w:pPr>
            <w:r>
              <w:rPr>
                <w:rFonts w:ascii="Arial" w:cs="Arial" w:eastAsia="Arial" w:hAnsi="Arial"/>
                <w:sz w:val="17"/>
                <w:szCs w:val="17"/>
                <w:color w:val="auto"/>
              </w:rPr>
              <w:t>649.5</w:t>
            </w:r>
          </w:p>
        </w:tc>
        <w:tc>
          <w:tcPr>
            <w:tcW w:w="100" w:type="dxa"/>
            <w:vAlign w:val="bottom"/>
            <w:shd w:val="clear" w:color="auto" w:fill="DCE2EF"/>
          </w:tcPr>
          <w:p>
            <w:pPr>
              <w:spacing w:after="0"/>
              <w:rPr>
                <w:sz w:val="18"/>
                <w:szCs w:val="18"/>
                <w:color w:val="auto"/>
              </w:rPr>
            </w:pPr>
          </w:p>
        </w:tc>
        <w:tc>
          <w:tcPr>
            <w:tcW w:w="720" w:type="dxa"/>
            <w:vAlign w:val="bottom"/>
            <w:shd w:val="clear" w:color="auto" w:fill="DCE2EF"/>
          </w:tcPr>
          <w:p>
            <w:pPr>
              <w:jc w:val="right"/>
              <w:ind w:right="514"/>
              <w:spacing w:after="0"/>
              <w:rPr>
                <w:sz w:val="20"/>
                <w:szCs w:val="20"/>
                <w:color w:val="auto"/>
              </w:rPr>
            </w:pPr>
            <w:r>
              <w:rPr>
                <w:rFonts w:ascii="Arial" w:cs="Arial" w:eastAsia="Arial" w:hAnsi="Arial"/>
                <w:sz w:val="17"/>
                <w:szCs w:val="17"/>
                <w:color w:val="auto"/>
              </w:rPr>
              <w:t>$</w:t>
            </w:r>
          </w:p>
        </w:tc>
        <w:tc>
          <w:tcPr>
            <w:tcW w:w="1200" w:type="dxa"/>
            <w:vAlign w:val="bottom"/>
            <w:shd w:val="clear" w:color="auto" w:fill="DCE2EF"/>
          </w:tcPr>
          <w:p>
            <w:pPr>
              <w:jc w:val="right"/>
              <w:spacing w:after="0"/>
              <w:rPr>
                <w:sz w:val="20"/>
                <w:szCs w:val="20"/>
                <w:color w:val="auto"/>
              </w:rPr>
            </w:pPr>
            <w:r>
              <w:rPr>
                <w:rFonts w:ascii="Arial" w:cs="Arial" w:eastAsia="Arial" w:hAnsi="Arial"/>
                <w:sz w:val="17"/>
                <w:szCs w:val="17"/>
                <w:color w:val="auto"/>
              </w:rPr>
              <w:t>608.4</w:t>
            </w:r>
          </w:p>
        </w:tc>
      </w:tr>
      <w:tr>
        <w:trPr>
          <w:trHeight w:val="219"/>
        </w:trPr>
        <w:tc>
          <w:tcPr>
            <w:tcW w:w="4880" w:type="dxa"/>
            <w:vAlign w:val="bottom"/>
            <w:gridSpan w:val="3"/>
          </w:tcPr>
          <w:p>
            <w:pPr>
              <w:ind w:left="20"/>
              <w:spacing w:after="0"/>
              <w:rPr>
                <w:sz w:val="20"/>
                <w:szCs w:val="20"/>
                <w:color w:val="auto"/>
              </w:rPr>
            </w:pPr>
            <w:r>
              <w:rPr>
                <w:rFonts w:ascii="Arial" w:cs="Arial" w:eastAsia="Arial" w:hAnsi="Arial"/>
                <w:sz w:val="17"/>
                <w:szCs w:val="17"/>
                <w:color w:val="auto"/>
              </w:rPr>
              <w:t>Medical and dental claim reserves and other</w:t>
            </w:r>
          </w:p>
        </w:tc>
        <w:tc>
          <w:tcPr>
            <w:tcW w:w="24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10.6</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11.0</w:t>
            </w:r>
          </w:p>
        </w:tc>
      </w:tr>
      <w:tr>
        <w:trPr>
          <w:trHeight w:val="219"/>
        </w:trPr>
        <w:tc>
          <w:tcPr>
            <w:tcW w:w="4880" w:type="dxa"/>
            <w:vAlign w:val="bottom"/>
            <w:gridSpan w:val="3"/>
            <w:shd w:val="clear" w:color="auto" w:fill="DCE2EF"/>
          </w:tcPr>
          <w:p>
            <w:pPr>
              <w:ind w:left="20"/>
              <w:spacing w:after="0"/>
              <w:rPr>
                <w:sz w:val="20"/>
                <w:szCs w:val="20"/>
                <w:color w:val="auto"/>
              </w:rPr>
            </w:pPr>
            <w:r>
              <w:rPr>
                <w:rFonts w:ascii="Arial" w:cs="Arial" w:eastAsia="Arial" w:hAnsi="Arial"/>
                <w:sz w:val="17"/>
                <w:szCs w:val="17"/>
                <w:color w:val="auto"/>
              </w:rPr>
              <w:t>Insurance recoverables</w:t>
            </w:r>
          </w:p>
        </w:tc>
        <w:tc>
          <w:tcPr>
            <w:tcW w:w="2400" w:type="dxa"/>
            <w:vAlign w:val="bottom"/>
            <w:shd w:val="clear" w:color="auto" w:fill="DCE2EF"/>
          </w:tcPr>
          <w:p>
            <w:pPr>
              <w:spacing w:after="0"/>
              <w:rPr>
                <w:sz w:val="19"/>
                <w:szCs w:val="19"/>
                <w:color w:val="auto"/>
              </w:rPr>
            </w:pPr>
          </w:p>
        </w:tc>
        <w:tc>
          <w:tcPr>
            <w:tcW w:w="460" w:type="dxa"/>
            <w:vAlign w:val="bottom"/>
            <w:shd w:val="clear" w:color="auto" w:fill="DCE2EF"/>
          </w:tcPr>
          <w:p>
            <w:pPr>
              <w:spacing w:after="0"/>
              <w:rPr>
                <w:sz w:val="19"/>
                <w:szCs w:val="19"/>
                <w:color w:val="auto"/>
              </w:rPr>
            </w:pPr>
          </w:p>
        </w:tc>
        <w:tc>
          <w:tcPr>
            <w:tcW w:w="1480" w:type="dxa"/>
            <w:vAlign w:val="bottom"/>
            <w:shd w:val="clear" w:color="auto" w:fill="DCE2EF"/>
          </w:tcPr>
          <w:p>
            <w:pPr>
              <w:jc w:val="right"/>
              <w:spacing w:after="0"/>
              <w:rPr>
                <w:sz w:val="20"/>
                <w:szCs w:val="20"/>
                <w:color w:val="auto"/>
              </w:rPr>
            </w:pPr>
            <w:r>
              <w:rPr>
                <w:rFonts w:ascii="Arial" w:cs="Arial" w:eastAsia="Arial" w:hAnsi="Arial"/>
                <w:sz w:val="17"/>
                <w:szCs w:val="17"/>
                <w:color w:val="auto"/>
              </w:rPr>
              <w:t>90.8</w:t>
            </w:r>
          </w:p>
        </w:tc>
        <w:tc>
          <w:tcPr>
            <w:tcW w:w="100" w:type="dxa"/>
            <w:vAlign w:val="bottom"/>
            <w:shd w:val="clear" w:color="auto" w:fill="DCE2EF"/>
          </w:tcPr>
          <w:p>
            <w:pPr>
              <w:spacing w:after="0"/>
              <w:rPr>
                <w:sz w:val="19"/>
                <w:szCs w:val="19"/>
                <w:color w:val="auto"/>
              </w:rPr>
            </w:pPr>
          </w:p>
        </w:tc>
        <w:tc>
          <w:tcPr>
            <w:tcW w:w="720" w:type="dxa"/>
            <w:vAlign w:val="bottom"/>
            <w:shd w:val="clear" w:color="auto" w:fill="DCE2EF"/>
          </w:tcPr>
          <w:p>
            <w:pPr>
              <w:spacing w:after="0"/>
              <w:rPr>
                <w:sz w:val="19"/>
                <w:szCs w:val="19"/>
                <w:color w:val="auto"/>
              </w:rPr>
            </w:pPr>
          </w:p>
        </w:tc>
        <w:tc>
          <w:tcPr>
            <w:tcW w:w="1200" w:type="dxa"/>
            <w:vAlign w:val="bottom"/>
            <w:shd w:val="clear" w:color="auto" w:fill="DCE2EF"/>
          </w:tcPr>
          <w:p>
            <w:pPr>
              <w:jc w:val="right"/>
              <w:spacing w:after="0"/>
              <w:rPr>
                <w:sz w:val="20"/>
                <w:szCs w:val="20"/>
                <w:color w:val="auto"/>
              </w:rPr>
            </w:pPr>
            <w:r>
              <w:rPr>
                <w:rFonts w:ascii="Arial" w:cs="Arial" w:eastAsia="Arial" w:hAnsi="Arial"/>
                <w:sz w:val="17"/>
                <w:szCs w:val="17"/>
                <w:color w:val="auto"/>
              </w:rPr>
              <w:t>91.0</w:t>
            </w:r>
          </w:p>
        </w:tc>
      </w:tr>
      <w:tr>
        <w:trPr>
          <w:trHeight w:val="815"/>
        </w:trPr>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2400" w:type="dxa"/>
            <w:vAlign w:val="bottom"/>
          </w:tcPr>
          <w:p>
            <w:pPr>
              <w:jc w:val="right"/>
              <w:ind w:right="1474"/>
              <w:spacing w:after="0"/>
              <w:rPr>
                <w:sz w:val="20"/>
                <w:szCs w:val="20"/>
                <w:color w:val="auto"/>
              </w:rPr>
            </w:pPr>
            <w:r>
              <w:rPr>
                <w:rFonts w:ascii="Arial" w:cs="Arial" w:eastAsia="Arial" w:hAnsi="Arial"/>
                <w:sz w:val="17"/>
                <w:szCs w:val="17"/>
                <w:color w:val="auto"/>
              </w:rPr>
              <w:t>71</w:t>
            </w:r>
          </w:p>
        </w:tc>
        <w:tc>
          <w:tcPr>
            <w:tcW w:w="4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06"/>
        </w:trPr>
        <w:tc>
          <w:tcPr>
            <w:tcW w:w="2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4180" w:type="dxa"/>
            <w:vAlign w:val="bottom"/>
            <w:tcBorders>
              <w:bottom w:val="single" w:sz="8" w:color="9A9A9A"/>
            </w:tcBorders>
          </w:tcPr>
          <w:p>
            <w:pPr>
              <w:spacing w:after="0"/>
              <w:rPr>
                <w:sz w:val="9"/>
                <w:szCs w:val="9"/>
                <w:color w:val="auto"/>
              </w:rPr>
            </w:pPr>
          </w:p>
        </w:tc>
        <w:tc>
          <w:tcPr>
            <w:tcW w:w="240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14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4" w:name="page75"/>
    <w:bookmarkEnd w:id="74"/>
    <w:p>
      <w:pPr>
        <w:ind w:firstLine="619"/>
        <w:spacing w:after="0" w:line="290" w:lineRule="auto"/>
        <w:rPr>
          <w:sz w:val="20"/>
          <w:szCs w:val="20"/>
          <w:color w:val="auto"/>
        </w:rPr>
      </w:pPr>
      <w:r>
        <w:rPr>
          <w:rFonts w:ascii="Arial" w:cs="Arial" w:eastAsia="Arial" w:hAnsi="Arial"/>
          <w:sz w:val="17"/>
          <w:szCs w:val="17"/>
          <w:color w:val="auto"/>
        </w:rPr>
        <w:t>At October 31, 2025 and 2024, insurance recoverables are included in both “Other current assets” and “Other noncurrent assets” on the accompanying Consolidated Balance Sheets.</w:t>
      </w:r>
    </w:p>
    <w:p>
      <w:pPr>
        <w:spacing w:after="0" w:line="9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46AD"/>
        </w:rPr>
        <w:t>Casualty Program Insurance Reserves Rollforward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6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3360" w:type="dxa"/>
            <w:vAlign w:val="bottom"/>
            <w:tcBorders>
              <w:bottom w:val="single" w:sz="8" w:color="auto"/>
            </w:tcBorders>
            <w:gridSpan w:val="6"/>
          </w:tcPr>
          <w:p>
            <w:pPr>
              <w:jc w:val="right"/>
              <w:ind w:right="154"/>
              <w:spacing w:after="0"/>
              <w:rPr>
                <w:sz w:val="20"/>
                <w:szCs w:val="20"/>
                <w:color w:val="auto"/>
              </w:rPr>
            </w:pPr>
            <w:r>
              <w:rPr>
                <w:rFonts w:ascii="Arial" w:cs="Arial" w:eastAsia="Arial" w:hAnsi="Arial"/>
                <w:sz w:val="17"/>
                <w:szCs w:val="17"/>
                <w:b w:val="1"/>
                <w:bCs w:val="1"/>
                <w:color w:val="auto"/>
              </w:rPr>
              <w:t>Years Ended October 31,</w:t>
            </w:r>
          </w:p>
        </w:tc>
        <w:tc>
          <w:tcPr>
            <w:tcW w:w="1220" w:type="dxa"/>
            <w:vAlign w:val="bottom"/>
            <w:tcBorders>
              <w:bottom w:val="single" w:sz="8" w:color="auto"/>
            </w:tcBorders>
          </w:tcPr>
          <w:p>
            <w:pPr>
              <w:spacing w:after="0"/>
              <w:rPr>
                <w:sz w:val="19"/>
                <w:szCs w:val="19"/>
                <w:color w:val="auto"/>
              </w:rPr>
            </w:pPr>
          </w:p>
        </w:tc>
      </w:tr>
      <w:tr>
        <w:trPr>
          <w:trHeight w:val="160"/>
        </w:trPr>
        <w:tc>
          <w:tcPr>
            <w:tcW w:w="6300" w:type="dxa"/>
            <w:vAlign w:val="bottom"/>
            <w:gridSpan w:val="3"/>
          </w:tcPr>
          <w:p>
            <w:pPr>
              <w:ind w:left="20"/>
              <w:spacing w:after="0" w:line="148" w:lineRule="exact"/>
              <w:rPr>
                <w:sz w:val="20"/>
                <w:szCs w:val="20"/>
                <w:color w:val="auto"/>
              </w:rPr>
            </w:pPr>
            <w:r>
              <w:rPr>
                <w:rFonts w:ascii="Times New Roman" w:cs="Times New Roman" w:eastAsia="Times New Roman" w:hAnsi="Times New Roman"/>
                <w:sz w:val="14"/>
                <w:szCs w:val="14"/>
                <w:i w:val="1"/>
                <w:iCs w:val="1"/>
                <w:color w:val="auto"/>
              </w:rPr>
              <w:t>(in millions)</w:t>
            </w:r>
          </w:p>
        </w:tc>
        <w:tc>
          <w:tcPr>
            <w:tcW w:w="360" w:type="dxa"/>
            <w:vAlign w:val="bottom"/>
          </w:tcPr>
          <w:p>
            <w:pPr>
              <w:spacing w:after="0"/>
              <w:rPr>
                <w:sz w:val="13"/>
                <w:szCs w:val="13"/>
                <w:color w:val="auto"/>
              </w:rPr>
            </w:pPr>
          </w:p>
        </w:tc>
        <w:tc>
          <w:tcPr>
            <w:tcW w:w="1200" w:type="dxa"/>
            <w:vAlign w:val="bottom"/>
          </w:tcPr>
          <w:p>
            <w:pPr>
              <w:jc w:val="right"/>
              <w:ind w:right="494"/>
              <w:spacing w:after="0" w:line="148" w:lineRule="exact"/>
              <w:rPr>
                <w:sz w:val="20"/>
                <w:szCs w:val="20"/>
                <w:color w:val="auto"/>
              </w:rPr>
            </w:pPr>
            <w:r>
              <w:rPr>
                <w:rFonts w:ascii="Arial" w:cs="Arial" w:eastAsia="Arial" w:hAnsi="Arial"/>
                <w:sz w:val="17"/>
                <w:szCs w:val="17"/>
                <w:b w:val="1"/>
                <w:bCs w:val="1"/>
                <w:color w:val="auto"/>
              </w:rPr>
              <w:t>2025</w:t>
            </w: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40" w:type="dxa"/>
            <w:vAlign w:val="bottom"/>
          </w:tcPr>
          <w:p>
            <w:pPr>
              <w:jc w:val="right"/>
              <w:ind w:right="514"/>
              <w:spacing w:after="0" w:line="148" w:lineRule="exact"/>
              <w:rPr>
                <w:sz w:val="20"/>
                <w:szCs w:val="20"/>
                <w:color w:val="auto"/>
              </w:rPr>
            </w:pPr>
            <w:r>
              <w:rPr>
                <w:rFonts w:ascii="Arial" w:cs="Arial" w:eastAsia="Arial" w:hAnsi="Arial"/>
                <w:sz w:val="17"/>
                <w:szCs w:val="17"/>
                <w:b w:val="1"/>
                <w:bCs w:val="1"/>
                <w:color w:val="auto"/>
              </w:rPr>
              <w:t>2024</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20" w:type="dxa"/>
            <w:vAlign w:val="bottom"/>
          </w:tcPr>
          <w:p>
            <w:pPr>
              <w:jc w:val="right"/>
              <w:ind w:right="514"/>
              <w:spacing w:after="0" w:line="148" w:lineRule="exact"/>
              <w:rPr>
                <w:sz w:val="20"/>
                <w:szCs w:val="20"/>
                <w:color w:val="auto"/>
              </w:rPr>
            </w:pPr>
            <w:r>
              <w:rPr>
                <w:rFonts w:ascii="Arial" w:cs="Arial" w:eastAsia="Arial" w:hAnsi="Arial"/>
                <w:sz w:val="17"/>
                <w:szCs w:val="17"/>
                <w:b w:val="1"/>
                <w:bCs w:val="1"/>
                <w:color w:val="auto"/>
              </w:rPr>
              <w:t>2023</w:t>
            </w:r>
          </w:p>
        </w:tc>
      </w:tr>
      <w:tr>
        <w:trPr>
          <w:trHeight w:val="32"/>
        </w:trPr>
        <w:tc>
          <w:tcPr>
            <w:tcW w:w="20" w:type="dxa"/>
            <w:vAlign w:val="bottom"/>
            <w:tcBorders>
              <w:bottom w:val="single" w:sz="8" w:color="DCE2EF"/>
            </w:tcBorders>
          </w:tcPr>
          <w:p>
            <w:pPr>
              <w:spacing w:after="0"/>
              <w:rPr>
                <w:sz w:val="2"/>
                <w:szCs w:val="2"/>
                <w:color w:val="auto"/>
              </w:rPr>
            </w:pPr>
          </w:p>
        </w:tc>
        <w:tc>
          <w:tcPr>
            <w:tcW w:w="680" w:type="dxa"/>
            <w:vAlign w:val="bottom"/>
            <w:tcBorders>
              <w:top w:val="single" w:sz="8" w:color="auto"/>
              <w:bottom w:val="single" w:sz="8" w:color="DCE2EF"/>
            </w:tcBorders>
          </w:tcPr>
          <w:p>
            <w:pPr>
              <w:spacing w:after="0"/>
              <w:rPr>
                <w:sz w:val="2"/>
                <w:szCs w:val="2"/>
                <w:color w:val="auto"/>
              </w:rPr>
            </w:pPr>
          </w:p>
        </w:tc>
        <w:tc>
          <w:tcPr>
            <w:tcW w:w="5600" w:type="dxa"/>
            <w:vAlign w:val="bottom"/>
            <w:tcBorders>
              <w:bottom w:val="single" w:sz="8" w:color="DCE2E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DCE2E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2"/>
        </w:trPr>
        <w:tc>
          <w:tcPr>
            <w:tcW w:w="6300" w:type="dxa"/>
            <w:vAlign w:val="bottom"/>
            <w:gridSpan w:val="3"/>
            <w:shd w:val="clear" w:color="auto" w:fill="DCE2EF"/>
          </w:tcPr>
          <w:p>
            <w:pPr>
              <w:ind w:left="20"/>
              <w:spacing w:after="0"/>
              <w:rPr>
                <w:sz w:val="20"/>
                <w:szCs w:val="20"/>
                <w:color w:val="auto"/>
              </w:rPr>
            </w:pPr>
            <w:r>
              <w:rPr>
                <w:rFonts w:ascii="Arial" w:cs="Arial" w:eastAsia="Arial" w:hAnsi="Arial"/>
                <w:sz w:val="17"/>
                <w:szCs w:val="17"/>
                <w:b w:val="1"/>
                <w:bCs w:val="1"/>
                <w:color w:val="auto"/>
              </w:rPr>
              <w:t>Net balance at beginning of year</w:t>
            </w:r>
          </w:p>
        </w:tc>
        <w:tc>
          <w:tcPr>
            <w:tcW w:w="360" w:type="dxa"/>
            <w:vAlign w:val="bottom"/>
            <w:shd w:val="clear" w:color="auto" w:fill="DCE2EF"/>
          </w:tcPr>
          <w:p>
            <w:pPr>
              <w:jc w:val="right"/>
              <w:ind w:right="154"/>
              <w:spacing w:after="0"/>
              <w:rPr>
                <w:sz w:val="20"/>
                <w:szCs w:val="20"/>
                <w:color w:val="auto"/>
              </w:rPr>
            </w:pPr>
            <w:r>
              <w:rPr>
                <w:rFonts w:ascii="Arial" w:cs="Arial" w:eastAsia="Arial" w:hAnsi="Arial"/>
                <w:sz w:val="17"/>
                <w:szCs w:val="17"/>
                <w:color w:val="auto"/>
              </w:rPr>
              <w:t>$</w:t>
            </w:r>
          </w:p>
        </w:tc>
        <w:tc>
          <w:tcPr>
            <w:tcW w:w="1200" w:type="dxa"/>
            <w:vAlign w:val="bottom"/>
            <w:shd w:val="clear" w:color="auto" w:fill="DCE2EF"/>
          </w:tcPr>
          <w:p>
            <w:pPr>
              <w:jc w:val="right"/>
              <w:spacing w:after="0"/>
              <w:rPr>
                <w:sz w:val="20"/>
                <w:szCs w:val="20"/>
                <w:color w:val="auto"/>
              </w:rPr>
            </w:pPr>
            <w:r>
              <w:rPr>
                <w:rFonts w:ascii="Arial" w:cs="Arial" w:eastAsia="Arial" w:hAnsi="Arial"/>
                <w:sz w:val="17"/>
                <w:szCs w:val="17"/>
                <w:color w:val="auto"/>
              </w:rPr>
              <w:t>517.3</w:t>
            </w:r>
          </w:p>
        </w:tc>
        <w:tc>
          <w:tcPr>
            <w:tcW w:w="120" w:type="dxa"/>
            <w:vAlign w:val="bottom"/>
            <w:shd w:val="clear" w:color="auto" w:fill="DCE2EF"/>
          </w:tcPr>
          <w:p>
            <w:pPr>
              <w:spacing w:after="0"/>
              <w:rPr>
                <w:sz w:val="18"/>
                <w:szCs w:val="18"/>
                <w:color w:val="auto"/>
              </w:rPr>
            </w:pPr>
          </w:p>
        </w:tc>
        <w:tc>
          <w:tcPr>
            <w:tcW w:w="340" w:type="dxa"/>
            <w:vAlign w:val="bottom"/>
            <w:shd w:val="clear" w:color="auto" w:fill="DCE2EF"/>
          </w:tcPr>
          <w:p>
            <w:pPr>
              <w:jc w:val="right"/>
              <w:ind w:right="154"/>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DCE2EF"/>
          </w:tcPr>
          <w:p>
            <w:pPr>
              <w:jc w:val="right"/>
              <w:spacing w:after="0"/>
              <w:rPr>
                <w:sz w:val="20"/>
                <w:szCs w:val="20"/>
                <w:color w:val="auto"/>
              </w:rPr>
            </w:pPr>
            <w:r>
              <w:rPr>
                <w:rFonts w:ascii="Arial" w:cs="Arial" w:eastAsia="Arial" w:hAnsi="Arial"/>
                <w:sz w:val="17"/>
                <w:szCs w:val="17"/>
                <w:color w:val="auto"/>
              </w:rPr>
              <w:t>487.9</w:t>
            </w:r>
          </w:p>
        </w:tc>
        <w:tc>
          <w:tcPr>
            <w:tcW w:w="100" w:type="dxa"/>
            <w:vAlign w:val="bottom"/>
            <w:shd w:val="clear" w:color="auto" w:fill="DCE2EF"/>
          </w:tcPr>
          <w:p>
            <w:pPr>
              <w:spacing w:after="0"/>
              <w:rPr>
                <w:sz w:val="18"/>
                <w:szCs w:val="18"/>
                <w:color w:val="auto"/>
              </w:rPr>
            </w:pPr>
          </w:p>
        </w:tc>
        <w:tc>
          <w:tcPr>
            <w:tcW w:w="360" w:type="dxa"/>
            <w:vAlign w:val="bottom"/>
            <w:shd w:val="clear" w:color="auto" w:fill="DCE2EF"/>
          </w:tcPr>
          <w:p>
            <w:pPr>
              <w:jc w:val="right"/>
              <w:ind w:right="154"/>
              <w:spacing w:after="0"/>
              <w:rPr>
                <w:sz w:val="20"/>
                <w:szCs w:val="20"/>
                <w:color w:val="auto"/>
              </w:rPr>
            </w:pPr>
            <w:r>
              <w:rPr>
                <w:rFonts w:ascii="Arial" w:cs="Arial" w:eastAsia="Arial" w:hAnsi="Arial"/>
                <w:sz w:val="17"/>
                <w:szCs w:val="17"/>
                <w:color w:val="auto"/>
              </w:rPr>
              <w:t>$</w:t>
            </w:r>
          </w:p>
        </w:tc>
        <w:tc>
          <w:tcPr>
            <w:tcW w:w="1220" w:type="dxa"/>
            <w:vAlign w:val="bottom"/>
            <w:shd w:val="clear" w:color="auto" w:fill="DCE2EF"/>
          </w:tcPr>
          <w:p>
            <w:pPr>
              <w:jc w:val="right"/>
              <w:spacing w:after="0"/>
              <w:rPr>
                <w:sz w:val="20"/>
                <w:szCs w:val="20"/>
                <w:color w:val="auto"/>
              </w:rPr>
            </w:pPr>
            <w:r>
              <w:rPr>
                <w:rFonts w:ascii="Arial" w:cs="Arial" w:eastAsia="Arial" w:hAnsi="Arial"/>
                <w:sz w:val="17"/>
                <w:szCs w:val="17"/>
                <w:color w:val="auto"/>
              </w:rPr>
              <w:t>479.9</w:t>
            </w:r>
          </w:p>
        </w:tc>
      </w:tr>
      <w:tr>
        <w:trPr>
          <w:trHeight w:val="219"/>
        </w:trPr>
        <w:tc>
          <w:tcPr>
            <w:tcW w:w="6300" w:type="dxa"/>
            <w:vAlign w:val="bottom"/>
            <w:gridSpan w:val="3"/>
          </w:tcPr>
          <w:p>
            <w:pPr>
              <w:ind w:left="20"/>
              <w:spacing w:after="0"/>
              <w:rPr>
                <w:sz w:val="20"/>
                <w:szCs w:val="20"/>
                <w:color w:val="auto"/>
              </w:rPr>
            </w:pPr>
            <w:r>
              <w:rPr>
                <w:rFonts w:ascii="Arial" w:cs="Arial" w:eastAsia="Arial" w:hAnsi="Arial"/>
                <w:sz w:val="17"/>
                <w:szCs w:val="17"/>
                <w:color w:val="auto"/>
              </w:rPr>
              <w:t xml:space="preserve">Change in case reserves plus IBNR Claims </w:t>
            </w:r>
            <w:r>
              <w:rPr>
                <w:rFonts w:ascii="Arial" w:cs="Arial" w:eastAsia="Arial" w:hAnsi="Arial"/>
                <w:sz w:val="15"/>
                <w:szCs w:val="15"/>
                <w:color w:val="auto"/>
              </w:rPr>
              <w:t>—</w:t>
            </w:r>
            <w:r>
              <w:rPr>
                <w:rFonts w:ascii="Arial" w:cs="Arial" w:eastAsia="Arial" w:hAnsi="Arial"/>
                <w:sz w:val="17"/>
                <w:szCs w:val="17"/>
                <w:color w:val="auto"/>
              </w:rPr>
              <w:t xml:space="preserve"> current year</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179.1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166.2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154.2</w:t>
            </w:r>
          </w:p>
        </w:tc>
      </w:tr>
      <w:tr>
        <w:trPr>
          <w:trHeight w:val="219"/>
        </w:trPr>
        <w:tc>
          <w:tcPr>
            <w:tcW w:w="6300" w:type="dxa"/>
            <w:vAlign w:val="bottom"/>
            <w:gridSpan w:val="3"/>
            <w:shd w:val="clear" w:color="auto" w:fill="DCE2EF"/>
          </w:tcPr>
          <w:p>
            <w:pPr>
              <w:ind w:left="20"/>
              <w:spacing w:after="0"/>
              <w:rPr>
                <w:sz w:val="20"/>
                <w:szCs w:val="20"/>
                <w:color w:val="auto"/>
              </w:rPr>
            </w:pPr>
            <w:r>
              <w:rPr>
                <w:rFonts w:ascii="Arial" w:cs="Arial" w:eastAsia="Arial" w:hAnsi="Arial"/>
                <w:sz w:val="17"/>
                <w:szCs w:val="17"/>
                <w:color w:val="auto"/>
              </w:rPr>
              <w:t xml:space="preserve">Change in case reserves plus IBNR Claims </w:t>
            </w:r>
            <w:r>
              <w:rPr>
                <w:rFonts w:ascii="Arial" w:cs="Arial" w:eastAsia="Arial" w:hAnsi="Arial"/>
                <w:sz w:val="15"/>
                <w:szCs w:val="15"/>
                <w:color w:val="auto"/>
              </w:rPr>
              <w:t>—</w:t>
            </w:r>
            <w:r>
              <w:rPr>
                <w:rFonts w:ascii="Arial" w:cs="Arial" w:eastAsia="Arial" w:hAnsi="Arial"/>
                <w:sz w:val="17"/>
                <w:szCs w:val="17"/>
                <w:color w:val="auto"/>
              </w:rPr>
              <w:t xml:space="preserve"> prior years</w:t>
            </w:r>
          </w:p>
        </w:tc>
        <w:tc>
          <w:tcPr>
            <w:tcW w:w="360" w:type="dxa"/>
            <w:vAlign w:val="bottom"/>
            <w:shd w:val="clear" w:color="auto" w:fill="DCE2EF"/>
          </w:tcPr>
          <w:p>
            <w:pPr>
              <w:spacing w:after="0"/>
              <w:rPr>
                <w:sz w:val="19"/>
                <w:szCs w:val="19"/>
                <w:color w:val="auto"/>
              </w:rPr>
            </w:pPr>
          </w:p>
        </w:tc>
        <w:tc>
          <w:tcPr>
            <w:tcW w:w="1200" w:type="dxa"/>
            <w:vAlign w:val="bottom"/>
            <w:shd w:val="clear" w:color="auto" w:fill="DCE2EF"/>
          </w:tcPr>
          <w:p>
            <w:pPr>
              <w:jc w:val="right"/>
              <w:spacing w:after="0"/>
              <w:rPr>
                <w:sz w:val="20"/>
                <w:szCs w:val="20"/>
                <w:color w:val="auto"/>
              </w:rPr>
            </w:pPr>
            <w:r>
              <w:rPr>
                <w:rFonts w:ascii="Arial" w:cs="Arial" w:eastAsia="Arial" w:hAnsi="Arial"/>
                <w:sz w:val="17"/>
                <w:szCs w:val="17"/>
                <w:color w:val="auto"/>
              </w:rPr>
              <w:t>23.3</w:t>
            </w:r>
          </w:p>
        </w:tc>
        <w:tc>
          <w:tcPr>
            <w:tcW w:w="120" w:type="dxa"/>
            <w:vAlign w:val="bottom"/>
            <w:shd w:val="clear" w:color="auto" w:fill="DCE2EF"/>
          </w:tcPr>
          <w:p>
            <w:pPr>
              <w:spacing w:after="0"/>
              <w:rPr>
                <w:sz w:val="19"/>
                <w:szCs w:val="19"/>
                <w:color w:val="auto"/>
              </w:rPr>
            </w:pPr>
          </w:p>
        </w:tc>
        <w:tc>
          <w:tcPr>
            <w:tcW w:w="340" w:type="dxa"/>
            <w:vAlign w:val="bottom"/>
            <w:shd w:val="clear" w:color="auto" w:fill="DCE2EF"/>
          </w:tcPr>
          <w:p>
            <w:pPr>
              <w:spacing w:after="0"/>
              <w:rPr>
                <w:sz w:val="19"/>
                <w:szCs w:val="19"/>
                <w:color w:val="auto"/>
              </w:rPr>
            </w:pPr>
          </w:p>
        </w:tc>
        <w:tc>
          <w:tcPr>
            <w:tcW w:w="1240" w:type="dxa"/>
            <w:vAlign w:val="bottom"/>
            <w:shd w:val="clear" w:color="auto" w:fill="DCE2EF"/>
          </w:tcPr>
          <w:p>
            <w:pPr>
              <w:jc w:val="right"/>
              <w:spacing w:after="0"/>
              <w:rPr>
                <w:sz w:val="20"/>
                <w:szCs w:val="20"/>
                <w:color w:val="auto"/>
              </w:rPr>
            </w:pPr>
            <w:r>
              <w:rPr>
                <w:rFonts w:ascii="Arial" w:cs="Arial" w:eastAsia="Arial" w:hAnsi="Arial"/>
                <w:sz w:val="17"/>
                <w:szCs w:val="17"/>
                <w:color w:val="auto"/>
              </w:rPr>
              <w:t>20.3</w:t>
            </w:r>
          </w:p>
        </w:tc>
        <w:tc>
          <w:tcPr>
            <w:tcW w:w="100" w:type="dxa"/>
            <w:vAlign w:val="bottom"/>
            <w:shd w:val="clear" w:color="auto" w:fill="DCE2EF"/>
          </w:tcPr>
          <w:p>
            <w:pPr>
              <w:spacing w:after="0"/>
              <w:rPr>
                <w:sz w:val="19"/>
                <w:szCs w:val="19"/>
                <w:color w:val="auto"/>
              </w:rPr>
            </w:pPr>
          </w:p>
        </w:tc>
        <w:tc>
          <w:tcPr>
            <w:tcW w:w="360" w:type="dxa"/>
            <w:vAlign w:val="bottom"/>
            <w:shd w:val="clear" w:color="auto" w:fill="DCE2EF"/>
          </w:tcPr>
          <w:p>
            <w:pPr>
              <w:spacing w:after="0"/>
              <w:rPr>
                <w:sz w:val="19"/>
                <w:szCs w:val="19"/>
                <w:color w:val="auto"/>
              </w:rPr>
            </w:pPr>
          </w:p>
        </w:tc>
        <w:tc>
          <w:tcPr>
            <w:tcW w:w="1220" w:type="dxa"/>
            <w:vAlign w:val="bottom"/>
            <w:shd w:val="clear" w:color="auto" w:fill="DCE2EF"/>
          </w:tcPr>
          <w:p>
            <w:pPr>
              <w:jc w:val="right"/>
              <w:spacing w:after="0"/>
              <w:rPr>
                <w:sz w:val="20"/>
                <w:szCs w:val="20"/>
                <w:color w:val="auto"/>
              </w:rPr>
            </w:pPr>
            <w:r>
              <w:rPr>
                <w:rFonts w:ascii="Arial" w:cs="Arial" w:eastAsia="Arial" w:hAnsi="Arial"/>
                <w:sz w:val="17"/>
                <w:szCs w:val="17"/>
                <w:color w:val="auto"/>
              </w:rPr>
              <w:t>(14.8)</w:t>
            </w:r>
          </w:p>
        </w:tc>
      </w:tr>
      <w:tr>
        <w:trPr>
          <w:trHeight w:val="219"/>
        </w:trPr>
        <w:tc>
          <w:tcPr>
            <w:tcW w:w="6300" w:type="dxa"/>
            <w:vAlign w:val="bottom"/>
            <w:tcBorders>
              <w:bottom w:val="single" w:sz="8" w:color="DCE2EF"/>
            </w:tcBorders>
            <w:gridSpan w:val="3"/>
          </w:tcPr>
          <w:p>
            <w:pPr>
              <w:ind w:left="20"/>
              <w:spacing w:after="0"/>
              <w:rPr>
                <w:sz w:val="20"/>
                <w:szCs w:val="20"/>
                <w:color w:val="auto"/>
              </w:rPr>
            </w:pPr>
            <w:r>
              <w:rPr>
                <w:rFonts w:ascii="Arial" w:cs="Arial" w:eastAsia="Arial" w:hAnsi="Arial"/>
                <w:sz w:val="17"/>
                <w:szCs w:val="17"/>
                <w:color w:val="auto"/>
              </w:rPr>
              <w:t>Claims paid</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(161.1)</w:t>
            </w:r>
          </w:p>
        </w:tc>
        <w:tc>
          <w:tcPr>
            <w:tcW w:w="120" w:type="dxa"/>
            <w:vAlign w:val="bottom"/>
            <w:tcBorders>
              <w:bottom w:val="single" w:sz="8" w:color="DCE2E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(157.3)</w:t>
            </w:r>
          </w:p>
        </w:tc>
        <w:tc>
          <w:tcPr>
            <w:tcW w:w="100" w:type="dxa"/>
            <w:vAlign w:val="bottom"/>
            <w:tcBorders>
              <w:bottom w:val="single" w:sz="8" w:color="DCE2E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(131.4)</w:t>
            </w:r>
          </w:p>
        </w:tc>
      </w:tr>
      <w:tr>
        <w:trPr>
          <w:trHeight w:val="212"/>
        </w:trPr>
        <w:tc>
          <w:tcPr>
            <w:tcW w:w="6300" w:type="dxa"/>
            <w:vAlign w:val="bottom"/>
            <w:gridSpan w:val="3"/>
            <w:shd w:val="clear" w:color="auto" w:fill="DCE2EF"/>
          </w:tcPr>
          <w:p>
            <w:pPr>
              <w:ind w:left="20"/>
              <w:spacing w:after="0" w:line="212" w:lineRule="exact"/>
              <w:rPr>
                <w:sz w:val="20"/>
                <w:szCs w:val="20"/>
                <w:color w:val="auto"/>
              </w:rPr>
            </w:pPr>
            <w:r>
              <w:rPr>
                <w:rFonts w:ascii="Arial" w:cs="Arial" w:eastAsia="Arial" w:hAnsi="Arial"/>
                <w:sz w:val="17"/>
                <w:szCs w:val="17"/>
                <w:b w:val="1"/>
                <w:bCs w:val="1"/>
                <w:color w:val="auto"/>
              </w:rPr>
              <w:t>Net balance, October 31</w:t>
            </w:r>
            <w:r>
              <w:rPr>
                <w:rFonts w:ascii="Arial" w:cs="Arial" w:eastAsia="Arial" w:hAnsi="Arial"/>
                <w:sz w:val="22"/>
                <w:szCs w:val="22"/>
                <w:color w:val="auto"/>
                <w:vertAlign w:val="superscript"/>
              </w:rPr>
              <w:t>(1)</w:t>
            </w:r>
          </w:p>
        </w:tc>
        <w:tc>
          <w:tcPr>
            <w:tcW w:w="360" w:type="dxa"/>
            <w:vAlign w:val="bottom"/>
            <w:shd w:val="clear" w:color="auto" w:fill="DCE2EF"/>
          </w:tcPr>
          <w:p>
            <w:pPr>
              <w:spacing w:after="0"/>
              <w:rPr>
                <w:sz w:val="18"/>
                <w:szCs w:val="18"/>
                <w:color w:val="auto"/>
              </w:rPr>
            </w:pPr>
          </w:p>
        </w:tc>
        <w:tc>
          <w:tcPr>
            <w:tcW w:w="1200" w:type="dxa"/>
            <w:vAlign w:val="bottom"/>
            <w:shd w:val="clear" w:color="auto" w:fill="DCE2EF"/>
          </w:tcPr>
          <w:p>
            <w:pPr>
              <w:jc w:val="right"/>
              <w:spacing w:after="0"/>
              <w:rPr>
                <w:sz w:val="20"/>
                <w:szCs w:val="20"/>
                <w:color w:val="auto"/>
              </w:rPr>
            </w:pPr>
            <w:r>
              <w:rPr>
                <w:rFonts w:ascii="Arial" w:cs="Arial" w:eastAsia="Arial" w:hAnsi="Arial"/>
                <w:sz w:val="17"/>
                <w:szCs w:val="17"/>
                <w:color w:val="auto"/>
              </w:rPr>
              <w:t>558.6</w:t>
            </w:r>
          </w:p>
        </w:tc>
        <w:tc>
          <w:tcPr>
            <w:tcW w:w="120" w:type="dxa"/>
            <w:vAlign w:val="bottom"/>
            <w:shd w:val="clear" w:color="auto" w:fill="DCE2EF"/>
          </w:tcPr>
          <w:p>
            <w:pPr>
              <w:spacing w:after="0"/>
              <w:rPr>
                <w:sz w:val="18"/>
                <w:szCs w:val="18"/>
                <w:color w:val="auto"/>
              </w:rPr>
            </w:pPr>
          </w:p>
        </w:tc>
        <w:tc>
          <w:tcPr>
            <w:tcW w:w="340" w:type="dxa"/>
            <w:vAlign w:val="bottom"/>
            <w:shd w:val="clear" w:color="auto" w:fill="DCE2EF"/>
          </w:tcPr>
          <w:p>
            <w:pPr>
              <w:spacing w:after="0"/>
              <w:rPr>
                <w:sz w:val="18"/>
                <w:szCs w:val="18"/>
                <w:color w:val="auto"/>
              </w:rPr>
            </w:pPr>
          </w:p>
        </w:tc>
        <w:tc>
          <w:tcPr>
            <w:tcW w:w="1240" w:type="dxa"/>
            <w:vAlign w:val="bottom"/>
            <w:shd w:val="clear" w:color="auto" w:fill="DCE2EF"/>
          </w:tcPr>
          <w:p>
            <w:pPr>
              <w:jc w:val="right"/>
              <w:spacing w:after="0"/>
              <w:rPr>
                <w:sz w:val="20"/>
                <w:szCs w:val="20"/>
                <w:color w:val="auto"/>
              </w:rPr>
            </w:pPr>
            <w:r>
              <w:rPr>
                <w:rFonts w:ascii="Arial" w:cs="Arial" w:eastAsia="Arial" w:hAnsi="Arial"/>
                <w:sz w:val="17"/>
                <w:szCs w:val="17"/>
                <w:color w:val="auto"/>
              </w:rPr>
              <w:t>517.3</w:t>
            </w:r>
          </w:p>
        </w:tc>
        <w:tc>
          <w:tcPr>
            <w:tcW w:w="100" w:type="dxa"/>
            <w:vAlign w:val="bottom"/>
            <w:shd w:val="clear" w:color="auto" w:fill="DCE2EF"/>
          </w:tcPr>
          <w:p>
            <w:pPr>
              <w:spacing w:after="0"/>
              <w:rPr>
                <w:sz w:val="18"/>
                <w:szCs w:val="18"/>
                <w:color w:val="auto"/>
              </w:rPr>
            </w:pPr>
          </w:p>
        </w:tc>
        <w:tc>
          <w:tcPr>
            <w:tcW w:w="360" w:type="dxa"/>
            <w:vAlign w:val="bottom"/>
            <w:shd w:val="clear" w:color="auto" w:fill="DCE2EF"/>
          </w:tcPr>
          <w:p>
            <w:pPr>
              <w:spacing w:after="0"/>
              <w:rPr>
                <w:sz w:val="18"/>
                <w:szCs w:val="18"/>
                <w:color w:val="auto"/>
              </w:rPr>
            </w:pPr>
          </w:p>
        </w:tc>
        <w:tc>
          <w:tcPr>
            <w:tcW w:w="1220" w:type="dxa"/>
            <w:vAlign w:val="bottom"/>
            <w:shd w:val="clear" w:color="auto" w:fill="DCE2EF"/>
          </w:tcPr>
          <w:p>
            <w:pPr>
              <w:jc w:val="right"/>
              <w:spacing w:after="0"/>
              <w:rPr>
                <w:sz w:val="20"/>
                <w:szCs w:val="20"/>
                <w:color w:val="auto"/>
              </w:rPr>
            </w:pPr>
            <w:r>
              <w:rPr>
                <w:rFonts w:ascii="Arial" w:cs="Arial" w:eastAsia="Arial" w:hAnsi="Arial"/>
                <w:sz w:val="17"/>
                <w:szCs w:val="17"/>
                <w:color w:val="auto"/>
              </w:rPr>
              <w:t>487.9</w:t>
            </w:r>
          </w:p>
        </w:tc>
      </w:tr>
      <w:tr>
        <w:trPr>
          <w:trHeight w:val="219"/>
        </w:trPr>
        <w:tc>
          <w:tcPr>
            <w:tcW w:w="6300" w:type="dxa"/>
            <w:vAlign w:val="bottom"/>
            <w:tcBorders>
              <w:bottom w:val="single" w:sz="8" w:color="DCE2EF"/>
            </w:tcBorders>
            <w:gridSpan w:val="3"/>
          </w:tcPr>
          <w:p>
            <w:pPr>
              <w:ind w:left="20"/>
              <w:spacing w:after="0"/>
              <w:rPr>
                <w:sz w:val="20"/>
                <w:szCs w:val="20"/>
                <w:color w:val="auto"/>
              </w:rPr>
            </w:pPr>
            <w:r>
              <w:rPr>
                <w:rFonts w:ascii="Arial" w:cs="Arial" w:eastAsia="Arial" w:hAnsi="Arial"/>
                <w:sz w:val="17"/>
                <w:szCs w:val="17"/>
                <w:b w:val="1"/>
                <w:bCs w:val="1"/>
                <w:color w:val="auto"/>
              </w:rPr>
              <w:t>Recoverables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90.8</w:t>
            </w:r>
          </w:p>
        </w:tc>
        <w:tc>
          <w:tcPr>
            <w:tcW w:w="120" w:type="dxa"/>
            <w:vAlign w:val="bottom"/>
            <w:tcBorders>
              <w:bottom w:val="single" w:sz="8" w:color="DCE2E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91.0</w:t>
            </w:r>
          </w:p>
        </w:tc>
        <w:tc>
          <w:tcPr>
            <w:tcW w:w="100" w:type="dxa"/>
            <w:vAlign w:val="bottom"/>
            <w:tcBorders>
              <w:bottom w:val="single" w:sz="8" w:color="DCE2E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67.1</w:t>
            </w:r>
          </w:p>
        </w:tc>
      </w:tr>
      <w:tr>
        <w:trPr>
          <w:trHeight w:val="237"/>
        </w:trPr>
        <w:tc>
          <w:tcPr>
            <w:tcW w:w="6300" w:type="dxa"/>
            <w:vAlign w:val="bottom"/>
            <w:tcBorders>
              <w:bottom w:val="single" w:sz="8" w:color="DCE2EF"/>
            </w:tcBorders>
            <w:gridSpan w:val="3"/>
            <w:shd w:val="clear" w:color="auto" w:fill="DCE2EF"/>
          </w:tcPr>
          <w:p>
            <w:pPr>
              <w:ind w:left="20"/>
              <w:spacing w:after="0"/>
              <w:rPr>
                <w:sz w:val="20"/>
                <w:szCs w:val="20"/>
                <w:color w:val="auto"/>
              </w:rPr>
            </w:pPr>
            <w:r>
              <w:rPr>
                <w:rFonts w:ascii="Arial" w:cs="Arial" w:eastAsia="Arial" w:hAnsi="Arial"/>
                <w:sz w:val="17"/>
                <w:szCs w:val="17"/>
                <w:b w:val="1"/>
                <w:bCs w:val="1"/>
                <w:color w:val="auto"/>
              </w:rPr>
              <w:t>Gross balance, October 31</w:t>
            </w:r>
          </w:p>
        </w:tc>
        <w:tc>
          <w:tcPr>
            <w:tcW w:w="360" w:type="dxa"/>
            <w:vAlign w:val="bottom"/>
            <w:tcBorders>
              <w:bottom w:val="single" w:sz="8" w:color="auto"/>
            </w:tcBorders>
            <w:shd w:val="clear" w:color="auto" w:fill="DCE2EF"/>
          </w:tcPr>
          <w:p>
            <w:pPr>
              <w:jc w:val="right"/>
              <w:ind w:right="154"/>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7"/>
                <w:szCs w:val="17"/>
                <w:color w:val="auto"/>
              </w:rPr>
              <w:t>649.5</w:t>
            </w:r>
          </w:p>
        </w:tc>
        <w:tc>
          <w:tcPr>
            <w:tcW w:w="120" w:type="dxa"/>
            <w:vAlign w:val="bottom"/>
            <w:tcBorders>
              <w:bottom w:val="single" w:sz="8" w:color="DCE2EF"/>
            </w:tcBorders>
            <w:shd w:val="clear" w:color="auto" w:fill="DCE2EF"/>
          </w:tcPr>
          <w:p>
            <w:pPr>
              <w:spacing w:after="0"/>
              <w:rPr>
                <w:sz w:val="20"/>
                <w:szCs w:val="20"/>
                <w:color w:val="auto"/>
              </w:rPr>
            </w:pPr>
          </w:p>
        </w:tc>
        <w:tc>
          <w:tcPr>
            <w:tcW w:w="340" w:type="dxa"/>
            <w:vAlign w:val="bottom"/>
            <w:tcBorders>
              <w:bottom w:val="single" w:sz="8" w:color="auto"/>
            </w:tcBorders>
            <w:shd w:val="clear" w:color="auto" w:fill="DCE2EF"/>
          </w:tcPr>
          <w:p>
            <w:pPr>
              <w:jc w:val="right"/>
              <w:ind w:right="154"/>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7"/>
                <w:szCs w:val="17"/>
                <w:color w:val="auto"/>
              </w:rPr>
              <w:t>608.4</w:t>
            </w:r>
          </w:p>
        </w:tc>
        <w:tc>
          <w:tcPr>
            <w:tcW w:w="100" w:type="dxa"/>
            <w:vAlign w:val="bottom"/>
            <w:tcBorders>
              <w:bottom w:val="single" w:sz="8" w:color="DCE2EF"/>
            </w:tcBorders>
            <w:shd w:val="clear" w:color="auto" w:fill="DCE2EF"/>
          </w:tcPr>
          <w:p>
            <w:pPr>
              <w:spacing w:after="0"/>
              <w:rPr>
                <w:sz w:val="20"/>
                <w:szCs w:val="20"/>
                <w:color w:val="auto"/>
              </w:rPr>
            </w:pPr>
          </w:p>
        </w:tc>
        <w:tc>
          <w:tcPr>
            <w:tcW w:w="360" w:type="dxa"/>
            <w:vAlign w:val="bottom"/>
            <w:tcBorders>
              <w:bottom w:val="single" w:sz="8" w:color="auto"/>
            </w:tcBorders>
            <w:shd w:val="clear" w:color="auto" w:fill="DCE2EF"/>
          </w:tcPr>
          <w:p>
            <w:pPr>
              <w:jc w:val="right"/>
              <w:ind w:right="154"/>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7"/>
                <w:szCs w:val="17"/>
                <w:color w:val="auto"/>
              </w:rPr>
              <w:t>555.0</w:t>
            </w:r>
          </w:p>
        </w:tc>
      </w:tr>
      <w:tr>
        <w:trPr>
          <w:trHeight w:val="20"/>
        </w:trPr>
        <w:tc>
          <w:tcPr>
            <w:tcW w:w="20" w:type="dxa"/>
            <w:vAlign w:val="bottom"/>
            <w:tcBorders>
              <w:top w:val="single" w:sz="8" w:color="DCE2EF"/>
            </w:tcBorders>
          </w:tcPr>
          <w:p>
            <w:pPr>
              <w:spacing w:after="0" w:line="20" w:lineRule="exact"/>
              <w:rPr>
                <w:sz w:val="1"/>
                <w:szCs w:val="1"/>
                <w:color w:val="auto"/>
              </w:rPr>
            </w:pPr>
          </w:p>
        </w:tc>
        <w:tc>
          <w:tcPr>
            <w:tcW w:w="680" w:type="dxa"/>
            <w:vAlign w:val="bottom"/>
            <w:tcBorders>
              <w:top w:val="single" w:sz="8" w:color="DCE2EF"/>
            </w:tcBorders>
          </w:tcPr>
          <w:p>
            <w:pPr>
              <w:spacing w:after="0" w:line="20" w:lineRule="exact"/>
              <w:rPr>
                <w:sz w:val="1"/>
                <w:szCs w:val="1"/>
                <w:color w:val="auto"/>
              </w:rPr>
            </w:pPr>
          </w:p>
        </w:tc>
        <w:tc>
          <w:tcPr>
            <w:tcW w:w="5600" w:type="dxa"/>
            <w:vAlign w:val="bottom"/>
            <w:tcBorders>
              <w:top w:val="single" w:sz="8" w:color="DCE2EF"/>
            </w:tcBorders>
          </w:tcPr>
          <w:p>
            <w:pPr>
              <w:spacing w:after="0" w:line="20" w:lineRule="exact"/>
              <w:rPr>
                <w:sz w:val="1"/>
                <w:szCs w:val="1"/>
                <w:color w:val="auto"/>
              </w:rPr>
            </w:pPr>
          </w:p>
        </w:tc>
        <w:tc>
          <w:tcPr>
            <w:tcW w:w="360" w:type="dxa"/>
            <w:vAlign w:val="bottom"/>
            <w:tcBorders>
              <w:top w:val="single" w:sz="8" w:color="DCE2EF"/>
              <w:bottom w:val="single" w:sz="8" w:color="auto"/>
            </w:tcBorders>
          </w:tcPr>
          <w:p>
            <w:pPr>
              <w:spacing w:after="0" w:line="20" w:lineRule="exact"/>
              <w:rPr>
                <w:sz w:val="1"/>
                <w:szCs w:val="1"/>
                <w:color w:val="auto"/>
              </w:rPr>
            </w:pPr>
          </w:p>
        </w:tc>
        <w:tc>
          <w:tcPr>
            <w:tcW w:w="1200" w:type="dxa"/>
            <w:vAlign w:val="bottom"/>
            <w:tcBorders>
              <w:top w:val="single" w:sz="8" w:color="DCE2EF"/>
              <w:bottom w:val="single" w:sz="8" w:color="auto"/>
            </w:tcBorders>
          </w:tcPr>
          <w:p>
            <w:pPr>
              <w:spacing w:after="0" w:line="20" w:lineRule="exact"/>
              <w:rPr>
                <w:sz w:val="1"/>
                <w:szCs w:val="1"/>
                <w:color w:val="auto"/>
              </w:rPr>
            </w:pPr>
          </w:p>
        </w:tc>
        <w:tc>
          <w:tcPr>
            <w:tcW w:w="120" w:type="dxa"/>
            <w:vAlign w:val="bottom"/>
            <w:tcBorders>
              <w:top w:val="single" w:sz="8" w:color="DCE2EF"/>
            </w:tcBorders>
          </w:tcPr>
          <w:p>
            <w:pPr>
              <w:spacing w:after="0" w:line="20" w:lineRule="exact"/>
              <w:rPr>
                <w:sz w:val="1"/>
                <w:szCs w:val="1"/>
                <w:color w:val="auto"/>
              </w:rPr>
            </w:pPr>
          </w:p>
        </w:tc>
        <w:tc>
          <w:tcPr>
            <w:tcW w:w="340" w:type="dxa"/>
            <w:vAlign w:val="bottom"/>
            <w:tcBorders>
              <w:top w:val="single" w:sz="8" w:color="DCE2EF"/>
              <w:bottom w:val="single" w:sz="8" w:color="auto"/>
            </w:tcBorders>
          </w:tcPr>
          <w:p>
            <w:pPr>
              <w:spacing w:after="0" w:line="20" w:lineRule="exact"/>
              <w:rPr>
                <w:sz w:val="1"/>
                <w:szCs w:val="1"/>
                <w:color w:val="auto"/>
              </w:rPr>
            </w:pPr>
          </w:p>
        </w:tc>
        <w:tc>
          <w:tcPr>
            <w:tcW w:w="1240" w:type="dxa"/>
            <w:vAlign w:val="bottom"/>
            <w:tcBorders>
              <w:top w:val="single" w:sz="8" w:color="DCE2EF"/>
              <w:bottom w:val="single" w:sz="8" w:color="auto"/>
            </w:tcBorders>
          </w:tcPr>
          <w:p>
            <w:pPr>
              <w:spacing w:after="0" w:line="20" w:lineRule="exact"/>
              <w:rPr>
                <w:sz w:val="1"/>
                <w:szCs w:val="1"/>
                <w:color w:val="auto"/>
              </w:rPr>
            </w:pPr>
          </w:p>
        </w:tc>
        <w:tc>
          <w:tcPr>
            <w:tcW w:w="100" w:type="dxa"/>
            <w:vAlign w:val="bottom"/>
            <w:tcBorders>
              <w:top w:val="single" w:sz="8" w:color="DCE2EF"/>
            </w:tcBorders>
          </w:tcPr>
          <w:p>
            <w:pPr>
              <w:spacing w:after="0" w:line="20" w:lineRule="exact"/>
              <w:rPr>
                <w:sz w:val="1"/>
                <w:szCs w:val="1"/>
                <w:color w:val="auto"/>
              </w:rPr>
            </w:pPr>
          </w:p>
        </w:tc>
        <w:tc>
          <w:tcPr>
            <w:tcW w:w="360" w:type="dxa"/>
            <w:vAlign w:val="bottom"/>
            <w:tcBorders>
              <w:top w:val="single" w:sz="8" w:color="DCE2EF"/>
              <w:bottom w:val="single" w:sz="8" w:color="auto"/>
            </w:tcBorders>
          </w:tcPr>
          <w:p>
            <w:pPr>
              <w:spacing w:after="0" w:line="20" w:lineRule="exact"/>
              <w:rPr>
                <w:sz w:val="1"/>
                <w:szCs w:val="1"/>
                <w:color w:val="auto"/>
              </w:rPr>
            </w:pPr>
          </w:p>
        </w:tc>
        <w:tc>
          <w:tcPr>
            <w:tcW w:w="1220" w:type="dxa"/>
            <w:vAlign w:val="bottom"/>
            <w:tcBorders>
              <w:top w:val="single" w:sz="8" w:color="DCE2EF"/>
              <w:bottom w:val="single" w:sz="8" w:color="auto"/>
            </w:tcBorders>
          </w:tcPr>
          <w:p>
            <w:pPr>
              <w:spacing w:after="0" w:line="20" w:lineRule="exact"/>
              <w:rPr>
                <w:sz w:val="1"/>
                <w:szCs w:val="1"/>
                <w:color w:val="auto"/>
              </w:rPr>
            </w:pPr>
          </w:p>
        </w:tc>
      </w:tr>
    </w:tbl>
    <w:p>
      <w:pPr>
        <w:spacing w:after="0" w:line="270" w:lineRule="exact"/>
        <w:rPr>
          <w:sz w:val="20"/>
          <w:szCs w:val="20"/>
          <w:color w:val="auto"/>
        </w:rPr>
      </w:pPr>
    </w:p>
    <w:p>
      <w:pPr>
        <w:ind w:left="160" w:hanging="157"/>
        <w:spacing w:after="0"/>
        <w:tabs>
          <w:tab w:leader="none" w:pos="160" w:val="left"/>
        </w:tabs>
        <w:numPr>
          <w:ilvl w:val="0"/>
          <w:numId w:val="35"/>
        </w:numPr>
        <w:rPr>
          <w:rFonts w:ascii="Arial" w:cs="Arial" w:eastAsia="Arial" w:hAnsi="Arial"/>
          <w:sz w:val="19"/>
          <w:szCs w:val="19"/>
          <w:color w:val="auto"/>
          <w:vertAlign w:val="superscript"/>
        </w:rPr>
      </w:pPr>
      <w:r>
        <w:rPr>
          <w:rFonts w:ascii="Arial" w:cs="Arial" w:eastAsia="Arial" w:hAnsi="Arial"/>
          <w:sz w:val="15"/>
          <w:szCs w:val="15"/>
          <w:color w:val="auto"/>
        </w:rPr>
        <w:t>Includes reserves related to discontinued operations of approximately $0.7 million for 2025, $0.7 million for 2024, and $0.1 million for 2023.</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46AD"/>
        </w:rPr>
        <w:t>Instruments Used to Collateralize Our Insurance Obligations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58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rPr>
              <w:t>As of October 31,</w:t>
            </w:r>
          </w:p>
        </w:tc>
        <w:tc>
          <w:tcPr>
            <w:tcW w:w="1220" w:type="dxa"/>
            <w:vAlign w:val="bottom"/>
            <w:tcBorders>
              <w:bottom w:val="single" w:sz="8" w:color="auto"/>
            </w:tcBorders>
          </w:tcPr>
          <w:p>
            <w:pPr>
              <w:spacing w:after="0"/>
              <w:rPr>
                <w:sz w:val="19"/>
                <w:szCs w:val="19"/>
                <w:color w:val="auto"/>
              </w:rPr>
            </w:pPr>
          </w:p>
        </w:tc>
      </w:tr>
      <w:tr>
        <w:trPr>
          <w:trHeight w:val="160"/>
        </w:trPr>
        <w:tc>
          <w:tcPr>
            <w:tcW w:w="7280" w:type="dxa"/>
            <w:vAlign w:val="bottom"/>
            <w:gridSpan w:val="3"/>
          </w:tcPr>
          <w:p>
            <w:pPr>
              <w:ind w:left="20"/>
              <w:spacing w:after="0" w:line="148" w:lineRule="exact"/>
              <w:rPr>
                <w:sz w:val="20"/>
                <w:szCs w:val="20"/>
                <w:color w:val="auto"/>
              </w:rPr>
            </w:pPr>
            <w:r>
              <w:rPr>
                <w:rFonts w:ascii="Times New Roman" w:cs="Times New Roman" w:eastAsia="Times New Roman" w:hAnsi="Times New Roman"/>
                <w:sz w:val="14"/>
                <w:szCs w:val="14"/>
                <w:i w:val="1"/>
                <w:iCs w:val="1"/>
                <w:color w:val="auto"/>
              </w:rPr>
              <w:t>(in millions)</w:t>
            </w:r>
          </w:p>
        </w:tc>
        <w:tc>
          <w:tcPr>
            <w:tcW w:w="440" w:type="dxa"/>
            <w:vAlign w:val="bottom"/>
          </w:tcPr>
          <w:p>
            <w:pPr>
              <w:spacing w:after="0"/>
              <w:rPr>
                <w:sz w:val="13"/>
                <w:szCs w:val="13"/>
                <w:color w:val="auto"/>
              </w:rPr>
            </w:pPr>
          </w:p>
        </w:tc>
        <w:tc>
          <w:tcPr>
            <w:tcW w:w="1480" w:type="dxa"/>
            <w:vAlign w:val="bottom"/>
          </w:tcPr>
          <w:p>
            <w:pPr>
              <w:jc w:val="right"/>
              <w:ind w:right="674"/>
              <w:spacing w:after="0" w:line="148" w:lineRule="exact"/>
              <w:rPr>
                <w:sz w:val="20"/>
                <w:szCs w:val="20"/>
                <w:color w:val="auto"/>
              </w:rPr>
            </w:pPr>
            <w:r>
              <w:rPr>
                <w:rFonts w:ascii="Arial" w:cs="Arial" w:eastAsia="Arial" w:hAnsi="Arial"/>
                <w:sz w:val="17"/>
                <w:szCs w:val="17"/>
                <w:b w:val="1"/>
                <w:bCs w:val="1"/>
                <w:color w:val="auto"/>
              </w:rPr>
              <w:t>2025</w:t>
            </w: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20" w:type="dxa"/>
            <w:vAlign w:val="bottom"/>
          </w:tcPr>
          <w:p>
            <w:pPr>
              <w:jc w:val="right"/>
              <w:ind w:right="694"/>
              <w:spacing w:after="0" w:line="148" w:lineRule="exact"/>
              <w:rPr>
                <w:sz w:val="20"/>
                <w:szCs w:val="20"/>
                <w:color w:val="auto"/>
              </w:rPr>
            </w:pPr>
            <w:r>
              <w:rPr>
                <w:rFonts w:ascii="Arial" w:cs="Arial" w:eastAsia="Arial" w:hAnsi="Arial"/>
                <w:sz w:val="17"/>
                <w:szCs w:val="17"/>
                <w:b w:val="1"/>
                <w:bCs w:val="1"/>
                <w:color w:val="auto"/>
              </w:rPr>
              <w:t>2024</w:t>
            </w:r>
          </w:p>
        </w:tc>
      </w:tr>
      <w:tr>
        <w:trPr>
          <w:trHeight w:val="32"/>
        </w:trPr>
        <w:tc>
          <w:tcPr>
            <w:tcW w:w="20" w:type="dxa"/>
            <w:vAlign w:val="bottom"/>
            <w:tcBorders>
              <w:bottom w:val="single" w:sz="8" w:color="DCE2EF"/>
            </w:tcBorders>
          </w:tcPr>
          <w:p>
            <w:pPr>
              <w:spacing w:after="0"/>
              <w:rPr>
                <w:sz w:val="2"/>
                <w:szCs w:val="2"/>
                <w:color w:val="auto"/>
              </w:rPr>
            </w:pPr>
          </w:p>
        </w:tc>
        <w:tc>
          <w:tcPr>
            <w:tcW w:w="680" w:type="dxa"/>
            <w:vAlign w:val="bottom"/>
            <w:tcBorders>
              <w:top w:val="single" w:sz="8" w:color="auto"/>
              <w:bottom w:val="single" w:sz="8" w:color="DCE2EF"/>
            </w:tcBorders>
          </w:tcPr>
          <w:p>
            <w:pPr>
              <w:spacing w:after="0"/>
              <w:rPr>
                <w:sz w:val="2"/>
                <w:szCs w:val="2"/>
                <w:color w:val="auto"/>
              </w:rPr>
            </w:pPr>
          </w:p>
        </w:tc>
        <w:tc>
          <w:tcPr>
            <w:tcW w:w="6580" w:type="dxa"/>
            <w:vAlign w:val="bottom"/>
            <w:tcBorders>
              <w:bottom w:val="single" w:sz="8" w:color="DCE2E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DCE2E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2"/>
        </w:trPr>
        <w:tc>
          <w:tcPr>
            <w:tcW w:w="7280" w:type="dxa"/>
            <w:vAlign w:val="bottom"/>
            <w:gridSpan w:val="3"/>
            <w:shd w:val="clear" w:color="auto" w:fill="DCE2EF"/>
          </w:tcPr>
          <w:p>
            <w:pPr>
              <w:ind w:left="20"/>
              <w:spacing w:after="0"/>
              <w:rPr>
                <w:sz w:val="20"/>
                <w:szCs w:val="20"/>
                <w:color w:val="auto"/>
              </w:rPr>
            </w:pPr>
            <w:r>
              <w:rPr>
                <w:rFonts w:ascii="Arial" w:cs="Arial" w:eastAsia="Arial" w:hAnsi="Arial"/>
                <w:sz w:val="17"/>
                <w:szCs w:val="17"/>
                <w:color w:val="auto"/>
              </w:rPr>
              <w:t>Standby letters of credit</w:t>
            </w:r>
          </w:p>
        </w:tc>
        <w:tc>
          <w:tcPr>
            <w:tcW w:w="440" w:type="dxa"/>
            <w:vAlign w:val="bottom"/>
            <w:shd w:val="clear" w:color="auto" w:fill="DCE2EF"/>
          </w:tcPr>
          <w:p>
            <w:pPr>
              <w:jc w:val="right"/>
              <w:ind w:right="254"/>
              <w:spacing w:after="0"/>
              <w:rPr>
                <w:sz w:val="20"/>
                <w:szCs w:val="20"/>
                <w:color w:val="auto"/>
              </w:rPr>
            </w:pPr>
            <w:r>
              <w:rPr>
                <w:rFonts w:ascii="Arial" w:cs="Arial" w:eastAsia="Arial" w:hAnsi="Arial"/>
                <w:sz w:val="17"/>
                <w:szCs w:val="17"/>
                <w:color w:val="auto"/>
                <w:w w:val="84"/>
              </w:rPr>
              <w:t>$</w:t>
            </w:r>
          </w:p>
        </w:tc>
        <w:tc>
          <w:tcPr>
            <w:tcW w:w="1480" w:type="dxa"/>
            <w:vAlign w:val="bottom"/>
            <w:shd w:val="clear" w:color="auto" w:fill="DCE2EF"/>
          </w:tcPr>
          <w:p>
            <w:pPr>
              <w:jc w:val="right"/>
              <w:spacing w:after="0"/>
              <w:rPr>
                <w:sz w:val="20"/>
                <w:szCs w:val="20"/>
                <w:color w:val="auto"/>
              </w:rPr>
            </w:pPr>
            <w:r>
              <w:rPr>
                <w:rFonts w:ascii="Arial" w:cs="Arial" w:eastAsia="Arial" w:hAnsi="Arial"/>
                <w:sz w:val="17"/>
                <w:szCs w:val="17"/>
                <w:color w:val="auto"/>
              </w:rPr>
              <w:t>18.7</w:t>
            </w:r>
          </w:p>
        </w:tc>
        <w:tc>
          <w:tcPr>
            <w:tcW w:w="120" w:type="dxa"/>
            <w:vAlign w:val="bottom"/>
            <w:shd w:val="clear" w:color="auto" w:fill="DCE2EF"/>
          </w:tcPr>
          <w:p>
            <w:pPr>
              <w:spacing w:after="0"/>
              <w:rPr>
                <w:sz w:val="18"/>
                <w:szCs w:val="18"/>
                <w:color w:val="auto"/>
              </w:rPr>
            </w:pPr>
          </w:p>
        </w:tc>
        <w:tc>
          <w:tcPr>
            <w:tcW w:w="700" w:type="dxa"/>
            <w:vAlign w:val="bottom"/>
            <w:shd w:val="clear" w:color="auto" w:fill="DCE2EF"/>
          </w:tcPr>
          <w:p>
            <w:pPr>
              <w:jc w:val="right"/>
              <w:ind w:right="514"/>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DCE2EF"/>
          </w:tcPr>
          <w:p>
            <w:pPr>
              <w:jc w:val="right"/>
              <w:spacing w:after="0"/>
              <w:rPr>
                <w:sz w:val="20"/>
                <w:szCs w:val="20"/>
                <w:color w:val="auto"/>
              </w:rPr>
            </w:pPr>
            <w:r>
              <w:rPr>
                <w:rFonts w:ascii="Arial" w:cs="Arial" w:eastAsia="Arial" w:hAnsi="Arial"/>
                <w:sz w:val="17"/>
                <w:szCs w:val="17"/>
                <w:color w:val="auto"/>
              </w:rPr>
              <w:t>53.1</w:t>
            </w:r>
          </w:p>
        </w:tc>
      </w:tr>
      <w:tr>
        <w:trPr>
          <w:trHeight w:val="219"/>
        </w:trPr>
        <w:tc>
          <w:tcPr>
            <w:tcW w:w="7280" w:type="dxa"/>
            <w:vAlign w:val="bottom"/>
            <w:gridSpan w:val="3"/>
          </w:tcPr>
          <w:p>
            <w:pPr>
              <w:ind w:left="20"/>
              <w:spacing w:after="0"/>
              <w:rPr>
                <w:sz w:val="20"/>
                <w:szCs w:val="20"/>
                <w:color w:val="auto"/>
              </w:rPr>
            </w:pPr>
            <w:r>
              <w:rPr>
                <w:rFonts w:ascii="Arial" w:cs="Arial" w:eastAsia="Arial" w:hAnsi="Arial"/>
                <w:sz w:val="17"/>
                <w:szCs w:val="17"/>
                <w:color w:val="auto"/>
              </w:rPr>
              <w:t>Surety bonds and surety-backed letters of credit</w:t>
            </w:r>
          </w:p>
        </w:tc>
        <w:tc>
          <w:tcPr>
            <w:tcW w:w="4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213.9</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175.3</w:t>
            </w:r>
          </w:p>
        </w:tc>
      </w:tr>
      <w:tr>
        <w:trPr>
          <w:trHeight w:val="219"/>
        </w:trPr>
        <w:tc>
          <w:tcPr>
            <w:tcW w:w="7280" w:type="dxa"/>
            <w:vAlign w:val="bottom"/>
            <w:gridSpan w:val="3"/>
            <w:shd w:val="clear" w:color="auto" w:fill="DCE2EF"/>
          </w:tcPr>
          <w:p>
            <w:pPr>
              <w:ind w:left="20"/>
              <w:spacing w:after="0"/>
              <w:rPr>
                <w:sz w:val="20"/>
                <w:szCs w:val="20"/>
                <w:color w:val="auto"/>
              </w:rPr>
            </w:pPr>
            <w:r>
              <w:rPr>
                <w:rFonts w:ascii="Arial" w:cs="Arial" w:eastAsia="Arial" w:hAnsi="Arial"/>
                <w:sz w:val="17"/>
                <w:szCs w:val="17"/>
                <w:color w:val="auto"/>
              </w:rPr>
              <w:t>Restricted insurance deposits</w:t>
            </w:r>
          </w:p>
        </w:tc>
        <w:tc>
          <w:tcPr>
            <w:tcW w:w="440" w:type="dxa"/>
            <w:vAlign w:val="bottom"/>
            <w:tcBorders>
              <w:bottom w:val="single" w:sz="8" w:color="auto"/>
            </w:tcBorders>
            <w:shd w:val="clear" w:color="auto" w:fill="DCE2EF"/>
          </w:tcPr>
          <w:p>
            <w:pPr>
              <w:spacing w:after="0"/>
              <w:rPr>
                <w:sz w:val="19"/>
                <w:szCs w:val="19"/>
                <w:color w:val="auto"/>
              </w:rPr>
            </w:pPr>
          </w:p>
        </w:tc>
        <w:tc>
          <w:tcPr>
            <w:tcW w:w="14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7"/>
                <w:szCs w:val="17"/>
                <w:color w:val="auto"/>
              </w:rPr>
              <w:t>4.8</w:t>
            </w:r>
          </w:p>
        </w:tc>
        <w:tc>
          <w:tcPr>
            <w:tcW w:w="120" w:type="dxa"/>
            <w:vAlign w:val="bottom"/>
            <w:shd w:val="clear" w:color="auto" w:fill="DCE2EF"/>
          </w:tcPr>
          <w:p>
            <w:pPr>
              <w:spacing w:after="0"/>
              <w:rPr>
                <w:sz w:val="19"/>
                <w:szCs w:val="19"/>
                <w:color w:val="auto"/>
              </w:rPr>
            </w:pPr>
          </w:p>
        </w:tc>
        <w:tc>
          <w:tcPr>
            <w:tcW w:w="700" w:type="dxa"/>
            <w:vAlign w:val="bottom"/>
            <w:tcBorders>
              <w:bottom w:val="single" w:sz="8" w:color="auto"/>
            </w:tcBorders>
            <w:shd w:val="clear" w:color="auto" w:fill="DCE2EF"/>
          </w:tcPr>
          <w:p>
            <w:pPr>
              <w:spacing w:after="0"/>
              <w:rPr>
                <w:sz w:val="19"/>
                <w:szCs w:val="19"/>
                <w:color w:val="auto"/>
              </w:rPr>
            </w:pPr>
          </w:p>
        </w:tc>
        <w:tc>
          <w:tcPr>
            <w:tcW w:w="122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7"/>
                <w:szCs w:val="17"/>
                <w:color w:val="auto"/>
              </w:rPr>
              <w:t>2.3</w:t>
            </w:r>
          </w:p>
        </w:tc>
      </w:tr>
      <w:tr>
        <w:trPr>
          <w:trHeight w:val="212"/>
        </w:trPr>
        <w:tc>
          <w:tcPr>
            <w:tcW w:w="7280" w:type="dxa"/>
            <w:vAlign w:val="bottom"/>
            <w:gridSpan w:val="3"/>
          </w:tcPr>
          <w:p>
            <w:pPr>
              <w:ind w:left="20"/>
              <w:spacing w:after="0"/>
              <w:rPr>
                <w:sz w:val="20"/>
                <w:szCs w:val="20"/>
                <w:color w:val="auto"/>
              </w:rPr>
            </w:pPr>
            <w:r>
              <w:rPr>
                <w:rFonts w:ascii="Arial" w:cs="Arial" w:eastAsia="Arial" w:hAnsi="Arial"/>
                <w:sz w:val="17"/>
                <w:szCs w:val="17"/>
                <w:b w:val="1"/>
                <w:bCs w:val="1"/>
                <w:color w:val="auto"/>
              </w:rPr>
              <w:t>Total</w:t>
            </w:r>
          </w:p>
        </w:tc>
        <w:tc>
          <w:tcPr>
            <w:tcW w:w="440" w:type="dxa"/>
            <w:vAlign w:val="bottom"/>
            <w:tcBorders>
              <w:bottom w:val="single" w:sz="8" w:color="auto"/>
            </w:tcBorders>
          </w:tcPr>
          <w:p>
            <w:pPr>
              <w:jc w:val="right"/>
              <w:ind w:right="254"/>
              <w:spacing w:after="0"/>
              <w:rPr>
                <w:sz w:val="20"/>
                <w:szCs w:val="20"/>
                <w:color w:val="auto"/>
              </w:rPr>
            </w:pPr>
            <w:r>
              <w:rPr>
                <w:rFonts w:ascii="Arial" w:cs="Arial" w:eastAsia="Arial" w:hAnsi="Arial"/>
                <w:sz w:val="17"/>
                <w:szCs w:val="17"/>
                <w:color w:val="auto"/>
                <w:w w:val="84"/>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237.4</w:t>
            </w:r>
          </w:p>
        </w:tc>
        <w:tc>
          <w:tcPr>
            <w:tcW w:w="120" w:type="dxa"/>
            <w:vAlign w:val="bottom"/>
          </w:tcPr>
          <w:p>
            <w:pPr>
              <w:spacing w:after="0"/>
              <w:rPr>
                <w:sz w:val="18"/>
                <w:szCs w:val="18"/>
                <w:color w:val="auto"/>
              </w:rPr>
            </w:pPr>
          </w:p>
        </w:tc>
        <w:tc>
          <w:tcPr>
            <w:tcW w:w="700" w:type="dxa"/>
            <w:vAlign w:val="bottom"/>
            <w:tcBorders>
              <w:bottom w:val="single" w:sz="8" w:color="auto"/>
            </w:tcBorders>
          </w:tcPr>
          <w:p>
            <w:pPr>
              <w:jc w:val="right"/>
              <w:ind w:right="514"/>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230.7</w:t>
            </w:r>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9" w:right="339" w:bottom="1440" w:gutter="0" w:footer="0" w:header="0"/>
        </w:sectPr>
      </w:pPr>
    </w:p>
    <w:bookmarkStart w:id="75" w:name="page76"/>
    <w:bookmarkEnd w:id="75"/>
    <w:p>
      <w:pPr>
        <w:spacing w:after="0"/>
        <w:rPr>
          <w:sz w:val="20"/>
          <w:szCs w:val="20"/>
          <w:color w:val="auto"/>
        </w:rPr>
      </w:pPr>
      <w:r>
        <w:rPr>
          <w:rFonts w:ascii="Arial" w:cs="Arial" w:eastAsia="Arial" w:hAnsi="Arial"/>
          <w:sz w:val="17"/>
          <w:szCs w:val="17"/>
          <w:b w:val="1"/>
          <w:bCs w:val="1"/>
          <w:color w:val="0046AD"/>
        </w:rPr>
        <w:t>12. CREDIT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wp:posOffset>
            </wp:positionV>
            <wp:extent cx="713867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48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238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rPr>
              <w:t>As of October 31,</w:t>
            </w:r>
          </w:p>
        </w:tc>
        <w:tc>
          <w:tcPr>
            <w:tcW w:w="1240" w:type="dxa"/>
            <w:vAlign w:val="bottom"/>
            <w:tcBorders>
              <w:bottom w:val="single" w:sz="8" w:color="auto"/>
            </w:tcBorders>
          </w:tcPr>
          <w:p>
            <w:pPr>
              <w:spacing w:after="0"/>
              <w:rPr>
                <w:sz w:val="19"/>
                <w:szCs w:val="19"/>
                <w:color w:val="auto"/>
              </w:rPr>
            </w:pPr>
          </w:p>
        </w:tc>
      </w:tr>
      <w:tr>
        <w:trPr>
          <w:trHeight w:val="160"/>
        </w:trPr>
        <w:tc>
          <w:tcPr>
            <w:tcW w:w="7180" w:type="dxa"/>
            <w:vAlign w:val="bottom"/>
            <w:gridSpan w:val="3"/>
          </w:tcPr>
          <w:p>
            <w:pPr>
              <w:ind w:left="20"/>
              <w:spacing w:after="0" w:line="148" w:lineRule="exact"/>
              <w:rPr>
                <w:sz w:val="20"/>
                <w:szCs w:val="20"/>
                <w:color w:val="auto"/>
              </w:rPr>
            </w:pPr>
            <w:r>
              <w:rPr>
                <w:rFonts w:ascii="Times New Roman" w:cs="Times New Roman" w:eastAsia="Times New Roman" w:hAnsi="Times New Roman"/>
                <w:sz w:val="14"/>
                <w:szCs w:val="14"/>
                <w:i w:val="1"/>
                <w:iCs w:val="1"/>
                <w:color w:val="auto"/>
              </w:rPr>
              <w:t>(in millions)</w:t>
            </w:r>
          </w:p>
        </w:tc>
        <w:tc>
          <w:tcPr>
            <w:tcW w:w="440" w:type="dxa"/>
            <w:vAlign w:val="bottom"/>
          </w:tcPr>
          <w:p>
            <w:pPr>
              <w:spacing w:after="0"/>
              <w:rPr>
                <w:sz w:val="13"/>
                <w:szCs w:val="13"/>
                <w:color w:val="auto"/>
              </w:rPr>
            </w:pPr>
          </w:p>
        </w:tc>
        <w:tc>
          <w:tcPr>
            <w:tcW w:w="1540" w:type="dxa"/>
            <w:vAlign w:val="bottom"/>
          </w:tcPr>
          <w:p>
            <w:pPr>
              <w:jc w:val="right"/>
              <w:ind w:right="714"/>
              <w:spacing w:after="0" w:line="148" w:lineRule="exact"/>
              <w:rPr>
                <w:sz w:val="20"/>
                <w:szCs w:val="20"/>
                <w:color w:val="auto"/>
              </w:rPr>
            </w:pPr>
            <w:r>
              <w:rPr>
                <w:rFonts w:ascii="Arial" w:cs="Arial" w:eastAsia="Arial" w:hAnsi="Arial"/>
                <w:sz w:val="17"/>
                <w:szCs w:val="17"/>
                <w:b w:val="1"/>
                <w:bCs w:val="1"/>
                <w:color w:val="auto"/>
              </w:rPr>
              <w:t>2025</w:t>
            </w: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40" w:type="dxa"/>
            <w:vAlign w:val="bottom"/>
          </w:tcPr>
          <w:p>
            <w:pPr>
              <w:jc w:val="right"/>
              <w:ind w:right="714"/>
              <w:spacing w:after="0" w:line="148" w:lineRule="exact"/>
              <w:rPr>
                <w:sz w:val="20"/>
                <w:szCs w:val="20"/>
                <w:color w:val="auto"/>
              </w:rPr>
            </w:pPr>
            <w:r>
              <w:rPr>
                <w:rFonts w:ascii="Arial" w:cs="Arial" w:eastAsia="Arial" w:hAnsi="Arial"/>
                <w:sz w:val="17"/>
                <w:szCs w:val="17"/>
                <w:b w:val="1"/>
                <w:bCs w:val="1"/>
                <w:color w:val="auto"/>
              </w:rPr>
              <w:t>2024</w:t>
            </w:r>
          </w:p>
        </w:tc>
      </w:tr>
      <w:tr>
        <w:trPr>
          <w:trHeight w:val="32"/>
        </w:trPr>
        <w:tc>
          <w:tcPr>
            <w:tcW w:w="20" w:type="dxa"/>
            <w:vAlign w:val="bottom"/>
            <w:tcBorders>
              <w:bottom w:val="single" w:sz="8" w:color="DCE2EF"/>
            </w:tcBorders>
          </w:tcPr>
          <w:p>
            <w:pPr>
              <w:spacing w:after="0"/>
              <w:rPr>
                <w:sz w:val="2"/>
                <w:szCs w:val="2"/>
                <w:color w:val="auto"/>
              </w:rPr>
            </w:pPr>
          </w:p>
        </w:tc>
        <w:tc>
          <w:tcPr>
            <w:tcW w:w="680" w:type="dxa"/>
            <w:vAlign w:val="bottom"/>
            <w:tcBorders>
              <w:top w:val="single" w:sz="8" w:color="auto"/>
              <w:bottom w:val="single" w:sz="8" w:color="DCE2EF"/>
            </w:tcBorders>
          </w:tcPr>
          <w:p>
            <w:pPr>
              <w:spacing w:after="0"/>
              <w:rPr>
                <w:sz w:val="2"/>
                <w:szCs w:val="2"/>
                <w:color w:val="auto"/>
              </w:rPr>
            </w:pPr>
          </w:p>
        </w:tc>
        <w:tc>
          <w:tcPr>
            <w:tcW w:w="6480" w:type="dxa"/>
            <w:vAlign w:val="bottom"/>
            <w:tcBorders>
              <w:bottom w:val="single" w:sz="8" w:color="DCE2E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99"/>
        </w:trPr>
        <w:tc>
          <w:tcPr>
            <w:tcW w:w="7180" w:type="dxa"/>
            <w:vAlign w:val="bottom"/>
            <w:gridSpan w:val="3"/>
            <w:shd w:val="clear" w:color="auto" w:fill="DCE2EF"/>
          </w:tcPr>
          <w:p>
            <w:pPr>
              <w:ind w:left="20"/>
              <w:spacing w:after="0" w:line="199" w:lineRule="exact"/>
              <w:rPr>
                <w:sz w:val="20"/>
                <w:szCs w:val="20"/>
                <w:color w:val="auto"/>
              </w:rPr>
            </w:pPr>
            <w:r>
              <w:rPr>
                <w:rFonts w:ascii="Arial" w:cs="Arial" w:eastAsia="Arial" w:hAnsi="Arial"/>
                <w:sz w:val="17"/>
                <w:szCs w:val="17"/>
                <w:color w:val="auto"/>
              </w:rPr>
              <w:t>Current portion of long-term debt</w:t>
            </w:r>
            <w:r>
              <w:rPr>
                <w:rFonts w:ascii="Arial" w:cs="Arial" w:eastAsia="Arial" w:hAnsi="Arial"/>
                <w:sz w:val="22"/>
                <w:szCs w:val="22"/>
                <w:color w:val="auto"/>
                <w:vertAlign w:val="superscript"/>
              </w:rPr>
              <w:t>(1)(2)</w:t>
            </w:r>
          </w:p>
        </w:tc>
        <w:tc>
          <w:tcPr>
            <w:tcW w:w="440" w:type="dxa"/>
            <w:vAlign w:val="bottom"/>
            <w:shd w:val="clear" w:color="auto" w:fill="DCE2EF"/>
          </w:tcPr>
          <w:p>
            <w:pPr>
              <w:spacing w:after="0"/>
              <w:rPr>
                <w:sz w:val="17"/>
                <w:szCs w:val="17"/>
                <w:color w:val="auto"/>
              </w:rPr>
            </w:pPr>
          </w:p>
        </w:tc>
        <w:tc>
          <w:tcPr>
            <w:tcW w:w="1540" w:type="dxa"/>
            <w:vAlign w:val="bottom"/>
            <w:shd w:val="clear" w:color="auto" w:fill="DCE2EF"/>
          </w:tcPr>
          <w:p>
            <w:pPr>
              <w:spacing w:after="0"/>
              <w:rPr>
                <w:sz w:val="17"/>
                <w:szCs w:val="17"/>
                <w:color w:val="auto"/>
              </w:rPr>
            </w:pPr>
          </w:p>
        </w:tc>
        <w:tc>
          <w:tcPr>
            <w:tcW w:w="100" w:type="dxa"/>
            <w:vAlign w:val="bottom"/>
            <w:shd w:val="clear" w:color="auto" w:fill="DCE2EF"/>
          </w:tcPr>
          <w:p>
            <w:pPr>
              <w:spacing w:after="0"/>
              <w:rPr>
                <w:sz w:val="17"/>
                <w:szCs w:val="17"/>
                <w:color w:val="auto"/>
              </w:rPr>
            </w:pPr>
          </w:p>
        </w:tc>
        <w:tc>
          <w:tcPr>
            <w:tcW w:w="740" w:type="dxa"/>
            <w:vAlign w:val="bottom"/>
            <w:shd w:val="clear" w:color="auto" w:fill="DCE2EF"/>
          </w:tcPr>
          <w:p>
            <w:pPr>
              <w:spacing w:after="0"/>
              <w:rPr>
                <w:sz w:val="17"/>
                <w:szCs w:val="17"/>
                <w:color w:val="auto"/>
              </w:rPr>
            </w:pPr>
          </w:p>
        </w:tc>
        <w:tc>
          <w:tcPr>
            <w:tcW w:w="1240" w:type="dxa"/>
            <w:vAlign w:val="bottom"/>
            <w:shd w:val="clear" w:color="auto" w:fill="DCE2EF"/>
          </w:tcPr>
          <w:p>
            <w:pPr>
              <w:spacing w:after="0"/>
              <w:rPr>
                <w:sz w:val="17"/>
                <w:szCs w:val="17"/>
                <w:color w:val="auto"/>
              </w:rPr>
            </w:pPr>
          </w:p>
        </w:tc>
      </w:tr>
      <w:tr>
        <w:trPr>
          <w:trHeight w:val="219"/>
        </w:trPr>
        <w:tc>
          <w:tcPr>
            <w:tcW w:w="20" w:type="dxa"/>
            <w:vAlign w:val="bottom"/>
          </w:tcPr>
          <w:p>
            <w:pPr>
              <w:spacing w:after="0"/>
              <w:rPr>
                <w:sz w:val="19"/>
                <w:szCs w:val="19"/>
                <w:color w:val="auto"/>
              </w:rPr>
            </w:pPr>
          </w:p>
        </w:tc>
        <w:tc>
          <w:tcPr>
            <w:tcW w:w="7160" w:type="dxa"/>
            <w:vAlign w:val="bottom"/>
            <w:gridSpan w:val="2"/>
          </w:tcPr>
          <w:p>
            <w:pPr>
              <w:ind w:left="200"/>
              <w:spacing w:after="0"/>
              <w:rPr>
                <w:sz w:val="20"/>
                <w:szCs w:val="20"/>
                <w:color w:val="auto"/>
              </w:rPr>
            </w:pPr>
            <w:r>
              <w:rPr>
                <w:rFonts w:ascii="Arial" w:cs="Arial" w:eastAsia="Arial" w:hAnsi="Arial"/>
                <w:sz w:val="17"/>
                <w:szCs w:val="17"/>
                <w:color w:val="auto"/>
              </w:rPr>
              <w:t>Gross term loan</w:t>
            </w:r>
          </w:p>
        </w:tc>
        <w:tc>
          <w:tcPr>
            <w:tcW w:w="440" w:type="dxa"/>
            <w:vAlign w:val="bottom"/>
          </w:tcPr>
          <w:p>
            <w:pPr>
              <w:jc w:val="right"/>
              <w:ind w:right="254"/>
              <w:spacing w:after="0"/>
              <w:rPr>
                <w:sz w:val="20"/>
                <w:szCs w:val="20"/>
                <w:color w:val="auto"/>
              </w:rPr>
            </w:pPr>
            <w:r>
              <w:rPr>
                <w:rFonts w:ascii="Arial" w:cs="Arial" w:eastAsia="Arial" w:hAnsi="Arial"/>
                <w:sz w:val="17"/>
                <w:szCs w:val="17"/>
                <w:color w:val="auto"/>
                <w:w w:val="84"/>
              </w:rPr>
              <w:t>$</w:t>
            </w:r>
          </w:p>
        </w:tc>
        <w:tc>
          <w:tcPr>
            <w:tcW w:w="1540" w:type="dxa"/>
            <w:vAlign w:val="bottom"/>
          </w:tcPr>
          <w:p>
            <w:pPr>
              <w:jc w:val="right"/>
              <w:spacing w:after="0"/>
              <w:rPr>
                <w:sz w:val="20"/>
                <w:szCs w:val="20"/>
                <w:color w:val="auto"/>
              </w:rPr>
            </w:pPr>
            <w:r>
              <w:rPr>
                <w:rFonts w:ascii="Arial" w:cs="Arial" w:eastAsia="Arial" w:hAnsi="Arial"/>
                <w:sz w:val="17"/>
                <w:szCs w:val="17"/>
                <w:color w:val="auto"/>
              </w:rPr>
              <w:t>30.0</w:t>
            </w:r>
          </w:p>
        </w:tc>
        <w:tc>
          <w:tcPr>
            <w:tcW w:w="100" w:type="dxa"/>
            <w:vAlign w:val="bottom"/>
          </w:tcPr>
          <w:p>
            <w:pPr>
              <w:spacing w:after="0"/>
              <w:rPr>
                <w:sz w:val="19"/>
                <w:szCs w:val="19"/>
                <w:color w:val="auto"/>
              </w:rPr>
            </w:pPr>
          </w:p>
        </w:tc>
        <w:tc>
          <w:tcPr>
            <w:tcW w:w="740" w:type="dxa"/>
            <w:vAlign w:val="bottom"/>
          </w:tcPr>
          <w:p>
            <w:pPr>
              <w:jc w:val="right"/>
              <w:ind w:right="534"/>
              <w:spacing w:after="0"/>
              <w:rPr>
                <w:sz w:val="20"/>
                <w:szCs w:val="20"/>
                <w:color w:val="auto"/>
              </w:rPr>
            </w:pPr>
            <w:r>
              <w:rPr>
                <w:rFonts w:ascii="Arial" w:cs="Arial" w:eastAsia="Arial" w:hAnsi="Arial"/>
                <w:sz w:val="17"/>
                <w:szCs w:val="17"/>
                <w:color w:val="auto"/>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32.5</w:t>
            </w:r>
          </w:p>
        </w:tc>
      </w:tr>
      <w:tr>
        <w:trPr>
          <w:trHeight w:val="219"/>
        </w:trPr>
        <w:tc>
          <w:tcPr>
            <w:tcW w:w="20" w:type="dxa"/>
            <w:vAlign w:val="bottom"/>
            <w:shd w:val="clear" w:color="auto" w:fill="DCE2EF"/>
          </w:tcPr>
          <w:p>
            <w:pPr>
              <w:spacing w:after="0"/>
              <w:rPr>
                <w:sz w:val="19"/>
                <w:szCs w:val="19"/>
                <w:color w:val="auto"/>
              </w:rPr>
            </w:pPr>
          </w:p>
        </w:tc>
        <w:tc>
          <w:tcPr>
            <w:tcW w:w="7160" w:type="dxa"/>
            <w:vAlign w:val="bottom"/>
            <w:gridSpan w:val="2"/>
            <w:shd w:val="clear" w:color="auto" w:fill="DCE2EF"/>
          </w:tcPr>
          <w:p>
            <w:pPr>
              <w:ind w:left="200"/>
              <w:spacing w:after="0"/>
              <w:rPr>
                <w:sz w:val="20"/>
                <w:szCs w:val="20"/>
                <w:color w:val="auto"/>
              </w:rPr>
            </w:pPr>
            <w:r>
              <w:rPr>
                <w:rFonts w:ascii="Arial" w:cs="Arial" w:eastAsia="Arial" w:hAnsi="Arial"/>
                <w:sz w:val="17"/>
                <w:szCs w:val="17"/>
                <w:color w:val="auto"/>
              </w:rPr>
              <w:t>Unamortized deferred financing costs</w:t>
            </w:r>
          </w:p>
        </w:tc>
        <w:tc>
          <w:tcPr>
            <w:tcW w:w="440" w:type="dxa"/>
            <w:vAlign w:val="bottom"/>
            <w:tcBorders>
              <w:bottom w:val="single" w:sz="8" w:color="auto"/>
            </w:tcBorders>
            <w:shd w:val="clear" w:color="auto" w:fill="DCE2EF"/>
          </w:tcPr>
          <w:p>
            <w:pPr>
              <w:spacing w:after="0"/>
              <w:rPr>
                <w:sz w:val="19"/>
                <w:szCs w:val="19"/>
                <w:color w:val="auto"/>
              </w:rPr>
            </w:pPr>
          </w:p>
        </w:tc>
        <w:tc>
          <w:tcPr>
            <w:tcW w:w="154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7"/>
                <w:szCs w:val="17"/>
                <w:color w:val="auto"/>
              </w:rPr>
              <w:t>(0.6)</w:t>
            </w:r>
          </w:p>
        </w:tc>
        <w:tc>
          <w:tcPr>
            <w:tcW w:w="100" w:type="dxa"/>
            <w:vAlign w:val="bottom"/>
            <w:shd w:val="clear" w:color="auto" w:fill="DCE2EF"/>
          </w:tcPr>
          <w:p>
            <w:pPr>
              <w:spacing w:after="0"/>
              <w:rPr>
                <w:sz w:val="19"/>
                <w:szCs w:val="19"/>
                <w:color w:val="auto"/>
              </w:rPr>
            </w:pPr>
          </w:p>
        </w:tc>
        <w:tc>
          <w:tcPr>
            <w:tcW w:w="740" w:type="dxa"/>
            <w:vAlign w:val="bottom"/>
            <w:tcBorders>
              <w:bottom w:val="single" w:sz="8" w:color="auto"/>
            </w:tcBorders>
            <w:shd w:val="clear" w:color="auto" w:fill="DCE2EF"/>
          </w:tcPr>
          <w:p>
            <w:pPr>
              <w:spacing w:after="0"/>
              <w:rPr>
                <w:sz w:val="19"/>
                <w:szCs w:val="19"/>
                <w:color w:val="auto"/>
              </w:rPr>
            </w:pPr>
          </w:p>
        </w:tc>
        <w:tc>
          <w:tcPr>
            <w:tcW w:w="124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7"/>
                <w:szCs w:val="17"/>
                <w:color w:val="auto"/>
              </w:rPr>
              <w:t>(0.9)</w:t>
            </w:r>
          </w:p>
        </w:tc>
      </w:tr>
      <w:tr>
        <w:trPr>
          <w:trHeight w:val="212"/>
        </w:trPr>
        <w:tc>
          <w:tcPr>
            <w:tcW w:w="7180" w:type="dxa"/>
            <w:vAlign w:val="bottom"/>
            <w:gridSpan w:val="3"/>
          </w:tcPr>
          <w:p>
            <w:pPr>
              <w:ind w:left="20"/>
              <w:spacing w:after="0"/>
              <w:rPr>
                <w:sz w:val="20"/>
                <w:szCs w:val="20"/>
                <w:color w:val="auto"/>
              </w:rPr>
            </w:pPr>
            <w:r>
              <w:rPr>
                <w:rFonts w:ascii="Arial" w:cs="Arial" w:eastAsia="Arial" w:hAnsi="Arial"/>
                <w:sz w:val="17"/>
                <w:szCs w:val="17"/>
                <w:color w:val="auto"/>
              </w:rPr>
              <w:t>Current portion of term loan</w:t>
            </w:r>
          </w:p>
        </w:tc>
        <w:tc>
          <w:tcPr>
            <w:tcW w:w="440" w:type="dxa"/>
            <w:vAlign w:val="bottom"/>
          </w:tcPr>
          <w:p>
            <w:pPr>
              <w:jc w:val="right"/>
              <w:ind w:right="254"/>
              <w:spacing w:after="0"/>
              <w:rPr>
                <w:sz w:val="20"/>
                <w:szCs w:val="20"/>
                <w:color w:val="auto"/>
              </w:rPr>
            </w:pPr>
            <w:r>
              <w:rPr>
                <w:rFonts w:ascii="Arial" w:cs="Arial" w:eastAsia="Arial" w:hAnsi="Arial"/>
                <w:sz w:val="17"/>
                <w:szCs w:val="17"/>
                <w:color w:val="auto"/>
                <w:w w:val="84"/>
              </w:rPr>
              <w:t>$</w:t>
            </w:r>
          </w:p>
        </w:tc>
        <w:tc>
          <w:tcPr>
            <w:tcW w:w="1540" w:type="dxa"/>
            <w:vAlign w:val="bottom"/>
          </w:tcPr>
          <w:p>
            <w:pPr>
              <w:jc w:val="right"/>
              <w:spacing w:after="0"/>
              <w:rPr>
                <w:sz w:val="20"/>
                <w:szCs w:val="20"/>
                <w:color w:val="auto"/>
              </w:rPr>
            </w:pPr>
            <w:r>
              <w:rPr>
                <w:rFonts w:ascii="Arial" w:cs="Arial" w:eastAsia="Arial" w:hAnsi="Arial"/>
                <w:sz w:val="17"/>
                <w:szCs w:val="17"/>
                <w:color w:val="auto"/>
              </w:rPr>
              <w:t>29.4</w:t>
            </w:r>
          </w:p>
        </w:tc>
        <w:tc>
          <w:tcPr>
            <w:tcW w:w="100" w:type="dxa"/>
            <w:vAlign w:val="bottom"/>
          </w:tcPr>
          <w:p>
            <w:pPr>
              <w:spacing w:after="0"/>
              <w:rPr>
                <w:sz w:val="18"/>
                <w:szCs w:val="18"/>
                <w:color w:val="auto"/>
              </w:rPr>
            </w:pPr>
          </w:p>
        </w:tc>
        <w:tc>
          <w:tcPr>
            <w:tcW w:w="740" w:type="dxa"/>
            <w:vAlign w:val="bottom"/>
          </w:tcPr>
          <w:p>
            <w:pPr>
              <w:jc w:val="right"/>
              <w:ind w:right="534"/>
              <w:spacing w:after="0"/>
              <w:rPr>
                <w:sz w:val="20"/>
                <w:szCs w:val="20"/>
                <w:color w:val="auto"/>
              </w:rPr>
            </w:pPr>
            <w:r>
              <w:rPr>
                <w:rFonts w:ascii="Arial" w:cs="Arial" w:eastAsia="Arial" w:hAnsi="Arial"/>
                <w:sz w:val="17"/>
                <w:szCs w:val="17"/>
                <w:color w:val="auto"/>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31.6</w:t>
            </w:r>
          </w:p>
        </w:tc>
      </w:tr>
      <w:tr>
        <w:trPr>
          <w:trHeight w:val="258"/>
        </w:trPr>
        <w:tc>
          <w:tcPr>
            <w:tcW w:w="20" w:type="dxa"/>
            <w:vAlign w:val="bottom"/>
            <w:shd w:val="clear" w:color="auto" w:fill="DCE2EF"/>
          </w:tcPr>
          <w:p>
            <w:pPr>
              <w:spacing w:after="0"/>
              <w:rPr>
                <w:sz w:val="22"/>
                <w:szCs w:val="22"/>
                <w:color w:val="auto"/>
              </w:rPr>
            </w:pPr>
          </w:p>
        </w:tc>
        <w:tc>
          <w:tcPr>
            <w:tcW w:w="680" w:type="dxa"/>
            <w:vAlign w:val="bottom"/>
            <w:shd w:val="clear" w:color="auto" w:fill="DCE2EF"/>
          </w:tcPr>
          <w:p>
            <w:pPr>
              <w:spacing w:after="0"/>
              <w:rPr>
                <w:sz w:val="22"/>
                <w:szCs w:val="22"/>
                <w:color w:val="auto"/>
              </w:rPr>
            </w:pPr>
          </w:p>
        </w:tc>
        <w:tc>
          <w:tcPr>
            <w:tcW w:w="6480" w:type="dxa"/>
            <w:vAlign w:val="bottom"/>
            <w:shd w:val="clear" w:color="auto" w:fill="DCE2EF"/>
          </w:tcPr>
          <w:p>
            <w:pPr>
              <w:spacing w:after="0"/>
              <w:rPr>
                <w:sz w:val="22"/>
                <w:szCs w:val="22"/>
                <w:color w:val="auto"/>
              </w:rPr>
            </w:pPr>
          </w:p>
        </w:tc>
        <w:tc>
          <w:tcPr>
            <w:tcW w:w="440" w:type="dxa"/>
            <w:vAlign w:val="bottom"/>
            <w:shd w:val="clear" w:color="auto" w:fill="DCE2EF"/>
          </w:tcPr>
          <w:p>
            <w:pPr>
              <w:spacing w:after="0"/>
              <w:rPr>
                <w:sz w:val="22"/>
                <w:szCs w:val="22"/>
                <w:color w:val="auto"/>
              </w:rPr>
            </w:pPr>
          </w:p>
        </w:tc>
        <w:tc>
          <w:tcPr>
            <w:tcW w:w="1540" w:type="dxa"/>
            <w:vAlign w:val="bottom"/>
            <w:shd w:val="clear" w:color="auto" w:fill="DCE2EF"/>
          </w:tcPr>
          <w:p>
            <w:pPr>
              <w:spacing w:after="0"/>
              <w:rPr>
                <w:sz w:val="22"/>
                <w:szCs w:val="22"/>
                <w:color w:val="auto"/>
              </w:rPr>
            </w:pPr>
          </w:p>
        </w:tc>
        <w:tc>
          <w:tcPr>
            <w:tcW w:w="100" w:type="dxa"/>
            <w:vAlign w:val="bottom"/>
            <w:shd w:val="clear" w:color="auto" w:fill="DCE2EF"/>
          </w:tcPr>
          <w:p>
            <w:pPr>
              <w:spacing w:after="0"/>
              <w:rPr>
                <w:sz w:val="22"/>
                <w:szCs w:val="22"/>
                <w:color w:val="auto"/>
              </w:rPr>
            </w:pPr>
          </w:p>
        </w:tc>
        <w:tc>
          <w:tcPr>
            <w:tcW w:w="740" w:type="dxa"/>
            <w:vAlign w:val="bottom"/>
            <w:shd w:val="clear" w:color="auto" w:fill="DCE2EF"/>
          </w:tcPr>
          <w:p>
            <w:pPr>
              <w:spacing w:after="0"/>
              <w:rPr>
                <w:sz w:val="22"/>
                <w:szCs w:val="22"/>
                <w:color w:val="auto"/>
              </w:rPr>
            </w:pPr>
          </w:p>
        </w:tc>
        <w:tc>
          <w:tcPr>
            <w:tcW w:w="1240" w:type="dxa"/>
            <w:vAlign w:val="bottom"/>
            <w:shd w:val="clear" w:color="auto" w:fill="DCE2EF"/>
          </w:tcPr>
          <w:p>
            <w:pPr>
              <w:spacing w:after="0"/>
              <w:rPr>
                <w:sz w:val="22"/>
                <w:szCs w:val="22"/>
                <w:color w:val="auto"/>
              </w:rPr>
            </w:pPr>
          </w:p>
        </w:tc>
      </w:tr>
      <w:tr>
        <w:trPr>
          <w:trHeight w:val="219"/>
        </w:trPr>
        <w:tc>
          <w:tcPr>
            <w:tcW w:w="7180" w:type="dxa"/>
            <w:vAlign w:val="bottom"/>
            <w:gridSpan w:val="3"/>
          </w:tcPr>
          <w:p>
            <w:pPr>
              <w:ind w:left="20"/>
              <w:spacing w:after="0" w:line="219" w:lineRule="exact"/>
              <w:rPr>
                <w:sz w:val="20"/>
                <w:szCs w:val="20"/>
                <w:color w:val="auto"/>
              </w:rPr>
            </w:pPr>
            <w:r>
              <w:rPr>
                <w:rFonts w:ascii="Arial" w:cs="Arial" w:eastAsia="Arial" w:hAnsi="Arial"/>
                <w:sz w:val="17"/>
                <w:szCs w:val="17"/>
                <w:color w:val="auto"/>
              </w:rPr>
              <w:t>Long-term debt</w:t>
            </w:r>
            <w:r>
              <w:rPr>
                <w:rFonts w:ascii="Arial" w:cs="Arial" w:eastAsia="Arial" w:hAnsi="Arial"/>
                <w:sz w:val="22"/>
                <w:szCs w:val="22"/>
                <w:color w:val="auto"/>
                <w:vertAlign w:val="superscript"/>
              </w:rPr>
              <w:t>(1)(2)</w:t>
            </w:r>
          </w:p>
        </w:tc>
        <w:tc>
          <w:tcPr>
            <w:tcW w:w="4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19"/>
        </w:trPr>
        <w:tc>
          <w:tcPr>
            <w:tcW w:w="20" w:type="dxa"/>
            <w:vAlign w:val="bottom"/>
            <w:shd w:val="clear" w:color="auto" w:fill="DCE2EF"/>
          </w:tcPr>
          <w:p>
            <w:pPr>
              <w:spacing w:after="0"/>
              <w:rPr>
                <w:sz w:val="19"/>
                <w:szCs w:val="19"/>
                <w:color w:val="auto"/>
              </w:rPr>
            </w:pPr>
          </w:p>
        </w:tc>
        <w:tc>
          <w:tcPr>
            <w:tcW w:w="7160" w:type="dxa"/>
            <w:vAlign w:val="bottom"/>
            <w:gridSpan w:val="2"/>
            <w:shd w:val="clear" w:color="auto" w:fill="DCE2EF"/>
          </w:tcPr>
          <w:p>
            <w:pPr>
              <w:ind w:left="200"/>
              <w:spacing w:after="0"/>
              <w:rPr>
                <w:sz w:val="20"/>
                <w:szCs w:val="20"/>
                <w:color w:val="auto"/>
              </w:rPr>
            </w:pPr>
            <w:r>
              <w:rPr>
                <w:rFonts w:ascii="Arial" w:cs="Arial" w:eastAsia="Arial" w:hAnsi="Arial"/>
                <w:sz w:val="17"/>
                <w:szCs w:val="17"/>
                <w:color w:val="auto"/>
              </w:rPr>
              <w:t>Gross term loan</w:t>
            </w:r>
          </w:p>
        </w:tc>
        <w:tc>
          <w:tcPr>
            <w:tcW w:w="440" w:type="dxa"/>
            <w:vAlign w:val="bottom"/>
            <w:shd w:val="clear" w:color="auto" w:fill="DCE2EF"/>
          </w:tcPr>
          <w:p>
            <w:pPr>
              <w:jc w:val="right"/>
              <w:ind w:right="254"/>
              <w:spacing w:after="0"/>
              <w:rPr>
                <w:sz w:val="20"/>
                <w:szCs w:val="20"/>
                <w:color w:val="auto"/>
              </w:rPr>
            </w:pPr>
            <w:r>
              <w:rPr>
                <w:rFonts w:ascii="Arial" w:cs="Arial" w:eastAsia="Arial" w:hAnsi="Arial"/>
                <w:sz w:val="17"/>
                <w:szCs w:val="17"/>
                <w:color w:val="auto"/>
                <w:w w:val="84"/>
              </w:rPr>
              <w:t>$</w:t>
            </w:r>
          </w:p>
        </w:tc>
        <w:tc>
          <w:tcPr>
            <w:tcW w:w="1540" w:type="dxa"/>
            <w:vAlign w:val="bottom"/>
            <w:shd w:val="clear" w:color="auto" w:fill="DCE2EF"/>
          </w:tcPr>
          <w:p>
            <w:pPr>
              <w:jc w:val="right"/>
              <w:spacing w:after="0"/>
              <w:rPr>
                <w:sz w:val="20"/>
                <w:szCs w:val="20"/>
                <w:color w:val="auto"/>
              </w:rPr>
            </w:pPr>
            <w:r>
              <w:rPr>
                <w:rFonts w:ascii="Arial" w:cs="Arial" w:eastAsia="Arial" w:hAnsi="Arial"/>
                <w:sz w:val="17"/>
                <w:szCs w:val="17"/>
                <w:color w:val="auto"/>
              </w:rPr>
              <w:t>555.0</w:t>
            </w:r>
          </w:p>
        </w:tc>
        <w:tc>
          <w:tcPr>
            <w:tcW w:w="100" w:type="dxa"/>
            <w:vAlign w:val="bottom"/>
            <w:shd w:val="clear" w:color="auto" w:fill="DCE2EF"/>
          </w:tcPr>
          <w:p>
            <w:pPr>
              <w:spacing w:after="0"/>
              <w:rPr>
                <w:sz w:val="19"/>
                <w:szCs w:val="19"/>
                <w:color w:val="auto"/>
              </w:rPr>
            </w:pPr>
          </w:p>
        </w:tc>
        <w:tc>
          <w:tcPr>
            <w:tcW w:w="740" w:type="dxa"/>
            <w:vAlign w:val="bottom"/>
            <w:shd w:val="clear" w:color="auto" w:fill="DCE2EF"/>
          </w:tcPr>
          <w:p>
            <w:pPr>
              <w:jc w:val="right"/>
              <w:ind w:right="534"/>
              <w:spacing w:after="0"/>
              <w:rPr>
                <w:sz w:val="20"/>
                <w:szCs w:val="20"/>
                <w:color w:val="auto"/>
              </w:rPr>
            </w:pPr>
            <w:r>
              <w:rPr>
                <w:rFonts w:ascii="Arial" w:cs="Arial" w:eastAsia="Arial" w:hAnsi="Arial"/>
                <w:sz w:val="17"/>
                <w:szCs w:val="17"/>
                <w:color w:val="auto"/>
              </w:rPr>
              <w:t>$</w:t>
            </w:r>
          </w:p>
        </w:tc>
        <w:tc>
          <w:tcPr>
            <w:tcW w:w="1240" w:type="dxa"/>
            <w:vAlign w:val="bottom"/>
            <w:shd w:val="clear" w:color="auto" w:fill="DCE2EF"/>
          </w:tcPr>
          <w:p>
            <w:pPr>
              <w:jc w:val="right"/>
              <w:spacing w:after="0"/>
              <w:rPr>
                <w:sz w:val="20"/>
                <w:szCs w:val="20"/>
                <w:color w:val="auto"/>
              </w:rPr>
            </w:pPr>
            <w:r>
              <w:rPr>
                <w:rFonts w:ascii="Arial" w:cs="Arial" w:eastAsia="Arial" w:hAnsi="Arial"/>
                <w:sz w:val="17"/>
                <w:szCs w:val="17"/>
                <w:color w:val="auto"/>
              </w:rPr>
              <w:t>503.8</w:t>
            </w:r>
          </w:p>
        </w:tc>
      </w:tr>
      <w:tr>
        <w:trPr>
          <w:trHeight w:val="219"/>
        </w:trPr>
        <w:tc>
          <w:tcPr>
            <w:tcW w:w="20" w:type="dxa"/>
            <w:vAlign w:val="bottom"/>
            <w:tcBorders>
              <w:bottom w:val="single" w:sz="8" w:color="DCE2EF"/>
            </w:tcBorders>
          </w:tcPr>
          <w:p>
            <w:pPr>
              <w:spacing w:after="0"/>
              <w:rPr>
                <w:sz w:val="19"/>
                <w:szCs w:val="19"/>
                <w:color w:val="auto"/>
              </w:rPr>
            </w:pPr>
          </w:p>
        </w:tc>
        <w:tc>
          <w:tcPr>
            <w:tcW w:w="7160" w:type="dxa"/>
            <w:vAlign w:val="bottom"/>
            <w:tcBorders>
              <w:bottom w:val="single" w:sz="8" w:color="DCE2EF"/>
            </w:tcBorders>
            <w:gridSpan w:val="2"/>
          </w:tcPr>
          <w:p>
            <w:pPr>
              <w:ind w:left="200"/>
              <w:spacing w:after="0"/>
              <w:rPr>
                <w:sz w:val="20"/>
                <w:szCs w:val="20"/>
                <w:color w:val="auto"/>
              </w:rPr>
            </w:pPr>
            <w:r>
              <w:rPr>
                <w:rFonts w:ascii="Arial" w:cs="Arial" w:eastAsia="Arial" w:hAnsi="Arial"/>
                <w:sz w:val="17"/>
                <w:szCs w:val="17"/>
                <w:color w:val="auto"/>
              </w:rPr>
              <w:t>Unamortized deferred financing costs</w:t>
            </w:r>
          </w:p>
        </w:tc>
        <w:tc>
          <w:tcPr>
            <w:tcW w:w="4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w:t>
            </w:r>
          </w:p>
        </w:tc>
        <w:tc>
          <w:tcPr>
            <w:tcW w:w="100" w:type="dxa"/>
            <w:vAlign w:val="bottom"/>
            <w:tcBorders>
              <w:bottom w:val="single" w:sz="8" w:color="DCE2E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(0.6)</w:t>
            </w:r>
          </w:p>
        </w:tc>
      </w:tr>
      <w:tr>
        <w:trPr>
          <w:trHeight w:val="212"/>
        </w:trPr>
        <w:tc>
          <w:tcPr>
            <w:tcW w:w="7180" w:type="dxa"/>
            <w:vAlign w:val="bottom"/>
            <w:gridSpan w:val="3"/>
            <w:shd w:val="clear" w:color="auto" w:fill="DCE2EF"/>
          </w:tcPr>
          <w:p>
            <w:pPr>
              <w:ind w:left="20"/>
              <w:spacing w:after="0"/>
              <w:rPr>
                <w:sz w:val="20"/>
                <w:szCs w:val="20"/>
                <w:color w:val="auto"/>
              </w:rPr>
            </w:pPr>
            <w:r>
              <w:rPr>
                <w:rFonts w:ascii="Arial" w:cs="Arial" w:eastAsia="Arial" w:hAnsi="Arial"/>
                <w:sz w:val="17"/>
                <w:szCs w:val="17"/>
                <w:color w:val="auto"/>
              </w:rPr>
              <w:t>Total noncurrent portion of term loan</w:t>
            </w:r>
          </w:p>
        </w:tc>
        <w:tc>
          <w:tcPr>
            <w:tcW w:w="440" w:type="dxa"/>
            <w:vAlign w:val="bottom"/>
            <w:shd w:val="clear" w:color="auto" w:fill="DCE2EF"/>
          </w:tcPr>
          <w:p>
            <w:pPr>
              <w:spacing w:after="0"/>
              <w:rPr>
                <w:sz w:val="18"/>
                <w:szCs w:val="18"/>
                <w:color w:val="auto"/>
              </w:rPr>
            </w:pPr>
          </w:p>
        </w:tc>
        <w:tc>
          <w:tcPr>
            <w:tcW w:w="1540" w:type="dxa"/>
            <w:vAlign w:val="bottom"/>
            <w:shd w:val="clear" w:color="auto" w:fill="DCE2EF"/>
          </w:tcPr>
          <w:p>
            <w:pPr>
              <w:jc w:val="right"/>
              <w:spacing w:after="0"/>
              <w:rPr>
                <w:sz w:val="20"/>
                <w:szCs w:val="20"/>
                <w:color w:val="auto"/>
              </w:rPr>
            </w:pPr>
            <w:r>
              <w:rPr>
                <w:rFonts w:ascii="Arial" w:cs="Arial" w:eastAsia="Arial" w:hAnsi="Arial"/>
                <w:sz w:val="17"/>
                <w:szCs w:val="17"/>
                <w:color w:val="auto"/>
              </w:rPr>
              <w:t>553.1</w:t>
            </w:r>
          </w:p>
        </w:tc>
        <w:tc>
          <w:tcPr>
            <w:tcW w:w="100" w:type="dxa"/>
            <w:vAlign w:val="bottom"/>
            <w:shd w:val="clear" w:color="auto" w:fill="DCE2EF"/>
          </w:tcPr>
          <w:p>
            <w:pPr>
              <w:spacing w:after="0"/>
              <w:rPr>
                <w:sz w:val="18"/>
                <w:szCs w:val="18"/>
                <w:color w:val="auto"/>
              </w:rPr>
            </w:pPr>
          </w:p>
        </w:tc>
        <w:tc>
          <w:tcPr>
            <w:tcW w:w="740" w:type="dxa"/>
            <w:vAlign w:val="bottom"/>
            <w:shd w:val="clear" w:color="auto" w:fill="DCE2EF"/>
          </w:tcPr>
          <w:p>
            <w:pPr>
              <w:spacing w:after="0"/>
              <w:rPr>
                <w:sz w:val="18"/>
                <w:szCs w:val="18"/>
                <w:color w:val="auto"/>
              </w:rPr>
            </w:pPr>
          </w:p>
        </w:tc>
        <w:tc>
          <w:tcPr>
            <w:tcW w:w="1240" w:type="dxa"/>
            <w:vAlign w:val="bottom"/>
            <w:shd w:val="clear" w:color="auto" w:fill="DCE2EF"/>
          </w:tcPr>
          <w:p>
            <w:pPr>
              <w:jc w:val="right"/>
              <w:spacing w:after="0"/>
              <w:rPr>
                <w:sz w:val="20"/>
                <w:szCs w:val="20"/>
                <w:color w:val="auto"/>
              </w:rPr>
            </w:pPr>
            <w:r>
              <w:rPr>
                <w:rFonts w:ascii="Arial" w:cs="Arial" w:eastAsia="Arial" w:hAnsi="Arial"/>
                <w:sz w:val="17"/>
                <w:szCs w:val="17"/>
                <w:color w:val="auto"/>
              </w:rPr>
              <w:t>503.2</w:t>
            </w:r>
          </w:p>
        </w:tc>
      </w:tr>
      <w:tr>
        <w:trPr>
          <w:trHeight w:val="219"/>
        </w:trPr>
        <w:tc>
          <w:tcPr>
            <w:tcW w:w="20" w:type="dxa"/>
            <w:vAlign w:val="bottom"/>
            <w:tcBorders>
              <w:bottom w:val="single" w:sz="8" w:color="DCE2EF"/>
            </w:tcBorders>
          </w:tcPr>
          <w:p>
            <w:pPr>
              <w:spacing w:after="0"/>
              <w:rPr>
                <w:sz w:val="19"/>
                <w:szCs w:val="19"/>
                <w:color w:val="auto"/>
              </w:rPr>
            </w:pPr>
          </w:p>
        </w:tc>
        <w:tc>
          <w:tcPr>
            <w:tcW w:w="7160" w:type="dxa"/>
            <w:vAlign w:val="bottom"/>
            <w:tcBorders>
              <w:bottom w:val="single" w:sz="8" w:color="DCE2EF"/>
            </w:tcBorders>
            <w:gridSpan w:val="2"/>
          </w:tcPr>
          <w:p>
            <w:pPr>
              <w:ind w:left="200"/>
              <w:spacing w:after="0" w:line="219" w:lineRule="exact"/>
              <w:rPr>
                <w:sz w:val="20"/>
                <w:szCs w:val="20"/>
                <w:color w:val="auto"/>
              </w:rPr>
            </w:pPr>
            <w:r>
              <w:rPr>
                <w:rFonts w:ascii="Arial" w:cs="Arial" w:eastAsia="Arial" w:hAnsi="Arial"/>
                <w:sz w:val="17"/>
                <w:szCs w:val="17"/>
                <w:color w:val="auto"/>
              </w:rPr>
              <w:t>Revolving line of credit</w:t>
            </w:r>
            <w:r>
              <w:rPr>
                <w:rFonts w:ascii="Arial" w:cs="Arial" w:eastAsia="Arial" w:hAnsi="Arial"/>
                <w:sz w:val="22"/>
                <w:szCs w:val="22"/>
                <w:color w:val="auto"/>
                <w:vertAlign w:val="superscript"/>
              </w:rPr>
              <w:t>(3)</w:t>
            </w:r>
          </w:p>
        </w:tc>
        <w:tc>
          <w:tcPr>
            <w:tcW w:w="4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984.0</w:t>
            </w:r>
          </w:p>
        </w:tc>
        <w:tc>
          <w:tcPr>
            <w:tcW w:w="100" w:type="dxa"/>
            <w:vAlign w:val="bottom"/>
            <w:tcBorders>
              <w:bottom w:val="single" w:sz="8" w:color="DCE2E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799.0</w:t>
            </w:r>
          </w:p>
        </w:tc>
      </w:tr>
      <w:tr>
        <w:trPr>
          <w:trHeight w:val="237"/>
        </w:trPr>
        <w:tc>
          <w:tcPr>
            <w:tcW w:w="7180" w:type="dxa"/>
            <w:vAlign w:val="bottom"/>
            <w:tcBorders>
              <w:bottom w:val="single" w:sz="8" w:color="DCE2EF"/>
            </w:tcBorders>
            <w:gridSpan w:val="3"/>
            <w:shd w:val="clear" w:color="auto" w:fill="DCE2EF"/>
          </w:tcPr>
          <w:p>
            <w:pPr>
              <w:ind w:left="20"/>
              <w:spacing w:after="0"/>
              <w:rPr>
                <w:sz w:val="20"/>
                <w:szCs w:val="20"/>
                <w:color w:val="auto"/>
              </w:rPr>
            </w:pPr>
            <w:r>
              <w:rPr>
                <w:rFonts w:ascii="Arial" w:cs="Arial" w:eastAsia="Arial" w:hAnsi="Arial"/>
                <w:sz w:val="17"/>
                <w:szCs w:val="17"/>
                <w:color w:val="auto"/>
              </w:rPr>
              <w:t>Long-term debt</w:t>
            </w:r>
          </w:p>
        </w:tc>
        <w:tc>
          <w:tcPr>
            <w:tcW w:w="440" w:type="dxa"/>
            <w:vAlign w:val="bottom"/>
            <w:tcBorders>
              <w:bottom w:val="single" w:sz="8" w:color="auto"/>
            </w:tcBorders>
            <w:shd w:val="clear" w:color="auto" w:fill="DCE2EF"/>
          </w:tcPr>
          <w:p>
            <w:pPr>
              <w:jc w:val="right"/>
              <w:ind w:right="254"/>
              <w:spacing w:after="0"/>
              <w:rPr>
                <w:sz w:val="20"/>
                <w:szCs w:val="20"/>
                <w:color w:val="auto"/>
              </w:rPr>
            </w:pPr>
            <w:r>
              <w:rPr>
                <w:rFonts w:ascii="Arial" w:cs="Arial" w:eastAsia="Arial" w:hAnsi="Arial"/>
                <w:sz w:val="17"/>
                <w:szCs w:val="17"/>
                <w:color w:val="auto"/>
                <w:w w:val="84"/>
              </w:rPr>
              <w:t>$</w:t>
            </w:r>
          </w:p>
        </w:tc>
        <w:tc>
          <w:tcPr>
            <w:tcW w:w="154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7"/>
                <w:szCs w:val="17"/>
                <w:color w:val="auto"/>
              </w:rPr>
              <w:t>1,537.1</w:t>
            </w:r>
          </w:p>
        </w:tc>
        <w:tc>
          <w:tcPr>
            <w:tcW w:w="100" w:type="dxa"/>
            <w:vAlign w:val="bottom"/>
            <w:tcBorders>
              <w:bottom w:val="single" w:sz="8" w:color="DCE2EF"/>
            </w:tcBorders>
            <w:shd w:val="clear" w:color="auto" w:fill="DCE2EF"/>
          </w:tcPr>
          <w:p>
            <w:pPr>
              <w:spacing w:after="0"/>
              <w:rPr>
                <w:sz w:val="20"/>
                <w:szCs w:val="20"/>
                <w:color w:val="auto"/>
              </w:rPr>
            </w:pPr>
          </w:p>
        </w:tc>
        <w:tc>
          <w:tcPr>
            <w:tcW w:w="740" w:type="dxa"/>
            <w:vAlign w:val="bottom"/>
            <w:tcBorders>
              <w:bottom w:val="single" w:sz="8" w:color="auto"/>
            </w:tcBorders>
            <w:shd w:val="clear" w:color="auto" w:fill="DCE2EF"/>
          </w:tcPr>
          <w:p>
            <w:pPr>
              <w:jc w:val="right"/>
              <w:ind w:right="534"/>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7"/>
                <w:szCs w:val="17"/>
                <w:color w:val="auto"/>
              </w:rPr>
              <w:t>1,302.2</w:t>
            </w:r>
          </w:p>
        </w:tc>
      </w:tr>
      <w:tr>
        <w:trPr>
          <w:trHeight w:val="20"/>
        </w:trPr>
        <w:tc>
          <w:tcPr>
            <w:tcW w:w="20" w:type="dxa"/>
            <w:vAlign w:val="bottom"/>
            <w:tcBorders>
              <w:top w:val="single" w:sz="8" w:color="DCE2EF"/>
            </w:tcBorders>
          </w:tcPr>
          <w:p>
            <w:pPr>
              <w:spacing w:after="0" w:line="20" w:lineRule="exact"/>
              <w:rPr>
                <w:sz w:val="1"/>
                <w:szCs w:val="1"/>
                <w:color w:val="auto"/>
              </w:rPr>
            </w:pPr>
          </w:p>
        </w:tc>
        <w:tc>
          <w:tcPr>
            <w:tcW w:w="680" w:type="dxa"/>
            <w:vAlign w:val="bottom"/>
            <w:tcBorders>
              <w:top w:val="single" w:sz="8" w:color="DCE2EF"/>
            </w:tcBorders>
          </w:tcPr>
          <w:p>
            <w:pPr>
              <w:spacing w:after="0" w:line="20" w:lineRule="exact"/>
              <w:rPr>
                <w:sz w:val="1"/>
                <w:szCs w:val="1"/>
                <w:color w:val="auto"/>
              </w:rPr>
            </w:pPr>
          </w:p>
        </w:tc>
        <w:tc>
          <w:tcPr>
            <w:tcW w:w="6480" w:type="dxa"/>
            <w:vAlign w:val="bottom"/>
            <w:tcBorders>
              <w:top w:val="single" w:sz="8" w:color="DCE2EF"/>
            </w:tcBorders>
          </w:tcPr>
          <w:p>
            <w:pPr>
              <w:spacing w:after="0" w:line="20" w:lineRule="exact"/>
              <w:rPr>
                <w:sz w:val="1"/>
                <w:szCs w:val="1"/>
                <w:color w:val="auto"/>
              </w:rPr>
            </w:pPr>
          </w:p>
        </w:tc>
        <w:tc>
          <w:tcPr>
            <w:tcW w:w="440" w:type="dxa"/>
            <w:vAlign w:val="bottom"/>
            <w:tcBorders>
              <w:top w:val="single" w:sz="8" w:color="DCE2EF"/>
              <w:bottom w:val="single" w:sz="8" w:color="auto"/>
            </w:tcBorders>
          </w:tcPr>
          <w:p>
            <w:pPr>
              <w:spacing w:after="0" w:line="20" w:lineRule="exact"/>
              <w:rPr>
                <w:sz w:val="1"/>
                <w:szCs w:val="1"/>
                <w:color w:val="auto"/>
              </w:rPr>
            </w:pPr>
          </w:p>
        </w:tc>
        <w:tc>
          <w:tcPr>
            <w:tcW w:w="1540" w:type="dxa"/>
            <w:vAlign w:val="bottom"/>
            <w:tcBorders>
              <w:top w:val="single" w:sz="8" w:color="DCE2EF"/>
              <w:bottom w:val="single" w:sz="8" w:color="auto"/>
            </w:tcBorders>
          </w:tcPr>
          <w:p>
            <w:pPr>
              <w:spacing w:after="0" w:line="20" w:lineRule="exact"/>
              <w:rPr>
                <w:sz w:val="1"/>
                <w:szCs w:val="1"/>
                <w:color w:val="auto"/>
              </w:rPr>
            </w:pPr>
          </w:p>
        </w:tc>
        <w:tc>
          <w:tcPr>
            <w:tcW w:w="100" w:type="dxa"/>
            <w:vAlign w:val="bottom"/>
            <w:tcBorders>
              <w:top w:val="single" w:sz="8" w:color="DCE2EF"/>
            </w:tcBorders>
          </w:tcPr>
          <w:p>
            <w:pPr>
              <w:spacing w:after="0" w:line="20" w:lineRule="exact"/>
              <w:rPr>
                <w:sz w:val="1"/>
                <w:szCs w:val="1"/>
                <w:color w:val="auto"/>
              </w:rPr>
            </w:pPr>
          </w:p>
        </w:tc>
        <w:tc>
          <w:tcPr>
            <w:tcW w:w="740" w:type="dxa"/>
            <w:vAlign w:val="bottom"/>
            <w:tcBorders>
              <w:top w:val="single" w:sz="8" w:color="DCE2EF"/>
              <w:bottom w:val="single" w:sz="8" w:color="auto"/>
            </w:tcBorders>
          </w:tcPr>
          <w:p>
            <w:pPr>
              <w:spacing w:after="0" w:line="20" w:lineRule="exact"/>
              <w:rPr>
                <w:sz w:val="1"/>
                <w:szCs w:val="1"/>
                <w:color w:val="auto"/>
              </w:rPr>
            </w:pPr>
          </w:p>
        </w:tc>
        <w:tc>
          <w:tcPr>
            <w:tcW w:w="1240" w:type="dxa"/>
            <w:vAlign w:val="bottom"/>
            <w:tcBorders>
              <w:top w:val="single" w:sz="8" w:color="DCE2EF"/>
              <w:bottom w:val="single" w:sz="8" w:color="auto"/>
            </w:tcBorders>
          </w:tcPr>
          <w:p>
            <w:pPr>
              <w:spacing w:after="0" w:line="20" w:lineRule="exact"/>
              <w:rPr>
                <w:sz w:val="1"/>
                <w:szCs w:val="1"/>
                <w:color w:val="auto"/>
              </w:rPr>
            </w:pPr>
          </w:p>
        </w:tc>
      </w:tr>
    </w:tbl>
    <w:p>
      <w:pPr>
        <w:spacing w:after="0" w:line="271" w:lineRule="exact"/>
        <w:rPr>
          <w:sz w:val="20"/>
          <w:szCs w:val="20"/>
          <w:color w:val="auto"/>
        </w:rPr>
      </w:pPr>
    </w:p>
    <w:p>
      <w:pPr>
        <w:ind w:left="160" w:hanging="157"/>
        <w:spacing w:after="0" w:line="236" w:lineRule="auto"/>
        <w:tabs>
          <w:tab w:leader="none" w:pos="187" w:val="left"/>
        </w:tabs>
        <w:numPr>
          <w:ilvl w:val="0"/>
          <w:numId w:val="36"/>
        </w:numPr>
        <w:rPr>
          <w:rFonts w:ascii="Arial" w:cs="Arial" w:eastAsia="Arial" w:hAnsi="Arial"/>
          <w:sz w:val="20"/>
          <w:szCs w:val="20"/>
          <w:color w:val="auto"/>
          <w:vertAlign w:val="superscript"/>
        </w:rPr>
      </w:pPr>
      <w:r>
        <w:rPr>
          <w:rFonts w:ascii="Arial" w:cs="Arial" w:eastAsia="Arial" w:hAnsi="Arial"/>
          <w:sz w:val="15"/>
          <w:szCs w:val="15"/>
          <w:color w:val="auto"/>
        </w:rPr>
        <w:t>At October 31, 2025, and October 31, 2024, the weighted average interest rate on our outstanding borrowings, not including letters of credit and swaps, was 5.84% and 6.68%, respectively.</w:t>
      </w:r>
    </w:p>
    <w:p>
      <w:pPr>
        <w:spacing w:after="0" w:line="66" w:lineRule="exact"/>
        <w:rPr>
          <w:rFonts w:ascii="Arial" w:cs="Arial" w:eastAsia="Arial" w:hAnsi="Arial"/>
          <w:sz w:val="20"/>
          <w:szCs w:val="20"/>
          <w:color w:val="auto"/>
          <w:vertAlign w:val="superscript"/>
        </w:rPr>
      </w:pPr>
    </w:p>
    <w:p>
      <w:pPr>
        <w:ind w:left="160" w:hanging="157"/>
        <w:spacing w:after="0"/>
        <w:tabs>
          <w:tab w:leader="none" w:pos="160" w:val="left"/>
        </w:tabs>
        <w:numPr>
          <w:ilvl w:val="0"/>
          <w:numId w:val="36"/>
        </w:numPr>
        <w:rPr>
          <w:rFonts w:ascii="Arial" w:cs="Arial" w:eastAsia="Arial" w:hAnsi="Arial"/>
          <w:sz w:val="19"/>
          <w:szCs w:val="19"/>
          <w:color w:val="auto"/>
          <w:vertAlign w:val="superscript"/>
        </w:rPr>
      </w:pPr>
      <w:r>
        <w:rPr>
          <w:rFonts w:ascii="Arial" w:cs="Arial" w:eastAsia="Arial" w:hAnsi="Arial"/>
          <w:sz w:val="15"/>
          <w:szCs w:val="15"/>
          <w:color w:val="auto"/>
        </w:rPr>
        <w:t>At October 31, 2025, we had borrowing capacity of up to $577.5 million</w:t>
      </w:r>
    </w:p>
    <w:p>
      <w:pPr>
        <w:spacing w:after="0" w:line="168" w:lineRule="exact"/>
        <w:rPr>
          <w:rFonts w:ascii="Arial" w:cs="Arial" w:eastAsia="Arial" w:hAnsi="Arial"/>
          <w:sz w:val="19"/>
          <w:szCs w:val="19"/>
          <w:color w:val="auto"/>
          <w:vertAlign w:val="superscript"/>
        </w:rPr>
      </w:pPr>
    </w:p>
    <w:p>
      <w:pPr>
        <w:ind w:left="160" w:hanging="157"/>
        <w:spacing w:after="0"/>
        <w:tabs>
          <w:tab w:leader="none" w:pos="160" w:val="left"/>
        </w:tabs>
        <w:numPr>
          <w:ilvl w:val="0"/>
          <w:numId w:val="36"/>
        </w:numPr>
        <w:rPr>
          <w:rFonts w:ascii="Arial" w:cs="Arial" w:eastAsia="Arial" w:hAnsi="Arial"/>
          <w:sz w:val="19"/>
          <w:szCs w:val="19"/>
          <w:color w:val="auto"/>
          <w:vertAlign w:val="superscript"/>
        </w:rPr>
      </w:pPr>
      <w:r>
        <w:rPr>
          <w:rFonts w:ascii="Arial" w:cs="Arial" w:eastAsia="Arial" w:hAnsi="Arial"/>
          <w:sz w:val="15"/>
          <w:szCs w:val="15"/>
          <w:color w:val="auto"/>
        </w:rPr>
        <w:t>At October 31, 2025, standby letters of credit amounted to $23.5 million</w:t>
      </w:r>
    </w:p>
    <w:p>
      <w:pPr>
        <w:spacing w:after="0" w:line="139" w:lineRule="exact"/>
        <w:rPr>
          <w:sz w:val="20"/>
          <w:szCs w:val="20"/>
          <w:color w:val="auto"/>
        </w:rPr>
      </w:pPr>
    </w:p>
    <w:p>
      <w:pPr>
        <w:jc w:val="both"/>
        <w:ind w:firstLine="619"/>
        <w:spacing w:after="0" w:line="260" w:lineRule="auto"/>
        <w:rPr>
          <w:sz w:val="20"/>
          <w:szCs w:val="20"/>
          <w:color w:val="auto"/>
        </w:rPr>
      </w:pPr>
      <w:r>
        <w:rPr>
          <w:rFonts w:ascii="Arial" w:cs="Arial" w:eastAsia="Arial" w:hAnsi="Arial"/>
          <w:sz w:val="17"/>
          <w:szCs w:val="17"/>
          <w:color w:val="auto"/>
        </w:rPr>
        <w:t>On September 1, 2017, we refinanced and replaced our then-existing $800.0 million credit facility with a new senior, secured five-year syndicated credit facility, consisting of a $900.0 million revolving line of credit and an $800.0 million amortizing term loan, both of which were scheduled to mature on September 1, 2022. In accordance with the terms of the Credit Facility, the revolving line of credit was reduced to $800.0 million on September 1, 2018. The Credit Facility was amended on June 28, 2021, to increase the capacity of the Revolver and term loan to $1.3 billion and $650 million, respectively, and to extend the maturity to June 28, 2026. It was further amended on November 1, 2022, to transition the benchmark interest rate from London Interbank Offered Rate (“LIBOR”) to SOFR.</w:t>
      </w:r>
    </w:p>
    <w:p>
      <w:pPr>
        <w:spacing w:after="0" w:line="122" w:lineRule="exact"/>
        <w:rPr>
          <w:sz w:val="20"/>
          <w:szCs w:val="20"/>
          <w:color w:val="auto"/>
        </w:rPr>
      </w:pPr>
    </w:p>
    <w:p>
      <w:pPr>
        <w:jc w:val="both"/>
        <w:ind w:firstLine="619"/>
        <w:spacing w:after="0" w:line="258" w:lineRule="auto"/>
        <w:rPr>
          <w:sz w:val="20"/>
          <w:szCs w:val="20"/>
          <w:color w:val="auto"/>
        </w:rPr>
      </w:pPr>
      <w:r>
        <w:rPr>
          <w:rFonts w:ascii="Arial" w:cs="Arial" w:eastAsia="Arial" w:hAnsi="Arial"/>
          <w:sz w:val="17"/>
          <w:szCs w:val="17"/>
          <w:color w:val="auto"/>
        </w:rPr>
        <w:t>On February 26, 2025, we amended and restated the Credit Facility (the “Amended Credit Facility”), extending the maturity date to February 26, 2030, and increasing the capacity of the revolving credit facility from $ 1.3 billion to $1.6 billion and the then-remaining term loan outstanding from $528.1 million to $600.0 million. The Amended Credit Facility provides for the issuance of up to $250.0 million for standby letters of credit and the issuance of up to $100.0 million in swingline advances. The obligations under the Amended Credit Facility are guaranteed by the material, domestic wholly owned subsidiaries of ABM and are secured by a pledge of substantially all of the existing and future property and assets of ABM and the guarantors, including a pledge of the capital stock of the wholly owned domestic subsidiaries held by ABM and the guarantors and 65% of the capital stock of the first-tier foreign subsidiaries held by ABM and the guarantors, in each case subject to exceptions. Additionally, we may repay amounts borrowed under the Amended Credit Facility at any time without penalty.</w:t>
      </w:r>
    </w:p>
    <w:p>
      <w:pPr>
        <w:spacing w:after="0" w:line="124" w:lineRule="exact"/>
        <w:rPr>
          <w:sz w:val="20"/>
          <w:szCs w:val="20"/>
          <w:color w:val="auto"/>
        </w:rPr>
      </w:pPr>
    </w:p>
    <w:p>
      <w:pPr>
        <w:jc w:val="both"/>
        <w:ind w:firstLine="619"/>
        <w:spacing w:after="0" w:line="260" w:lineRule="auto"/>
        <w:rPr>
          <w:sz w:val="20"/>
          <w:szCs w:val="20"/>
          <w:color w:val="auto"/>
        </w:rPr>
      </w:pPr>
      <w:r>
        <w:rPr>
          <w:rFonts w:ascii="Arial" w:cs="Arial" w:eastAsia="Arial" w:hAnsi="Arial"/>
          <w:sz w:val="17"/>
          <w:szCs w:val="17"/>
          <w:color w:val="auto"/>
        </w:rPr>
        <w:t>The Amended Credit Facility contains certain covenants, including a maximum total net leverage ratio of 5.00 to 1.00, a maximum secured net leverage ratio of 4.00 to 1.00, and a minimum interest coverage ratio of 1.50 to 1.00, as well as other financial and non-financial covenants. In the event of a material acquisition, as defined in the Amended Credit Facility, we may elect to increase the maximum total net leverage ratio to 5.50 to 1.00 for a total of four fiscal quarters and increase the maximum secured net leverage ratio to 4.50 to 1.00 for a total of four fiscal quarters. Our borrowing capacity is subject to, and limited by, compliance with the covenants described above. At October 31, 2025, we were in compliance with these covenants.</w:t>
      </w:r>
    </w:p>
    <w:p>
      <w:pPr>
        <w:spacing w:after="0" w:line="122"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The Amended Credit Facility also includes customary events of default, including: failure to pay principal, interest, or fees when due; failure to comply with covenants; the occurrence of certain material judgments; and a change in control of the Company. If certain events of default occur, including certain cross-defaults, insolvency, change in control, or violation of specific covenants, then the lenders can terminate or suspend our access to the</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65" w:right="339" w:bottom="1440" w:gutter="0" w:footer="0" w:header="0"/>
        </w:sectPr>
      </w:pPr>
    </w:p>
    <w:bookmarkStart w:id="76" w:name="page77"/>
    <w:bookmarkEnd w:id="76"/>
    <w:p>
      <w:pPr>
        <w:jc w:val="both"/>
        <w:ind w:right="100"/>
        <w:spacing w:after="0" w:line="290" w:lineRule="auto"/>
        <w:rPr>
          <w:sz w:val="20"/>
          <w:szCs w:val="20"/>
          <w:color w:val="auto"/>
        </w:rPr>
      </w:pPr>
      <w:r>
        <w:rPr>
          <w:rFonts w:ascii="Arial" w:cs="Arial" w:eastAsia="Arial" w:hAnsi="Arial"/>
          <w:sz w:val="17"/>
          <w:szCs w:val="17"/>
          <w:color w:val="auto"/>
        </w:rPr>
        <w:t>Amended Credit Facility, declare all amounts outstanding (including all accrued interest and unpaid fees) to be immediately due and payable, and require that we cash collateralize the outstanding standby letters of credit.</w:t>
      </w:r>
    </w:p>
    <w:p>
      <w:pPr>
        <w:spacing w:after="0" w:line="95" w:lineRule="exact"/>
        <w:rPr>
          <w:sz w:val="20"/>
          <w:szCs w:val="20"/>
          <w:color w:val="auto"/>
        </w:rPr>
      </w:pPr>
    </w:p>
    <w:p>
      <w:pPr>
        <w:jc w:val="both"/>
        <w:ind w:right="100" w:firstLine="619"/>
        <w:spacing w:after="0" w:line="265" w:lineRule="auto"/>
        <w:rPr>
          <w:sz w:val="20"/>
          <w:szCs w:val="20"/>
          <w:color w:val="auto"/>
        </w:rPr>
      </w:pPr>
      <w:r>
        <w:rPr>
          <w:rFonts w:ascii="Arial" w:cs="Arial" w:eastAsia="Arial" w:hAnsi="Arial"/>
          <w:sz w:val="17"/>
          <w:szCs w:val="17"/>
          <w:color w:val="auto"/>
        </w:rPr>
        <w:t>We incurred deferred financing costs of $ 8.0 million in conjunction with the execution of the Amended Credit Facility and carried over $2.9 million of unamortized deferred financing from initial execution and previous amendments of the Credit Facility. Total deferred financing costs of $10.9 million, consisting of $3.0 million related to the term loan and $7.9 million related to the Revolver, are being amortized to interest expense over the term of the Amended Credit Facility.</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Long-Term Loan Maturities</w:t>
      </w:r>
    </w:p>
    <w:p>
      <w:pPr>
        <w:spacing w:after="0" w:line="168" w:lineRule="exact"/>
        <w:rPr>
          <w:sz w:val="20"/>
          <w:szCs w:val="20"/>
          <w:color w:val="auto"/>
        </w:rPr>
      </w:pPr>
    </w:p>
    <w:p>
      <w:pPr>
        <w:jc w:val="both"/>
        <w:ind w:right="100" w:firstLine="619"/>
        <w:spacing w:after="0" w:line="290" w:lineRule="auto"/>
        <w:rPr>
          <w:sz w:val="20"/>
          <w:szCs w:val="20"/>
          <w:color w:val="auto"/>
        </w:rPr>
      </w:pPr>
      <w:r>
        <w:rPr>
          <w:rFonts w:ascii="Arial" w:cs="Arial" w:eastAsia="Arial" w:hAnsi="Arial"/>
          <w:sz w:val="17"/>
          <w:szCs w:val="17"/>
          <w:color w:val="auto"/>
        </w:rPr>
        <w:t>During 2025, we made principal payments under the term loan of $23.1 million. As of October 31, 2025, the following principal payments are required under the Amended Credit Facility:</w:t>
      </w:r>
    </w:p>
    <w:p>
      <w:pPr>
        <w:spacing w:after="0" w:line="90" w:lineRule="exact"/>
        <w:rPr>
          <w:sz w:val="20"/>
          <w:szCs w:val="20"/>
          <w:color w:val="auto"/>
        </w:rPr>
      </w:pPr>
    </w:p>
    <w:tbl>
      <w:tblPr>
        <w:tblLayout w:type="fixed"/>
        <w:tblInd w:w="620" w:type="dxa"/>
        <w:tblCellMar>
          <w:top w:w="0" w:type="dxa"/>
          <w:left w:w="0" w:type="dxa"/>
          <w:bottom w:w="0" w:type="dxa"/>
          <w:right w:w="0" w:type="dxa"/>
        </w:tblCellMar>
      </w:tblPr>
      <w:tr>
        <w:trPr>
          <w:trHeight w:val="215"/>
        </w:trPr>
        <w:tc>
          <w:tcPr>
            <w:tcW w:w="2740" w:type="dxa"/>
            <w:vAlign w:val="bottom"/>
            <w:gridSpan w:val="3"/>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100" w:type="dxa"/>
            <w:vAlign w:val="bottom"/>
          </w:tcPr>
          <w:p>
            <w:pPr>
              <w:jc w:val="right"/>
              <w:ind w:right="14"/>
              <w:spacing w:after="0"/>
              <w:rPr>
                <w:sz w:val="20"/>
                <w:szCs w:val="20"/>
                <w:color w:val="auto"/>
              </w:rPr>
            </w:pPr>
            <w:r>
              <w:rPr>
                <w:rFonts w:ascii="Arial" w:cs="Arial" w:eastAsia="Arial" w:hAnsi="Arial"/>
                <w:sz w:val="17"/>
                <w:szCs w:val="17"/>
                <w:b w:val="1"/>
                <w:bCs w:val="1"/>
                <w:color w:val="auto"/>
              </w:rPr>
              <w:t>2026</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ind w:right="14"/>
              <w:spacing w:after="0"/>
              <w:rPr>
                <w:sz w:val="20"/>
                <w:szCs w:val="20"/>
                <w:color w:val="auto"/>
              </w:rPr>
            </w:pPr>
            <w:r>
              <w:rPr>
                <w:rFonts w:ascii="Arial" w:cs="Arial" w:eastAsia="Arial" w:hAnsi="Arial"/>
                <w:sz w:val="17"/>
                <w:szCs w:val="17"/>
                <w:b w:val="1"/>
                <w:bCs w:val="1"/>
                <w:color w:val="auto"/>
              </w:rPr>
              <w:t>2027</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ind w:right="14"/>
              <w:spacing w:after="0"/>
              <w:rPr>
                <w:sz w:val="20"/>
                <w:szCs w:val="20"/>
                <w:color w:val="auto"/>
              </w:rPr>
            </w:pPr>
            <w:r>
              <w:rPr>
                <w:rFonts w:ascii="Arial" w:cs="Arial" w:eastAsia="Arial" w:hAnsi="Arial"/>
                <w:sz w:val="17"/>
                <w:szCs w:val="17"/>
                <w:b w:val="1"/>
                <w:bCs w:val="1"/>
                <w:color w:val="auto"/>
              </w:rPr>
              <w:t>2028</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14"/>
              <w:spacing w:after="0"/>
              <w:rPr>
                <w:sz w:val="20"/>
                <w:szCs w:val="20"/>
                <w:color w:val="auto"/>
              </w:rPr>
            </w:pPr>
            <w:r>
              <w:rPr>
                <w:rFonts w:ascii="Arial" w:cs="Arial" w:eastAsia="Arial" w:hAnsi="Arial"/>
                <w:sz w:val="17"/>
                <w:szCs w:val="17"/>
                <w:b w:val="1"/>
                <w:bCs w:val="1"/>
                <w:color w:val="auto"/>
              </w:rPr>
              <w:t>2029</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ind w:right="14"/>
              <w:spacing w:after="0"/>
              <w:rPr>
                <w:sz w:val="20"/>
                <w:szCs w:val="20"/>
                <w:color w:val="auto"/>
              </w:rPr>
            </w:pPr>
            <w:r>
              <w:rPr>
                <w:rFonts w:ascii="Arial" w:cs="Arial" w:eastAsia="Arial" w:hAnsi="Arial"/>
                <w:sz w:val="17"/>
                <w:szCs w:val="17"/>
                <w:b w:val="1"/>
                <w:bCs w:val="1"/>
                <w:color w:val="auto"/>
              </w:rPr>
              <w:t>2030</w:t>
            </w:r>
          </w:p>
        </w:tc>
      </w:tr>
      <w:tr>
        <w:trPr>
          <w:trHeight w:val="32"/>
        </w:trPr>
        <w:tc>
          <w:tcPr>
            <w:tcW w:w="20" w:type="dxa"/>
            <w:vAlign w:val="bottom"/>
            <w:tcBorders>
              <w:bottom w:val="single" w:sz="8" w:color="DCE2EF"/>
            </w:tcBorders>
          </w:tcPr>
          <w:p>
            <w:pPr>
              <w:spacing w:after="0"/>
              <w:rPr>
                <w:sz w:val="2"/>
                <w:szCs w:val="2"/>
                <w:color w:val="auto"/>
              </w:rPr>
            </w:pPr>
          </w:p>
        </w:tc>
        <w:tc>
          <w:tcPr>
            <w:tcW w:w="680" w:type="dxa"/>
            <w:vAlign w:val="bottom"/>
            <w:tcBorders>
              <w:top w:val="single" w:sz="8" w:color="auto"/>
              <w:bottom w:val="single" w:sz="8" w:color="DCE2EF"/>
            </w:tcBorders>
          </w:tcPr>
          <w:p>
            <w:pPr>
              <w:spacing w:after="0"/>
              <w:rPr>
                <w:sz w:val="2"/>
                <w:szCs w:val="2"/>
                <w:color w:val="auto"/>
              </w:rPr>
            </w:pPr>
          </w:p>
        </w:tc>
        <w:tc>
          <w:tcPr>
            <w:tcW w:w="2040" w:type="dxa"/>
            <w:vAlign w:val="bottom"/>
            <w:tcBorders>
              <w:bottom w:val="single" w:sz="8" w:color="DCE2E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DCE2E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12"/>
        </w:trPr>
        <w:tc>
          <w:tcPr>
            <w:tcW w:w="2740" w:type="dxa"/>
            <w:vAlign w:val="bottom"/>
            <w:gridSpan w:val="3"/>
            <w:shd w:val="clear" w:color="auto" w:fill="DCE2EF"/>
          </w:tcPr>
          <w:p>
            <w:pPr>
              <w:ind w:left="20"/>
              <w:spacing w:after="0"/>
              <w:rPr>
                <w:sz w:val="20"/>
                <w:szCs w:val="20"/>
                <w:color w:val="auto"/>
              </w:rPr>
            </w:pPr>
            <w:r>
              <w:rPr>
                <w:rFonts w:ascii="Arial" w:cs="Arial" w:eastAsia="Arial" w:hAnsi="Arial"/>
                <w:sz w:val="17"/>
                <w:szCs w:val="17"/>
                <w:color w:val="auto"/>
              </w:rPr>
              <w:t>Debt maturities</w:t>
            </w:r>
          </w:p>
        </w:tc>
        <w:tc>
          <w:tcPr>
            <w:tcW w:w="1100" w:type="dxa"/>
            <w:vAlign w:val="bottom"/>
            <w:shd w:val="clear" w:color="auto" w:fill="DCE2EF"/>
          </w:tcPr>
          <w:p>
            <w:pPr>
              <w:jc w:val="right"/>
              <w:ind w:right="894"/>
              <w:spacing w:after="0"/>
              <w:rPr>
                <w:sz w:val="20"/>
                <w:szCs w:val="20"/>
                <w:color w:val="auto"/>
              </w:rPr>
            </w:pPr>
            <w:r>
              <w:rPr>
                <w:rFonts w:ascii="Arial" w:cs="Arial" w:eastAsia="Arial" w:hAnsi="Arial"/>
                <w:sz w:val="17"/>
                <w:szCs w:val="17"/>
                <w:color w:val="auto"/>
              </w:rPr>
              <w:t>$</w:t>
            </w:r>
          </w:p>
        </w:tc>
        <w:tc>
          <w:tcPr>
            <w:tcW w:w="520" w:type="dxa"/>
            <w:vAlign w:val="bottom"/>
            <w:shd w:val="clear" w:color="auto" w:fill="DCE2EF"/>
          </w:tcPr>
          <w:p>
            <w:pPr>
              <w:jc w:val="right"/>
              <w:spacing w:after="0"/>
              <w:rPr>
                <w:sz w:val="20"/>
                <w:szCs w:val="20"/>
                <w:color w:val="auto"/>
              </w:rPr>
            </w:pPr>
            <w:r>
              <w:rPr>
                <w:rFonts w:ascii="Arial" w:cs="Arial" w:eastAsia="Arial" w:hAnsi="Arial"/>
                <w:sz w:val="17"/>
                <w:szCs w:val="17"/>
                <w:color w:val="auto"/>
              </w:rPr>
              <w:t>30.0</w:t>
            </w:r>
          </w:p>
        </w:tc>
        <w:tc>
          <w:tcPr>
            <w:tcW w:w="100" w:type="dxa"/>
            <w:vAlign w:val="bottom"/>
            <w:shd w:val="clear" w:color="auto" w:fill="DCE2EF"/>
          </w:tcPr>
          <w:p>
            <w:pPr>
              <w:spacing w:after="0"/>
              <w:rPr>
                <w:sz w:val="18"/>
                <w:szCs w:val="18"/>
                <w:color w:val="auto"/>
              </w:rPr>
            </w:pPr>
          </w:p>
        </w:tc>
        <w:tc>
          <w:tcPr>
            <w:tcW w:w="1100" w:type="dxa"/>
            <w:vAlign w:val="bottom"/>
            <w:shd w:val="clear" w:color="auto" w:fill="DCE2EF"/>
          </w:tcPr>
          <w:p>
            <w:pPr>
              <w:jc w:val="right"/>
              <w:ind w:right="894"/>
              <w:spacing w:after="0"/>
              <w:rPr>
                <w:sz w:val="20"/>
                <w:szCs w:val="20"/>
                <w:color w:val="auto"/>
              </w:rPr>
            </w:pPr>
            <w:r>
              <w:rPr>
                <w:rFonts w:ascii="Arial" w:cs="Arial" w:eastAsia="Arial" w:hAnsi="Arial"/>
                <w:sz w:val="17"/>
                <w:szCs w:val="17"/>
                <w:color w:val="auto"/>
              </w:rPr>
              <w:t>$</w:t>
            </w:r>
          </w:p>
        </w:tc>
        <w:tc>
          <w:tcPr>
            <w:tcW w:w="520" w:type="dxa"/>
            <w:vAlign w:val="bottom"/>
            <w:shd w:val="clear" w:color="auto" w:fill="DCE2EF"/>
          </w:tcPr>
          <w:p>
            <w:pPr>
              <w:jc w:val="right"/>
              <w:spacing w:after="0"/>
              <w:rPr>
                <w:sz w:val="20"/>
                <w:szCs w:val="20"/>
                <w:color w:val="auto"/>
              </w:rPr>
            </w:pPr>
            <w:r>
              <w:rPr>
                <w:rFonts w:ascii="Arial" w:cs="Arial" w:eastAsia="Arial" w:hAnsi="Arial"/>
                <w:sz w:val="17"/>
                <w:szCs w:val="17"/>
                <w:color w:val="auto"/>
              </w:rPr>
              <w:t>30.0</w:t>
            </w:r>
          </w:p>
        </w:tc>
        <w:tc>
          <w:tcPr>
            <w:tcW w:w="100" w:type="dxa"/>
            <w:vAlign w:val="bottom"/>
            <w:shd w:val="clear" w:color="auto" w:fill="DCE2EF"/>
          </w:tcPr>
          <w:p>
            <w:pPr>
              <w:spacing w:after="0"/>
              <w:rPr>
                <w:sz w:val="18"/>
                <w:szCs w:val="18"/>
                <w:color w:val="auto"/>
              </w:rPr>
            </w:pPr>
          </w:p>
        </w:tc>
        <w:tc>
          <w:tcPr>
            <w:tcW w:w="1100" w:type="dxa"/>
            <w:vAlign w:val="bottom"/>
            <w:shd w:val="clear" w:color="auto" w:fill="DCE2EF"/>
          </w:tcPr>
          <w:p>
            <w:pPr>
              <w:jc w:val="right"/>
              <w:ind w:right="914"/>
              <w:spacing w:after="0"/>
              <w:rPr>
                <w:sz w:val="20"/>
                <w:szCs w:val="20"/>
                <w:color w:val="auto"/>
              </w:rPr>
            </w:pPr>
            <w:r>
              <w:rPr>
                <w:rFonts w:ascii="Arial" w:cs="Arial" w:eastAsia="Arial" w:hAnsi="Arial"/>
                <w:sz w:val="17"/>
                <w:szCs w:val="17"/>
                <w:color w:val="auto"/>
                <w:w w:val="84"/>
              </w:rPr>
              <w:t>$</w:t>
            </w:r>
          </w:p>
        </w:tc>
        <w:tc>
          <w:tcPr>
            <w:tcW w:w="500" w:type="dxa"/>
            <w:vAlign w:val="bottom"/>
            <w:shd w:val="clear" w:color="auto" w:fill="DCE2EF"/>
          </w:tcPr>
          <w:p>
            <w:pPr>
              <w:jc w:val="right"/>
              <w:spacing w:after="0"/>
              <w:rPr>
                <w:sz w:val="20"/>
                <w:szCs w:val="20"/>
                <w:color w:val="auto"/>
              </w:rPr>
            </w:pPr>
            <w:r>
              <w:rPr>
                <w:rFonts w:ascii="Arial" w:cs="Arial" w:eastAsia="Arial" w:hAnsi="Arial"/>
                <w:sz w:val="17"/>
                <w:szCs w:val="17"/>
                <w:color w:val="auto"/>
              </w:rPr>
              <w:t>30.0</w:t>
            </w:r>
          </w:p>
        </w:tc>
        <w:tc>
          <w:tcPr>
            <w:tcW w:w="120" w:type="dxa"/>
            <w:vAlign w:val="bottom"/>
            <w:shd w:val="clear" w:color="auto" w:fill="DCE2EF"/>
          </w:tcPr>
          <w:p>
            <w:pPr>
              <w:spacing w:after="0"/>
              <w:rPr>
                <w:sz w:val="18"/>
                <w:szCs w:val="18"/>
                <w:color w:val="auto"/>
              </w:rPr>
            </w:pPr>
          </w:p>
        </w:tc>
        <w:tc>
          <w:tcPr>
            <w:tcW w:w="1100" w:type="dxa"/>
            <w:vAlign w:val="bottom"/>
            <w:shd w:val="clear" w:color="auto" w:fill="DCE2EF"/>
          </w:tcPr>
          <w:p>
            <w:pPr>
              <w:jc w:val="right"/>
              <w:ind w:right="914"/>
              <w:spacing w:after="0"/>
              <w:rPr>
                <w:sz w:val="20"/>
                <w:szCs w:val="20"/>
                <w:color w:val="auto"/>
              </w:rPr>
            </w:pPr>
            <w:r>
              <w:rPr>
                <w:rFonts w:ascii="Arial" w:cs="Arial" w:eastAsia="Arial" w:hAnsi="Arial"/>
                <w:sz w:val="17"/>
                <w:szCs w:val="17"/>
                <w:color w:val="auto"/>
                <w:w w:val="84"/>
              </w:rPr>
              <w:t>$</w:t>
            </w:r>
          </w:p>
        </w:tc>
        <w:tc>
          <w:tcPr>
            <w:tcW w:w="520" w:type="dxa"/>
            <w:vAlign w:val="bottom"/>
            <w:shd w:val="clear" w:color="auto" w:fill="DCE2EF"/>
          </w:tcPr>
          <w:p>
            <w:pPr>
              <w:jc w:val="right"/>
              <w:spacing w:after="0"/>
              <w:rPr>
                <w:sz w:val="20"/>
                <w:szCs w:val="20"/>
                <w:color w:val="auto"/>
              </w:rPr>
            </w:pPr>
            <w:r>
              <w:rPr>
                <w:rFonts w:ascii="Arial" w:cs="Arial" w:eastAsia="Arial" w:hAnsi="Arial"/>
                <w:sz w:val="17"/>
                <w:szCs w:val="17"/>
                <w:color w:val="auto"/>
              </w:rPr>
              <w:t>30.0</w:t>
            </w:r>
          </w:p>
        </w:tc>
        <w:tc>
          <w:tcPr>
            <w:tcW w:w="100" w:type="dxa"/>
            <w:vAlign w:val="bottom"/>
            <w:shd w:val="clear" w:color="auto" w:fill="DCE2EF"/>
          </w:tcPr>
          <w:p>
            <w:pPr>
              <w:spacing w:after="0"/>
              <w:rPr>
                <w:sz w:val="18"/>
                <w:szCs w:val="18"/>
                <w:color w:val="auto"/>
              </w:rPr>
            </w:pPr>
          </w:p>
        </w:tc>
        <w:tc>
          <w:tcPr>
            <w:tcW w:w="360" w:type="dxa"/>
            <w:vAlign w:val="bottom"/>
            <w:shd w:val="clear" w:color="auto" w:fill="DCE2EF"/>
          </w:tcPr>
          <w:p>
            <w:pPr>
              <w:jc w:val="right"/>
              <w:ind w:right="154"/>
              <w:spacing w:after="0"/>
              <w:rPr>
                <w:sz w:val="20"/>
                <w:szCs w:val="20"/>
                <w:color w:val="auto"/>
              </w:rPr>
            </w:pPr>
            <w:r>
              <w:rPr>
                <w:rFonts w:ascii="Arial" w:cs="Arial" w:eastAsia="Arial" w:hAnsi="Arial"/>
                <w:sz w:val="17"/>
                <w:szCs w:val="17"/>
                <w:color w:val="auto"/>
              </w:rPr>
              <w:t>$</w:t>
            </w:r>
          </w:p>
        </w:tc>
        <w:tc>
          <w:tcPr>
            <w:tcW w:w="740" w:type="dxa"/>
            <w:vAlign w:val="bottom"/>
            <w:shd w:val="clear" w:color="auto" w:fill="DCE2EF"/>
          </w:tcPr>
          <w:p>
            <w:pPr>
              <w:jc w:val="right"/>
              <w:spacing w:after="0"/>
              <w:rPr>
                <w:sz w:val="20"/>
                <w:szCs w:val="20"/>
                <w:color w:val="auto"/>
              </w:rPr>
            </w:pPr>
            <w:r>
              <w:rPr>
                <w:rFonts w:ascii="Arial" w:cs="Arial" w:eastAsia="Arial" w:hAnsi="Arial"/>
                <w:sz w:val="17"/>
                <w:szCs w:val="17"/>
                <w:color w:val="auto"/>
              </w:rPr>
              <w:t>1,</w:t>
            </w:r>
          </w:p>
        </w:tc>
      </w:tr>
    </w:tbl>
    <w:p>
      <w:pPr>
        <w:spacing w:after="0" w:line="278"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Interest Rate Swaps</w:t>
      </w:r>
    </w:p>
    <w:p>
      <w:pPr>
        <w:spacing w:after="0" w:line="168" w:lineRule="exact"/>
        <w:rPr>
          <w:sz w:val="20"/>
          <w:szCs w:val="20"/>
          <w:color w:val="auto"/>
        </w:rPr>
      </w:pPr>
    </w:p>
    <w:p>
      <w:pPr>
        <w:jc w:val="both"/>
        <w:ind w:right="100" w:firstLine="619"/>
        <w:spacing w:after="0" w:line="260" w:lineRule="auto"/>
        <w:rPr>
          <w:sz w:val="20"/>
          <w:szCs w:val="20"/>
          <w:color w:val="auto"/>
        </w:rPr>
      </w:pPr>
      <w:r>
        <w:rPr>
          <w:rFonts w:ascii="Arial" w:cs="Arial" w:eastAsia="Arial" w:hAnsi="Arial"/>
          <w:sz w:val="17"/>
          <w:szCs w:val="17"/>
          <w:color w:val="auto"/>
        </w:rPr>
        <w:t>We enter into interest rate swaps to manage the interest rate risk associated with our floating-rate, SOFR-based borrowings. Under these arrangements, we typically pay a fixed interest rate in exchange for SOFR-based variable interest throughout the life of the agreement. We initially report the mark-to-market gain or loss on a derivative as a component of AOCL and subsequently reclassify the gain or loss into earnings when the hedged transactions occur and affect earnings. Interest payables and receivables under the swap agreements are accrued and recorded as adjustments to interest expense. All of our interest rate swaps have been designated and accounted for as cash flow hedges from inception. See Note 8, “Fair Value of Financial Instruments,” regarding the valuation of our interest rate swaps.</w:t>
      </w:r>
    </w:p>
    <w:p>
      <w:pPr>
        <w:spacing w:after="0" w:line="158" w:lineRule="exact"/>
        <w:rPr>
          <w:sz w:val="20"/>
          <w:szCs w:val="20"/>
          <w:color w:val="auto"/>
        </w:rPr>
      </w:pPr>
    </w:p>
    <w:tbl>
      <w:tblPr>
        <w:tblLayout w:type="fixed"/>
        <w:tblInd w:w="620" w:type="dxa"/>
        <w:tblCellMar>
          <w:top w:w="0" w:type="dxa"/>
          <w:left w:w="0" w:type="dxa"/>
          <w:bottom w:w="0" w:type="dxa"/>
          <w:right w:w="0" w:type="dxa"/>
        </w:tblCellMar>
      </w:tblPr>
      <w:tr>
        <w:trPr>
          <w:trHeight w:val="225"/>
        </w:trPr>
        <w:tc>
          <w:tcPr>
            <w:tcW w:w="3280" w:type="dxa"/>
            <w:vAlign w:val="bottom"/>
            <w:gridSpan w:val="2"/>
          </w:tcPr>
          <w:p>
            <w:pPr>
              <w:ind w:left="320"/>
              <w:spacing w:after="0"/>
              <w:rPr>
                <w:sz w:val="20"/>
                <w:szCs w:val="20"/>
                <w:color w:val="auto"/>
              </w:rPr>
            </w:pPr>
            <w:r>
              <w:rPr>
                <w:rFonts w:ascii="Arial" w:cs="Arial" w:eastAsia="Arial" w:hAnsi="Arial"/>
                <w:sz w:val="17"/>
                <w:szCs w:val="17"/>
                <w:b w:val="1"/>
                <w:bCs w:val="1"/>
                <w:color w:val="auto"/>
              </w:rPr>
              <w:t>Notional Amount</w:t>
            </w:r>
          </w:p>
        </w:tc>
        <w:tc>
          <w:tcPr>
            <w:tcW w:w="2380" w:type="dxa"/>
            <w:vAlign w:val="bottom"/>
            <w:gridSpan w:val="2"/>
          </w:tcPr>
          <w:p>
            <w:pPr>
              <w:jc w:val="center"/>
              <w:ind w:right="800"/>
              <w:spacing w:after="0"/>
              <w:rPr>
                <w:sz w:val="20"/>
                <w:szCs w:val="20"/>
                <w:color w:val="auto"/>
              </w:rPr>
            </w:pPr>
            <w:r>
              <w:rPr>
                <w:rFonts w:ascii="Arial" w:cs="Arial" w:eastAsia="Arial" w:hAnsi="Arial"/>
                <w:sz w:val="17"/>
                <w:szCs w:val="17"/>
                <w:b w:val="1"/>
                <w:bCs w:val="1"/>
                <w:color w:val="auto"/>
              </w:rPr>
              <w:t>Fixed Interest Rate</w:t>
            </w:r>
          </w:p>
        </w:tc>
        <w:tc>
          <w:tcPr>
            <w:tcW w:w="2740" w:type="dxa"/>
            <w:vAlign w:val="bottom"/>
            <w:gridSpan w:val="2"/>
          </w:tcPr>
          <w:p>
            <w:pPr>
              <w:jc w:val="center"/>
              <w:ind w:right="780"/>
              <w:spacing w:after="0"/>
              <w:rPr>
                <w:sz w:val="20"/>
                <w:szCs w:val="20"/>
                <w:color w:val="auto"/>
              </w:rPr>
            </w:pPr>
            <w:r>
              <w:rPr>
                <w:rFonts w:ascii="Arial" w:cs="Arial" w:eastAsia="Arial" w:hAnsi="Arial"/>
                <w:sz w:val="17"/>
                <w:szCs w:val="17"/>
                <w:b w:val="1"/>
                <w:bCs w:val="1"/>
                <w:color w:val="auto"/>
                <w:w w:val="99"/>
              </w:rPr>
              <w:t>Effective Date</w:t>
            </w:r>
          </w:p>
        </w:tc>
        <w:tc>
          <w:tcPr>
            <w:tcW w:w="2040" w:type="dxa"/>
            <w:vAlign w:val="bottom"/>
          </w:tcPr>
          <w:p>
            <w:pPr>
              <w:ind w:left="480"/>
              <w:spacing w:after="0"/>
              <w:rPr>
                <w:sz w:val="20"/>
                <w:szCs w:val="20"/>
                <w:color w:val="auto"/>
              </w:rPr>
            </w:pPr>
            <w:r>
              <w:rPr>
                <w:rFonts w:ascii="Arial" w:cs="Arial" w:eastAsia="Arial" w:hAnsi="Arial"/>
                <w:sz w:val="17"/>
                <w:szCs w:val="17"/>
                <w:b w:val="1"/>
                <w:bCs w:val="1"/>
                <w:color w:val="auto"/>
              </w:rPr>
              <w:t>Maturity Date</w:t>
            </w:r>
          </w:p>
        </w:tc>
      </w:tr>
      <w:tr>
        <w:trPr>
          <w:trHeight w:val="212"/>
        </w:trPr>
        <w:tc>
          <w:tcPr>
            <w:tcW w:w="2520" w:type="dxa"/>
            <w:vAlign w:val="bottom"/>
            <w:tcBorders>
              <w:top w:val="single" w:sz="8" w:color="auto"/>
            </w:tcBorders>
            <w:shd w:val="clear" w:color="auto" w:fill="DCE2EF"/>
          </w:tcPr>
          <w:p>
            <w:pPr>
              <w:jc w:val="center"/>
              <w:ind w:left="534"/>
              <w:spacing w:after="0"/>
              <w:rPr>
                <w:sz w:val="20"/>
                <w:szCs w:val="20"/>
                <w:color w:val="auto"/>
              </w:rPr>
            </w:pPr>
            <w:r>
              <w:rPr>
                <w:rFonts w:ascii="Arial" w:cs="Arial" w:eastAsia="Arial" w:hAnsi="Arial"/>
                <w:sz w:val="17"/>
                <w:szCs w:val="17"/>
                <w:color w:val="auto"/>
              </w:rPr>
              <w:t>$ 100.0 million</w:t>
            </w:r>
          </w:p>
        </w:tc>
        <w:tc>
          <w:tcPr>
            <w:tcW w:w="760" w:type="dxa"/>
            <w:vAlign w:val="bottom"/>
            <w:tcBorders>
              <w:top w:val="single" w:sz="8" w:color="DCE2EF"/>
            </w:tcBorders>
            <w:shd w:val="clear" w:color="auto" w:fill="DCE2EF"/>
          </w:tcPr>
          <w:p>
            <w:pPr>
              <w:spacing w:after="0"/>
              <w:rPr>
                <w:sz w:val="18"/>
                <w:szCs w:val="18"/>
                <w:color w:val="auto"/>
              </w:rPr>
            </w:pPr>
          </w:p>
        </w:tc>
        <w:tc>
          <w:tcPr>
            <w:tcW w:w="1580" w:type="dxa"/>
            <w:vAlign w:val="bottom"/>
            <w:tcBorders>
              <w:top w:val="single" w:sz="8" w:color="auto"/>
            </w:tcBorders>
            <w:shd w:val="clear" w:color="auto" w:fill="DCE2EF"/>
          </w:tcPr>
          <w:p>
            <w:pPr>
              <w:jc w:val="center"/>
              <w:spacing w:after="0"/>
              <w:rPr>
                <w:sz w:val="20"/>
                <w:szCs w:val="20"/>
                <w:color w:val="auto"/>
              </w:rPr>
            </w:pPr>
            <w:r>
              <w:rPr>
                <w:rFonts w:ascii="Arial" w:cs="Arial" w:eastAsia="Arial" w:hAnsi="Arial"/>
                <w:sz w:val="17"/>
                <w:szCs w:val="17"/>
                <w:color w:val="auto"/>
                <w:w w:val="99"/>
              </w:rPr>
              <w:t>1.72%</w:t>
            </w:r>
          </w:p>
        </w:tc>
        <w:tc>
          <w:tcPr>
            <w:tcW w:w="800" w:type="dxa"/>
            <w:vAlign w:val="bottom"/>
            <w:tcBorders>
              <w:top w:val="single" w:sz="8" w:color="DCE2EF"/>
            </w:tcBorders>
            <w:shd w:val="clear" w:color="auto" w:fill="DCE2EF"/>
          </w:tcPr>
          <w:p>
            <w:pPr>
              <w:spacing w:after="0"/>
              <w:rPr>
                <w:sz w:val="18"/>
                <w:szCs w:val="18"/>
                <w:color w:val="auto"/>
              </w:rPr>
            </w:pPr>
          </w:p>
        </w:tc>
        <w:tc>
          <w:tcPr>
            <w:tcW w:w="1960" w:type="dxa"/>
            <w:vAlign w:val="bottom"/>
            <w:tcBorders>
              <w:top w:val="single" w:sz="8" w:color="auto"/>
            </w:tcBorders>
            <w:shd w:val="clear" w:color="auto" w:fill="DCE2EF"/>
          </w:tcPr>
          <w:p>
            <w:pPr>
              <w:jc w:val="center"/>
              <w:spacing w:after="0"/>
              <w:rPr>
                <w:sz w:val="20"/>
                <w:szCs w:val="20"/>
                <w:color w:val="auto"/>
              </w:rPr>
            </w:pPr>
            <w:r>
              <w:rPr>
                <w:rFonts w:ascii="Arial" w:cs="Arial" w:eastAsia="Arial" w:hAnsi="Arial"/>
                <w:sz w:val="17"/>
                <w:szCs w:val="17"/>
                <w:color w:val="auto"/>
              </w:rPr>
              <w:t>February 9, 2022</w:t>
            </w:r>
          </w:p>
        </w:tc>
        <w:tc>
          <w:tcPr>
            <w:tcW w:w="780" w:type="dxa"/>
            <w:vAlign w:val="bottom"/>
            <w:tcBorders>
              <w:top w:val="single" w:sz="8" w:color="DCE2EF"/>
            </w:tcBorders>
            <w:shd w:val="clear" w:color="auto" w:fill="DCE2EF"/>
          </w:tcPr>
          <w:p>
            <w:pPr>
              <w:spacing w:after="0"/>
              <w:rPr>
                <w:sz w:val="18"/>
                <w:szCs w:val="18"/>
                <w:color w:val="auto"/>
              </w:rPr>
            </w:pPr>
          </w:p>
        </w:tc>
        <w:tc>
          <w:tcPr>
            <w:tcW w:w="2040" w:type="dxa"/>
            <w:vAlign w:val="bottom"/>
            <w:tcBorders>
              <w:top w:val="single" w:sz="8" w:color="auto"/>
            </w:tcBorders>
            <w:shd w:val="clear" w:color="auto" w:fill="DCE2EF"/>
          </w:tcPr>
          <w:p>
            <w:pPr>
              <w:ind w:left="480"/>
              <w:spacing w:after="0"/>
              <w:rPr>
                <w:sz w:val="20"/>
                <w:szCs w:val="20"/>
                <w:color w:val="auto"/>
              </w:rPr>
            </w:pPr>
            <w:r>
              <w:rPr>
                <w:rFonts w:ascii="Arial" w:cs="Arial" w:eastAsia="Arial" w:hAnsi="Arial"/>
                <w:sz w:val="17"/>
                <w:szCs w:val="17"/>
                <w:color w:val="auto"/>
              </w:rPr>
              <w:t>June 28, 2026</w:t>
            </w:r>
          </w:p>
        </w:tc>
      </w:tr>
      <w:tr>
        <w:trPr>
          <w:trHeight w:val="219"/>
        </w:trPr>
        <w:tc>
          <w:tcPr>
            <w:tcW w:w="3280" w:type="dxa"/>
            <w:vAlign w:val="bottom"/>
            <w:gridSpan w:val="2"/>
          </w:tcPr>
          <w:p>
            <w:pPr>
              <w:jc w:val="center"/>
              <w:ind w:right="140"/>
              <w:spacing w:after="0"/>
              <w:rPr>
                <w:sz w:val="20"/>
                <w:szCs w:val="20"/>
                <w:color w:val="auto"/>
              </w:rPr>
            </w:pPr>
            <w:r>
              <w:rPr>
                <w:rFonts w:ascii="Arial" w:cs="Arial" w:eastAsia="Arial" w:hAnsi="Arial"/>
                <w:sz w:val="17"/>
                <w:szCs w:val="17"/>
                <w:color w:val="auto"/>
              </w:rPr>
              <w:t>$ 150.0 million</w:t>
            </w:r>
          </w:p>
        </w:tc>
        <w:tc>
          <w:tcPr>
            <w:tcW w:w="1580" w:type="dxa"/>
            <w:vAlign w:val="bottom"/>
          </w:tcPr>
          <w:p>
            <w:pPr>
              <w:jc w:val="center"/>
              <w:spacing w:after="0"/>
              <w:rPr>
                <w:sz w:val="20"/>
                <w:szCs w:val="20"/>
                <w:color w:val="auto"/>
              </w:rPr>
            </w:pPr>
            <w:r>
              <w:rPr>
                <w:rFonts w:ascii="Arial" w:cs="Arial" w:eastAsia="Arial" w:hAnsi="Arial"/>
                <w:sz w:val="17"/>
                <w:szCs w:val="17"/>
                <w:color w:val="auto"/>
                <w:w w:val="99"/>
              </w:rPr>
              <w:t>1.85%</w:t>
            </w:r>
          </w:p>
        </w:tc>
        <w:tc>
          <w:tcPr>
            <w:tcW w:w="800" w:type="dxa"/>
            <w:vAlign w:val="bottom"/>
          </w:tcPr>
          <w:p>
            <w:pPr>
              <w:spacing w:after="0"/>
              <w:rPr>
                <w:sz w:val="19"/>
                <w:szCs w:val="19"/>
                <w:color w:val="auto"/>
              </w:rPr>
            </w:pPr>
          </w:p>
        </w:tc>
        <w:tc>
          <w:tcPr>
            <w:tcW w:w="2740" w:type="dxa"/>
            <w:vAlign w:val="bottom"/>
            <w:gridSpan w:val="2"/>
          </w:tcPr>
          <w:p>
            <w:pPr>
              <w:jc w:val="center"/>
              <w:ind w:right="780"/>
              <w:spacing w:after="0"/>
              <w:rPr>
                <w:sz w:val="20"/>
                <w:szCs w:val="20"/>
                <w:color w:val="auto"/>
              </w:rPr>
            </w:pPr>
            <w:r>
              <w:rPr>
                <w:rFonts w:ascii="Arial" w:cs="Arial" w:eastAsia="Arial" w:hAnsi="Arial"/>
                <w:sz w:val="17"/>
                <w:szCs w:val="17"/>
                <w:color w:val="auto"/>
              </w:rPr>
              <w:t>February 25, 2022</w:t>
            </w:r>
          </w:p>
        </w:tc>
        <w:tc>
          <w:tcPr>
            <w:tcW w:w="2040" w:type="dxa"/>
            <w:vAlign w:val="bottom"/>
          </w:tcPr>
          <w:p>
            <w:pPr>
              <w:ind w:left="480"/>
              <w:spacing w:after="0"/>
              <w:rPr>
                <w:sz w:val="20"/>
                <w:szCs w:val="20"/>
                <w:color w:val="auto"/>
              </w:rPr>
            </w:pPr>
            <w:r>
              <w:rPr>
                <w:rFonts w:ascii="Arial" w:cs="Arial" w:eastAsia="Arial" w:hAnsi="Arial"/>
                <w:sz w:val="17"/>
                <w:szCs w:val="17"/>
                <w:color w:val="auto"/>
              </w:rPr>
              <w:t>June 28, 2026</w:t>
            </w:r>
          </w:p>
        </w:tc>
      </w:tr>
      <w:tr>
        <w:trPr>
          <w:trHeight w:val="219"/>
        </w:trPr>
        <w:tc>
          <w:tcPr>
            <w:tcW w:w="3280" w:type="dxa"/>
            <w:vAlign w:val="bottom"/>
            <w:gridSpan w:val="2"/>
            <w:shd w:val="clear" w:color="auto" w:fill="DCE2EF"/>
          </w:tcPr>
          <w:p>
            <w:pPr>
              <w:jc w:val="center"/>
              <w:ind w:right="140"/>
              <w:spacing w:after="0"/>
              <w:rPr>
                <w:sz w:val="20"/>
                <w:szCs w:val="20"/>
                <w:color w:val="auto"/>
              </w:rPr>
            </w:pPr>
            <w:r>
              <w:rPr>
                <w:rFonts w:ascii="Arial" w:cs="Arial" w:eastAsia="Arial" w:hAnsi="Arial"/>
                <w:sz w:val="17"/>
                <w:szCs w:val="17"/>
                <w:color w:val="auto"/>
              </w:rPr>
              <w:t>$ 100.0 million</w:t>
            </w:r>
          </w:p>
        </w:tc>
        <w:tc>
          <w:tcPr>
            <w:tcW w:w="1580" w:type="dxa"/>
            <w:vAlign w:val="bottom"/>
            <w:shd w:val="clear" w:color="auto" w:fill="DCE2EF"/>
          </w:tcPr>
          <w:p>
            <w:pPr>
              <w:jc w:val="center"/>
              <w:spacing w:after="0"/>
              <w:rPr>
                <w:sz w:val="20"/>
                <w:szCs w:val="20"/>
                <w:color w:val="auto"/>
              </w:rPr>
            </w:pPr>
            <w:r>
              <w:rPr>
                <w:rFonts w:ascii="Arial" w:cs="Arial" w:eastAsia="Arial" w:hAnsi="Arial"/>
                <w:sz w:val="17"/>
                <w:szCs w:val="17"/>
                <w:color w:val="auto"/>
                <w:w w:val="99"/>
              </w:rPr>
              <w:t>2.88%</w:t>
            </w:r>
          </w:p>
        </w:tc>
        <w:tc>
          <w:tcPr>
            <w:tcW w:w="800" w:type="dxa"/>
            <w:vAlign w:val="bottom"/>
            <w:shd w:val="clear" w:color="auto" w:fill="DCE2EF"/>
          </w:tcPr>
          <w:p>
            <w:pPr>
              <w:spacing w:after="0"/>
              <w:rPr>
                <w:sz w:val="19"/>
                <w:szCs w:val="19"/>
                <w:color w:val="auto"/>
              </w:rPr>
            </w:pPr>
          </w:p>
        </w:tc>
        <w:tc>
          <w:tcPr>
            <w:tcW w:w="2740" w:type="dxa"/>
            <w:vAlign w:val="bottom"/>
            <w:gridSpan w:val="2"/>
            <w:shd w:val="clear" w:color="auto" w:fill="DCE2EF"/>
          </w:tcPr>
          <w:p>
            <w:pPr>
              <w:jc w:val="center"/>
              <w:ind w:right="780"/>
              <w:spacing w:after="0"/>
              <w:rPr>
                <w:sz w:val="20"/>
                <w:szCs w:val="20"/>
                <w:color w:val="auto"/>
              </w:rPr>
            </w:pPr>
            <w:r>
              <w:rPr>
                <w:rFonts w:ascii="Arial" w:cs="Arial" w:eastAsia="Arial" w:hAnsi="Arial"/>
                <w:sz w:val="17"/>
                <w:szCs w:val="17"/>
                <w:color w:val="auto"/>
              </w:rPr>
              <w:t>May 4, 2022</w:t>
            </w:r>
          </w:p>
        </w:tc>
        <w:tc>
          <w:tcPr>
            <w:tcW w:w="2040" w:type="dxa"/>
            <w:vAlign w:val="bottom"/>
            <w:shd w:val="clear" w:color="auto" w:fill="DCE2EF"/>
          </w:tcPr>
          <w:p>
            <w:pPr>
              <w:ind w:left="480"/>
              <w:spacing w:after="0"/>
              <w:rPr>
                <w:sz w:val="20"/>
                <w:szCs w:val="20"/>
                <w:color w:val="auto"/>
              </w:rPr>
            </w:pPr>
            <w:r>
              <w:rPr>
                <w:rFonts w:ascii="Arial" w:cs="Arial" w:eastAsia="Arial" w:hAnsi="Arial"/>
                <w:sz w:val="17"/>
                <w:szCs w:val="17"/>
                <w:color w:val="auto"/>
              </w:rPr>
              <w:t>June 28, 2026</w:t>
            </w:r>
          </w:p>
        </w:tc>
      </w:tr>
      <w:tr>
        <w:trPr>
          <w:trHeight w:val="219"/>
        </w:trPr>
        <w:tc>
          <w:tcPr>
            <w:tcW w:w="3280" w:type="dxa"/>
            <w:vAlign w:val="bottom"/>
            <w:gridSpan w:val="2"/>
          </w:tcPr>
          <w:p>
            <w:pPr>
              <w:jc w:val="center"/>
              <w:ind w:right="140"/>
              <w:spacing w:after="0"/>
              <w:rPr>
                <w:sz w:val="20"/>
                <w:szCs w:val="20"/>
                <w:color w:val="auto"/>
              </w:rPr>
            </w:pPr>
            <w:r>
              <w:rPr>
                <w:rFonts w:ascii="Arial" w:cs="Arial" w:eastAsia="Arial" w:hAnsi="Arial"/>
                <w:sz w:val="17"/>
                <w:szCs w:val="17"/>
                <w:color w:val="auto"/>
              </w:rPr>
              <w:t>$86.9 million</w:t>
            </w:r>
          </w:p>
        </w:tc>
        <w:tc>
          <w:tcPr>
            <w:tcW w:w="1580" w:type="dxa"/>
            <w:vAlign w:val="bottom"/>
          </w:tcPr>
          <w:p>
            <w:pPr>
              <w:jc w:val="center"/>
              <w:spacing w:after="0"/>
              <w:rPr>
                <w:sz w:val="20"/>
                <w:szCs w:val="20"/>
                <w:color w:val="auto"/>
              </w:rPr>
            </w:pPr>
            <w:r>
              <w:rPr>
                <w:rFonts w:ascii="Arial" w:cs="Arial" w:eastAsia="Arial" w:hAnsi="Arial"/>
                <w:sz w:val="17"/>
                <w:szCs w:val="17"/>
                <w:color w:val="auto"/>
                <w:w w:val="99"/>
              </w:rPr>
              <w:t>2.83%</w:t>
            </w:r>
          </w:p>
        </w:tc>
        <w:tc>
          <w:tcPr>
            <w:tcW w:w="800" w:type="dxa"/>
            <w:vAlign w:val="bottom"/>
          </w:tcPr>
          <w:p>
            <w:pPr>
              <w:spacing w:after="0"/>
              <w:rPr>
                <w:sz w:val="19"/>
                <w:szCs w:val="19"/>
                <w:color w:val="auto"/>
              </w:rPr>
            </w:pPr>
          </w:p>
        </w:tc>
        <w:tc>
          <w:tcPr>
            <w:tcW w:w="2740" w:type="dxa"/>
            <w:vAlign w:val="bottom"/>
            <w:gridSpan w:val="2"/>
          </w:tcPr>
          <w:p>
            <w:pPr>
              <w:jc w:val="center"/>
              <w:ind w:right="780"/>
              <w:spacing w:after="0"/>
              <w:rPr>
                <w:sz w:val="20"/>
                <w:szCs w:val="20"/>
                <w:color w:val="auto"/>
              </w:rPr>
            </w:pPr>
            <w:r>
              <w:rPr>
                <w:rFonts w:ascii="Arial" w:cs="Arial" w:eastAsia="Arial" w:hAnsi="Arial"/>
                <w:sz w:val="17"/>
                <w:szCs w:val="17"/>
                <w:color w:val="auto"/>
              </w:rPr>
              <w:t>July 7, 2022</w:t>
            </w:r>
          </w:p>
        </w:tc>
        <w:tc>
          <w:tcPr>
            <w:tcW w:w="2040" w:type="dxa"/>
            <w:vAlign w:val="bottom"/>
          </w:tcPr>
          <w:p>
            <w:pPr>
              <w:ind w:left="480"/>
              <w:spacing w:after="0"/>
              <w:rPr>
                <w:sz w:val="20"/>
                <w:szCs w:val="20"/>
                <w:color w:val="auto"/>
              </w:rPr>
            </w:pPr>
            <w:r>
              <w:rPr>
                <w:rFonts w:ascii="Arial" w:cs="Arial" w:eastAsia="Arial" w:hAnsi="Arial"/>
                <w:sz w:val="17"/>
                <w:szCs w:val="17"/>
                <w:color w:val="auto"/>
              </w:rPr>
              <w:t>June 28, 2026</w:t>
            </w:r>
          </w:p>
        </w:tc>
      </w:tr>
      <w:tr>
        <w:trPr>
          <w:trHeight w:val="219"/>
        </w:trPr>
        <w:tc>
          <w:tcPr>
            <w:tcW w:w="3280" w:type="dxa"/>
            <w:vAlign w:val="bottom"/>
            <w:gridSpan w:val="2"/>
            <w:shd w:val="clear" w:color="auto" w:fill="DCE2EF"/>
          </w:tcPr>
          <w:p>
            <w:pPr>
              <w:jc w:val="center"/>
              <w:ind w:right="140"/>
              <w:spacing w:after="0"/>
              <w:rPr>
                <w:sz w:val="20"/>
                <w:szCs w:val="20"/>
                <w:color w:val="auto"/>
              </w:rPr>
            </w:pPr>
            <w:r>
              <w:rPr>
                <w:rFonts w:ascii="Arial" w:cs="Arial" w:eastAsia="Arial" w:hAnsi="Arial"/>
                <w:sz w:val="17"/>
                <w:szCs w:val="17"/>
                <w:color w:val="auto"/>
              </w:rPr>
              <w:t>$13.1 million</w:t>
            </w:r>
          </w:p>
        </w:tc>
        <w:tc>
          <w:tcPr>
            <w:tcW w:w="1580" w:type="dxa"/>
            <w:vAlign w:val="bottom"/>
            <w:shd w:val="clear" w:color="auto" w:fill="DCE2EF"/>
          </w:tcPr>
          <w:p>
            <w:pPr>
              <w:jc w:val="center"/>
              <w:spacing w:after="0"/>
              <w:rPr>
                <w:sz w:val="20"/>
                <w:szCs w:val="20"/>
                <w:color w:val="auto"/>
              </w:rPr>
            </w:pPr>
            <w:r>
              <w:rPr>
                <w:rFonts w:ascii="Arial" w:cs="Arial" w:eastAsia="Arial" w:hAnsi="Arial"/>
                <w:sz w:val="17"/>
                <w:szCs w:val="17"/>
                <w:color w:val="auto"/>
                <w:w w:val="99"/>
              </w:rPr>
              <w:t>2.79%</w:t>
            </w:r>
          </w:p>
        </w:tc>
        <w:tc>
          <w:tcPr>
            <w:tcW w:w="800" w:type="dxa"/>
            <w:vAlign w:val="bottom"/>
            <w:shd w:val="clear" w:color="auto" w:fill="DCE2EF"/>
          </w:tcPr>
          <w:p>
            <w:pPr>
              <w:spacing w:after="0"/>
              <w:rPr>
                <w:sz w:val="19"/>
                <w:szCs w:val="19"/>
                <w:color w:val="auto"/>
              </w:rPr>
            </w:pPr>
          </w:p>
        </w:tc>
        <w:tc>
          <w:tcPr>
            <w:tcW w:w="2740" w:type="dxa"/>
            <w:vAlign w:val="bottom"/>
            <w:gridSpan w:val="2"/>
            <w:shd w:val="clear" w:color="auto" w:fill="DCE2EF"/>
          </w:tcPr>
          <w:p>
            <w:pPr>
              <w:jc w:val="center"/>
              <w:ind w:right="760"/>
              <w:spacing w:after="0"/>
              <w:rPr>
                <w:sz w:val="20"/>
                <w:szCs w:val="20"/>
                <w:color w:val="auto"/>
              </w:rPr>
            </w:pPr>
            <w:r>
              <w:rPr>
                <w:rFonts w:ascii="Arial" w:cs="Arial" w:eastAsia="Arial" w:hAnsi="Arial"/>
                <w:sz w:val="17"/>
                <w:szCs w:val="17"/>
                <w:color w:val="auto"/>
              </w:rPr>
              <w:t>July 18, 2022</w:t>
            </w:r>
          </w:p>
        </w:tc>
        <w:tc>
          <w:tcPr>
            <w:tcW w:w="2040" w:type="dxa"/>
            <w:vAlign w:val="bottom"/>
            <w:shd w:val="clear" w:color="auto" w:fill="DCE2EF"/>
          </w:tcPr>
          <w:p>
            <w:pPr>
              <w:ind w:left="480"/>
              <w:spacing w:after="0"/>
              <w:rPr>
                <w:sz w:val="20"/>
                <w:szCs w:val="20"/>
                <w:color w:val="auto"/>
              </w:rPr>
            </w:pPr>
            <w:r>
              <w:rPr>
                <w:rFonts w:ascii="Arial" w:cs="Arial" w:eastAsia="Arial" w:hAnsi="Arial"/>
                <w:sz w:val="17"/>
                <w:szCs w:val="17"/>
                <w:color w:val="auto"/>
              </w:rPr>
              <w:t>June 28, 2026</w:t>
            </w:r>
          </w:p>
        </w:tc>
      </w:tr>
      <w:tr>
        <w:trPr>
          <w:trHeight w:val="226"/>
        </w:trPr>
        <w:tc>
          <w:tcPr>
            <w:tcW w:w="3280" w:type="dxa"/>
            <w:vAlign w:val="bottom"/>
            <w:gridSpan w:val="2"/>
          </w:tcPr>
          <w:p>
            <w:pPr>
              <w:jc w:val="center"/>
              <w:ind w:right="140"/>
              <w:spacing w:after="0"/>
              <w:rPr>
                <w:sz w:val="20"/>
                <w:szCs w:val="20"/>
                <w:color w:val="auto"/>
              </w:rPr>
            </w:pPr>
            <w:r>
              <w:rPr>
                <w:rFonts w:ascii="Arial" w:cs="Arial" w:eastAsia="Arial" w:hAnsi="Arial"/>
                <w:sz w:val="17"/>
                <w:szCs w:val="17"/>
                <w:color w:val="auto"/>
              </w:rPr>
              <w:t>$ 170.0 million</w:t>
            </w:r>
          </w:p>
        </w:tc>
        <w:tc>
          <w:tcPr>
            <w:tcW w:w="1580" w:type="dxa"/>
            <w:vAlign w:val="bottom"/>
          </w:tcPr>
          <w:p>
            <w:pPr>
              <w:jc w:val="center"/>
              <w:spacing w:after="0"/>
              <w:rPr>
                <w:sz w:val="20"/>
                <w:szCs w:val="20"/>
                <w:color w:val="auto"/>
              </w:rPr>
            </w:pPr>
            <w:r>
              <w:rPr>
                <w:rFonts w:ascii="Arial" w:cs="Arial" w:eastAsia="Arial" w:hAnsi="Arial"/>
                <w:sz w:val="17"/>
                <w:szCs w:val="17"/>
                <w:color w:val="auto"/>
                <w:w w:val="99"/>
              </w:rPr>
              <w:t>3.81%</w:t>
            </w:r>
          </w:p>
        </w:tc>
        <w:tc>
          <w:tcPr>
            <w:tcW w:w="800" w:type="dxa"/>
            <w:vAlign w:val="bottom"/>
          </w:tcPr>
          <w:p>
            <w:pPr>
              <w:spacing w:after="0"/>
              <w:rPr>
                <w:sz w:val="19"/>
                <w:szCs w:val="19"/>
                <w:color w:val="auto"/>
              </w:rPr>
            </w:pPr>
          </w:p>
        </w:tc>
        <w:tc>
          <w:tcPr>
            <w:tcW w:w="2740" w:type="dxa"/>
            <w:vAlign w:val="bottom"/>
            <w:gridSpan w:val="2"/>
          </w:tcPr>
          <w:p>
            <w:pPr>
              <w:jc w:val="center"/>
              <w:ind w:right="780"/>
              <w:spacing w:after="0"/>
              <w:rPr>
                <w:sz w:val="20"/>
                <w:szCs w:val="20"/>
                <w:color w:val="auto"/>
              </w:rPr>
            </w:pPr>
            <w:r>
              <w:rPr>
                <w:rFonts w:ascii="Arial" w:cs="Arial" w:eastAsia="Arial" w:hAnsi="Arial"/>
                <w:sz w:val="17"/>
                <w:szCs w:val="17"/>
                <w:color w:val="auto"/>
              </w:rPr>
              <w:t>November 1, 2022</w:t>
            </w:r>
          </w:p>
        </w:tc>
        <w:tc>
          <w:tcPr>
            <w:tcW w:w="2040" w:type="dxa"/>
            <w:vAlign w:val="bottom"/>
          </w:tcPr>
          <w:p>
            <w:pPr>
              <w:ind w:left="480"/>
              <w:spacing w:after="0"/>
              <w:rPr>
                <w:sz w:val="20"/>
                <w:szCs w:val="20"/>
                <w:color w:val="auto"/>
              </w:rPr>
            </w:pPr>
            <w:r>
              <w:rPr>
                <w:rFonts w:ascii="Arial" w:cs="Arial" w:eastAsia="Arial" w:hAnsi="Arial"/>
                <w:sz w:val="17"/>
                <w:szCs w:val="17"/>
                <w:color w:val="auto"/>
              </w:rPr>
              <w:t>June 28, 2026</w:t>
            </w:r>
          </w:p>
        </w:tc>
      </w:tr>
    </w:tbl>
    <w:p>
      <w:pPr>
        <w:spacing w:after="0" w:line="260" w:lineRule="exact"/>
        <w:rPr>
          <w:sz w:val="20"/>
          <w:szCs w:val="20"/>
          <w:color w:val="auto"/>
        </w:rPr>
      </w:pPr>
    </w:p>
    <w:p>
      <w:pPr>
        <w:jc w:val="both"/>
        <w:ind w:right="100" w:firstLine="619"/>
        <w:spacing w:after="0" w:line="271" w:lineRule="auto"/>
        <w:rPr>
          <w:sz w:val="20"/>
          <w:szCs w:val="20"/>
          <w:color w:val="auto"/>
        </w:rPr>
      </w:pPr>
      <w:r>
        <w:rPr>
          <w:rFonts w:ascii="Arial" w:cs="Arial" w:eastAsia="Arial" w:hAnsi="Arial"/>
          <w:sz w:val="17"/>
          <w:szCs w:val="17"/>
          <w:color w:val="auto"/>
        </w:rPr>
        <w:t>At October 31, 2025 and 2024, amounts recorded in AOCL for interest rate swaps were a gain of $2.4 million, net of taxes of $1.9 million, and a gain of $9.2 million, net of taxes of $4.3 million, respectively. At October 31, 2025, the total amount expected to be reclassified from AOCL to earnings during the next 12 months is a gain of $3.1 million, net of taxes of $1.1 million.</w:t>
      </w:r>
    </w:p>
    <w:p>
      <w:pPr>
        <w:spacing w:after="0" w:line="200" w:lineRule="exact"/>
        <w:rPr>
          <w:sz w:val="20"/>
          <w:szCs w:val="20"/>
          <w:color w:val="auto"/>
        </w:rPr>
      </w:pPr>
    </w:p>
    <w:p>
      <w:pPr>
        <w:spacing w:after="0" w:line="285"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340"/>
          </w:cols>
          <w:pgMar w:left="320" w:top="1167" w:right="239" w:bottom="1440" w:gutter="0" w:footer="0" w:header="0"/>
        </w:sectPr>
      </w:pPr>
    </w:p>
    <w:bookmarkStart w:id="77" w:name="page78"/>
    <w:bookmarkEnd w:id="77"/>
    <w:p>
      <w:pPr>
        <w:spacing w:after="0"/>
        <w:rPr>
          <w:sz w:val="20"/>
          <w:szCs w:val="20"/>
          <w:color w:val="auto"/>
        </w:rPr>
      </w:pPr>
      <w:r>
        <w:rPr>
          <w:rFonts w:ascii="Arial" w:cs="Arial" w:eastAsia="Arial" w:hAnsi="Arial"/>
          <w:sz w:val="17"/>
          <w:szCs w:val="17"/>
          <w:b w:val="1"/>
          <w:bCs w:val="1"/>
          <w:color w:val="0046AD"/>
        </w:rPr>
        <w:t>13. EMPLOYEE BENEFIT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wp:posOffset>
            </wp:positionV>
            <wp:extent cx="712216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22160" cy="8255"/>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Defined Benefit Plans</w:t>
      </w:r>
    </w:p>
    <w:p>
      <w:pPr>
        <w:spacing w:after="0" w:line="168" w:lineRule="exact"/>
        <w:rPr>
          <w:sz w:val="20"/>
          <w:szCs w:val="20"/>
          <w:color w:val="auto"/>
        </w:rPr>
      </w:pPr>
    </w:p>
    <w:p>
      <w:pPr>
        <w:ind w:firstLine="619"/>
        <w:spacing w:after="0" w:line="290" w:lineRule="auto"/>
        <w:rPr>
          <w:sz w:val="20"/>
          <w:szCs w:val="20"/>
          <w:color w:val="auto"/>
        </w:rPr>
      </w:pPr>
      <w:r>
        <w:rPr>
          <w:rFonts w:ascii="Arial" w:cs="Arial" w:eastAsia="Arial" w:hAnsi="Arial"/>
          <w:sz w:val="17"/>
          <w:szCs w:val="17"/>
          <w:color w:val="auto"/>
        </w:rPr>
        <w:t>We provide benefits to certain employees under various defined benefit and postretirement benefit plans (collectively, the “Plans”). The Plans were previously amended to preclude new participants. All of the Plans are unfunded with the exception of one, which is underfunded.</w:t>
      </w:r>
    </w:p>
    <w:p>
      <w:pPr>
        <w:spacing w:after="0" w:line="9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46AD"/>
        </w:rPr>
        <w:t>Information for the Plans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30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242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rPr>
              <w:t>As of October 31,</w:t>
            </w:r>
          </w:p>
        </w:tc>
        <w:tc>
          <w:tcPr>
            <w:tcW w:w="1280" w:type="dxa"/>
            <w:vAlign w:val="bottom"/>
            <w:tcBorders>
              <w:bottom w:val="single" w:sz="8" w:color="auto"/>
            </w:tcBorders>
          </w:tcPr>
          <w:p>
            <w:pPr>
              <w:spacing w:after="0"/>
              <w:rPr>
                <w:sz w:val="19"/>
                <w:szCs w:val="19"/>
                <w:color w:val="auto"/>
              </w:rPr>
            </w:pPr>
          </w:p>
        </w:tc>
      </w:tr>
      <w:tr>
        <w:trPr>
          <w:trHeight w:val="160"/>
        </w:trPr>
        <w:tc>
          <w:tcPr>
            <w:tcW w:w="7000" w:type="dxa"/>
            <w:vAlign w:val="bottom"/>
            <w:gridSpan w:val="3"/>
          </w:tcPr>
          <w:p>
            <w:pPr>
              <w:ind w:left="20"/>
              <w:spacing w:after="0" w:line="148" w:lineRule="exact"/>
              <w:rPr>
                <w:sz w:val="20"/>
                <w:szCs w:val="20"/>
                <w:color w:val="auto"/>
              </w:rPr>
            </w:pPr>
            <w:r>
              <w:rPr>
                <w:rFonts w:ascii="Times New Roman" w:cs="Times New Roman" w:eastAsia="Times New Roman" w:hAnsi="Times New Roman"/>
                <w:sz w:val="14"/>
                <w:szCs w:val="14"/>
                <w:i w:val="1"/>
                <w:iCs w:val="1"/>
                <w:color w:val="auto"/>
              </w:rPr>
              <w:t>(in millions)</w:t>
            </w:r>
          </w:p>
        </w:tc>
        <w:tc>
          <w:tcPr>
            <w:tcW w:w="460" w:type="dxa"/>
            <w:vAlign w:val="bottom"/>
          </w:tcPr>
          <w:p>
            <w:pPr>
              <w:spacing w:after="0"/>
              <w:rPr>
                <w:sz w:val="13"/>
                <w:szCs w:val="13"/>
                <w:color w:val="auto"/>
              </w:rPr>
            </w:pPr>
          </w:p>
        </w:tc>
        <w:tc>
          <w:tcPr>
            <w:tcW w:w="1560" w:type="dxa"/>
            <w:vAlign w:val="bottom"/>
          </w:tcPr>
          <w:p>
            <w:pPr>
              <w:jc w:val="right"/>
              <w:ind w:right="734"/>
              <w:spacing w:after="0" w:line="148" w:lineRule="exact"/>
              <w:rPr>
                <w:sz w:val="20"/>
                <w:szCs w:val="20"/>
                <w:color w:val="auto"/>
              </w:rPr>
            </w:pPr>
            <w:r>
              <w:rPr>
                <w:rFonts w:ascii="Arial" w:cs="Arial" w:eastAsia="Arial" w:hAnsi="Arial"/>
                <w:sz w:val="17"/>
                <w:szCs w:val="17"/>
                <w:b w:val="1"/>
                <w:bCs w:val="1"/>
                <w:color w:val="auto"/>
              </w:rPr>
              <w:t>2025</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80" w:type="dxa"/>
            <w:vAlign w:val="bottom"/>
          </w:tcPr>
          <w:p>
            <w:pPr>
              <w:jc w:val="right"/>
              <w:ind w:right="734"/>
              <w:spacing w:after="0" w:line="148" w:lineRule="exact"/>
              <w:rPr>
                <w:sz w:val="20"/>
                <w:szCs w:val="20"/>
                <w:color w:val="auto"/>
              </w:rPr>
            </w:pPr>
            <w:r>
              <w:rPr>
                <w:rFonts w:ascii="Arial" w:cs="Arial" w:eastAsia="Arial" w:hAnsi="Arial"/>
                <w:sz w:val="17"/>
                <w:szCs w:val="17"/>
                <w:b w:val="1"/>
                <w:bCs w:val="1"/>
                <w:color w:val="auto"/>
              </w:rPr>
              <w:t>2024</w:t>
            </w:r>
          </w:p>
        </w:tc>
      </w:tr>
      <w:tr>
        <w:trPr>
          <w:trHeight w:val="32"/>
        </w:trPr>
        <w:tc>
          <w:tcPr>
            <w:tcW w:w="20" w:type="dxa"/>
            <w:vAlign w:val="bottom"/>
            <w:tcBorders>
              <w:bottom w:val="single" w:sz="8" w:color="DCE2EF"/>
            </w:tcBorders>
          </w:tcPr>
          <w:p>
            <w:pPr>
              <w:spacing w:after="0"/>
              <w:rPr>
                <w:sz w:val="2"/>
                <w:szCs w:val="2"/>
                <w:color w:val="auto"/>
              </w:rPr>
            </w:pPr>
          </w:p>
        </w:tc>
        <w:tc>
          <w:tcPr>
            <w:tcW w:w="680" w:type="dxa"/>
            <w:vAlign w:val="bottom"/>
            <w:tcBorders>
              <w:top w:val="single" w:sz="8" w:color="auto"/>
              <w:bottom w:val="single" w:sz="8" w:color="DCE2EF"/>
            </w:tcBorders>
          </w:tcPr>
          <w:p>
            <w:pPr>
              <w:spacing w:after="0"/>
              <w:rPr>
                <w:sz w:val="2"/>
                <w:szCs w:val="2"/>
                <w:color w:val="auto"/>
              </w:rPr>
            </w:pPr>
          </w:p>
        </w:tc>
        <w:tc>
          <w:tcPr>
            <w:tcW w:w="6300" w:type="dxa"/>
            <w:vAlign w:val="bottom"/>
            <w:tcBorders>
              <w:bottom w:val="single" w:sz="8" w:color="DCE2E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DCE2E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12"/>
        </w:trPr>
        <w:tc>
          <w:tcPr>
            <w:tcW w:w="7000" w:type="dxa"/>
            <w:vAlign w:val="bottom"/>
            <w:gridSpan w:val="3"/>
            <w:shd w:val="clear" w:color="auto" w:fill="DCE2EF"/>
          </w:tcPr>
          <w:p>
            <w:pPr>
              <w:ind w:left="20"/>
              <w:spacing w:after="0"/>
              <w:rPr>
                <w:sz w:val="20"/>
                <w:szCs w:val="20"/>
                <w:color w:val="auto"/>
              </w:rPr>
            </w:pPr>
            <w:r>
              <w:rPr>
                <w:rFonts w:ascii="Arial" w:cs="Arial" w:eastAsia="Arial" w:hAnsi="Arial"/>
                <w:sz w:val="17"/>
                <w:szCs w:val="17"/>
                <w:color w:val="auto"/>
              </w:rPr>
              <w:t>Net obligations</w:t>
            </w:r>
          </w:p>
        </w:tc>
        <w:tc>
          <w:tcPr>
            <w:tcW w:w="460" w:type="dxa"/>
            <w:vAlign w:val="bottom"/>
            <w:shd w:val="clear" w:color="auto" w:fill="DCE2EF"/>
          </w:tcPr>
          <w:p>
            <w:pPr>
              <w:jc w:val="right"/>
              <w:ind w:right="274"/>
              <w:spacing w:after="0"/>
              <w:rPr>
                <w:sz w:val="20"/>
                <w:szCs w:val="20"/>
                <w:color w:val="auto"/>
              </w:rPr>
            </w:pPr>
            <w:r>
              <w:rPr>
                <w:rFonts w:ascii="Arial" w:cs="Arial" w:eastAsia="Arial" w:hAnsi="Arial"/>
                <w:sz w:val="17"/>
                <w:szCs w:val="17"/>
                <w:color w:val="auto"/>
                <w:w w:val="84"/>
              </w:rPr>
              <w:t>$</w:t>
            </w:r>
          </w:p>
        </w:tc>
        <w:tc>
          <w:tcPr>
            <w:tcW w:w="1560" w:type="dxa"/>
            <w:vAlign w:val="bottom"/>
            <w:shd w:val="clear" w:color="auto" w:fill="DCE2EF"/>
          </w:tcPr>
          <w:p>
            <w:pPr>
              <w:jc w:val="right"/>
              <w:spacing w:after="0"/>
              <w:rPr>
                <w:sz w:val="20"/>
                <w:szCs w:val="20"/>
                <w:color w:val="auto"/>
              </w:rPr>
            </w:pPr>
            <w:r>
              <w:rPr>
                <w:rFonts w:ascii="Arial" w:cs="Arial" w:eastAsia="Arial" w:hAnsi="Arial"/>
                <w:sz w:val="17"/>
                <w:szCs w:val="17"/>
                <w:color w:val="auto"/>
              </w:rPr>
              <w:t>6.8</w:t>
            </w:r>
          </w:p>
        </w:tc>
        <w:tc>
          <w:tcPr>
            <w:tcW w:w="120" w:type="dxa"/>
            <w:vAlign w:val="bottom"/>
            <w:shd w:val="clear" w:color="auto" w:fill="DCE2EF"/>
          </w:tcPr>
          <w:p>
            <w:pPr>
              <w:spacing w:after="0"/>
              <w:rPr>
                <w:sz w:val="18"/>
                <w:szCs w:val="18"/>
                <w:color w:val="auto"/>
              </w:rPr>
            </w:pPr>
          </w:p>
        </w:tc>
        <w:tc>
          <w:tcPr>
            <w:tcW w:w="740" w:type="dxa"/>
            <w:vAlign w:val="bottom"/>
            <w:shd w:val="clear" w:color="auto" w:fill="DCE2EF"/>
          </w:tcPr>
          <w:p>
            <w:pPr>
              <w:jc w:val="right"/>
              <w:ind w:right="554"/>
              <w:spacing w:after="0"/>
              <w:rPr>
                <w:sz w:val="20"/>
                <w:szCs w:val="20"/>
                <w:color w:val="auto"/>
              </w:rPr>
            </w:pPr>
            <w:r>
              <w:rPr>
                <w:rFonts w:ascii="Arial" w:cs="Arial" w:eastAsia="Arial" w:hAnsi="Arial"/>
                <w:sz w:val="17"/>
                <w:szCs w:val="17"/>
                <w:color w:val="auto"/>
                <w:w w:val="84"/>
              </w:rPr>
              <w:t>$</w:t>
            </w:r>
          </w:p>
        </w:tc>
        <w:tc>
          <w:tcPr>
            <w:tcW w:w="1280" w:type="dxa"/>
            <w:vAlign w:val="bottom"/>
            <w:shd w:val="clear" w:color="auto" w:fill="DCE2EF"/>
          </w:tcPr>
          <w:p>
            <w:pPr>
              <w:jc w:val="right"/>
              <w:spacing w:after="0"/>
              <w:rPr>
                <w:sz w:val="20"/>
                <w:szCs w:val="20"/>
                <w:color w:val="auto"/>
              </w:rPr>
            </w:pPr>
            <w:r>
              <w:rPr>
                <w:rFonts w:ascii="Arial" w:cs="Arial" w:eastAsia="Arial" w:hAnsi="Arial"/>
                <w:sz w:val="17"/>
                <w:szCs w:val="17"/>
                <w:color w:val="auto"/>
              </w:rPr>
              <w:t>6.9</w:t>
            </w:r>
          </w:p>
        </w:tc>
      </w:tr>
      <w:tr>
        <w:trPr>
          <w:trHeight w:val="219"/>
        </w:trPr>
        <w:tc>
          <w:tcPr>
            <w:tcW w:w="7000" w:type="dxa"/>
            <w:vAlign w:val="bottom"/>
            <w:gridSpan w:val="3"/>
          </w:tcPr>
          <w:p>
            <w:pPr>
              <w:ind w:left="20"/>
              <w:spacing w:after="0" w:line="219" w:lineRule="exact"/>
              <w:rPr>
                <w:sz w:val="20"/>
                <w:szCs w:val="20"/>
                <w:color w:val="auto"/>
              </w:rPr>
            </w:pPr>
            <w:r>
              <w:rPr>
                <w:rFonts w:ascii="Arial" w:cs="Arial" w:eastAsia="Arial" w:hAnsi="Arial"/>
                <w:sz w:val="17"/>
                <w:szCs w:val="17"/>
                <w:color w:val="auto"/>
              </w:rPr>
              <w:t>Projected benefit obligations</w:t>
            </w:r>
            <w:r>
              <w:rPr>
                <w:rFonts w:ascii="Arial" w:cs="Arial" w:eastAsia="Arial" w:hAnsi="Arial"/>
                <w:sz w:val="22"/>
                <w:szCs w:val="22"/>
                <w:color w:val="auto"/>
                <w:vertAlign w:val="superscript"/>
              </w:rPr>
              <w:t>(1)</w:t>
            </w:r>
          </w:p>
        </w:tc>
        <w:tc>
          <w:tcPr>
            <w:tcW w:w="4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12.3</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12.5</w:t>
            </w:r>
          </w:p>
        </w:tc>
      </w:tr>
      <w:tr>
        <w:trPr>
          <w:trHeight w:val="219"/>
        </w:trPr>
        <w:tc>
          <w:tcPr>
            <w:tcW w:w="7000" w:type="dxa"/>
            <w:vAlign w:val="bottom"/>
            <w:gridSpan w:val="3"/>
            <w:shd w:val="clear" w:color="auto" w:fill="DCE2EF"/>
          </w:tcPr>
          <w:p>
            <w:pPr>
              <w:ind w:left="20"/>
              <w:spacing w:after="0"/>
              <w:rPr>
                <w:sz w:val="20"/>
                <w:szCs w:val="20"/>
                <w:color w:val="auto"/>
              </w:rPr>
            </w:pPr>
            <w:r>
              <w:rPr>
                <w:rFonts w:ascii="Arial" w:cs="Arial" w:eastAsia="Arial" w:hAnsi="Arial"/>
                <w:sz w:val="17"/>
                <w:szCs w:val="17"/>
                <w:color w:val="auto"/>
              </w:rPr>
              <w:t>Fair value of assets</w:t>
            </w:r>
          </w:p>
        </w:tc>
        <w:tc>
          <w:tcPr>
            <w:tcW w:w="460" w:type="dxa"/>
            <w:vAlign w:val="bottom"/>
            <w:shd w:val="clear" w:color="auto" w:fill="DCE2EF"/>
          </w:tcPr>
          <w:p>
            <w:pPr>
              <w:spacing w:after="0"/>
              <w:rPr>
                <w:sz w:val="19"/>
                <w:szCs w:val="19"/>
                <w:color w:val="auto"/>
              </w:rPr>
            </w:pPr>
          </w:p>
        </w:tc>
        <w:tc>
          <w:tcPr>
            <w:tcW w:w="1560" w:type="dxa"/>
            <w:vAlign w:val="bottom"/>
            <w:shd w:val="clear" w:color="auto" w:fill="DCE2EF"/>
          </w:tcPr>
          <w:p>
            <w:pPr>
              <w:jc w:val="right"/>
              <w:spacing w:after="0"/>
              <w:rPr>
                <w:sz w:val="20"/>
                <w:szCs w:val="20"/>
                <w:color w:val="auto"/>
              </w:rPr>
            </w:pPr>
            <w:r>
              <w:rPr>
                <w:rFonts w:ascii="Arial" w:cs="Arial" w:eastAsia="Arial" w:hAnsi="Arial"/>
                <w:sz w:val="17"/>
                <w:szCs w:val="17"/>
                <w:color w:val="auto"/>
              </w:rPr>
              <w:t>5.4</w:t>
            </w:r>
          </w:p>
        </w:tc>
        <w:tc>
          <w:tcPr>
            <w:tcW w:w="120" w:type="dxa"/>
            <w:vAlign w:val="bottom"/>
            <w:shd w:val="clear" w:color="auto" w:fill="DCE2EF"/>
          </w:tcPr>
          <w:p>
            <w:pPr>
              <w:spacing w:after="0"/>
              <w:rPr>
                <w:sz w:val="19"/>
                <w:szCs w:val="19"/>
                <w:color w:val="auto"/>
              </w:rPr>
            </w:pPr>
          </w:p>
        </w:tc>
        <w:tc>
          <w:tcPr>
            <w:tcW w:w="740" w:type="dxa"/>
            <w:vAlign w:val="bottom"/>
            <w:shd w:val="clear" w:color="auto" w:fill="DCE2EF"/>
          </w:tcPr>
          <w:p>
            <w:pPr>
              <w:spacing w:after="0"/>
              <w:rPr>
                <w:sz w:val="19"/>
                <w:szCs w:val="19"/>
                <w:color w:val="auto"/>
              </w:rPr>
            </w:pPr>
          </w:p>
        </w:tc>
        <w:tc>
          <w:tcPr>
            <w:tcW w:w="1280" w:type="dxa"/>
            <w:vAlign w:val="bottom"/>
            <w:shd w:val="clear" w:color="auto" w:fill="DCE2EF"/>
          </w:tcPr>
          <w:p>
            <w:pPr>
              <w:jc w:val="right"/>
              <w:spacing w:after="0"/>
              <w:rPr>
                <w:sz w:val="20"/>
                <w:szCs w:val="20"/>
                <w:color w:val="auto"/>
              </w:rPr>
            </w:pPr>
            <w:r>
              <w:rPr>
                <w:rFonts w:ascii="Arial" w:cs="Arial" w:eastAsia="Arial" w:hAnsi="Arial"/>
                <w:sz w:val="17"/>
                <w:szCs w:val="17"/>
                <w:color w:val="auto"/>
              </w:rPr>
              <w:t>5.6</w:t>
            </w:r>
          </w:p>
        </w:tc>
      </w:tr>
    </w:tbl>
    <w:p>
      <w:pPr>
        <w:spacing w:after="0" w:line="57" w:lineRule="exact"/>
        <w:rPr>
          <w:sz w:val="20"/>
          <w:szCs w:val="20"/>
          <w:color w:val="auto"/>
        </w:rPr>
      </w:pPr>
    </w:p>
    <w:p>
      <w:pPr>
        <w:ind w:left="160" w:hanging="157"/>
        <w:spacing w:after="0"/>
        <w:tabs>
          <w:tab w:leader="none" w:pos="160" w:val="left"/>
        </w:tabs>
        <w:numPr>
          <w:ilvl w:val="0"/>
          <w:numId w:val="37"/>
        </w:numPr>
        <w:rPr>
          <w:rFonts w:ascii="Arial" w:cs="Arial" w:eastAsia="Arial" w:hAnsi="Arial"/>
          <w:sz w:val="9"/>
          <w:szCs w:val="9"/>
          <w:color w:val="auto"/>
        </w:rPr>
      </w:pPr>
      <w:r>
        <w:rPr>
          <w:rFonts w:ascii="Arial" w:cs="Arial" w:eastAsia="Arial" w:hAnsi="Arial"/>
          <w:sz w:val="14"/>
          <w:szCs w:val="14"/>
          <w:color w:val="auto"/>
        </w:rPr>
        <w:t>At October 31, 2025 and 2024, total projected benefit obligations related to unfunded and underfunded plans were $12.3 million and $12.5 million, respectively.</w:t>
      </w:r>
    </w:p>
    <w:p>
      <w:pPr>
        <w:spacing w:after="0" w:line="152"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7"/>
          <w:szCs w:val="17"/>
          <w:color w:val="auto"/>
        </w:rPr>
        <w:t>At October 31, 2025, assets of the Plans were fully invested in fixed income. The expected return on assets was $0.0 million in 2025, $ 0.0 million in 2024, and $0.2 million in 2023. The aggregate net periodic benefit cost for all Plans was $0.8 million, $0.8 million, and $0.6 million for 2025, 2024, and 2023, respectively. Future benefit payments in the aggregate are expected to be $11.3 million.</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Deferred Compensation Plans</w:t>
      </w:r>
    </w:p>
    <w:p>
      <w:pPr>
        <w:spacing w:after="0" w:line="168" w:lineRule="exact"/>
        <w:rPr>
          <w:sz w:val="20"/>
          <w:szCs w:val="20"/>
          <w:color w:val="auto"/>
        </w:rPr>
      </w:pPr>
    </w:p>
    <w:p>
      <w:pPr>
        <w:jc w:val="both"/>
        <w:ind w:firstLine="619"/>
        <w:spacing w:after="0" w:line="258" w:lineRule="auto"/>
        <w:rPr>
          <w:sz w:val="20"/>
          <w:szCs w:val="20"/>
          <w:color w:val="auto"/>
        </w:rPr>
      </w:pPr>
      <w:r>
        <w:rPr>
          <w:rFonts w:ascii="Arial" w:cs="Arial" w:eastAsia="Arial" w:hAnsi="Arial"/>
          <w:sz w:val="17"/>
          <w:szCs w:val="17"/>
          <w:color w:val="auto"/>
        </w:rPr>
        <w:t>We maintain deferred compensation plans that permit eligible employees and directors to defer a portion of their compensation. At October 31, 2025 and 2024, the total liability of all deferred compensation was $ 27.4 million and $26.7 million, respectively, and these amounts are included in “Other accrued liabilities” and “Other noncurrent liabilities” on the accompanying Consolidated Balance Sheets. Under one of our deferred compensation plans, a Rabbi trust was created to fund the obligations, and we are required to contribute a portion of the deferred compensation contributions for eligible participants. The assets held in the Rabbi trust are not available for general corporate purposes. At October 31, 2025 and 2024, the fair value of these assets was $ 4.8 million and $4.4 million, respectively, and these amounts are included in “Other noncurrent assets” on the accompanying Consolidated Balance Sheets. Aggregate expense recognized under these deferred compensation plans was $0.7 million, $0.6 million, and $0.5 million for 2025, 2024, and 2023, respectively.</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Defined Contribution Plans</w:t>
      </w:r>
    </w:p>
    <w:p>
      <w:pPr>
        <w:spacing w:after="0" w:line="167"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We sponsor three defined contribution plans covering certain employees that are subject to the applicable provisions of the Employee Retirement Income Security Act of 1974 and the Internal Revenue Code (“IRC”). Certain plans permit a company match of a portion of the participant’s contributions or a discretionary contribution after the participant has met the eligibility requirements set forth in the plan. During 2025, 2024, and 2023, we made matching contributions required by the plans of $32.1 million, $30.6 million, and $29.8 million, respectively.</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Multiemployer Pension and Postretirement Plans</w:t>
      </w:r>
    </w:p>
    <w:p>
      <w:pPr>
        <w:spacing w:after="0" w:line="167"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We participate in various multiemployer pension plans under union and industry-wide agreements that provide defined pension benefits to employees covered by collective bargaining agreements. Because of the nature of multiemployer plans, there are risks associated with participation in these plans that differ from single-employer plans. Assets contributed by an employer to a multiemployer plan are not segregated into a separate account and are not restricted to provide benefits only to employees of that contributing employer. In the event another participating employer in a multiemployer plan no longer contributes to the plan, the unfunded obligations of the plan may be borne by the remaining participating employers, including us. In the event of the termination of a multiemployer pension plan or a withdrawal from a multiemployer pension plan, we could incur material liabilities under applicable law.</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65" w:right="339" w:bottom="1440" w:gutter="0" w:footer="0" w:header="0"/>
        </w:sectPr>
      </w:pPr>
    </w:p>
    <w:bookmarkStart w:id="78" w:name="page79"/>
    <w:bookmarkEnd w:id="78"/>
    <w:p>
      <w:pPr>
        <w:spacing w:after="0" w:line="11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46AD"/>
        </w:rPr>
        <w:t>Key Information for Individually Significant Multiemployer Defined Benefit Pension Plans</w:t>
      </w:r>
      <w:r>
        <w:rPr>
          <w:rFonts w:ascii="Arial" w:cs="Arial" w:eastAsia="Arial" w:hAnsi="Arial"/>
          <w:sz w:val="22"/>
          <w:szCs w:val="22"/>
          <w:b w:val="1"/>
          <w:bCs w:val="1"/>
          <w:i w:val="1"/>
          <w:iCs w:val="1"/>
          <w:color w:val="0046AD"/>
          <w:vertAlign w:val="superscript"/>
        </w:rPr>
        <w:t>(1)</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20" w:type="dxa"/>
            <w:vAlign w:val="bottom"/>
            <w:gridSpan w:val="4"/>
          </w:tcPr>
          <w:p>
            <w:pPr>
              <w:jc w:val="center"/>
              <w:ind w:right="80"/>
              <w:spacing w:after="0"/>
              <w:rPr>
                <w:sz w:val="20"/>
                <w:szCs w:val="20"/>
                <w:color w:val="auto"/>
              </w:rPr>
            </w:pPr>
            <w:r>
              <w:rPr>
                <w:rFonts w:ascii="Arial" w:cs="Arial" w:eastAsia="Arial" w:hAnsi="Arial"/>
                <w:sz w:val="13"/>
                <w:szCs w:val="13"/>
                <w:b w:val="1"/>
                <w:bCs w:val="1"/>
                <w:color w:val="auto"/>
                <w:w w:val="97"/>
              </w:rPr>
              <w:t>Pension Protection Act</w:t>
            </w:r>
          </w:p>
        </w:tc>
        <w:tc>
          <w:tcPr>
            <w:tcW w:w="12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rPr>
              <w:t>FIP/RP</w:t>
            </w: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2300" w:type="dxa"/>
            <w:vAlign w:val="bottom"/>
            <w:gridSpan w:val="4"/>
          </w:tcPr>
          <w:p>
            <w:pPr>
              <w:ind w:left="20"/>
              <w:spacing w:after="0"/>
              <w:rPr>
                <w:sz w:val="20"/>
                <w:szCs w:val="20"/>
                <w:color w:val="auto"/>
              </w:rPr>
            </w:pPr>
            <w:r>
              <w:rPr>
                <w:rFonts w:ascii="Times New Roman" w:cs="Times New Roman" w:eastAsia="Times New Roman" w:hAnsi="Times New Roman"/>
                <w:sz w:val="11"/>
                <w:szCs w:val="11"/>
                <w:i w:val="1"/>
                <w:iCs w:val="1"/>
                <w:u w:val="single" w:color="auto"/>
                <w:color w:val="auto"/>
              </w:rPr>
              <w:t>(</w:t>
            </w:r>
            <w:r>
              <w:rPr>
                <w:rFonts w:ascii="Times New Roman" w:cs="Times New Roman" w:eastAsia="Times New Roman" w:hAnsi="Times New Roman"/>
                <w:sz w:val="11"/>
                <w:szCs w:val="11"/>
                <w:i w:val="1"/>
                <w:iCs w:val="1"/>
                <w:color w:val="auto"/>
              </w:rPr>
              <w:t>$ in millions)</w:t>
            </w: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20" w:type="dxa"/>
            <w:vAlign w:val="bottom"/>
            <w:gridSpan w:val="4"/>
          </w:tcPr>
          <w:p>
            <w:pPr>
              <w:jc w:val="center"/>
              <w:ind w:right="100"/>
              <w:spacing w:after="0"/>
              <w:rPr>
                <w:sz w:val="20"/>
                <w:szCs w:val="20"/>
                <w:color w:val="auto"/>
              </w:rPr>
            </w:pPr>
            <w:r>
              <w:rPr>
                <w:rFonts w:ascii="Arial" w:cs="Arial" w:eastAsia="Arial" w:hAnsi="Arial"/>
                <w:sz w:val="13"/>
                <w:szCs w:val="13"/>
                <w:b w:val="1"/>
                <w:bCs w:val="1"/>
                <w:color w:val="auto"/>
                <w:w w:val="93"/>
              </w:rPr>
              <w:t>Zone Status</w:t>
            </w:r>
            <w:r>
              <w:rPr>
                <w:rFonts w:ascii="Arial" w:cs="Arial" w:eastAsia="Arial" w:hAnsi="Arial"/>
                <w:sz w:val="16"/>
                <w:szCs w:val="16"/>
                <w:b w:val="1"/>
                <w:bCs w:val="1"/>
                <w:color w:val="auto"/>
                <w:w w:val="93"/>
                <w:vertAlign w:val="superscript"/>
              </w:rPr>
              <w:t>(3)</w:t>
            </w:r>
          </w:p>
        </w:tc>
        <w:tc>
          <w:tcPr>
            <w:tcW w:w="12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4"/>
              </w:rPr>
              <w:t>Status</w:t>
            </w:r>
            <w:r>
              <w:rPr>
                <w:rFonts w:ascii="Arial" w:cs="Arial" w:eastAsia="Arial" w:hAnsi="Arial"/>
                <w:sz w:val="16"/>
                <w:szCs w:val="16"/>
                <w:b w:val="1"/>
                <w:bCs w:val="1"/>
                <w:color w:val="auto"/>
                <w:w w:val="94"/>
                <w:vertAlign w:val="superscript"/>
              </w:rPr>
              <w:t>(4)</w:t>
            </w:r>
          </w:p>
        </w:tc>
        <w:tc>
          <w:tcPr>
            <w:tcW w:w="120" w:type="dxa"/>
            <w:vAlign w:val="bottom"/>
          </w:tcPr>
          <w:p>
            <w:pPr>
              <w:spacing w:after="0"/>
              <w:rPr>
                <w:sz w:val="17"/>
                <w:szCs w:val="17"/>
                <w:color w:val="auto"/>
              </w:rPr>
            </w:pPr>
          </w:p>
        </w:tc>
        <w:tc>
          <w:tcPr>
            <w:tcW w:w="2020" w:type="dxa"/>
            <w:vAlign w:val="bottom"/>
            <w:gridSpan w:val="7"/>
          </w:tcPr>
          <w:p>
            <w:pPr>
              <w:jc w:val="right"/>
              <w:ind w:right="339"/>
              <w:spacing w:after="0"/>
              <w:rPr>
                <w:sz w:val="20"/>
                <w:szCs w:val="20"/>
                <w:color w:val="auto"/>
              </w:rPr>
            </w:pPr>
            <w:r>
              <w:rPr>
                <w:rFonts w:ascii="Arial" w:cs="Arial" w:eastAsia="Arial" w:hAnsi="Arial"/>
                <w:sz w:val="13"/>
                <w:szCs w:val="13"/>
                <w:b w:val="1"/>
                <w:bCs w:val="1"/>
                <w:color w:val="auto"/>
              </w:rPr>
              <w:t>Contributions by ABM</w:t>
            </w:r>
          </w:p>
        </w:tc>
        <w:tc>
          <w:tcPr>
            <w:tcW w:w="100" w:type="dxa"/>
            <w:vAlign w:val="bottom"/>
          </w:tcPr>
          <w:p>
            <w:pPr>
              <w:spacing w:after="0"/>
              <w:rPr>
                <w:sz w:val="17"/>
                <w:szCs w:val="17"/>
                <w:color w:val="auto"/>
              </w:rPr>
            </w:pPr>
          </w:p>
        </w:tc>
        <w:tc>
          <w:tcPr>
            <w:tcW w:w="98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auto"/>
                <w:w w:val="99"/>
              </w:rPr>
              <w:t>Surcharge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
        </w:trPr>
        <w:tc>
          <w:tcPr>
            <w:tcW w:w="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0" w:type="dxa"/>
            <w:vAlign w:val="bottom"/>
          </w:tcPr>
          <w:p>
            <w:pPr>
              <w:spacing w:after="0"/>
              <w:rPr>
                <w:sz w:val="5"/>
                <w:szCs w:val="5"/>
                <w:color w:val="auto"/>
              </w:rPr>
            </w:pPr>
          </w:p>
        </w:tc>
        <w:tc>
          <w:tcPr>
            <w:tcW w:w="960" w:type="dxa"/>
            <w:vAlign w:val="bottom"/>
          </w:tcPr>
          <w:p>
            <w:pPr>
              <w:spacing w:after="0"/>
              <w:rPr>
                <w:sz w:val="5"/>
                <w:szCs w:val="5"/>
                <w:color w:val="auto"/>
              </w:rPr>
            </w:pPr>
          </w:p>
        </w:tc>
        <w:tc>
          <w:tcPr>
            <w:tcW w:w="100" w:type="dxa"/>
            <w:vAlign w:val="bottom"/>
          </w:tcPr>
          <w:p>
            <w:pPr>
              <w:spacing w:after="0"/>
              <w:rPr>
                <w:sz w:val="5"/>
                <w:szCs w:val="5"/>
                <w:color w:val="auto"/>
              </w:rPr>
            </w:pPr>
          </w:p>
        </w:tc>
        <w:tc>
          <w:tcPr>
            <w:tcW w:w="9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60" w:type="dxa"/>
            <w:vAlign w:val="bottom"/>
            <w:gridSpan w:val="2"/>
            <w:vMerge w:val="restart"/>
          </w:tcPr>
          <w:p>
            <w:pPr>
              <w:jc w:val="center"/>
              <w:ind w:right="120"/>
              <w:spacing w:after="0" w:line="123" w:lineRule="exact"/>
              <w:rPr>
                <w:sz w:val="20"/>
                <w:szCs w:val="20"/>
                <w:color w:val="auto"/>
              </w:rPr>
            </w:pPr>
            <w:r>
              <w:rPr>
                <w:rFonts w:ascii="Arial" w:cs="Arial" w:eastAsia="Arial" w:hAnsi="Arial"/>
                <w:sz w:val="13"/>
                <w:szCs w:val="13"/>
                <w:b w:val="1"/>
                <w:bCs w:val="1"/>
                <w:color w:val="auto"/>
                <w:w w:val="98"/>
              </w:rPr>
              <w:t>Pending/</w:t>
            </w:r>
          </w:p>
        </w:tc>
        <w:tc>
          <w:tcPr>
            <w:tcW w:w="1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9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54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Pension Fund</w:t>
            </w:r>
          </w:p>
        </w:tc>
        <w:tc>
          <w:tcPr>
            <w:tcW w:w="100" w:type="dxa"/>
            <w:vAlign w:val="bottom"/>
            <w:vMerge w:val="restart"/>
          </w:tcPr>
          <w:p>
            <w:pPr>
              <w:spacing w:after="0"/>
              <w:rPr>
                <w:sz w:val="5"/>
                <w:szCs w:val="5"/>
                <w:color w:val="auto"/>
              </w:rPr>
            </w:pPr>
          </w:p>
        </w:tc>
        <w:tc>
          <w:tcPr>
            <w:tcW w:w="104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2"/>
              </w:rPr>
              <w:t>EIN/PN</w:t>
            </w:r>
            <w:r>
              <w:rPr>
                <w:rFonts w:ascii="Arial" w:cs="Arial" w:eastAsia="Arial" w:hAnsi="Arial"/>
                <w:sz w:val="16"/>
                <w:szCs w:val="16"/>
                <w:b w:val="1"/>
                <w:bCs w:val="1"/>
                <w:color w:val="auto"/>
                <w:w w:val="92"/>
                <w:vertAlign w:val="superscript"/>
              </w:rPr>
              <w:t>(2)</w:t>
            </w:r>
          </w:p>
        </w:tc>
        <w:tc>
          <w:tcPr>
            <w:tcW w:w="100" w:type="dxa"/>
            <w:vAlign w:val="bottom"/>
            <w:vMerge w:val="restart"/>
          </w:tcPr>
          <w:p>
            <w:pPr>
              <w:spacing w:after="0"/>
              <w:rPr>
                <w:sz w:val="5"/>
                <w:szCs w:val="5"/>
                <w:color w:val="auto"/>
              </w:rPr>
            </w:pPr>
          </w:p>
        </w:tc>
        <w:tc>
          <w:tcPr>
            <w:tcW w:w="9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6"/>
              </w:rPr>
              <w:t>2025</w:t>
            </w:r>
          </w:p>
        </w:tc>
        <w:tc>
          <w:tcPr>
            <w:tcW w:w="100" w:type="dxa"/>
            <w:vAlign w:val="bottom"/>
          </w:tcPr>
          <w:p>
            <w:pPr>
              <w:spacing w:after="0"/>
              <w:rPr>
                <w:sz w:val="5"/>
                <w:szCs w:val="5"/>
                <w:color w:val="auto"/>
              </w:rPr>
            </w:pPr>
          </w:p>
        </w:tc>
        <w:tc>
          <w:tcPr>
            <w:tcW w:w="9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6"/>
              </w:rPr>
              <w:t>2024</w:t>
            </w:r>
          </w:p>
        </w:tc>
        <w:tc>
          <w:tcPr>
            <w:tcW w:w="10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520" w:type="dxa"/>
            <w:vAlign w:val="bottom"/>
            <w:vMerge w:val="restart"/>
          </w:tcPr>
          <w:p>
            <w:pPr>
              <w:jc w:val="right"/>
              <w:ind w:right="119"/>
              <w:spacing w:after="0"/>
              <w:rPr>
                <w:sz w:val="20"/>
                <w:szCs w:val="20"/>
                <w:color w:val="auto"/>
              </w:rPr>
            </w:pPr>
            <w:r>
              <w:rPr>
                <w:rFonts w:ascii="Arial" w:cs="Arial" w:eastAsia="Arial" w:hAnsi="Arial"/>
                <w:sz w:val="13"/>
                <w:szCs w:val="13"/>
                <w:b w:val="1"/>
                <w:bCs w:val="1"/>
                <w:color w:val="auto"/>
              </w:rPr>
              <w:t>2025</w:t>
            </w: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500" w:type="dxa"/>
            <w:vAlign w:val="bottom"/>
            <w:vMerge w:val="restart"/>
          </w:tcPr>
          <w:p>
            <w:pPr>
              <w:jc w:val="right"/>
              <w:ind w:right="119"/>
              <w:spacing w:after="0"/>
              <w:rPr>
                <w:sz w:val="20"/>
                <w:szCs w:val="20"/>
                <w:color w:val="auto"/>
              </w:rPr>
            </w:pPr>
            <w:r>
              <w:rPr>
                <w:rFonts w:ascii="Arial" w:cs="Arial" w:eastAsia="Arial" w:hAnsi="Arial"/>
                <w:sz w:val="13"/>
                <w:szCs w:val="13"/>
                <w:b w:val="1"/>
                <w:bCs w:val="1"/>
                <w:color w:val="auto"/>
              </w:rPr>
              <w:t>2024</w:t>
            </w: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vMerge w:val="restart"/>
          </w:tcPr>
          <w:p>
            <w:pPr>
              <w:jc w:val="right"/>
              <w:ind w:right="119"/>
              <w:spacing w:after="0"/>
              <w:rPr>
                <w:sz w:val="20"/>
                <w:szCs w:val="20"/>
                <w:color w:val="auto"/>
              </w:rPr>
            </w:pPr>
            <w:r>
              <w:rPr>
                <w:rFonts w:ascii="Arial" w:cs="Arial" w:eastAsia="Arial" w:hAnsi="Arial"/>
                <w:sz w:val="13"/>
                <w:szCs w:val="13"/>
                <w:b w:val="1"/>
                <w:bCs w:val="1"/>
                <w:color w:val="auto"/>
              </w:rPr>
              <w:t>2023</w:t>
            </w:r>
          </w:p>
        </w:tc>
        <w:tc>
          <w:tcPr>
            <w:tcW w:w="100" w:type="dxa"/>
            <w:vAlign w:val="bottom"/>
          </w:tcPr>
          <w:p>
            <w:pPr>
              <w:spacing w:after="0"/>
              <w:rPr>
                <w:sz w:val="5"/>
                <w:szCs w:val="5"/>
                <w:color w:val="auto"/>
              </w:rPr>
            </w:pPr>
          </w:p>
        </w:tc>
        <w:tc>
          <w:tcPr>
            <w:tcW w:w="700" w:type="dxa"/>
            <w:vAlign w:val="bottom"/>
            <w:vMerge w:val="restart"/>
          </w:tcPr>
          <w:p>
            <w:pPr>
              <w:ind w:left="180"/>
              <w:spacing w:after="0"/>
              <w:rPr>
                <w:sz w:val="20"/>
                <w:szCs w:val="20"/>
                <w:color w:val="auto"/>
              </w:rPr>
            </w:pPr>
            <w:r>
              <w:rPr>
                <w:rFonts w:ascii="Arial" w:cs="Arial" w:eastAsia="Arial" w:hAnsi="Arial"/>
                <w:sz w:val="13"/>
                <w:szCs w:val="13"/>
                <w:b w:val="1"/>
                <w:bCs w:val="1"/>
                <w:color w:val="auto"/>
                <w:w w:val="93"/>
              </w:rPr>
              <w:t>Imposed</w:t>
            </w:r>
          </w:p>
        </w:tc>
        <w:tc>
          <w:tcPr>
            <w:tcW w:w="280" w:type="dxa"/>
            <w:vAlign w:val="bottom"/>
          </w:tcPr>
          <w:p>
            <w:pPr>
              <w:jc w:val="right"/>
              <w:ind w:right="149"/>
              <w:spacing w:after="0" w:line="59" w:lineRule="exact"/>
              <w:rPr>
                <w:sz w:val="20"/>
                <w:szCs w:val="20"/>
                <w:color w:val="auto"/>
              </w:rPr>
            </w:pPr>
            <w:r>
              <w:rPr>
                <w:rFonts w:ascii="Arial" w:cs="Arial" w:eastAsia="Arial" w:hAnsi="Arial"/>
                <w:sz w:val="6"/>
                <w:szCs w:val="6"/>
                <w:b w:val="1"/>
                <w:bCs w:val="1"/>
                <w:color w:val="auto"/>
              </w:rPr>
              <w:t>(5)</w:t>
            </w:r>
          </w:p>
        </w:tc>
        <w:tc>
          <w:tcPr>
            <w:tcW w:w="0" w:type="dxa"/>
            <w:vAlign w:val="bottom"/>
          </w:tcPr>
          <w:p>
            <w:pPr>
              <w:spacing w:after="0"/>
              <w:rPr>
                <w:sz w:val="1"/>
                <w:szCs w:val="1"/>
                <w:color w:val="auto"/>
              </w:rPr>
            </w:pPr>
          </w:p>
        </w:tc>
      </w:tr>
      <w:tr>
        <w:trPr>
          <w:trHeight w:val="179"/>
        </w:trPr>
        <w:tc>
          <w:tcPr>
            <w:tcW w:w="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04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Implemented</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2300" w:type="dxa"/>
            <w:vAlign w:val="bottom"/>
            <w:gridSpan w:val="4"/>
          </w:tcPr>
          <w:p>
            <w:pPr>
              <w:ind w:left="20"/>
              <w:spacing w:after="0"/>
              <w:rPr>
                <w:sz w:val="20"/>
                <w:szCs w:val="20"/>
                <w:color w:val="auto"/>
              </w:rPr>
            </w:pPr>
            <w:r>
              <w:rPr>
                <w:rFonts w:ascii="Arial" w:cs="Arial" w:eastAsia="Arial" w:hAnsi="Arial"/>
                <w:sz w:val="12"/>
                <w:szCs w:val="12"/>
                <w:color w:val="auto"/>
              </w:rPr>
              <w:t>Building Service 32BJ Pension Fund</w:t>
            </w:r>
          </w:p>
        </w:tc>
        <w:tc>
          <w:tcPr>
            <w:tcW w:w="1040" w:type="dxa"/>
            <w:vAlign w:val="bottom"/>
          </w:tcPr>
          <w:p>
            <w:pPr>
              <w:jc w:val="center"/>
              <w:spacing w:after="0"/>
              <w:rPr>
                <w:sz w:val="20"/>
                <w:szCs w:val="20"/>
                <w:color w:val="auto"/>
              </w:rPr>
            </w:pPr>
            <w:r>
              <w:rPr>
                <w:rFonts w:ascii="Arial" w:cs="Arial" w:eastAsia="Arial" w:hAnsi="Arial"/>
                <w:sz w:val="12"/>
                <w:szCs w:val="12"/>
                <w:color w:val="auto"/>
              </w:rPr>
              <w:t>13-1879376 / 001</w:t>
            </w:r>
          </w:p>
        </w:tc>
        <w:tc>
          <w:tcPr>
            <w:tcW w:w="100" w:type="dxa"/>
            <w:vAlign w:val="bottom"/>
          </w:tcPr>
          <w:p>
            <w:pPr>
              <w:spacing w:after="0"/>
              <w:rPr>
                <w:sz w:val="18"/>
                <w:szCs w:val="18"/>
                <w:color w:val="auto"/>
              </w:rPr>
            </w:pPr>
          </w:p>
        </w:tc>
        <w:tc>
          <w:tcPr>
            <w:tcW w:w="1060" w:type="dxa"/>
            <w:vAlign w:val="bottom"/>
            <w:gridSpan w:val="2"/>
          </w:tcPr>
          <w:p>
            <w:pPr>
              <w:jc w:val="center"/>
              <w:ind w:right="100"/>
              <w:spacing w:after="0"/>
              <w:rPr>
                <w:sz w:val="20"/>
                <w:szCs w:val="20"/>
                <w:color w:val="auto"/>
              </w:rPr>
            </w:pPr>
            <w:r>
              <w:rPr>
                <w:rFonts w:ascii="Arial" w:cs="Arial" w:eastAsia="Arial" w:hAnsi="Arial"/>
                <w:sz w:val="12"/>
                <w:szCs w:val="12"/>
                <w:color w:val="auto"/>
                <w:w w:val="99"/>
              </w:rPr>
              <w:t>Green 6/30/25</w:t>
            </w:r>
          </w:p>
        </w:tc>
        <w:tc>
          <w:tcPr>
            <w:tcW w:w="1060" w:type="dxa"/>
            <w:vAlign w:val="bottom"/>
            <w:gridSpan w:val="2"/>
          </w:tcPr>
          <w:p>
            <w:pPr>
              <w:jc w:val="center"/>
              <w:ind w:right="100"/>
              <w:spacing w:after="0"/>
              <w:rPr>
                <w:sz w:val="20"/>
                <w:szCs w:val="20"/>
                <w:color w:val="auto"/>
              </w:rPr>
            </w:pPr>
            <w:r>
              <w:rPr>
                <w:rFonts w:ascii="Arial" w:cs="Arial" w:eastAsia="Arial" w:hAnsi="Arial"/>
                <w:sz w:val="12"/>
                <w:szCs w:val="12"/>
                <w:color w:val="auto"/>
                <w:w w:val="99"/>
              </w:rPr>
              <w:t>Yellow 6/30/2024</w:t>
            </w:r>
          </w:p>
        </w:tc>
        <w:tc>
          <w:tcPr>
            <w:tcW w:w="1260" w:type="dxa"/>
            <w:vAlign w:val="bottom"/>
            <w:gridSpan w:val="2"/>
          </w:tcPr>
          <w:p>
            <w:pPr>
              <w:jc w:val="center"/>
              <w:ind w:right="120"/>
              <w:spacing w:after="0"/>
              <w:rPr>
                <w:sz w:val="20"/>
                <w:szCs w:val="20"/>
                <w:color w:val="auto"/>
              </w:rPr>
            </w:pPr>
            <w:r>
              <w:rPr>
                <w:rFonts w:ascii="Arial" w:cs="Arial" w:eastAsia="Arial" w:hAnsi="Arial"/>
                <w:sz w:val="12"/>
                <w:szCs w:val="12"/>
                <w:color w:val="auto"/>
              </w:rPr>
              <w:t>N/A*</w:t>
            </w: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520" w:type="dxa"/>
            <w:vAlign w:val="bottom"/>
          </w:tcPr>
          <w:p>
            <w:pPr>
              <w:jc w:val="right"/>
              <w:spacing w:after="0"/>
              <w:rPr>
                <w:sz w:val="20"/>
                <w:szCs w:val="20"/>
                <w:color w:val="auto"/>
              </w:rPr>
            </w:pPr>
            <w:r>
              <w:rPr>
                <w:rFonts w:ascii="Arial" w:cs="Arial" w:eastAsia="Arial" w:hAnsi="Arial"/>
                <w:sz w:val="12"/>
                <w:szCs w:val="12"/>
                <w:color w:val="auto"/>
              </w:rPr>
              <w:t>23.7</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500" w:type="dxa"/>
            <w:vAlign w:val="bottom"/>
          </w:tcPr>
          <w:p>
            <w:pPr>
              <w:jc w:val="right"/>
              <w:spacing w:after="0"/>
              <w:rPr>
                <w:sz w:val="20"/>
                <w:szCs w:val="20"/>
                <w:color w:val="auto"/>
              </w:rPr>
            </w:pPr>
            <w:r>
              <w:rPr>
                <w:rFonts w:ascii="Arial" w:cs="Arial" w:eastAsia="Arial" w:hAnsi="Arial"/>
                <w:sz w:val="12"/>
                <w:szCs w:val="12"/>
                <w:color w:val="auto"/>
              </w:rPr>
              <w:t>22.1</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520" w:type="dxa"/>
            <w:vAlign w:val="bottom"/>
          </w:tcPr>
          <w:p>
            <w:pPr>
              <w:jc w:val="right"/>
              <w:spacing w:after="0"/>
              <w:rPr>
                <w:sz w:val="20"/>
                <w:szCs w:val="20"/>
                <w:color w:val="auto"/>
              </w:rPr>
            </w:pPr>
            <w:r>
              <w:rPr>
                <w:rFonts w:ascii="Arial" w:cs="Arial" w:eastAsia="Arial" w:hAnsi="Arial"/>
                <w:sz w:val="12"/>
                <w:szCs w:val="12"/>
                <w:color w:val="auto"/>
              </w:rPr>
              <w:t>21.4</w:t>
            </w:r>
          </w:p>
        </w:tc>
        <w:tc>
          <w:tcPr>
            <w:tcW w:w="100" w:type="dxa"/>
            <w:vAlign w:val="bottom"/>
          </w:tcPr>
          <w:p>
            <w:pPr>
              <w:spacing w:after="0"/>
              <w:rPr>
                <w:sz w:val="18"/>
                <w:szCs w:val="18"/>
                <w:color w:val="auto"/>
              </w:rPr>
            </w:pPr>
          </w:p>
        </w:tc>
        <w:tc>
          <w:tcPr>
            <w:tcW w:w="700" w:type="dxa"/>
            <w:vAlign w:val="bottom"/>
          </w:tcPr>
          <w:p>
            <w:pPr>
              <w:jc w:val="center"/>
              <w:ind w:left="239"/>
              <w:spacing w:after="0"/>
              <w:rPr>
                <w:sz w:val="20"/>
                <w:szCs w:val="20"/>
                <w:color w:val="auto"/>
              </w:rPr>
            </w:pPr>
            <w:r>
              <w:rPr>
                <w:rFonts w:ascii="Arial" w:cs="Arial" w:eastAsia="Arial" w:hAnsi="Arial"/>
                <w:sz w:val="12"/>
                <w:szCs w:val="12"/>
                <w:color w:val="auto"/>
              </w:rPr>
              <w:t>No</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2300" w:type="dxa"/>
            <w:vAlign w:val="bottom"/>
            <w:gridSpan w:val="4"/>
          </w:tcPr>
          <w:p>
            <w:pPr>
              <w:ind w:left="20"/>
              <w:spacing w:after="0"/>
              <w:rPr>
                <w:sz w:val="20"/>
                <w:szCs w:val="20"/>
                <w:color w:val="auto"/>
              </w:rPr>
            </w:pPr>
            <w:r>
              <w:rPr>
                <w:rFonts w:ascii="Arial" w:cs="Arial" w:eastAsia="Arial" w:hAnsi="Arial"/>
                <w:sz w:val="12"/>
                <w:szCs w:val="12"/>
                <w:color w:val="auto"/>
              </w:rPr>
              <w:t>S.E.I.U National Industry Pension Fund</w:t>
            </w:r>
          </w:p>
        </w:tc>
        <w:tc>
          <w:tcPr>
            <w:tcW w:w="1040" w:type="dxa"/>
            <w:vAlign w:val="bottom"/>
          </w:tcPr>
          <w:p>
            <w:pPr>
              <w:jc w:val="center"/>
              <w:spacing w:after="0"/>
              <w:rPr>
                <w:sz w:val="20"/>
                <w:szCs w:val="20"/>
                <w:color w:val="auto"/>
              </w:rPr>
            </w:pPr>
            <w:r>
              <w:rPr>
                <w:rFonts w:ascii="Arial" w:cs="Arial" w:eastAsia="Arial" w:hAnsi="Arial"/>
                <w:sz w:val="12"/>
                <w:szCs w:val="12"/>
                <w:color w:val="auto"/>
              </w:rPr>
              <w:t>52-6148540 / 001</w:t>
            </w:r>
          </w:p>
        </w:tc>
        <w:tc>
          <w:tcPr>
            <w:tcW w:w="100" w:type="dxa"/>
            <w:vAlign w:val="bottom"/>
          </w:tcPr>
          <w:p>
            <w:pPr>
              <w:spacing w:after="0"/>
              <w:rPr>
                <w:sz w:val="24"/>
                <w:szCs w:val="24"/>
                <w:color w:val="auto"/>
              </w:rPr>
            </w:pPr>
          </w:p>
        </w:tc>
        <w:tc>
          <w:tcPr>
            <w:tcW w:w="1060" w:type="dxa"/>
            <w:vAlign w:val="bottom"/>
            <w:gridSpan w:val="2"/>
          </w:tcPr>
          <w:p>
            <w:pPr>
              <w:jc w:val="center"/>
              <w:ind w:right="80"/>
              <w:spacing w:after="0"/>
              <w:rPr>
                <w:sz w:val="20"/>
                <w:szCs w:val="20"/>
                <w:color w:val="auto"/>
              </w:rPr>
            </w:pPr>
            <w:r>
              <w:rPr>
                <w:rFonts w:ascii="Arial" w:cs="Arial" w:eastAsia="Arial" w:hAnsi="Arial"/>
                <w:sz w:val="12"/>
                <w:szCs w:val="12"/>
                <w:color w:val="auto"/>
              </w:rPr>
              <w:t>Red 12/31/2024</w:t>
            </w:r>
          </w:p>
        </w:tc>
        <w:tc>
          <w:tcPr>
            <w:tcW w:w="1060" w:type="dxa"/>
            <w:vAlign w:val="bottom"/>
            <w:gridSpan w:val="2"/>
          </w:tcPr>
          <w:p>
            <w:pPr>
              <w:jc w:val="center"/>
              <w:ind w:right="100"/>
              <w:spacing w:after="0"/>
              <w:rPr>
                <w:sz w:val="20"/>
                <w:szCs w:val="20"/>
                <w:color w:val="auto"/>
              </w:rPr>
            </w:pPr>
            <w:r>
              <w:rPr>
                <w:rFonts w:ascii="Arial" w:cs="Arial" w:eastAsia="Arial" w:hAnsi="Arial"/>
                <w:sz w:val="12"/>
                <w:szCs w:val="12"/>
                <w:color w:val="auto"/>
                <w:w w:val="98"/>
              </w:rPr>
              <w:t>Red 12/31/2023</w:t>
            </w:r>
          </w:p>
        </w:tc>
        <w:tc>
          <w:tcPr>
            <w:tcW w:w="1260" w:type="dxa"/>
            <w:vAlign w:val="bottom"/>
            <w:gridSpan w:val="2"/>
          </w:tcPr>
          <w:p>
            <w:pPr>
              <w:jc w:val="center"/>
              <w:ind w:right="120"/>
              <w:spacing w:after="0"/>
              <w:rPr>
                <w:sz w:val="20"/>
                <w:szCs w:val="20"/>
                <w:color w:val="auto"/>
              </w:rPr>
            </w:pPr>
            <w:r>
              <w:rPr>
                <w:rFonts w:ascii="Arial" w:cs="Arial" w:eastAsia="Arial" w:hAnsi="Arial"/>
                <w:sz w:val="12"/>
                <w:szCs w:val="12"/>
                <w:color w:val="auto"/>
              </w:rPr>
              <w:t>Implemented</w:t>
            </w:r>
          </w:p>
        </w:tc>
        <w:tc>
          <w:tcPr>
            <w:tcW w:w="12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20.5</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19.4</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19.3</w:t>
            </w:r>
          </w:p>
        </w:tc>
        <w:tc>
          <w:tcPr>
            <w:tcW w:w="100" w:type="dxa"/>
            <w:vAlign w:val="bottom"/>
          </w:tcPr>
          <w:p>
            <w:pPr>
              <w:spacing w:after="0"/>
              <w:rPr>
                <w:sz w:val="24"/>
                <w:szCs w:val="24"/>
                <w:color w:val="auto"/>
              </w:rPr>
            </w:pPr>
          </w:p>
        </w:tc>
        <w:tc>
          <w:tcPr>
            <w:tcW w:w="700" w:type="dxa"/>
            <w:vAlign w:val="bottom"/>
          </w:tcPr>
          <w:p>
            <w:pPr>
              <w:jc w:val="center"/>
              <w:ind w:left="239"/>
              <w:spacing w:after="0"/>
              <w:rPr>
                <w:sz w:val="20"/>
                <w:szCs w:val="20"/>
                <w:color w:val="auto"/>
              </w:rPr>
            </w:pPr>
            <w:r>
              <w:rPr>
                <w:rFonts w:ascii="Arial" w:cs="Arial" w:eastAsia="Arial" w:hAnsi="Arial"/>
                <w:sz w:val="12"/>
                <w:szCs w:val="12"/>
                <w:color w:val="auto"/>
                <w:w w:val="96"/>
              </w:rPr>
              <w:t>Yes</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300" w:type="dxa"/>
            <w:vAlign w:val="bottom"/>
            <w:gridSpan w:val="4"/>
          </w:tcPr>
          <w:p>
            <w:pPr>
              <w:ind w:left="20"/>
              <w:spacing w:after="0"/>
              <w:rPr>
                <w:sz w:val="20"/>
                <w:szCs w:val="20"/>
                <w:color w:val="auto"/>
              </w:rPr>
            </w:pPr>
            <w:r>
              <w:rPr>
                <w:rFonts w:ascii="Arial" w:cs="Arial" w:eastAsia="Arial" w:hAnsi="Arial"/>
                <w:sz w:val="12"/>
                <w:szCs w:val="12"/>
                <w:color w:val="auto"/>
              </w:rPr>
              <w:t>Central Pension Fund of the IUOE &amp;</w:t>
            </w:r>
          </w:p>
        </w:tc>
        <w:tc>
          <w:tcPr>
            <w:tcW w:w="1040" w:type="dxa"/>
            <w:vAlign w:val="bottom"/>
            <w:vMerge w:val="restart"/>
          </w:tcPr>
          <w:p>
            <w:pPr>
              <w:jc w:val="center"/>
              <w:spacing w:after="0"/>
              <w:rPr>
                <w:sz w:val="20"/>
                <w:szCs w:val="20"/>
                <w:color w:val="auto"/>
              </w:rPr>
            </w:pPr>
            <w:r>
              <w:rPr>
                <w:rFonts w:ascii="Arial" w:cs="Arial" w:eastAsia="Arial" w:hAnsi="Arial"/>
                <w:sz w:val="12"/>
                <w:szCs w:val="12"/>
                <w:color w:val="auto"/>
              </w:rPr>
              <w:t>36-6052390 / 001</w:t>
            </w:r>
          </w:p>
        </w:tc>
        <w:tc>
          <w:tcPr>
            <w:tcW w:w="100" w:type="dxa"/>
            <w:vAlign w:val="bottom"/>
          </w:tcPr>
          <w:p>
            <w:pPr>
              <w:spacing w:after="0"/>
              <w:rPr>
                <w:sz w:val="16"/>
                <w:szCs w:val="16"/>
                <w:color w:val="auto"/>
              </w:rPr>
            </w:pPr>
          </w:p>
        </w:tc>
        <w:tc>
          <w:tcPr>
            <w:tcW w:w="1060" w:type="dxa"/>
            <w:vAlign w:val="bottom"/>
            <w:gridSpan w:val="2"/>
            <w:vMerge w:val="restart"/>
          </w:tcPr>
          <w:p>
            <w:pPr>
              <w:jc w:val="center"/>
              <w:ind w:right="80"/>
              <w:spacing w:after="0"/>
              <w:rPr>
                <w:sz w:val="20"/>
                <w:szCs w:val="20"/>
                <w:color w:val="auto"/>
              </w:rPr>
            </w:pPr>
            <w:r>
              <w:rPr>
                <w:rFonts w:ascii="Arial" w:cs="Arial" w:eastAsia="Arial" w:hAnsi="Arial"/>
                <w:sz w:val="12"/>
                <w:szCs w:val="12"/>
                <w:color w:val="auto"/>
                <w:w w:val="99"/>
              </w:rPr>
              <w:t>Green 1/31/2025</w:t>
            </w:r>
          </w:p>
        </w:tc>
        <w:tc>
          <w:tcPr>
            <w:tcW w:w="1060" w:type="dxa"/>
            <w:vAlign w:val="bottom"/>
            <w:gridSpan w:val="2"/>
            <w:vMerge w:val="restart"/>
          </w:tcPr>
          <w:p>
            <w:pPr>
              <w:jc w:val="center"/>
              <w:ind w:right="100"/>
              <w:spacing w:after="0"/>
              <w:rPr>
                <w:sz w:val="20"/>
                <w:szCs w:val="20"/>
                <w:color w:val="auto"/>
              </w:rPr>
            </w:pPr>
            <w:r>
              <w:rPr>
                <w:rFonts w:ascii="Arial" w:cs="Arial" w:eastAsia="Arial" w:hAnsi="Arial"/>
                <w:sz w:val="12"/>
                <w:szCs w:val="12"/>
                <w:color w:val="auto"/>
              </w:rPr>
              <w:t>Green 1/31/2024</w:t>
            </w:r>
          </w:p>
        </w:tc>
        <w:tc>
          <w:tcPr>
            <w:tcW w:w="1260" w:type="dxa"/>
            <w:vAlign w:val="bottom"/>
            <w:gridSpan w:val="2"/>
            <w:vMerge w:val="restart"/>
          </w:tcPr>
          <w:p>
            <w:pPr>
              <w:jc w:val="center"/>
              <w:ind w:right="120"/>
              <w:spacing w:after="0"/>
              <w:rPr>
                <w:sz w:val="20"/>
                <w:szCs w:val="20"/>
                <w:color w:val="auto"/>
              </w:rPr>
            </w:pPr>
            <w:r>
              <w:rPr>
                <w:rFonts w:ascii="Arial" w:cs="Arial" w:eastAsia="Arial" w:hAnsi="Arial"/>
                <w:sz w:val="12"/>
                <w:szCs w:val="12"/>
                <w:color w:val="auto"/>
              </w:rPr>
              <w:t>N/A*</w:t>
            </w:r>
          </w:p>
        </w:tc>
        <w:tc>
          <w:tcPr>
            <w:tcW w:w="120" w:type="dxa"/>
            <w:vAlign w:val="bottom"/>
          </w:tcPr>
          <w:p>
            <w:pPr>
              <w:spacing w:after="0"/>
              <w:rPr>
                <w:sz w:val="16"/>
                <w:szCs w:val="16"/>
                <w:color w:val="auto"/>
              </w:rPr>
            </w:pPr>
          </w:p>
        </w:tc>
        <w:tc>
          <w:tcPr>
            <w:tcW w:w="520" w:type="dxa"/>
            <w:vAlign w:val="bottom"/>
            <w:vMerge w:val="restart"/>
          </w:tcPr>
          <w:p>
            <w:pPr>
              <w:jc w:val="right"/>
              <w:spacing w:after="0"/>
              <w:rPr>
                <w:sz w:val="20"/>
                <w:szCs w:val="20"/>
                <w:color w:val="auto"/>
              </w:rPr>
            </w:pPr>
            <w:r>
              <w:rPr>
                <w:rFonts w:ascii="Arial" w:cs="Arial" w:eastAsia="Arial" w:hAnsi="Arial"/>
                <w:sz w:val="12"/>
                <w:szCs w:val="12"/>
                <w:color w:val="auto"/>
              </w:rPr>
              <w:t>14.0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vMerge w:val="restart"/>
          </w:tcPr>
          <w:p>
            <w:pPr>
              <w:jc w:val="right"/>
              <w:spacing w:after="0"/>
              <w:rPr>
                <w:sz w:val="20"/>
                <w:szCs w:val="20"/>
                <w:color w:val="auto"/>
              </w:rPr>
            </w:pPr>
            <w:r>
              <w:rPr>
                <w:rFonts w:ascii="Arial" w:cs="Arial" w:eastAsia="Arial" w:hAnsi="Arial"/>
                <w:sz w:val="12"/>
                <w:szCs w:val="12"/>
                <w:color w:val="auto"/>
              </w:rPr>
              <w:t>12.4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vMerge w:val="restart"/>
          </w:tcPr>
          <w:p>
            <w:pPr>
              <w:jc w:val="right"/>
              <w:spacing w:after="0"/>
              <w:rPr>
                <w:sz w:val="20"/>
                <w:szCs w:val="20"/>
                <w:color w:val="auto"/>
              </w:rPr>
            </w:pPr>
            <w:r>
              <w:rPr>
                <w:rFonts w:ascii="Arial" w:cs="Arial" w:eastAsia="Arial" w:hAnsi="Arial"/>
                <w:sz w:val="12"/>
                <w:szCs w:val="12"/>
                <w:color w:val="auto"/>
              </w:rPr>
              <w:t>13.0</w:t>
            </w:r>
          </w:p>
        </w:tc>
        <w:tc>
          <w:tcPr>
            <w:tcW w:w="100" w:type="dxa"/>
            <w:vAlign w:val="bottom"/>
          </w:tcPr>
          <w:p>
            <w:pPr>
              <w:spacing w:after="0"/>
              <w:rPr>
                <w:sz w:val="16"/>
                <w:szCs w:val="16"/>
                <w:color w:val="auto"/>
              </w:rPr>
            </w:pPr>
          </w:p>
        </w:tc>
        <w:tc>
          <w:tcPr>
            <w:tcW w:w="700" w:type="dxa"/>
            <w:vAlign w:val="bottom"/>
            <w:vMerge w:val="restart"/>
          </w:tcPr>
          <w:p>
            <w:pPr>
              <w:jc w:val="center"/>
              <w:ind w:left="239"/>
              <w:spacing w:after="0"/>
              <w:rPr>
                <w:sz w:val="20"/>
                <w:szCs w:val="20"/>
                <w:color w:val="auto"/>
              </w:rPr>
            </w:pPr>
            <w:r>
              <w:rPr>
                <w:rFonts w:ascii="Arial" w:cs="Arial" w:eastAsia="Arial" w:hAnsi="Arial"/>
                <w:sz w:val="12"/>
                <w:szCs w:val="12"/>
                <w:color w:val="auto"/>
                <w:w w:val="97"/>
              </w:rPr>
              <w:t>N/A*</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2"/>
        </w:trPr>
        <w:tc>
          <w:tcPr>
            <w:tcW w:w="2300" w:type="dxa"/>
            <w:vAlign w:val="bottom"/>
            <w:gridSpan w:val="4"/>
            <w:vMerge w:val="restart"/>
          </w:tcPr>
          <w:p>
            <w:pPr>
              <w:ind w:left="20"/>
              <w:spacing w:after="0"/>
              <w:rPr>
                <w:sz w:val="20"/>
                <w:szCs w:val="20"/>
                <w:color w:val="auto"/>
              </w:rPr>
            </w:pPr>
            <w:r>
              <w:rPr>
                <w:rFonts w:ascii="Arial" w:cs="Arial" w:eastAsia="Arial" w:hAnsi="Arial"/>
                <w:sz w:val="12"/>
                <w:szCs w:val="12"/>
                <w:color w:val="auto"/>
              </w:rPr>
              <w:t>Participating Employers</w:t>
            </w:r>
          </w:p>
        </w:tc>
        <w:tc>
          <w:tcPr>
            <w:tcW w:w="10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060" w:type="dxa"/>
            <w:vAlign w:val="bottom"/>
            <w:gridSpan w:val="2"/>
            <w:vMerge w:val="continue"/>
          </w:tcPr>
          <w:p>
            <w:pPr>
              <w:spacing w:after="0"/>
              <w:rPr>
                <w:sz w:val="8"/>
                <w:szCs w:val="8"/>
                <w:color w:val="auto"/>
              </w:rPr>
            </w:pPr>
          </w:p>
        </w:tc>
        <w:tc>
          <w:tcPr>
            <w:tcW w:w="1060" w:type="dxa"/>
            <w:vAlign w:val="bottom"/>
            <w:gridSpan w:val="2"/>
            <w:vMerge w:val="continue"/>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6"/>
        </w:trPr>
        <w:tc>
          <w:tcPr>
            <w:tcW w:w="2300" w:type="dxa"/>
            <w:vAlign w:val="bottom"/>
            <w:gridSpan w:val="4"/>
            <w:vMerge w:val="continue"/>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2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300" w:type="dxa"/>
            <w:vAlign w:val="bottom"/>
            <w:gridSpan w:val="4"/>
          </w:tcPr>
          <w:p>
            <w:pPr>
              <w:ind w:left="20"/>
              <w:spacing w:after="0"/>
              <w:rPr>
                <w:sz w:val="20"/>
                <w:szCs w:val="20"/>
                <w:color w:val="auto"/>
              </w:rPr>
            </w:pPr>
            <w:r>
              <w:rPr>
                <w:rFonts w:ascii="Arial" w:cs="Arial" w:eastAsia="Arial" w:hAnsi="Arial"/>
                <w:sz w:val="12"/>
                <w:szCs w:val="12"/>
                <w:color w:val="auto"/>
              </w:rPr>
              <w:t>SEIU Local 1 &amp; Participating Employers</w:t>
            </w:r>
          </w:p>
        </w:tc>
        <w:tc>
          <w:tcPr>
            <w:tcW w:w="1040" w:type="dxa"/>
            <w:vAlign w:val="bottom"/>
            <w:vMerge w:val="restart"/>
          </w:tcPr>
          <w:p>
            <w:pPr>
              <w:jc w:val="center"/>
              <w:spacing w:after="0"/>
              <w:rPr>
                <w:sz w:val="20"/>
                <w:szCs w:val="20"/>
                <w:color w:val="auto"/>
              </w:rPr>
            </w:pPr>
            <w:r>
              <w:rPr>
                <w:rFonts w:ascii="Arial" w:cs="Arial" w:eastAsia="Arial" w:hAnsi="Arial"/>
                <w:sz w:val="12"/>
                <w:szCs w:val="12"/>
                <w:color w:val="auto"/>
              </w:rPr>
              <w:t>36-6486542 / 001</w:t>
            </w:r>
          </w:p>
        </w:tc>
        <w:tc>
          <w:tcPr>
            <w:tcW w:w="100" w:type="dxa"/>
            <w:vAlign w:val="bottom"/>
          </w:tcPr>
          <w:p>
            <w:pPr>
              <w:spacing w:after="0"/>
              <w:rPr>
                <w:sz w:val="11"/>
                <w:szCs w:val="11"/>
                <w:color w:val="auto"/>
              </w:rPr>
            </w:pPr>
          </w:p>
        </w:tc>
        <w:tc>
          <w:tcPr>
            <w:tcW w:w="1060" w:type="dxa"/>
            <w:vAlign w:val="bottom"/>
            <w:gridSpan w:val="2"/>
            <w:vMerge w:val="restart"/>
          </w:tcPr>
          <w:p>
            <w:pPr>
              <w:jc w:val="center"/>
              <w:ind w:right="80"/>
              <w:spacing w:after="0"/>
              <w:rPr>
                <w:sz w:val="20"/>
                <w:szCs w:val="20"/>
                <w:color w:val="auto"/>
              </w:rPr>
            </w:pPr>
            <w:r>
              <w:rPr>
                <w:rFonts w:ascii="Arial" w:cs="Arial" w:eastAsia="Arial" w:hAnsi="Arial"/>
                <w:sz w:val="12"/>
                <w:szCs w:val="12"/>
                <w:color w:val="auto"/>
                <w:w w:val="99"/>
              </w:rPr>
              <w:t>Green 9/30/2024</w:t>
            </w:r>
          </w:p>
        </w:tc>
        <w:tc>
          <w:tcPr>
            <w:tcW w:w="1060" w:type="dxa"/>
            <w:vAlign w:val="bottom"/>
            <w:gridSpan w:val="2"/>
            <w:vMerge w:val="restart"/>
          </w:tcPr>
          <w:p>
            <w:pPr>
              <w:jc w:val="center"/>
              <w:ind w:right="100"/>
              <w:spacing w:after="0"/>
              <w:rPr>
                <w:sz w:val="20"/>
                <w:szCs w:val="20"/>
                <w:color w:val="auto"/>
              </w:rPr>
            </w:pPr>
            <w:r>
              <w:rPr>
                <w:rFonts w:ascii="Arial" w:cs="Arial" w:eastAsia="Arial" w:hAnsi="Arial"/>
                <w:sz w:val="12"/>
                <w:szCs w:val="12"/>
                <w:color w:val="auto"/>
              </w:rPr>
              <w:t>Green 9/30/2023</w:t>
            </w:r>
          </w:p>
        </w:tc>
        <w:tc>
          <w:tcPr>
            <w:tcW w:w="1260" w:type="dxa"/>
            <w:vAlign w:val="bottom"/>
            <w:gridSpan w:val="2"/>
            <w:vMerge w:val="restart"/>
          </w:tcPr>
          <w:p>
            <w:pPr>
              <w:jc w:val="center"/>
              <w:ind w:right="120"/>
              <w:spacing w:after="0"/>
              <w:rPr>
                <w:sz w:val="20"/>
                <w:szCs w:val="20"/>
                <w:color w:val="auto"/>
              </w:rPr>
            </w:pPr>
            <w:r>
              <w:rPr>
                <w:rFonts w:ascii="Arial" w:cs="Arial" w:eastAsia="Arial" w:hAnsi="Arial"/>
                <w:sz w:val="12"/>
                <w:szCs w:val="12"/>
                <w:color w:val="auto"/>
              </w:rPr>
              <w:t>N/A*</w:t>
            </w:r>
          </w:p>
        </w:tc>
        <w:tc>
          <w:tcPr>
            <w:tcW w:w="120" w:type="dxa"/>
            <w:vAlign w:val="bottom"/>
          </w:tcPr>
          <w:p>
            <w:pPr>
              <w:spacing w:after="0"/>
              <w:rPr>
                <w:sz w:val="11"/>
                <w:szCs w:val="11"/>
                <w:color w:val="auto"/>
              </w:rPr>
            </w:pPr>
          </w:p>
        </w:tc>
        <w:tc>
          <w:tcPr>
            <w:tcW w:w="520" w:type="dxa"/>
            <w:vAlign w:val="bottom"/>
            <w:vMerge w:val="restart"/>
          </w:tcPr>
          <w:p>
            <w:pPr>
              <w:jc w:val="right"/>
              <w:spacing w:after="0"/>
              <w:rPr>
                <w:sz w:val="20"/>
                <w:szCs w:val="20"/>
                <w:color w:val="auto"/>
              </w:rPr>
            </w:pPr>
            <w:r>
              <w:rPr>
                <w:rFonts w:ascii="Arial" w:cs="Arial" w:eastAsia="Arial" w:hAnsi="Arial"/>
                <w:sz w:val="12"/>
                <w:szCs w:val="12"/>
                <w:color w:val="auto"/>
              </w:rPr>
              <w:t>4.2</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vMerge w:val="restart"/>
          </w:tcPr>
          <w:p>
            <w:pPr>
              <w:jc w:val="right"/>
              <w:spacing w:after="0"/>
              <w:rPr>
                <w:sz w:val="20"/>
                <w:szCs w:val="20"/>
                <w:color w:val="auto"/>
              </w:rPr>
            </w:pPr>
            <w:r>
              <w:rPr>
                <w:rFonts w:ascii="Arial" w:cs="Arial" w:eastAsia="Arial" w:hAnsi="Arial"/>
                <w:sz w:val="12"/>
                <w:szCs w:val="12"/>
                <w:color w:val="auto"/>
              </w:rPr>
              <w:t>4.3</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vMerge w:val="restart"/>
          </w:tcPr>
          <w:p>
            <w:pPr>
              <w:jc w:val="right"/>
              <w:spacing w:after="0"/>
              <w:rPr>
                <w:sz w:val="20"/>
                <w:szCs w:val="20"/>
                <w:color w:val="auto"/>
              </w:rPr>
            </w:pPr>
            <w:r>
              <w:rPr>
                <w:rFonts w:ascii="Arial" w:cs="Arial" w:eastAsia="Arial" w:hAnsi="Arial"/>
                <w:sz w:val="12"/>
                <w:szCs w:val="12"/>
                <w:color w:val="auto"/>
              </w:rPr>
              <w:t>4.8</w:t>
            </w:r>
          </w:p>
        </w:tc>
        <w:tc>
          <w:tcPr>
            <w:tcW w:w="100" w:type="dxa"/>
            <w:vAlign w:val="bottom"/>
          </w:tcPr>
          <w:p>
            <w:pPr>
              <w:spacing w:after="0"/>
              <w:rPr>
                <w:sz w:val="11"/>
                <w:szCs w:val="11"/>
                <w:color w:val="auto"/>
              </w:rPr>
            </w:pPr>
          </w:p>
        </w:tc>
        <w:tc>
          <w:tcPr>
            <w:tcW w:w="700" w:type="dxa"/>
            <w:vAlign w:val="bottom"/>
            <w:vMerge w:val="restart"/>
          </w:tcPr>
          <w:p>
            <w:pPr>
              <w:jc w:val="center"/>
              <w:ind w:left="239"/>
              <w:spacing w:after="0"/>
              <w:rPr>
                <w:sz w:val="20"/>
                <w:szCs w:val="20"/>
                <w:color w:val="auto"/>
              </w:rPr>
            </w:pPr>
            <w:r>
              <w:rPr>
                <w:rFonts w:ascii="Arial" w:cs="Arial" w:eastAsia="Arial" w:hAnsi="Arial"/>
                <w:sz w:val="12"/>
                <w:szCs w:val="12"/>
                <w:color w:val="auto"/>
                <w:w w:val="97"/>
              </w:rPr>
              <w:t>N/A*</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300" w:type="dxa"/>
            <w:vAlign w:val="bottom"/>
            <w:gridSpan w:val="4"/>
            <w:vMerge w:val="restart"/>
          </w:tcPr>
          <w:p>
            <w:pPr>
              <w:ind w:left="20"/>
              <w:spacing w:after="0"/>
              <w:rPr>
                <w:sz w:val="20"/>
                <w:szCs w:val="20"/>
                <w:color w:val="auto"/>
              </w:rPr>
            </w:pPr>
            <w:r>
              <w:rPr>
                <w:rFonts w:ascii="Arial" w:cs="Arial" w:eastAsia="Arial" w:hAnsi="Arial"/>
                <w:sz w:val="12"/>
                <w:szCs w:val="12"/>
                <w:color w:val="auto"/>
              </w:rPr>
              <w:t>Pension Trust</w:t>
            </w:r>
          </w:p>
        </w:tc>
        <w:tc>
          <w:tcPr>
            <w:tcW w:w="10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060" w:type="dxa"/>
            <w:vAlign w:val="bottom"/>
            <w:gridSpan w:val="2"/>
            <w:vMerge w:val="continue"/>
          </w:tcPr>
          <w:p>
            <w:pPr>
              <w:spacing w:after="0"/>
              <w:rPr>
                <w:sz w:val="8"/>
                <w:szCs w:val="8"/>
                <w:color w:val="auto"/>
              </w:rPr>
            </w:pPr>
          </w:p>
        </w:tc>
        <w:tc>
          <w:tcPr>
            <w:tcW w:w="1060" w:type="dxa"/>
            <w:vAlign w:val="bottom"/>
            <w:gridSpan w:val="2"/>
            <w:vMerge w:val="continue"/>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6"/>
        </w:trPr>
        <w:tc>
          <w:tcPr>
            <w:tcW w:w="2300" w:type="dxa"/>
            <w:vAlign w:val="bottom"/>
            <w:gridSpan w:val="4"/>
            <w:vMerge w:val="continue"/>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2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300" w:type="dxa"/>
            <w:vAlign w:val="bottom"/>
            <w:gridSpan w:val="4"/>
          </w:tcPr>
          <w:p>
            <w:pPr>
              <w:ind w:left="20"/>
              <w:spacing w:after="0"/>
              <w:rPr>
                <w:sz w:val="20"/>
                <w:szCs w:val="20"/>
                <w:color w:val="auto"/>
              </w:rPr>
            </w:pPr>
            <w:r>
              <w:rPr>
                <w:rFonts w:ascii="Arial" w:cs="Arial" w:eastAsia="Arial" w:hAnsi="Arial"/>
                <w:sz w:val="12"/>
                <w:szCs w:val="12"/>
                <w:color w:val="auto"/>
              </w:rPr>
              <w:t>Western Conference of Teamsters</w:t>
            </w:r>
          </w:p>
        </w:tc>
        <w:tc>
          <w:tcPr>
            <w:tcW w:w="1040" w:type="dxa"/>
            <w:vAlign w:val="bottom"/>
            <w:vMerge w:val="restart"/>
          </w:tcPr>
          <w:p>
            <w:pPr>
              <w:jc w:val="center"/>
              <w:spacing w:after="0"/>
              <w:rPr>
                <w:sz w:val="20"/>
                <w:szCs w:val="20"/>
                <w:color w:val="auto"/>
              </w:rPr>
            </w:pPr>
            <w:r>
              <w:rPr>
                <w:rFonts w:ascii="Arial" w:cs="Arial" w:eastAsia="Arial" w:hAnsi="Arial"/>
                <w:sz w:val="12"/>
                <w:szCs w:val="12"/>
                <w:color w:val="auto"/>
              </w:rPr>
              <w:t>91-6145047 / 001</w:t>
            </w:r>
          </w:p>
        </w:tc>
        <w:tc>
          <w:tcPr>
            <w:tcW w:w="100" w:type="dxa"/>
            <w:vAlign w:val="bottom"/>
          </w:tcPr>
          <w:p>
            <w:pPr>
              <w:spacing w:after="0"/>
              <w:rPr>
                <w:sz w:val="11"/>
                <w:szCs w:val="11"/>
                <w:color w:val="auto"/>
              </w:rPr>
            </w:pPr>
          </w:p>
        </w:tc>
        <w:tc>
          <w:tcPr>
            <w:tcW w:w="1060" w:type="dxa"/>
            <w:vAlign w:val="bottom"/>
            <w:gridSpan w:val="2"/>
          </w:tcPr>
          <w:p>
            <w:pPr>
              <w:jc w:val="center"/>
              <w:ind w:right="100"/>
              <w:spacing w:after="0"/>
              <w:rPr>
                <w:sz w:val="20"/>
                <w:szCs w:val="20"/>
                <w:color w:val="auto"/>
              </w:rPr>
            </w:pPr>
            <w:r>
              <w:rPr>
                <w:rFonts w:ascii="Arial" w:cs="Arial" w:eastAsia="Arial" w:hAnsi="Arial"/>
                <w:sz w:val="12"/>
                <w:szCs w:val="12"/>
                <w:color w:val="auto"/>
                <w:w w:val="95"/>
              </w:rPr>
              <w:t>Green</w:t>
            </w:r>
          </w:p>
        </w:tc>
        <w:tc>
          <w:tcPr>
            <w:tcW w:w="1060" w:type="dxa"/>
            <w:vAlign w:val="bottom"/>
            <w:gridSpan w:val="2"/>
          </w:tcPr>
          <w:p>
            <w:pPr>
              <w:jc w:val="center"/>
              <w:ind w:right="100"/>
              <w:spacing w:after="0"/>
              <w:rPr>
                <w:sz w:val="20"/>
                <w:szCs w:val="20"/>
                <w:color w:val="auto"/>
              </w:rPr>
            </w:pPr>
            <w:r>
              <w:rPr>
                <w:rFonts w:ascii="Arial" w:cs="Arial" w:eastAsia="Arial" w:hAnsi="Arial"/>
                <w:sz w:val="12"/>
                <w:szCs w:val="12"/>
                <w:color w:val="auto"/>
                <w:w w:val="95"/>
              </w:rPr>
              <w:t>Green</w:t>
            </w:r>
          </w:p>
        </w:tc>
        <w:tc>
          <w:tcPr>
            <w:tcW w:w="1260" w:type="dxa"/>
            <w:vAlign w:val="bottom"/>
            <w:gridSpan w:val="2"/>
            <w:vMerge w:val="restart"/>
          </w:tcPr>
          <w:p>
            <w:pPr>
              <w:jc w:val="center"/>
              <w:ind w:right="120"/>
              <w:spacing w:after="0"/>
              <w:rPr>
                <w:sz w:val="20"/>
                <w:szCs w:val="20"/>
                <w:color w:val="auto"/>
              </w:rPr>
            </w:pPr>
            <w:r>
              <w:rPr>
                <w:rFonts w:ascii="Arial" w:cs="Arial" w:eastAsia="Arial" w:hAnsi="Arial"/>
                <w:sz w:val="12"/>
                <w:szCs w:val="12"/>
                <w:color w:val="auto"/>
              </w:rPr>
              <w:t>N/A*</w:t>
            </w:r>
          </w:p>
        </w:tc>
        <w:tc>
          <w:tcPr>
            <w:tcW w:w="120" w:type="dxa"/>
            <w:vAlign w:val="bottom"/>
          </w:tcPr>
          <w:p>
            <w:pPr>
              <w:spacing w:after="0"/>
              <w:rPr>
                <w:sz w:val="11"/>
                <w:szCs w:val="11"/>
                <w:color w:val="auto"/>
              </w:rPr>
            </w:pPr>
          </w:p>
        </w:tc>
        <w:tc>
          <w:tcPr>
            <w:tcW w:w="520" w:type="dxa"/>
            <w:vAlign w:val="bottom"/>
            <w:vMerge w:val="restart"/>
          </w:tcPr>
          <w:p>
            <w:pPr>
              <w:jc w:val="right"/>
              <w:spacing w:after="0"/>
              <w:rPr>
                <w:sz w:val="20"/>
                <w:szCs w:val="20"/>
                <w:color w:val="auto"/>
              </w:rPr>
            </w:pPr>
            <w:r>
              <w:rPr>
                <w:rFonts w:ascii="Arial" w:cs="Arial" w:eastAsia="Arial" w:hAnsi="Arial"/>
                <w:sz w:val="12"/>
                <w:szCs w:val="12"/>
                <w:color w:val="auto"/>
              </w:rPr>
              <w:t>2.6</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vMerge w:val="restart"/>
          </w:tcPr>
          <w:p>
            <w:pPr>
              <w:jc w:val="right"/>
              <w:spacing w:after="0"/>
              <w:rPr>
                <w:sz w:val="20"/>
                <w:szCs w:val="20"/>
                <w:color w:val="auto"/>
              </w:rPr>
            </w:pPr>
            <w:r>
              <w:rPr>
                <w:rFonts w:ascii="Arial" w:cs="Arial" w:eastAsia="Arial" w:hAnsi="Arial"/>
                <w:sz w:val="12"/>
                <w:szCs w:val="12"/>
                <w:color w:val="auto"/>
              </w:rPr>
              <w:t>2.7</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vMerge w:val="restart"/>
          </w:tcPr>
          <w:p>
            <w:pPr>
              <w:jc w:val="right"/>
              <w:spacing w:after="0"/>
              <w:rPr>
                <w:sz w:val="20"/>
                <w:szCs w:val="20"/>
                <w:color w:val="auto"/>
              </w:rPr>
            </w:pPr>
            <w:r>
              <w:rPr>
                <w:rFonts w:ascii="Arial" w:cs="Arial" w:eastAsia="Arial" w:hAnsi="Arial"/>
                <w:sz w:val="12"/>
                <w:szCs w:val="12"/>
                <w:color w:val="auto"/>
              </w:rPr>
              <w:t>2.4</w:t>
            </w:r>
          </w:p>
        </w:tc>
        <w:tc>
          <w:tcPr>
            <w:tcW w:w="100" w:type="dxa"/>
            <w:vAlign w:val="bottom"/>
          </w:tcPr>
          <w:p>
            <w:pPr>
              <w:spacing w:after="0"/>
              <w:rPr>
                <w:sz w:val="11"/>
                <w:szCs w:val="11"/>
                <w:color w:val="auto"/>
              </w:rPr>
            </w:pPr>
          </w:p>
        </w:tc>
        <w:tc>
          <w:tcPr>
            <w:tcW w:w="700" w:type="dxa"/>
            <w:vAlign w:val="bottom"/>
            <w:vMerge w:val="restart"/>
          </w:tcPr>
          <w:p>
            <w:pPr>
              <w:jc w:val="center"/>
              <w:ind w:left="239"/>
              <w:spacing w:after="0"/>
              <w:rPr>
                <w:sz w:val="20"/>
                <w:szCs w:val="20"/>
                <w:color w:val="auto"/>
              </w:rPr>
            </w:pPr>
            <w:r>
              <w:rPr>
                <w:rFonts w:ascii="Arial" w:cs="Arial" w:eastAsia="Arial" w:hAnsi="Arial"/>
                <w:sz w:val="12"/>
                <w:szCs w:val="12"/>
                <w:color w:val="auto"/>
                <w:w w:val="97"/>
              </w:rPr>
              <w:t>N/A*</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300" w:type="dxa"/>
            <w:vAlign w:val="bottom"/>
            <w:gridSpan w:val="4"/>
            <w:vMerge w:val="restart"/>
          </w:tcPr>
          <w:p>
            <w:pPr>
              <w:ind w:left="20"/>
              <w:spacing w:after="0"/>
              <w:rPr>
                <w:sz w:val="20"/>
                <w:szCs w:val="20"/>
                <w:color w:val="auto"/>
              </w:rPr>
            </w:pPr>
            <w:r>
              <w:rPr>
                <w:rFonts w:ascii="Arial" w:cs="Arial" w:eastAsia="Arial" w:hAnsi="Arial"/>
                <w:sz w:val="12"/>
                <w:szCs w:val="12"/>
                <w:color w:val="auto"/>
              </w:rPr>
              <w:t>Pension Plan</w:t>
            </w:r>
          </w:p>
        </w:tc>
        <w:tc>
          <w:tcPr>
            <w:tcW w:w="10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960" w:type="dxa"/>
            <w:vAlign w:val="bottom"/>
            <w:vMerge w:val="restart"/>
          </w:tcPr>
          <w:p>
            <w:pPr>
              <w:jc w:val="center"/>
              <w:spacing w:after="0"/>
              <w:rPr>
                <w:sz w:val="20"/>
                <w:szCs w:val="20"/>
                <w:color w:val="auto"/>
              </w:rPr>
            </w:pPr>
            <w:r>
              <w:rPr>
                <w:rFonts w:ascii="Arial" w:cs="Arial" w:eastAsia="Arial" w:hAnsi="Arial"/>
                <w:sz w:val="12"/>
                <w:szCs w:val="12"/>
                <w:color w:val="auto"/>
                <w:w w:val="99"/>
              </w:rPr>
              <w:t>12/31/2024</w:t>
            </w:r>
          </w:p>
        </w:tc>
        <w:tc>
          <w:tcPr>
            <w:tcW w:w="100" w:type="dxa"/>
            <w:vAlign w:val="bottom"/>
          </w:tcPr>
          <w:p>
            <w:pPr>
              <w:spacing w:after="0"/>
              <w:rPr>
                <w:sz w:val="8"/>
                <w:szCs w:val="8"/>
                <w:color w:val="auto"/>
              </w:rPr>
            </w:pPr>
          </w:p>
        </w:tc>
        <w:tc>
          <w:tcPr>
            <w:tcW w:w="960" w:type="dxa"/>
            <w:vAlign w:val="bottom"/>
            <w:vMerge w:val="restart"/>
          </w:tcPr>
          <w:p>
            <w:pPr>
              <w:jc w:val="center"/>
              <w:spacing w:after="0"/>
              <w:rPr>
                <w:sz w:val="20"/>
                <w:szCs w:val="20"/>
                <w:color w:val="auto"/>
              </w:rPr>
            </w:pPr>
            <w:r>
              <w:rPr>
                <w:rFonts w:ascii="Arial" w:cs="Arial" w:eastAsia="Arial" w:hAnsi="Arial"/>
                <w:sz w:val="12"/>
                <w:szCs w:val="12"/>
                <w:color w:val="auto"/>
                <w:w w:val="99"/>
              </w:rPr>
              <w:t>12/31/2023</w:t>
            </w:r>
          </w:p>
        </w:tc>
        <w:tc>
          <w:tcPr>
            <w:tcW w:w="100" w:type="dxa"/>
            <w:vAlign w:val="bottom"/>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6"/>
        </w:trPr>
        <w:tc>
          <w:tcPr>
            <w:tcW w:w="2300" w:type="dxa"/>
            <w:vAlign w:val="bottom"/>
            <w:gridSpan w:val="4"/>
            <w:vMerge w:val="continue"/>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2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300" w:type="dxa"/>
            <w:vAlign w:val="bottom"/>
            <w:gridSpan w:val="4"/>
          </w:tcPr>
          <w:p>
            <w:pPr>
              <w:ind w:left="20"/>
              <w:spacing w:after="0"/>
              <w:rPr>
                <w:sz w:val="20"/>
                <w:szCs w:val="20"/>
                <w:color w:val="auto"/>
              </w:rPr>
            </w:pPr>
            <w:r>
              <w:rPr>
                <w:rFonts w:ascii="Arial" w:cs="Arial" w:eastAsia="Arial" w:hAnsi="Arial"/>
                <w:sz w:val="12"/>
                <w:szCs w:val="12"/>
                <w:color w:val="auto"/>
              </w:rPr>
              <w:t>IUOE Stationary Engineers Local 39</w:t>
            </w:r>
          </w:p>
        </w:tc>
        <w:tc>
          <w:tcPr>
            <w:tcW w:w="1040" w:type="dxa"/>
            <w:vAlign w:val="bottom"/>
            <w:vMerge w:val="restart"/>
          </w:tcPr>
          <w:p>
            <w:pPr>
              <w:jc w:val="center"/>
              <w:spacing w:after="0"/>
              <w:rPr>
                <w:sz w:val="20"/>
                <w:szCs w:val="20"/>
                <w:color w:val="auto"/>
              </w:rPr>
            </w:pPr>
            <w:r>
              <w:rPr>
                <w:rFonts w:ascii="Arial" w:cs="Arial" w:eastAsia="Arial" w:hAnsi="Arial"/>
                <w:sz w:val="12"/>
                <w:szCs w:val="12"/>
                <w:color w:val="auto"/>
                <w:w w:val="97"/>
              </w:rPr>
              <w:t>94-6118939 / 001</w:t>
            </w:r>
          </w:p>
        </w:tc>
        <w:tc>
          <w:tcPr>
            <w:tcW w:w="100" w:type="dxa"/>
            <w:vAlign w:val="bottom"/>
          </w:tcPr>
          <w:p>
            <w:pPr>
              <w:spacing w:after="0"/>
              <w:rPr>
                <w:sz w:val="11"/>
                <w:szCs w:val="11"/>
                <w:color w:val="auto"/>
              </w:rPr>
            </w:pPr>
          </w:p>
        </w:tc>
        <w:tc>
          <w:tcPr>
            <w:tcW w:w="1060" w:type="dxa"/>
            <w:vAlign w:val="bottom"/>
            <w:gridSpan w:val="2"/>
          </w:tcPr>
          <w:p>
            <w:pPr>
              <w:jc w:val="center"/>
              <w:ind w:right="100"/>
              <w:spacing w:after="0"/>
              <w:rPr>
                <w:sz w:val="20"/>
                <w:szCs w:val="20"/>
                <w:color w:val="auto"/>
              </w:rPr>
            </w:pPr>
            <w:r>
              <w:rPr>
                <w:rFonts w:ascii="Arial" w:cs="Arial" w:eastAsia="Arial" w:hAnsi="Arial"/>
                <w:sz w:val="12"/>
                <w:szCs w:val="12"/>
                <w:color w:val="auto"/>
                <w:w w:val="95"/>
              </w:rPr>
              <w:t>Green</w:t>
            </w:r>
          </w:p>
        </w:tc>
        <w:tc>
          <w:tcPr>
            <w:tcW w:w="1060" w:type="dxa"/>
            <w:vAlign w:val="bottom"/>
            <w:gridSpan w:val="2"/>
          </w:tcPr>
          <w:p>
            <w:pPr>
              <w:jc w:val="center"/>
              <w:ind w:right="100"/>
              <w:spacing w:after="0"/>
              <w:rPr>
                <w:sz w:val="20"/>
                <w:szCs w:val="20"/>
                <w:color w:val="auto"/>
              </w:rPr>
            </w:pPr>
            <w:r>
              <w:rPr>
                <w:rFonts w:ascii="Arial" w:cs="Arial" w:eastAsia="Arial" w:hAnsi="Arial"/>
                <w:sz w:val="12"/>
                <w:szCs w:val="12"/>
                <w:color w:val="auto"/>
                <w:w w:val="95"/>
              </w:rPr>
              <w:t>Green</w:t>
            </w:r>
          </w:p>
        </w:tc>
        <w:tc>
          <w:tcPr>
            <w:tcW w:w="1260" w:type="dxa"/>
            <w:vAlign w:val="bottom"/>
            <w:gridSpan w:val="2"/>
            <w:vMerge w:val="restart"/>
          </w:tcPr>
          <w:p>
            <w:pPr>
              <w:jc w:val="center"/>
              <w:ind w:right="120"/>
              <w:spacing w:after="0"/>
              <w:rPr>
                <w:sz w:val="20"/>
                <w:szCs w:val="20"/>
                <w:color w:val="auto"/>
              </w:rPr>
            </w:pPr>
            <w:r>
              <w:rPr>
                <w:rFonts w:ascii="Arial" w:cs="Arial" w:eastAsia="Arial" w:hAnsi="Arial"/>
                <w:sz w:val="12"/>
                <w:szCs w:val="12"/>
                <w:color w:val="auto"/>
              </w:rPr>
              <w:t>N/A*</w:t>
            </w:r>
          </w:p>
        </w:tc>
        <w:tc>
          <w:tcPr>
            <w:tcW w:w="120" w:type="dxa"/>
            <w:vAlign w:val="bottom"/>
          </w:tcPr>
          <w:p>
            <w:pPr>
              <w:spacing w:after="0"/>
              <w:rPr>
                <w:sz w:val="11"/>
                <w:szCs w:val="11"/>
                <w:color w:val="auto"/>
              </w:rPr>
            </w:pPr>
          </w:p>
        </w:tc>
        <w:tc>
          <w:tcPr>
            <w:tcW w:w="520" w:type="dxa"/>
            <w:vAlign w:val="bottom"/>
            <w:vMerge w:val="restart"/>
          </w:tcPr>
          <w:p>
            <w:pPr>
              <w:jc w:val="right"/>
              <w:spacing w:after="0"/>
              <w:rPr>
                <w:sz w:val="20"/>
                <w:szCs w:val="20"/>
                <w:color w:val="auto"/>
              </w:rPr>
            </w:pPr>
            <w:r>
              <w:rPr>
                <w:rFonts w:ascii="Arial" w:cs="Arial" w:eastAsia="Arial" w:hAnsi="Arial"/>
                <w:sz w:val="12"/>
                <w:szCs w:val="12"/>
                <w:color w:val="auto"/>
              </w:rPr>
              <w:t>2.9</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vMerge w:val="restart"/>
          </w:tcPr>
          <w:p>
            <w:pPr>
              <w:jc w:val="right"/>
              <w:spacing w:after="0"/>
              <w:rPr>
                <w:sz w:val="20"/>
                <w:szCs w:val="20"/>
                <w:color w:val="auto"/>
              </w:rPr>
            </w:pPr>
            <w:r>
              <w:rPr>
                <w:rFonts w:ascii="Arial" w:cs="Arial" w:eastAsia="Arial" w:hAnsi="Arial"/>
                <w:sz w:val="12"/>
                <w:szCs w:val="12"/>
                <w:color w:val="auto"/>
              </w:rPr>
              <w:t>2.5</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vMerge w:val="restart"/>
          </w:tcPr>
          <w:p>
            <w:pPr>
              <w:jc w:val="right"/>
              <w:spacing w:after="0"/>
              <w:rPr>
                <w:sz w:val="20"/>
                <w:szCs w:val="20"/>
                <w:color w:val="auto"/>
              </w:rPr>
            </w:pPr>
            <w:r>
              <w:rPr>
                <w:rFonts w:ascii="Arial" w:cs="Arial" w:eastAsia="Arial" w:hAnsi="Arial"/>
                <w:sz w:val="12"/>
                <w:szCs w:val="12"/>
                <w:color w:val="auto"/>
              </w:rPr>
              <w:t>4.6</w:t>
            </w:r>
          </w:p>
        </w:tc>
        <w:tc>
          <w:tcPr>
            <w:tcW w:w="100" w:type="dxa"/>
            <w:vAlign w:val="bottom"/>
          </w:tcPr>
          <w:p>
            <w:pPr>
              <w:spacing w:after="0"/>
              <w:rPr>
                <w:sz w:val="11"/>
                <w:szCs w:val="11"/>
                <w:color w:val="auto"/>
              </w:rPr>
            </w:pPr>
          </w:p>
        </w:tc>
        <w:tc>
          <w:tcPr>
            <w:tcW w:w="700" w:type="dxa"/>
            <w:vAlign w:val="bottom"/>
            <w:vMerge w:val="restart"/>
          </w:tcPr>
          <w:p>
            <w:pPr>
              <w:jc w:val="center"/>
              <w:ind w:left="239"/>
              <w:spacing w:after="0"/>
              <w:rPr>
                <w:sz w:val="20"/>
                <w:szCs w:val="20"/>
                <w:color w:val="auto"/>
              </w:rPr>
            </w:pPr>
            <w:r>
              <w:rPr>
                <w:rFonts w:ascii="Arial" w:cs="Arial" w:eastAsia="Arial" w:hAnsi="Arial"/>
                <w:sz w:val="12"/>
                <w:szCs w:val="12"/>
                <w:color w:val="auto"/>
                <w:w w:val="97"/>
              </w:rPr>
              <w:t>N/A*</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300" w:type="dxa"/>
            <w:vAlign w:val="bottom"/>
            <w:gridSpan w:val="4"/>
            <w:vMerge w:val="restart"/>
          </w:tcPr>
          <w:p>
            <w:pPr>
              <w:ind w:left="20"/>
              <w:spacing w:after="0"/>
              <w:rPr>
                <w:sz w:val="20"/>
                <w:szCs w:val="20"/>
                <w:color w:val="auto"/>
              </w:rPr>
            </w:pPr>
            <w:r>
              <w:rPr>
                <w:rFonts w:ascii="Arial" w:cs="Arial" w:eastAsia="Arial" w:hAnsi="Arial"/>
                <w:sz w:val="12"/>
                <w:szCs w:val="12"/>
                <w:color w:val="auto"/>
              </w:rPr>
              <w:t>Pension Plan</w:t>
            </w:r>
          </w:p>
        </w:tc>
        <w:tc>
          <w:tcPr>
            <w:tcW w:w="10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960" w:type="dxa"/>
            <w:vAlign w:val="bottom"/>
            <w:vMerge w:val="restart"/>
          </w:tcPr>
          <w:p>
            <w:pPr>
              <w:jc w:val="center"/>
              <w:spacing w:after="0"/>
              <w:rPr>
                <w:sz w:val="20"/>
                <w:szCs w:val="20"/>
                <w:color w:val="auto"/>
              </w:rPr>
            </w:pPr>
            <w:r>
              <w:rPr>
                <w:rFonts w:ascii="Arial" w:cs="Arial" w:eastAsia="Arial" w:hAnsi="Arial"/>
                <w:sz w:val="12"/>
                <w:szCs w:val="12"/>
                <w:color w:val="auto"/>
                <w:w w:val="99"/>
              </w:rPr>
              <w:t>12/31/2024</w:t>
            </w:r>
          </w:p>
        </w:tc>
        <w:tc>
          <w:tcPr>
            <w:tcW w:w="100" w:type="dxa"/>
            <w:vAlign w:val="bottom"/>
          </w:tcPr>
          <w:p>
            <w:pPr>
              <w:spacing w:after="0"/>
              <w:rPr>
                <w:sz w:val="8"/>
                <w:szCs w:val="8"/>
                <w:color w:val="auto"/>
              </w:rPr>
            </w:pPr>
          </w:p>
        </w:tc>
        <w:tc>
          <w:tcPr>
            <w:tcW w:w="960" w:type="dxa"/>
            <w:vAlign w:val="bottom"/>
            <w:vMerge w:val="restart"/>
          </w:tcPr>
          <w:p>
            <w:pPr>
              <w:jc w:val="center"/>
              <w:spacing w:after="0"/>
              <w:rPr>
                <w:sz w:val="20"/>
                <w:szCs w:val="20"/>
                <w:color w:val="auto"/>
              </w:rPr>
            </w:pPr>
            <w:r>
              <w:rPr>
                <w:rFonts w:ascii="Arial" w:cs="Arial" w:eastAsia="Arial" w:hAnsi="Arial"/>
                <w:sz w:val="12"/>
                <w:szCs w:val="12"/>
                <w:color w:val="auto"/>
                <w:w w:val="99"/>
              </w:rPr>
              <w:t>12/31/2023</w:t>
            </w:r>
          </w:p>
        </w:tc>
        <w:tc>
          <w:tcPr>
            <w:tcW w:w="100" w:type="dxa"/>
            <w:vAlign w:val="bottom"/>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6"/>
        </w:trPr>
        <w:tc>
          <w:tcPr>
            <w:tcW w:w="2300" w:type="dxa"/>
            <w:vAlign w:val="bottom"/>
            <w:gridSpan w:val="4"/>
            <w:vMerge w:val="continue"/>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2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300" w:type="dxa"/>
            <w:vAlign w:val="bottom"/>
            <w:gridSpan w:val="4"/>
          </w:tcPr>
          <w:p>
            <w:pPr>
              <w:ind w:left="20"/>
              <w:spacing w:after="0"/>
              <w:rPr>
                <w:sz w:val="20"/>
                <w:szCs w:val="20"/>
                <w:color w:val="auto"/>
              </w:rPr>
            </w:pPr>
            <w:r>
              <w:rPr>
                <w:rFonts w:ascii="Arial" w:cs="Arial" w:eastAsia="Arial" w:hAnsi="Arial"/>
                <w:sz w:val="12"/>
                <w:szCs w:val="12"/>
                <w:i w:val="1"/>
                <w:iCs w:val="1"/>
                <w:color w:val="auto"/>
              </w:rPr>
              <w:t>All Other Plans:</w:t>
            </w: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14.5</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13.9</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8.0</w:t>
            </w: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40" w:type="dxa"/>
            <w:vAlign w:val="bottom"/>
            <w:gridSpan w:val="2"/>
          </w:tcPr>
          <w:p>
            <w:pPr>
              <w:ind w:left="420"/>
              <w:spacing w:after="0"/>
              <w:rPr>
                <w:sz w:val="20"/>
                <w:szCs w:val="20"/>
                <w:color w:val="auto"/>
              </w:rPr>
            </w:pPr>
            <w:r>
              <w:rPr>
                <w:rFonts w:ascii="Arial" w:cs="Arial" w:eastAsia="Arial" w:hAnsi="Arial"/>
                <w:sz w:val="12"/>
                <w:szCs w:val="12"/>
                <w:b w:val="1"/>
                <w:bCs w:val="1"/>
                <w:color w:val="auto"/>
              </w:rPr>
              <w:t>Total Contributions</w:t>
            </w: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82.3</w:t>
            </w:r>
          </w:p>
        </w:tc>
        <w:tc>
          <w:tcPr>
            <w:tcW w:w="10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77.3</w:t>
            </w:r>
          </w:p>
        </w:tc>
        <w:tc>
          <w:tcPr>
            <w:tcW w:w="10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73.6</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-1006475</wp:posOffset>
            </wp:positionV>
            <wp:extent cx="7122160" cy="18859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22160" cy="18859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-629920</wp:posOffset>
            </wp:positionV>
            <wp:extent cx="7122160" cy="18859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22160" cy="18859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-253365</wp:posOffset>
            </wp:positionV>
            <wp:extent cx="7122160" cy="10668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22160" cy="10668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-1391285</wp:posOffset>
            </wp:positionV>
            <wp:extent cx="7122160" cy="19621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22160" cy="196215"/>
                    </a:xfrm>
                    <a:prstGeom prst="rect">
                      <a:avLst/>
                    </a:prstGeom>
                    <a:noFill/>
                  </pic:spPr>
                </pic:pic>
              </a:graphicData>
            </a:graphic>
          </wp:anchor>
        </w:drawing>
      </w:r>
    </w:p>
    <w:p>
      <w:pPr>
        <w:spacing w:after="0" w:line="104" w:lineRule="exact"/>
        <w:rPr>
          <w:sz w:val="20"/>
          <w:szCs w:val="20"/>
          <w:color w:val="auto"/>
        </w:rPr>
      </w:pPr>
    </w:p>
    <w:p>
      <w:pPr>
        <w:spacing w:after="0"/>
        <w:rPr>
          <w:sz w:val="20"/>
          <w:szCs w:val="20"/>
          <w:color w:val="auto"/>
        </w:rPr>
      </w:pPr>
      <w:r>
        <w:rPr>
          <w:rFonts w:ascii="Arial" w:cs="Arial" w:eastAsia="Arial" w:hAnsi="Arial"/>
          <w:sz w:val="12"/>
          <w:szCs w:val="12"/>
          <w:color w:val="auto"/>
        </w:rPr>
        <w:t>*Not applicable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left="-19"/>
        <w:spacing w:after="0" w:line="243" w:lineRule="auto"/>
        <w:rPr>
          <w:sz w:val="20"/>
          <w:szCs w:val="20"/>
          <w:color w:val="auto"/>
        </w:rPr>
      </w:pPr>
      <w:r>
        <w:rPr>
          <w:rFonts w:ascii="Arial" w:cs="Arial" w:eastAsia="Arial" w:hAnsi="Arial"/>
          <w:sz w:val="12"/>
          <w:szCs w:val="12"/>
          <w:b w:val="1"/>
          <w:bCs w:val="1"/>
          <w:color w:val="auto"/>
        </w:rPr>
        <w:t>Expiration Dates of Collective Bargaining Agreements</w:t>
      </w:r>
    </w:p>
    <w:p>
      <w:pPr>
        <w:spacing w:after="0" w:line="2" w:lineRule="exact"/>
        <w:rPr>
          <w:sz w:val="20"/>
          <w:szCs w:val="20"/>
          <w:color w:val="auto"/>
        </w:rPr>
      </w:pPr>
    </w:p>
    <w:p>
      <w:pPr>
        <w:ind w:right="400"/>
        <w:spacing w:after="0" w:line="239" w:lineRule="auto"/>
        <w:rPr>
          <w:sz w:val="20"/>
          <w:szCs w:val="20"/>
          <w:color w:val="auto"/>
        </w:rPr>
      </w:pPr>
      <w:r>
        <w:rPr>
          <w:rFonts w:ascii="Arial" w:cs="Arial" w:eastAsia="Arial" w:hAnsi="Arial"/>
          <w:sz w:val="12"/>
          <w:szCs w:val="12"/>
          <w:color w:val="auto"/>
        </w:rPr>
        <w:t>10/15/2027 - 1/31/2028</w:t>
      </w:r>
    </w:p>
    <w:p>
      <w:pPr>
        <w:spacing w:after="0" w:line="22" w:lineRule="exact"/>
        <w:rPr>
          <w:sz w:val="20"/>
          <w:szCs w:val="20"/>
          <w:color w:val="auto"/>
        </w:rPr>
      </w:pPr>
    </w:p>
    <w:p>
      <w:pPr>
        <w:ind w:right="460"/>
        <w:spacing w:after="0" w:line="239" w:lineRule="auto"/>
        <w:rPr>
          <w:sz w:val="20"/>
          <w:szCs w:val="20"/>
          <w:color w:val="auto"/>
        </w:rPr>
      </w:pPr>
      <w:r>
        <w:rPr>
          <w:rFonts w:ascii="Arial" w:cs="Arial" w:eastAsia="Arial" w:hAnsi="Arial"/>
          <w:sz w:val="12"/>
          <w:szCs w:val="12"/>
          <w:color w:val="auto"/>
        </w:rPr>
        <w:t>6/30/2026 - 6/30/2029</w:t>
      </w:r>
    </w:p>
    <w:p>
      <w:pPr>
        <w:spacing w:after="0" w:line="22" w:lineRule="exact"/>
        <w:rPr>
          <w:sz w:val="20"/>
          <w:szCs w:val="20"/>
          <w:color w:val="auto"/>
        </w:rPr>
      </w:pPr>
    </w:p>
    <w:p>
      <w:pPr>
        <w:ind w:right="400"/>
        <w:spacing w:after="0" w:line="239" w:lineRule="auto"/>
        <w:rPr>
          <w:sz w:val="20"/>
          <w:szCs w:val="20"/>
          <w:color w:val="auto"/>
        </w:rPr>
      </w:pPr>
      <w:r>
        <w:rPr>
          <w:rFonts w:ascii="Arial" w:cs="Arial" w:eastAsia="Arial" w:hAnsi="Arial"/>
          <w:sz w:val="12"/>
          <w:szCs w:val="12"/>
          <w:color w:val="auto"/>
        </w:rPr>
        <w:t>12/31/2025 - 6/30/2029</w:t>
      </w:r>
    </w:p>
    <w:p>
      <w:pPr>
        <w:spacing w:after="0" w:line="22" w:lineRule="exact"/>
        <w:rPr>
          <w:sz w:val="20"/>
          <w:szCs w:val="20"/>
          <w:color w:val="auto"/>
        </w:rPr>
      </w:pPr>
    </w:p>
    <w:p>
      <w:pPr>
        <w:ind w:right="460"/>
        <w:spacing w:after="0" w:line="239" w:lineRule="auto"/>
        <w:rPr>
          <w:sz w:val="20"/>
          <w:szCs w:val="20"/>
          <w:color w:val="auto"/>
        </w:rPr>
      </w:pPr>
      <w:r>
        <w:rPr>
          <w:rFonts w:ascii="Arial" w:cs="Arial" w:eastAsia="Arial" w:hAnsi="Arial"/>
          <w:sz w:val="12"/>
          <w:szCs w:val="12"/>
          <w:color w:val="auto"/>
        </w:rPr>
        <w:t>5/31/2026 - 11/30/2027</w:t>
      </w:r>
    </w:p>
    <w:p>
      <w:pPr>
        <w:spacing w:after="0" w:line="22" w:lineRule="exact"/>
        <w:rPr>
          <w:sz w:val="20"/>
          <w:szCs w:val="20"/>
          <w:color w:val="auto"/>
        </w:rPr>
      </w:pPr>
    </w:p>
    <w:p>
      <w:pPr>
        <w:ind w:right="460"/>
        <w:spacing w:after="0" w:line="239" w:lineRule="auto"/>
        <w:rPr>
          <w:sz w:val="20"/>
          <w:szCs w:val="20"/>
          <w:color w:val="auto"/>
        </w:rPr>
      </w:pPr>
      <w:r>
        <w:rPr>
          <w:rFonts w:ascii="Arial" w:cs="Arial" w:eastAsia="Arial" w:hAnsi="Arial"/>
          <w:sz w:val="12"/>
          <w:szCs w:val="12"/>
          <w:color w:val="auto"/>
        </w:rPr>
        <w:t>5/23/2026 - 12/31/2029</w:t>
      </w:r>
    </w:p>
    <w:p>
      <w:pPr>
        <w:spacing w:after="0" w:line="22" w:lineRule="exact"/>
        <w:rPr>
          <w:sz w:val="20"/>
          <w:szCs w:val="20"/>
          <w:color w:val="auto"/>
        </w:rPr>
      </w:pPr>
    </w:p>
    <w:p>
      <w:pPr>
        <w:ind w:right="460"/>
        <w:spacing w:after="0" w:line="239" w:lineRule="auto"/>
        <w:rPr>
          <w:sz w:val="20"/>
          <w:szCs w:val="20"/>
          <w:color w:val="auto"/>
        </w:rPr>
      </w:pPr>
      <w:r>
        <w:rPr>
          <w:rFonts w:ascii="Arial" w:cs="Arial" w:eastAsia="Arial" w:hAnsi="Arial"/>
          <w:sz w:val="12"/>
          <w:szCs w:val="12"/>
          <w:color w:val="auto"/>
        </w:rPr>
        <w:t>8/31/2029 - 8/31/2030</w:t>
      </w:r>
    </w:p>
    <w:p>
      <w:pPr>
        <w:spacing w:after="0" w:line="888" w:lineRule="exact"/>
        <w:rPr>
          <w:sz w:val="20"/>
          <w:szCs w:val="20"/>
          <w:color w:val="auto"/>
        </w:rPr>
      </w:pPr>
    </w:p>
    <w:p>
      <w:pPr>
        <w:sectPr>
          <w:pgSz w:w="11900" w:h="16838" w:orient="portrait"/>
          <w:cols w:equalWidth="0" w:num="2">
            <w:col w:w="10040" w:space="120"/>
            <w:col w:w="1080"/>
          </w:cols>
          <w:pgMar w:left="320" w:top="1440" w:right="339" w:bottom="1440" w:gutter="0" w:footer="0" w:header="0"/>
        </w:sectPr>
      </w:pPr>
    </w:p>
    <w:p>
      <w:pPr>
        <w:spacing w:after="0" w:line="16" w:lineRule="exact"/>
        <w:rPr>
          <w:sz w:val="20"/>
          <w:szCs w:val="20"/>
          <w:color w:val="auto"/>
        </w:rPr>
      </w:pPr>
    </w:p>
    <w:p>
      <w:pPr>
        <w:ind w:left="160" w:hanging="157"/>
        <w:spacing w:after="0" w:line="229" w:lineRule="auto"/>
        <w:tabs>
          <w:tab w:leader="none" w:pos="169" w:val="left"/>
        </w:tabs>
        <w:numPr>
          <w:ilvl w:val="0"/>
          <w:numId w:val="38"/>
        </w:numPr>
        <w:rPr>
          <w:rFonts w:ascii="Arial" w:cs="Arial" w:eastAsia="Arial" w:hAnsi="Arial"/>
          <w:sz w:val="20"/>
          <w:szCs w:val="20"/>
          <w:color w:val="auto"/>
          <w:vertAlign w:val="superscript"/>
        </w:rPr>
      </w:pPr>
      <w:r>
        <w:rPr>
          <w:rFonts w:ascii="Arial" w:cs="Arial" w:eastAsia="Arial" w:hAnsi="Arial"/>
          <w:sz w:val="15"/>
          <w:szCs w:val="15"/>
          <w:color w:val="auto"/>
        </w:rPr>
        <w:t>To determine individually significant plans, we evaluated several factors, including our total contributions to the plan, our significance to the plan in terms of participating employees and contributions, and the funded status of the plan.</w:t>
      </w:r>
    </w:p>
    <w:p>
      <w:pPr>
        <w:spacing w:after="0" w:line="78" w:lineRule="exact"/>
        <w:rPr>
          <w:rFonts w:ascii="Arial" w:cs="Arial" w:eastAsia="Arial" w:hAnsi="Arial"/>
          <w:sz w:val="20"/>
          <w:szCs w:val="20"/>
          <w:color w:val="auto"/>
          <w:vertAlign w:val="superscript"/>
        </w:rPr>
      </w:pPr>
    </w:p>
    <w:p>
      <w:pPr>
        <w:ind w:left="160" w:hanging="157"/>
        <w:spacing w:after="0"/>
        <w:tabs>
          <w:tab w:leader="none" w:pos="160" w:val="left"/>
        </w:tabs>
        <w:numPr>
          <w:ilvl w:val="0"/>
          <w:numId w:val="38"/>
        </w:numPr>
        <w:rPr>
          <w:rFonts w:ascii="Arial" w:cs="Arial" w:eastAsia="Arial" w:hAnsi="Arial"/>
          <w:sz w:val="19"/>
          <w:szCs w:val="19"/>
          <w:color w:val="auto"/>
          <w:vertAlign w:val="superscript"/>
        </w:rPr>
      </w:pPr>
      <w:r>
        <w:rPr>
          <w:rFonts w:ascii="Arial" w:cs="Arial" w:eastAsia="Arial" w:hAnsi="Arial"/>
          <w:sz w:val="15"/>
          <w:szCs w:val="15"/>
          <w:color w:val="auto"/>
        </w:rPr>
        <w:t>The “EIN/PN” column provides the Employer Identification Number and the three-digit plan number assigned to the plan by the IRS.</w:t>
      </w:r>
    </w:p>
    <w:p>
      <w:pPr>
        <w:spacing w:after="0" w:line="79" w:lineRule="exact"/>
        <w:rPr>
          <w:rFonts w:ascii="Arial" w:cs="Arial" w:eastAsia="Arial" w:hAnsi="Arial"/>
          <w:sz w:val="19"/>
          <w:szCs w:val="19"/>
          <w:color w:val="auto"/>
          <w:vertAlign w:val="superscript"/>
        </w:rPr>
      </w:pPr>
    </w:p>
    <w:p>
      <w:pPr>
        <w:jc w:val="both"/>
        <w:ind w:left="160" w:hanging="157"/>
        <w:spacing w:after="0" w:line="271" w:lineRule="auto"/>
        <w:tabs>
          <w:tab w:leader="none" w:pos="156" w:val="left"/>
        </w:tabs>
        <w:numPr>
          <w:ilvl w:val="0"/>
          <w:numId w:val="38"/>
        </w:numPr>
        <w:rPr>
          <w:rFonts w:ascii="Arial" w:cs="Arial" w:eastAsia="Arial" w:hAnsi="Arial"/>
          <w:sz w:val="18"/>
          <w:szCs w:val="18"/>
          <w:color w:val="auto"/>
          <w:vertAlign w:val="superscript"/>
        </w:rPr>
      </w:pPr>
      <w:r>
        <w:rPr>
          <w:rFonts w:ascii="Arial" w:cs="Arial" w:eastAsia="Arial" w:hAnsi="Arial"/>
          <w:sz w:val="14"/>
          <w:szCs w:val="14"/>
          <w:color w:val="auto"/>
        </w:rPr>
        <w:t>The Pension Protection Act Zone Status columns provide the two most recently available Pension Protection Act zone status reports from each plan. The zone status is based on information provided to us and other participating employers and is certified by each plan’s actuary. Among other factors, plans in the red zone are generally less than 65% funded, plans in the yellow zone are less than 80% funded, and plans in the green zone are at least 80% funded.</w:t>
      </w:r>
    </w:p>
    <w:p>
      <w:pPr>
        <w:spacing w:after="0" w:line="45" w:lineRule="exact"/>
        <w:rPr>
          <w:rFonts w:ascii="Arial" w:cs="Arial" w:eastAsia="Arial" w:hAnsi="Arial"/>
          <w:sz w:val="18"/>
          <w:szCs w:val="18"/>
          <w:color w:val="auto"/>
          <w:vertAlign w:val="superscript"/>
        </w:rPr>
      </w:pPr>
    </w:p>
    <w:p>
      <w:pPr>
        <w:ind w:left="160" w:hanging="157"/>
        <w:spacing w:after="0"/>
        <w:tabs>
          <w:tab w:leader="none" w:pos="160" w:val="left"/>
        </w:tabs>
        <w:numPr>
          <w:ilvl w:val="0"/>
          <w:numId w:val="38"/>
        </w:numPr>
        <w:rPr>
          <w:rFonts w:ascii="Arial" w:cs="Arial" w:eastAsia="Arial" w:hAnsi="Arial"/>
          <w:sz w:val="19"/>
          <w:szCs w:val="19"/>
          <w:color w:val="auto"/>
          <w:vertAlign w:val="superscript"/>
        </w:rPr>
      </w:pPr>
      <w:r>
        <w:rPr>
          <w:rFonts w:ascii="Arial" w:cs="Arial" w:eastAsia="Arial" w:hAnsi="Arial"/>
          <w:sz w:val="15"/>
          <w:szCs w:val="15"/>
          <w:color w:val="auto"/>
        </w:rPr>
        <w:t>Indicates whether a Financial Improvement Plan (“FIP”) for yellow zone plans or a Rehabilitation Plan (“RP”) for red zone plans is pending or implemented.</w:t>
      </w:r>
    </w:p>
    <w:p>
      <w:pPr>
        <w:spacing w:after="0" w:line="92" w:lineRule="exact"/>
        <w:rPr>
          <w:rFonts w:ascii="Arial" w:cs="Arial" w:eastAsia="Arial" w:hAnsi="Arial"/>
          <w:sz w:val="19"/>
          <w:szCs w:val="19"/>
          <w:color w:val="auto"/>
          <w:vertAlign w:val="superscript"/>
        </w:rPr>
      </w:pPr>
    </w:p>
    <w:p>
      <w:pPr>
        <w:ind w:left="160" w:hanging="157"/>
        <w:spacing w:after="0" w:line="264" w:lineRule="auto"/>
        <w:tabs>
          <w:tab w:leader="none" w:pos="156" w:val="left"/>
        </w:tabs>
        <w:numPr>
          <w:ilvl w:val="0"/>
          <w:numId w:val="38"/>
        </w:numPr>
        <w:rPr>
          <w:rFonts w:ascii="Arial" w:cs="Arial" w:eastAsia="Arial" w:hAnsi="Arial"/>
          <w:sz w:val="18"/>
          <w:szCs w:val="18"/>
          <w:color w:val="auto"/>
          <w:vertAlign w:val="superscript"/>
        </w:rPr>
      </w:pPr>
      <w:r>
        <w:rPr>
          <w:rFonts w:ascii="Arial" w:cs="Arial" w:eastAsia="Arial" w:hAnsi="Arial"/>
          <w:sz w:val="14"/>
          <w:szCs w:val="14"/>
          <w:color w:val="auto"/>
        </w:rPr>
        <w:t>Indicates whether our contribution in 2025 included an amount as imposed by a plan in the red zone in addition to the contribution rate specified in the applicable collective bargaining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79" w:name="page80"/>
    <w:bookmarkEnd w:id="79"/>
    <w:p>
      <w:pPr>
        <w:spacing w:after="0"/>
        <w:rPr>
          <w:sz w:val="20"/>
          <w:szCs w:val="20"/>
          <w:color w:val="auto"/>
        </w:rPr>
      </w:pPr>
      <w:r>
        <w:rPr>
          <w:rFonts w:ascii="Arial" w:cs="Arial" w:eastAsia="Arial" w:hAnsi="Arial"/>
          <w:sz w:val="17"/>
          <w:szCs w:val="17"/>
          <w:i w:val="1"/>
          <w:iCs w:val="1"/>
          <w:color w:val="0046AD"/>
        </w:rPr>
        <w:t>Multiemployer Pension Plans for which ABM is a Significant Contributor</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860" w:type="dxa"/>
            <w:vAlign w:val="bottom"/>
            <w:shd w:val="clear" w:color="auto" w:fill="DBDBDB"/>
          </w:tcPr>
          <w:p>
            <w:pPr>
              <w:spacing w:after="0"/>
              <w:rPr>
                <w:sz w:val="14"/>
                <w:szCs w:val="14"/>
                <w:color w:val="auto"/>
              </w:rPr>
            </w:pPr>
          </w:p>
        </w:tc>
        <w:tc>
          <w:tcPr>
            <w:tcW w:w="5380" w:type="dxa"/>
            <w:vAlign w:val="bottom"/>
            <w:shd w:val="clear" w:color="auto" w:fill="DBDBDB"/>
          </w:tcPr>
          <w:p>
            <w:pPr>
              <w:jc w:val="center"/>
              <w:ind w:left="43"/>
              <w:spacing w:after="0"/>
              <w:rPr>
                <w:sz w:val="20"/>
                <w:szCs w:val="20"/>
                <w:color w:val="auto"/>
              </w:rPr>
            </w:pPr>
            <w:r>
              <w:rPr>
                <w:rFonts w:ascii="Arial" w:cs="Arial" w:eastAsia="Arial" w:hAnsi="Arial"/>
                <w:sz w:val="15"/>
                <w:szCs w:val="15"/>
                <w:b w:val="1"/>
                <w:bCs w:val="1"/>
                <w:color w:val="auto"/>
              </w:rPr>
              <w:t>Contributions to the plan exceeded more than 5% of total contributions</w:t>
            </w:r>
          </w:p>
        </w:tc>
        <w:tc>
          <w:tcPr>
            <w:tcW w:w="0" w:type="dxa"/>
            <w:vAlign w:val="bottom"/>
          </w:tcPr>
          <w:p>
            <w:pPr>
              <w:spacing w:after="0"/>
              <w:rPr>
                <w:sz w:val="1"/>
                <w:szCs w:val="1"/>
                <w:color w:val="auto"/>
              </w:rPr>
            </w:pPr>
          </w:p>
        </w:tc>
      </w:tr>
      <w:tr>
        <w:trPr>
          <w:trHeight w:val="155"/>
        </w:trPr>
        <w:tc>
          <w:tcPr>
            <w:tcW w:w="5860" w:type="dxa"/>
            <w:vAlign w:val="bottom"/>
            <w:vMerge w:val="restart"/>
            <w:shd w:val="clear" w:color="auto" w:fill="DBDBDB"/>
          </w:tcPr>
          <w:p>
            <w:pPr>
              <w:jc w:val="center"/>
              <w:spacing w:after="0"/>
              <w:rPr>
                <w:sz w:val="20"/>
                <w:szCs w:val="20"/>
                <w:color w:val="auto"/>
              </w:rPr>
            </w:pPr>
            <w:r>
              <w:rPr>
                <w:rFonts w:ascii="Arial" w:cs="Arial" w:eastAsia="Arial" w:hAnsi="Arial"/>
                <w:sz w:val="15"/>
                <w:szCs w:val="15"/>
                <w:b w:val="1"/>
                <w:bCs w:val="1"/>
                <w:color w:val="auto"/>
              </w:rPr>
              <w:t>Pension Fund</w:t>
            </w:r>
          </w:p>
        </w:tc>
        <w:tc>
          <w:tcPr>
            <w:tcW w:w="5380" w:type="dxa"/>
            <w:vAlign w:val="bottom"/>
            <w:shd w:val="clear" w:color="auto" w:fill="DBDBDB"/>
          </w:tcPr>
          <w:p>
            <w:pPr>
              <w:jc w:val="center"/>
              <w:ind w:left="23"/>
              <w:spacing w:after="0" w:line="155" w:lineRule="exact"/>
              <w:rPr>
                <w:sz w:val="20"/>
                <w:szCs w:val="20"/>
                <w:color w:val="auto"/>
              </w:rPr>
            </w:pPr>
            <w:r>
              <w:rPr>
                <w:rFonts w:ascii="Arial" w:cs="Arial" w:eastAsia="Arial" w:hAnsi="Arial"/>
                <w:sz w:val="15"/>
                <w:szCs w:val="15"/>
                <w:b w:val="1"/>
                <w:bCs w:val="1"/>
                <w:color w:val="auto"/>
              </w:rPr>
              <w:t>per most currently available Forms 5500</w:t>
            </w:r>
          </w:p>
        </w:tc>
        <w:tc>
          <w:tcPr>
            <w:tcW w:w="0" w:type="dxa"/>
            <w:vAlign w:val="bottom"/>
          </w:tcPr>
          <w:p>
            <w:pPr>
              <w:spacing w:after="0"/>
              <w:rPr>
                <w:sz w:val="1"/>
                <w:szCs w:val="1"/>
                <w:color w:val="auto"/>
              </w:rPr>
            </w:pPr>
          </w:p>
        </w:tc>
      </w:tr>
      <w:tr>
        <w:trPr>
          <w:trHeight w:val="206"/>
        </w:trPr>
        <w:tc>
          <w:tcPr>
            <w:tcW w:w="5860" w:type="dxa"/>
            <w:vAlign w:val="bottom"/>
            <w:vMerge w:val="continue"/>
            <w:shd w:val="clear" w:color="auto" w:fill="DBDBDB"/>
          </w:tcPr>
          <w:p>
            <w:pPr>
              <w:spacing w:after="0"/>
              <w:rPr>
                <w:sz w:val="17"/>
                <w:szCs w:val="17"/>
                <w:color w:val="auto"/>
              </w:rPr>
            </w:pPr>
          </w:p>
        </w:tc>
        <w:tc>
          <w:tcPr>
            <w:tcW w:w="5380" w:type="dxa"/>
            <w:vAlign w:val="bottom"/>
            <w:shd w:val="clear" w:color="auto" w:fill="DBDBDB"/>
          </w:tcPr>
          <w:p>
            <w:pPr>
              <w:jc w:val="center"/>
              <w:ind w:left="43"/>
              <w:spacing w:after="0"/>
              <w:rPr>
                <w:sz w:val="20"/>
                <w:szCs w:val="20"/>
                <w:color w:val="auto"/>
              </w:rPr>
            </w:pPr>
            <w:r>
              <w:rPr>
                <w:rFonts w:ascii="Arial" w:cs="Arial" w:eastAsia="Arial" w:hAnsi="Arial"/>
                <w:sz w:val="15"/>
                <w:szCs w:val="15"/>
                <w:b w:val="1"/>
                <w:bCs w:val="1"/>
                <w:color w:val="auto"/>
              </w:rPr>
              <w:t>(as of the plan’s year end)</w:t>
            </w:r>
          </w:p>
        </w:tc>
        <w:tc>
          <w:tcPr>
            <w:tcW w:w="0" w:type="dxa"/>
            <w:vAlign w:val="bottom"/>
          </w:tcPr>
          <w:p>
            <w:pPr>
              <w:spacing w:after="0"/>
              <w:rPr>
                <w:sz w:val="1"/>
                <w:szCs w:val="1"/>
                <w:color w:val="auto"/>
              </w:rPr>
            </w:pPr>
          </w:p>
        </w:tc>
      </w:tr>
      <w:tr>
        <w:trPr>
          <w:trHeight w:val="205"/>
        </w:trPr>
        <w:tc>
          <w:tcPr>
            <w:tcW w:w="5860" w:type="dxa"/>
            <w:vAlign w:val="bottom"/>
          </w:tcPr>
          <w:p>
            <w:pPr>
              <w:jc w:val="center"/>
              <w:spacing w:after="0"/>
              <w:rPr>
                <w:sz w:val="20"/>
                <w:szCs w:val="20"/>
                <w:color w:val="auto"/>
              </w:rPr>
            </w:pPr>
            <w:r>
              <w:rPr>
                <w:rFonts w:ascii="Arial" w:cs="Arial" w:eastAsia="Arial" w:hAnsi="Arial"/>
                <w:sz w:val="15"/>
                <w:szCs w:val="15"/>
                <w:color w:val="auto"/>
              </w:rPr>
              <w:t>Apartment Employees' Pension Trust Fund*</w:t>
            </w:r>
          </w:p>
        </w:tc>
        <w:tc>
          <w:tcPr>
            <w:tcW w:w="5380" w:type="dxa"/>
            <w:vAlign w:val="bottom"/>
          </w:tcPr>
          <w:p>
            <w:pPr>
              <w:jc w:val="center"/>
              <w:ind w:left="43"/>
              <w:spacing w:after="0"/>
              <w:rPr>
                <w:sz w:val="20"/>
                <w:szCs w:val="20"/>
                <w:color w:val="auto"/>
              </w:rPr>
            </w:pPr>
            <w:r>
              <w:rPr>
                <w:rFonts w:ascii="Arial" w:cs="Arial" w:eastAsia="Arial" w:hAnsi="Arial"/>
                <w:sz w:val="15"/>
                <w:szCs w:val="15"/>
                <w:color w:val="auto"/>
              </w:rPr>
              <w:t>12/31/2024 and 12/31/2022</w:t>
            </w:r>
          </w:p>
        </w:tc>
        <w:tc>
          <w:tcPr>
            <w:tcW w:w="0" w:type="dxa"/>
            <w:vAlign w:val="bottom"/>
          </w:tcPr>
          <w:p>
            <w:pPr>
              <w:spacing w:after="0"/>
              <w:rPr>
                <w:sz w:val="1"/>
                <w:szCs w:val="1"/>
                <w:color w:val="auto"/>
              </w:rPr>
            </w:pPr>
          </w:p>
        </w:tc>
      </w:tr>
      <w:tr>
        <w:trPr>
          <w:trHeight w:val="207"/>
        </w:trPr>
        <w:tc>
          <w:tcPr>
            <w:tcW w:w="5860" w:type="dxa"/>
            <w:vAlign w:val="bottom"/>
            <w:shd w:val="clear" w:color="auto" w:fill="DBDBDB"/>
          </w:tcPr>
          <w:p>
            <w:pPr>
              <w:jc w:val="center"/>
              <w:spacing w:after="0"/>
              <w:rPr>
                <w:sz w:val="20"/>
                <w:szCs w:val="20"/>
                <w:color w:val="auto"/>
              </w:rPr>
            </w:pPr>
            <w:r>
              <w:rPr>
                <w:rFonts w:ascii="Arial" w:cs="Arial" w:eastAsia="Arial" w:hAnsi="Arial"/>
                <w:sz w:val="15"/>
                <w:szCs w:val="15"/>
                <w:color w:val="auto"/>
              </w:rPr>
              <w:t>Arizona Sheet Metal Pension Trust Fund*</w:t>
            </w:r>
          </w:p>
        </w:tc>
        <w:tc>
          <w:tcPr>
            <w:tcW w:w="5380" w:type="dxa"/>
            <w:vAlign w:val="bottom"/>
            <w:shd w:val="clear" w:color="auto" w:fill="DBDBDB"/>
          </w:tcPr>
          <w:p>
            <w:pPr>
              <w:jc w:val="center"/>
              <w:ind w:left="43"/>
              <w:spacing w:after="0"/>
              <w:rPr>
                <w:sz w:val="20"/>
                <w:szCs w:val="20"/>
                <w:color w:val="auto"/>
              </w:rPr>
            </w:pPr>
            <w:r>
              <w:rPr>
                <w:rFonts w:ascii="Arial" w:cs="Arial" w:eastAsia="Arial" w:hAnsi="Arial"/>
                <w:sz w:val="15"/>
                <w:szCs w:val="15"/>
                <w:color w:val="auto"/>
              </w:rPr>
              <w:t>6/30/2023</w:t>
            </w:r>
          </w:p>
        </w:tc>
        <w:tc>
          <w:tcPr>
            <w:tcW w:w="0" w:type="dxa"/>
            <w:vAlign w:val="bottom"/>
          </w:tcPr>
          <w:p>
            <w:pPr>
              <w:spacing w:after="0"/>
              <w:rPr>
                <w:sz w:val="1"/>
                <w:szCs w:val="1"/>
                <w:color w:val="auto"/>
              </w:rPr>
            </w:pPr>
          </w:p>
        </w:tc>
      </w:tr>
      <w:tr>
        <w:trPr>
          <w:trHeight w:val="205"/>
        </w:trPr>
        <w:tc>
          <w:tcPr>
            <w:tcW w:w="5860" w:type="dxa"/>
            <w:vAlign w:val="bottom"/>
          </w:tcPr>
          <w:p>
            <w:pPr>
              <w:jc w:val="center"/>
              <w:spacing w:after="0"/>
              <w:rPr>
                <w:sz w:val="20"/>
                <w:szCs w:val="20"/>
                <w:color w:val="auto"/>
              </w:rPr>
            </w:pPr>
            <w:r>
              <w:rPr>
                <w:rFonts w:ascii="Arial" w:cs="Arial" w:eastAsia="Arial" w:hAnsi="Arial"/>
                <w:sz w:val="15"/>
                <w:szCs w:val="15"/>
                <w:color w:val="auto"/>
              </w:rPr>
              <w:t>Building Service 32BJ Pension Fund</w:t>
            </w:r>
          </w:p>
        </w:tc>
        <w:tc>
          <w:tcPr>
            <w:tcW w:w="5380" w:type="dxa"/>
            <w:vAlign w:val="bottom"/>
          </w:tcPr>
          <w:p>
            <w:pPr>
              <w:jc w:val="center"/>
              <w:ind w:left="43"/>
              <w:spacing w:after="0"/>
              <w:rPr>
                <w:sz w:val="20"/>
                <w:szCs w:val="20"/>
                <w:color w:val="auto"/>
              </w:rPr>
            </w:pPr>
            <w:r>
              <w:rPr>
                <w:rFonts w:ascii="Arial" w:cs="Arial" w:eastAsia="Arial" w:hAnsi="Arial"/>
                <w:sz w:val="15"/>
                <w:szCs w:val="15"/>
                <w:color w:val="auto"/>
              </w:rPr>
              <w:t>6/30/2024, 06/30/2023 and 6/30/2022</w:t>
            </w:r>
          </w:p>
        </w:tc>
        <w:tc>
          <w:tcPr>
            <w:tcW w:w="0" w:type="dxa"/>
            <w:vAlign w:val="bottom"/>
          </w:tcPr>
          <w:p>
            <w:pPr>
              <w:spacing w:after="0"/>
              <w:rPr>
                <w:sz w:val="1"/>
                <w:szCs w:val="1"/>
                <w:color w:val="auto"/>
              </w:rPr>
            </w:pPr>
          </w:p>
        </w:tc>
      </w:tr>
      <w:tr>
        <w:trPr>
          <w:trHeight w:val="207"/>
        </w:trPr>
        <w:tc>
          <w:tcPr>
            <w:tcW w:w="5860" w:type="dxa"/>
            <w:vAlign w:val="bottom"/>
            <w:shd w:val="clear" w:color="auto" w:fill="DBDBDB"/>
          </w:tcPr>
          <w:p>
            <w:pPr>
              <w:jc w:val="center"/>
              <w:spacing w:after="0"/>
              <w:rPr>
                <w:sz w:val="20"/>
                <w:szCs w:val="20"/>
                <w:color w:val="auto"/>
              </w:rPr>
            </w:pPr>
            <w:r>
              <w:rPr>
                <w:rFonts w:ascii="Arial" w:cs="Arial" w:eastAsia="Arial" w:hAnsi="Arial"/>
                <w:sz w:val="15"/>
                <w:szCs w:val="15"/>
                <w:color w:val="auto"/>
              </w:rPr>
              <w:t>Building Service Pension Plan*</w:t>
            </w:r>
          </w:p>
        </w:tc>
        <w:tc>
          <w:tcPr>
            <w:tcW w:w="5380" w:type="dxa"/>
            <w:vAlign w:val="bottom"/>
            <w:shd w:val="clear" w:color="auto" w:fill="DBDBDB"/>
          </w:tcPr>
          <w:p>
            <w:pPr>
              <w:jc w:val="center"/>
              <w:ind w:left="43"/>
              <w:spacing w:after="0"/>
              <w:rPr>
                <w:sz w:val="20"/>
                <w:szCs w:val="20"/>
                <w:color w:val="auto"/>
              </w:rPr>
            </w:pPr>
            <w:r>
              <w:rPr>
                <w:rFonts w:ascii="Arial" w:cs="Arial" w:eastAsia="Arial" w:hAnsi="Arial"/>
                <w:sz w:val="15"/>
                <w:szCs w:val="15"/>
                <w:color w:val="auto"/>
              </w:rPr>
              <w:t>4/30/2024, 4/30/2023, and 4/30/2022</w:t>
            </w:r>
          </w:p>
        </w:tc>
        <w:tc>
          <w:tcPr>
            <w:tcW w:w="0" w:type="dxa"/>
            <w:vAlign w:val="bottom"/>
          </w:tcPr>
          <w:p>
            <w:pPr>
              <w:spacing w:after="0"/>
              <w:rPr>
                <w:sz w:val="1"/>
                <w:szCs w:val="1"/>
                <w:color w:val="auto"/>
              </w:rPr>
            </w:pPr>
          </w:p>
        </w:tc>
      </w:tr>
      <w:tr>
        <w:trPr>
          <w:trHeight w:val="205"/>
        </w:trPr>
        <w:tc>
          <w:tcPr>
            <w:tcW w:w="5860" w:type="dxa"/>
            <w:vAlign w:val="bottom"/>
          </w:tcPr>
          <w:p>
            <w:pPr>
              <w:jc w:val="center"/>
              <w:spacing w:after="0"/>
              <w:rPr>
                <w:sz w:val="20"/>
                <w:szCs w:val="20"/>
                <w:color w:val="auto"/>
              </w:rPr>
            </w:pPr>
            <w:r>
              <w:rPr>
                <w:rFonts w:ascii="Arial" w:cs="Arial" w:eastAsia="Arial" w:hAnsi="Arial"/>
                <w:sz w:val="15"/>
                <w:szCs w:val="15"/>
                <w:color w:val="auto"/>
              </w:rPr>
              <w:t>Central Pennsylvania Teamsters Defined Benefit Plan*</w:t>
            </w:r>
          </w:p>
        </w:tc>
        <w:tc>
          <w:tcPr>
            <w:tcW w:w="5380" w:type="dxa"/>
            <w:vAlign w:val="bottom"/>
          </w:tcPr>
          <w:p>
            <w:pPr>
              <w:jc w:val="center"/>
              <w:ind w:left="43"/>
              <w:spacing w:after="0"/>
              <w:rPr>
                <w:sz w:val="20"/>
                <w:szCs w:val="20"/>
                <w:color w:val="auto"/>
              </w:rPr>
            </w:pPr>
            <w:r>
              <w:rPr>
                <w:rFonts w:ascii="Arial" w:cs="Arial" w:eastAsia="Arial" w:hAnsi="Arial"/>
                <w:sz w:val="15"/>
                <w:szCs w:val="15"/>
                <w:color w:val="auto"/>
              </w:rPr>
              <w:t>12/31/2023</w:t>
            </w:r>
          </w:p>
        </w:tc>
        <w:tc>
          <w:tcPr>
            <w:tcW w:w="0" w:type="dxa"/>
            <w:vAlign w:val="bottom"/>
          </w:tcPr>
          <w:p>
            <w:pPr>
              <w:spacing w:after="0"/>
              <w:rPr>
                <w:sz w:val="1"/>
                <w:szCs w:val="1"/>
                <w:color w:val="auto"/>
              </w:rPr>
            </w:pPr>
          </w:p>
        </w:tc>
      </w:tr>
      <w:tr>
        <w:trPr>
          <w:trHeight w:val="207"/>
        </w:trPr>
        <w:tc>
          <w:tcPr>
            <w:tcW w:w="5860" w:type="dxa"/>
            <w:vAlign w:val="bottom"/>
            <w:shd w:val="clear" w:color="auto" w:fill="DBDBDB"/>
          </w:tcPr>
          <w:p>
            <w:pPr>
              <w:jc w:val="center"/>
              <w:spacing w:after="0"/>
              <w:rPr>
                <w:sz w:val="20"/>
                <w:szCs w:val="20"/>
                <w:color w:val="auto"/>
              </w:rPr>
            </w:pPr>
            <w:r>
              <w:rPr>
                <w:rFonts w:ascii="Arial" w:cs="Arial" w:eastAsia="Arial" w:hAnsi="Arial"/>
                <w:sz w:val="15"/>
                <w:szCs w:val="15"/>
                <w:color w:val="auto"/>
              </w:rPr>
              <w:t>Central Pension Fund of the IUOE &amp; Participating Employers</w:t>
            </w:r>
          </w:p>
        </w:tc>
        <w:tc>
          <w:tcPr>
            <w:tcW w:w="5380" w:type="dxa"/>
            <w:vAlign w:val="bottom"/>
            <w:shd w:val="clear" w:color="auto" w:fill="DBDBDB"/>
          </w:tcPr>
          <w:p>
            <w:pPr>
              <w:jc w:val="center"/>
              <w:ind w:left="23"/>
              <w:spacing w:after="0"/>
              <w:rPr>
                <w:sz w:val="20"/>
                <w:szCs w:val="20"/>
                <w:color w:val="auto"/>
              </w:rPr>
            </w:pPr>
            <w:r>
              <w:rPr>
                <w:rFonts w:ascii="Arial" w:cs="Arial" w:eastAsia="Arial" w:hAnsi="Arial"/>
                <w:sz w:val="15"/>
                <w:szCs w:val="15"/>
                <w:color w:val="auto"/>
              </w:rPr>
              <w:t>1/31/2025 and 1/31/2024</w:t>
            </w:r>
          </w:p>
        </w:tc>
        <w:tc>
          <w:tcPr>
            <w:tcW w:w="0" w:type="dxa"/>
            <w:vAlign w:val="bottom"/>
          </w:tcPr>
          <w:p>
            <w:pPr>
              <w:spacing w:after="0"/>
              <w:rPr>
                <w:sz w:val="1"/>
                <w:szCs w:val="1"/>
                <w:color w:val="auto"/>
              </w:rPr>
            </w:pPr>
          </w:p>
        </w:tc>
      </w:tr>
      <w:tr>
        <w:trPr>
          <w:trHeight w:val="205"/>
        </w:trPr>
        <w:tc>
          <w:tcPr>
            <w:tcW w:w="5860" w:type="dxa"/>
            <w:vAlign w:val="bottom"/>
          </w:tcPr>
          <w:p>
            <w:pPr>
              <w:jc w:val="center"/>
              <w:spacing w:after="0"/>
              <w:rPr>
                <w:sz w:val="20"/>
                <w:szCs w:val="20"/>
                <w:color w:val="auto"/>
              </w:rPr>
            </w:pPr>
            <w:r>
              <w:rPr>
                <w:rFonts w:ascii="Arial" w:cs="Arial" w:eastAsia="Arial" w:hAnsi="Arial"/>
                <w:sz w:val="15"/>
                <w:szCs w:val="15"/>
                <w:color w:val="auto"/>
              </w:rPr>
              <w:t>Contract Cleaners Service Employees' Pension Plan*</w:t>
            </w:r>
          </w:p>
        </w:tc>
        <w:tc>
          <w:tcPr>
            <w:tcW w:w="5380" w:type="dxa"/>
            <w:vAlign w:val="bottom"/>
          </w:tcPr>
          <w:p>
            <w:pPr>
              <w:jc w:val="center"/>
              <w:ind w:left="43"/>
              <w:spacing w:after="0"/>
              <w:rPr>
                <w:sz w:val="20"/>
                <w:szCs w:val="20"/>
                <w:color w:val="auto"/>
              </w:rPr>
            </w:pPr>
            <w:r>
              <w:rPr>
                <w:rFonts w:ascii="Arial" w:cs="Arial" w:eastAsia="Arial" w:hAnsi="Arial"/>
                <w:sz w:val="15"/>
                <w:szCs w:val="15"/>
                <w:color w:val="auto"/>
              </w:rPr>
              <w:t>12/31/2022</w:t>
            </w:r>
          </w:p>
        </w:tc>
        <w:tc>
          <w:tcPr>
            <w:tcW w:w="0" w:type="dxa"/>
            <w:vAlign w:val="bottom"/>
          </w:tcPr>
          <w:p>
            <w:pPr>
              <w:spacing w:after="0"/>
              <w:rPr>
                <w:sz w:val="1"/>
                <w:szCs w:val="1"/>
                <w:color w:val="auto"/>
              </w:rPr>
            </w:pPr>
          </w:p>
        </w:tc>
      </w:tr>
      <w:tr>
        <w:trPr>
          <w:trHeight w:val="207"/>
        </w:trPr>
        <w:tc>
          <w:tcPr>
            <w:tcW w:w="5860" w:type="dxa"/>
            <w:vAlign w:val="bottom"/>
            <w:shd w:val="clear" w:color="auto" w:fill="DBDBDB"/>
          </w:tcPr>
          <w:p>
            <w:pPr>
              <w:jc w:val="center"/>
              <w:spacing w:after="0"/>
              <w:rPr>
                <w:sz w:val="20"/>
                <w:szCs w:val="20"/>
                <w:color w:val="auto"/>
              </w:rPr>
            </w:pPr>
            <w:r>
              <w:rPr>
                <w:rFonts w:ascii="Arial" w:cs="Arial" w:eastAsia="Arial" w:hAnsi="Arial"/>
                <w:sz w:val="15"/>
                <w:szCs w:val="15"/>
                <w:color w:val="auto"/>
              </w:rPr>
              <w:t>IUOE Local 30 Pension Fund*</w:t>
            </w:r>
          </w:p>
        </w:tc>
        <w:tc>
          <w:tcPr>
            <w:tcW w:w="5380" w:type="dxa"/>
            <w:vAlign w:val="bottom"/>
            <w:shd w:val="clear" w:color="auto" w:fill="DBDBDB"/>
          </w:tcPr>
          <w:p>
            <w:pPr>
              <w:jc w:val="center"/>
              <w:ind w:left="43"/>
              <w:spacing w:after="0"/>
              <w:rPr>
                <w:sz w:val="20"/>
                <w:szCs w:val="20"/>
                <w:color w:val="auto"/>
              </w:rPr>
            </w:pPr>
            <w:r>
              <w:rPr>
                <w:rFonts w:ascii="Arial" w:cs="Arial" w:eastAsia="Arial" w:hAnsi="Arial"/>
                <w:sz w:val="15"/>
                <w:szCs w:val="15"/>
                <w:color w:val="auto"/>
              </w:rPr>
              <w:t>12/31/2024, 12/31/2023 and 12/31/2022</w:t>
            </w:r>
          </w:p>
        </w:tc>
        <w:tc>
          <w:tcPr>
            <w:tcW w:w="0" w:type="dxa"/>
            <w:vAlign w:val="bottom"/>
          </w:tcPr>
          <w:p>
            <w:pPr>
              <w:spacing w:after="0"/>
              <w:rPr>
                <w:sz w:val="1"/>
                <w:szCs w:val="1"/>
                <w:color w:val="auto"/>
              </w:rPr>
            </w:pPr>
          </w:p>
        </w:tc>
      </w:tr>
      <w:tr>
        <w:trPr>
          <w:trHeight w:val="205"/>
        </w:trPr>
        <w:tc>
          <w:tcPr>
            <w:tcW w:w="5860" w:type="dxa"/>
            <w:vAlign w:val="bottom"/>
          </w:tcPr>
          <w:p>
            <w:pPr>
              <w:jc w:val="center"/>
              <w:spacing w:after="0"/>
              <w:rPr>
                <w:sz w:val="20"/>
                <w:szCs w:val="20"/>
                <w:color w:val="auto"/>
              </w:rPr>
            </w:pPr>
            <w:r>
              <w:rPr>
                <w:rFonts w:ascii="Arial" w:cs="Arial" w:eastAsia="Arial" w:hAnsi="Arial"/>
                <w:sz w:val="15"/>
                <w:szCs w:val="15"/>
                <w:color w:val="auto"/>
              </w:rPr>
              <w:t>IUOE Stationary Engineers Local 39 Pension Plan</w:t>
            </w:r>
          </w:p>
        </w:tc>
        <w:tc>
          <w:tcPr>
            <w:tcW w:w="5380" w:type="dxa"/>
            <w:vAlign w:val="bottom"/>
          </w:tcPr>
          <w:p>
            <w:pPr>
              <w:jc w:val="center"/>
              <w:ind w:left="43"/>
              <w:spacing w:after="0"/>
              <w:rPr>
                <w:sz w:val="20"/>
                <w:szCs w:val="20"/>
                <w:color w:val="auto"/>
              </w:rPr>
            </w:pPr>
            <w:r>
              <w:rPr>
                <w:rFonts w:ascii="Arial" w:cs="Arial" w:eastAsia="Arial" w:hAnsi="Arial"/>
                <w:sz w:val="15"/>
                <w:szCs w:val="15"/>
                <w:color w:val="auto"/>
              </w:rPr>
              <w:t>12/31/2024, 12/31/2023, and 12/31/2022</w:t>
            </w:r>
          </w:p>
        </w:tc>
        <w:tc>
          <w:tcPr>
            <w:tcW w:w="0" w:type="dxa"/>
            <w:vAlign w:val="bottom"/>
          </w:tcPr>
          <w:p>
            <w:pPr>
              <w:spacing w:after="0"/>
              <w:rPr>
                <w:sz w:val="1"/>
                <w:szCs w:val="1"/>
                <w:color w:val="auto"/>
              </w:rPr>
            </w:pPr>
          </w:p>
        </w:tc>
      </w:tr>
      <w:tr>
        <w:trPr>
          <w:trHeight w:val="207"/>
        </w:trPr>
        <w:tc>
          <w:tcPr>
            <w:tcW w:w="5860" w:type="dxa"/>
            <w:vAlign w:val="bottom"/>
            <w:shd w:val="clear" w:color="auto" w:fill="DBDBDB"/>
          </w:tcPr>
          <w:p>
            <w:pPr>
              <w:jc w:val="center"/>
              <w:spacing w:after="0"/>
              <w:rPr>
                <w:sz w:val="20"/>
                <w:szCs w:val="20"/>
                <w:color w:val="auto"/>
              </w:rPr>
            </w:pPr>
            <w:r>
              <w:rPr>
                <w:rFonts w:ascii="Arial" w:cs="Arial" w:eastAsia="Arial" w:hAnsi="Arial"/>
                <w:sz w:val="15"/>
                <w:szCs w:val="15"/>
                <w:color w:val="auto"/>
              </w:rPr>
              <w:t>Local 210's Pension Plan*</w:t>
            </w:r>
          </w:p>
        </w:tc>
        <w:tc>
          <w:tcPr>
            <w:tcW w:w="5380" w:type="dxa"/>
            <w:vAlign w:val="bottom"/>
            <w:shd w:val="clear" w:color="auto" w:fill="DBDBDB"/>
          </w:tcPr>
          <w:p>
            <w:pPr>
              <w:jc w:val="center"/>
              <w:ind w:left="43"/>
              <w:spacing w:after="0"/>
              <w:rPr>
                <w:sz w:val="20"/>
                <w:szCs w:val="20"/>
                <w:color w:val="auto"/>
              </w:rPr>
            </w:pPr>
            <w:r>
              <w:rPr>
                <w:rFonts w:ascii="Arial" w:cs="Arial" w:eastAsia="Arial" w:hAnsi="Arial"/>
                <w:sz w:val="15"/>
                <w:szCs w:val="15"/>
                <w:color w:val="auto"/>
              </w:rPr>
              <w:t>12/31/2024, 12/31/2023, and 12/31/2022</w:t>
            </w:r>
          </w:p>
        </w:tc>
        <w:tc>
          <w:tcPr>
            <w:tcW w:w="0" w:type="dxa"/>
            <w:vAlign w:val="bottom"/>
          </w:tcPr>
          <w:p>
            <w:pPr>
              <w:spacing w:after="0"/>
              <w:rPr>
                <w:sz w:val="1"/>
                <w:szCs w:val="1"/>
                <w:color w:val="auto"/>
              </w:rPr>
            </w:pPr>
          </w:p>
        </w:tc>
      </w:tr>
      <w:tr>
        <w:trPr>
          <w:trHeight w:val="205"/>
        </w:trPr>
        <w:tc>
          <w:tcPr>
            <w:tcW w:w="5860" w:type="dxa"/>
            <w:vAlign w:val="bottom"/>
          </w:tcPr>
          <w:p>
            <w:pPr>
              <w:jc w:val="center"/>
              <w:spacing w:after="0"/>
              <w:rPr>
                <w:sz w:val="20"/>
                <w:szCs w:val="20"/>
                <w:color w:val="auto"/>
              </w:rPr>
            </w:pPr>
            <w:r>
              <w:rPr>
                <w:rFonts w:ascii="Arial" w:cs="Arial" w:eastAsia="Arial" w:hAnsi="Arial"/>
                <w:sz w:val="15"/>
                <w:szCs w:val="15"/>
                <w:color w:val="auto"/>
              </w:rPr>
              <w:t>Local 670 Pension Plan*</w:t>
            </w:r>
          </w:p>
        </w:tc>
        <w:tc>
          <w:tcPr>
            <w:tcW w:w="5380" w:type="dxa"/>
            <w:vAlign w:val="bottom"/>
          </w:tcPr>
          <w:p>
            <w:pPr>
              <w:jc w:val="center"/>
              <w:ind w:left="43"/>
              <w:spacing w:after="0"/>
              <w:rPr>
                <w:sz w:val="20"/>
                <w:szCs w:val="20"/>
                <w:color w:val="auto"/>
              </w:rPr>
            </w:pPr>
            <w:r>
              <w:rPr>
                <w:rFonts w:ascii="Arial" w:cs="Arial" w:eastAsia="Arial" w:hAnsi="Arial"/>
                <w:sz w:val="15"/>
                <w:szCs w:val="15"/>
                <w:color w:val="auto"/>
              </w:rPr>
              <w:t>12/31/2024, 12/31/2023, and 12/31/2022</w:t>
            </w:r>
          </w:p>
        </w:tc>
        <w:tc>
          <w:tcPr>
            <w:tcW w:w="0" w:type="dxa"/>
            <w:vAlign w:val="bottom"/>
          </w:tcPr>
          <w:p>
            <w:pPr>
              <w:spacing w:after="0"/>
              <w:rPr>
                <w:sz w:val="1"/>
                <w:szCs w:val="1"/>
                <w:color w:val="auto"/>
              </w:rPr>
            </w:pPr>
          </w:p>
        </w:tc>
      </w:tr>
      <w:tr>
        <w:trPr>
          <w:trHeight w:val="207"/>
        </w:trPr>
        <w:tc>
          <w:tcPr>
            <w:tcW w:w="5860" w:type="dxa"/>
            <w:vAlign w:val="bottom"/>
            <w:shd w:val="clear" w:color="auto" w:fill="DBDBDB"/>
          </w:tcPr>
          <w:p>
            <w:pPr>
              <w:jc w:val="center"/>
              <w:spacing w:after="0"/>
              <w:rPr>
                <w:sz w:val="20"/>
                <w:szCs w:val="20"/>
                <w:color w:val="auto"/>
              </w:rPr>
            </w:pPr>
            <w:r>
              <w:rPr>
                <w:rFonts w:ascii="Arial" w:cs="Arial" w:eastAsia="Arial" w:hAnsi="Arial"/>
                <w:sz w:val="15"/>
                <w:szCs w:val="15"/>
                <w:color w:val="auto"/>
              </w:rPr>
              <w:t>Local 68 Engineers Union Pension Plan*</w:t>
            </w:r>
          </w:p>
        </w:tc>
        <w:tc>
          <w:tcPr>
            <w:tcW w:w="5380" w:type="dxa"/>
            <w:vAlign w:val="bottom"/>
            <w:shd w:val="clear" w:color="auto" w:fill="DBDBDB"/>
          </w:tcPr>
          <w:p>
            <w:pPr>
              <w:jc w:val="center"/>
              <w:ind w:left="43"/>
              <w:spacing w:after="0"/>
              <w:rPr>
                <w:sz w:val="20"/>
                <w:szCs w:val="20"/>
                <w:color w:val="auto"/>
              </w:rPr>
            </w:pPr>
            <w:r>
              <w:rPr>
                <w:rFonts w:ascii="Arial" w:cs="Arial" w:eastAsia="Arial" w:hAnsi="Arial"/>
                <w:sz w:val="15"/>
                <w:szCs w:val="15"/>
                <w:color w:val="auto"/>
              </w:rPr>
              <w:t>6/30/2024 and 06/30/2023</w:t>
            </w:r>
          </w:p>
        </w:tc>
        <w:tc>
          <w:tcPr>
            <w:tcW w:w="0" w:type="dxa"/>
            <w:vAlign w:val="bottom"/>
          </w:tcPr>
          <w:p>
            <w:pPr>
              <w:spacing w:after="0"/>
              <w:rPr>
                <w:sz w:val="1"/>
                <w:szCs w:val="1"/>
                <w:color w:val="auto"/>
              </w:rPr>
            </w:pPr>
          </w:p>
        </w:tc>
      </w:tr>
      <w:tr>
        <w:trPr>
          <w:trHeight w:val="205"/>
        </w:trPr>
        <w:tc>
          <w:tcPr>
            <w:tcW w:w="5860" w:type="dxa"/>
            <w:vAlign w:val="bottom"/>
          </w:tcPr>
          <w:p>
            <w:pPr>
              <w:jc w:val="center"/>
              <w:spacing w:after="0"/>
              <w:rPr>
                <w:sz w:val="20"/>
                <w:szCs w:val="20"/>
                <w:color w:val="auto"/>
              </w:rPr>
            </w:pPr>
            <w:r>
              <w:rPr>
                <w:rFonts w:ascii="Arial" w:cs="Arial" w:eastAsia="Arial" w:hAnsi="Arial"/>
                <w:sz w:val="15"/>
                <w:szCs w:val="15"/>
                <w:color w:val="auto"/>
              </w:rPr>
              <w:t>Local 74 USWU Pension Fund*</w:t>
            </w:r>
          </w:p>
        </w:tc>
        <w:tc>
          <w:tcPr>
            <w:tcW w:w="5380" w:type="dxa"/>
            <w:vAlign w:val="bottom"/>
          </w:tcPr>
          <w:p>
            <w:pPr>
              <w:jc w:val="center"/>
              <w:ind w:left="43"/>
              <w:spacing w:after="0"/>
              <w:rPr>
                <w:sz w:val="20"/>
                <w:szCs w:val="20"/>
                <w:color w:val="auto"/>
              </w:rPr>
            </w:pPr>
            <w:r>
              <w:rPr>
                <w:rFonts w:ascii="Arial" w:cs="Arial" w:eastAsia="Arial" w:hAnsi="Arial"/>
                <w:sz w:val="15"/>
                <w:szCs w:val="15"/>
                <w:color w:val="auto"/>
              </w:rPr>
              <w:t>12/31/2024, 12/31/2023, and 12/31/2022</w:t>
            </w:r>
          </w:p>
        </w:tc>
        <w:tc>
          <w:tcPr>
            <w:tcW w:w="0" w:type="dxa"/>
            <w:vAlign w:val="bottom"/>
          </w:tcPr>
          <w:p>
            <w:pPr>
              <w:spacing w:after="0"/>
              <w:rPr>
                <w:sz w:val="1"/>
                <w:szCs w:val="1"/>
                <w:color w:val="auto"/>
              </w:rPr>
            </w:pPr>
          </w:p>
        </w:tc>
      </w:tr>
      <w:tr>
        <w:trPr>
          <w:trHeight w:val="207"/>
        </w:trPr>
        <w:tc>
          <w:tcPr>
            <w:tcW w:w="5860" w:type="dxa"/>
            <w:vAlign w:val="bottom"/>
            <w:shd w:val="clear" w:color="auto" w:fill="DBDBDB"/>
          </w:tcPr>
          <w:p>
            <w:pPr>
              <w:jc w:val="center"/>
              <w:spacing w:after="0"/>
              <w:rPr>
                <w:sz w:val="20"/>
                <w:szCs w:val="20"/>
                <w:color w:val="auto"/>
              </w:rPr>
            </w:pPr>
            <w:r>
              <w:rPr>
                <w:rFonts w:ascii="Arial" w:cs="Arial" w:eastAsia="Arial" w:hAnsi="Arial"/>
                <w:sz w:val="15"/>
                <w:szCs w:val="15"/>
                <w:color w:val="auto"/>
              </w:rPr>
              <w:t>Local 808 IBT Pension Fund*</w:t>
            </w:r>
          </w:p>
        </w:tc>
        <w:tc>
          <w:tcPr>
            <w:tcW w:w="5380" w:type="dxa"/>
            <w:vAlign w:val="bottom"/>
            <w:shd w:val="clear" w:color="auto" w:fill="DBDBDB"/>
          </w:tcPr>
          <w:p>
            <w:pPr>
              <w:jc w:val="center"/>
              <w:ind w:left="23"/>
              <w:spacing w:after="0"/>
              <w:rPr>
                <w:sz w:val="20"/>
                <w:szCs w:val="20"/>
                <w:color w:val="auto"/>
              </w:rPr>
            </w:pPr>
            <w:r>
              <w:rPr>
                <w:rFonts w:ascii="Arial" w:cs="Arial" w:eastAsia="Arial" w:hAnsi="Arial"/>
                <w:sz w:val="15"/>
                <w:szCs w:val="15"/>
                <w:color w:val="auto"/>
              </w:rPr>
              <w:t>9/30/2024 and 9/30/2023</w:t>
            </w:r>
          </w:p>
        </w:tc>
        <w:tc>
          <w:tcPr>
            <w:tcW w:w="0" w:type="dxa"/>
            <w:vAlign w:val="bottom"/>
          </w:tcPr>
          <w:p>
            <w:pPr>
              <w:spacing w:after="0"/>
              <w:rPr>
                <w:sz w:val="1"/>
                <w:szCs w:val="1"/>
                <w:color w:val="auto"/>
              </w:rPr>
            </w:pPr>
          </w:p>
        </w:tc>
      </w:tr>
      <w:tr>
        <w:trPr>
          <w:trHeight w:val="205"/>
        </w:trPr>
        <w:tc>
          <w:tcPr>
            <w:tcW w:w="5860" w:type="dxa"/>
            <w:vAlign w:val="bottom"/>
          </w:tcPr>
          <w:p>
            <w:pPr>
              <w:jc w:val="center"/>
              <w:spacing w:after="0"/>
              <w:rPr>
                <w:sz w:val="20"/>
                <w:szCs w:val="20"/>
                <w:color w:val="auto"/>
              </w:rPr>
            </w:pPr>
            <w:r>
              <w:rPr>
                <w:rFonts w:ascii="Arial" w:cs="Arial" w:eastAsia="Arial" w:hAnsi="Arial"/>
                <w:sz w:val="15"/>
                <w:szCs w:val="15"/>
                <w:color w:val="auto"/>
              </w:rPr>
              <w:t>Massachusetts Service Employees Pension Plan*</w:t>
            </w:r>
          </w:p>
        </w:tc>
        <w:tc>
          <w:tcPr>
            <w:tcW w:w="5380" w:type="dxa"/>
            <w:vAlign w:val="bottom"/>
          </w:tcPr>
          <w:p>
            <w:pPr>
              <w:jc w:val="center"/>
              <w:ind w:left="43"/>
              <w:spacing w:after="0"/>
              <w:rPr>
                <w:sz w:val="20"/>
                <w:szCs w:val="20"/>
                <w:color w:val="auto"/>
              </w:rPr>
            </w:pPr>
            <w:r>
              <w:rPr>
                <w:rFonts w:ascii="Arial" w:cs="Arial" w:eastAsia="Arial" w:hAnsi="Arial"/>
                <w:sz w:val="15"/>
                <w:szCs w:val="15"/>
                <w:color w:val="auto"/>
              </w:rPr>
              <w:t>12/31/2023 and 12/31/2022</w:t>
            </w:r>
          </w:p>
        </w:tc>
        <w:tc>
          <w:tcPr>
            <w:tcW w:w="0" w:type="dxa"/>
            <w:vAlign w:val="bottom"/>
          </w:tcPr>
          <w:p>
            <w:pPr>
              <w:spacing w:after="0"/>
              <w:rPr>
                <w:sz w:val="1"/>
                <w:szCs w:val="1"/>
                <w:color w:val="auto"/>
              </w:rPr>
            </w:pPr>
          </w:p>
        </w:tc>
      </w:tr>
      <w:tr>
        <w:trPr>
          <w:trHeight w:val="207"/>
        </w:trPr>
        <w:tc>
          <w:tcPr>
            <w:tcW w:w="5860" w:type="dxa"/>
            <w:vAlign w:val="bottom"/>
            <w:shd w:val="clear" w:color="auto" w:fill="DBDBDB"/>
          </w:tcPr>
          <w:p>
            <w:pPr>
              <w:jc w:val="center"/>
              <w:spacing w:after="0"/>
              <w:rPr>
                <w:sz w:val="20"/>
                <w:szCs w:val="20"/>
                <w:color w:val="auto"/>
              </w:rPr>
            </w:pPr>
            <w:r>
              <w:rPr>
                <w:rFonts w:ascii="Arial" w:cs="Arial" w:eastAsia="Arial" w:hAnsi="Arial"/>
                <w:sz w:val="15"/>
                <w:szCs w:val="15"/>
                <w:color w:val="auto"/>
              </w:rPr>
              <w:t>S.E.I.U National Industry Pension Fund</w:t>
            </w:r>
          </w:p>
        </w:tc>
        <w:tc>
          <w:tcPr>
            <w:tcW w:w="5380" w:type="dxa"/>
            <w:vAlign w:val="bottom"/>
            <w:shd w:val="clear" w:color="auto" w:fill="DBDBDB"/>
          </w:tcPr>
          <w:p>
            <w:pPr>
              <w:jc w:val="center"/>
              <w:ind w:left="43"/>
              <w:spacing w:after="0"/>
              <w:rPr>
                <w:sz w:val="20"/>
                <w:szCs w:val="20"/>
                <w:color w:val="auto"/>
              </w:rPr>
            </w:pPr>
            <w:r>
              <w:rPr>
                <w:rFonts w:ascii="Arial" w:cs="Arial" w:eastAsia="Arial" w:hAnsi="Arial"/>
                <w:sz w:val="15"/>
                <w:szCs w:val="15"/>
                <w:color w:val="auto"/>
              </w:rPr>
              <w:t>12/31/2024, 12/31/2023, and 12/31/2022</w:t>
            </w:r>
          </w:p>
        </w:tc>
        <w:tc>
          <w:tcPr>
            <w:tcW w:w="0" w:type="dxa"/>
            <w:vAlign w:val="bottom"/>
          </w:tcPr>
          <w:p>
            <w:pPr>
              <w:spacing w:after="0"/>
              <w:rPr>
                <w:sz w:val="1"/>
                <w:szCs w:val="1"/>
                <w:color w:val="auto"/>
              </w:rPr>
            </w:pPr>
          </w:p>
        </w:tc>
      </w:tr>
      <w:tr>
        <w:trPr>
          <w:trHeight w:val="205"/>
        </w:trPr>
        <w:tc>
          <w:tcPr>
            <w:tcW w:w="5860" w:type="dxa"/>
            <w:vAlign w:val="bottom"/>
          </w:tcPr>
          <w:p>
            <w:pPr>
              <w:jc w:val="center"/>
              <w:spacing w:after="0"/>
              <w:rPr>
                <w:sz w:val="20"/>
                <w:szCs w:val="20"/>
                <w:color w:val="auto"/>
              </w:rPr>
            </w:pPr>
            <w:r>
              <w:rPr>
                <w:rFonts w:ascii="Arial" w:cs="Arial" w:eastAsia="Arial" w:hAnsi="Arial"/>
                <w:sz w:val="15"/>
                <w:szCs w:val="15"/>
                <w:color w:val="auto"/>
              </w:rPr>
              <w:t>SEIU Local 1 &amp; Participating Employers Pension Trust</w:t>
            </w:r>
          </w:p>
        </w:tc>
        <w:tc>
          <w:tcPr>
            <w:tcW w:w="5380" w:type="dxa"/>
            <w:vAlign w:val="bottom"/>
          </w:tcPr>
          <w:p>
            <w:pPr>
              <w:jc w:val="center"/>
              <w:ind w:left="43"/>
              <w:spacing w:after="0"/>
              <w:rPr>
                <w:sz w:val="20"/>
                <w:szCs w:val="20"/>
                <w:color w:val="auto"/>
              </w:rPr>
            </w:pPr>
            <w:r>
              <w:rPr>
                <w:rFonts w:ascii="Arial" w:cs="Arial" w:eastAsia="Arial" w:hAnsi="Arial"/>
                <w:sz w:val="15"/>
                <w:szCs w:val="15"/>
                <w:color w:val="auto"/>
              </w:rPr>
              <w:t>9/30/2024, 9/30/2023, and 9/30/2022</w:t>
            </w:r>
          </w:p>
        </w:tc>
        <w:tc>
          <w:tcPr>
            <w:tcW w:w="0" w:type="dxa"/>
            <w:vAlign w:val="bottom"/>
          </w:tcPr>
          <w:p>
            <w:pPr>
              <w:spacing w:after="0"/>
              <w:rPr>
                <w:sz w:val="1"/>
                <w:szCs w:val="1"/>
                <w:color w:val="auto"/>
              </w:rPr>
            </w:pPr>
          </w:p>
        </w:tc>
      </w:tr>
      <w:tr>
        <w:trPr>
          <w:trHeight w:val="207"/>
        </w:trPr>
        <w:tc>
          <w:tcPr>
            <w:tcW w:w="5860" w:type="dxa"/>
            <w:vAlign w:val="bottom"/>
            <w:shd w:val="clear" w:color="auto" w:fill="DBDBDB"/>
          </w:tcPr>
          <w:p>
            <w:pPr>
              <w:jc w:val="center"/>
              <w:spacing w:after="0"/>
              <w:rPr>
                <w:sz w:val="20"/>
                <w:szCs w:val="20"/>
                <w:color w:val="auto"/>
              </w:rPr>
            </w:pPr>
            <w:r>
              <w:rPr>
                <w:rFonts w:ascii="Arial" w:cs="Arial" w:eastAsia="Arial" w:hAnsi="Arial"/>
                <w:sz w:val="15"/>
                <w:szCs w:val="15"/>
                <w:color w:val="auto"/>
              </w:rPr>
              <w:t>Service Employees International Union Local 1 Cleveland Pension Plan*</w:t>
            </w:r>
          </w:p>
        </w:tc>
        <w:tc>
          <w:tcPr>
            <w:tcW w:w="5380" w:type="dxa"/>
            <w:vAlign w:val="bottom"/>
            <w:shd w:val="clear" w:color="auto" w:fill="DBDBDB"/>
          </w:tcPr>
          <w:p>
            <w:pPr>
              <w:jc w:val="center"/>
              <w:ind w:left="43"/>
              <w:spacing w:after="0"/>
              <w:rPr>
                <w:sz w:val="20"/>
                <w:szCs w:val="20"/>
                <w:color w:val="auto"/>
              </w:rPr>
            </w:pPr>
            <w:r>
              <w:rPr>
                <w:rFonts w:ascii="Arial" w:cs="Arial" w:eastAsia="Arial" w:hAnsi="Arial"/>
                <w:sz w:val="15"/>
                <w:szCs w:val="15"/>
                <w:color w:val="auto"/>
              </w:rPr>
              <w:t>12/31/2024, 12/31/2023, and 12/31/2022</w:t>
            </w:r>
          </w:p>
        </w:tc>
        <w:tc>
          <w:tcPr>
            <w:tcW w:w="0" w:type="dxa"/>
            <w:vAlign w:val="bottom"/>
          </w:tcPr>
          <w:p>
            <w:pPr>
              <w:spacing w:after="0"/>
              <w:rPr>
                <w:sz w:val="1"/>
                <w:szCs w:val="1"/>
                <w:color w:val="auto"/>
              </w:rPr>
            </w:pPr>
          </w:p>
        </w:tc>
      </w:tr>
      <w:tr>
        <w:trPr>
          <w:trHeight w:val="155"/>
        </w:trPr>
        <w:tc>
          <w:tcPr>
            <w:tcW w:w="5860" w:type="dxa"/>
            <w:vAlign w:val="bottom"/>
          </w:tcPr>
          <w:p>
            <w:pPr>
              <w:jc w:val="center"/>
              <w:spacing w:after="0" w:line="156" w:lineRule="exact"/>
              <w:rPr>
                <w:sz w:val="20"/>
                <w:szCs w:val="20"/>
                <w:color w:val="auto"/>
              </w:rPr>
            </w:pPr>
            <w:r>
              <w:rPr>
                <w:rFonts w:ascii="Arial" w:cs="Arial" w:eastAsia="Arial" w:hAnsi="Arial"/>
                <w:sz w:val="15"/>
                <w:szCs w:val="15"/>
                <w:color w:val="auto"/>
              </w:rPr>
              <w:t>Service Employees International Union Local 32BJ, District 36 Building Operators</w:t>
            </w:r>
          </w:p>
        </w:tc>
        <w:tc>
          <w:tcPr>
            <w:tcW w:w="5380" w:type="dxa"/>
            <w:vAlign w:val="bottom"/>
            <w:vMerge w:val="restart"/>
          </w:tcPr>
          <w:p>
            <w:pPr>
              <w:jc w:val="center"/>
              <w:ind w:left="43"/>
              <w:spacing w:after="0"/>
              <w:rPr>
                <w:sz w:val="20"/>
                <w:szCs w:val="20"/>
                <w:color w:val="auto"/>
              </w:rPr>
            </w:pPr>
            <w:r>
              <w:rPr>
                <w:rFonts w:ascii="Arial" w:cs="Arial" w:eastAsia="Arial" w:hAnsi="Arial"/>
                <w:sz w:val="15"/>
                <w:szCs w:val="15"/>
                <w:color w:val="auto"/>
              </w:rPr>
              <w:t>12/31/2024, 12/31/2023, and 12/31/2022</w:t>
            </w:r>
          </w:p>
        </w:tc>
        <w:tc>
          <w:tcPr>
            <w:tcW w:w="0" w:type="dxa"/>
            <w:vAlign w:val="bottom"/>
          </w:tcPr>
          <w:p>
            <w:pPr>
              <w:spacing w:after="0"/>
              <w:rPr>
                <w:sz w:val="1"/>
                <w:szCs w:val="1"/>
                <w:color w:val="auto"/>
              </w:rPr>
            </w:pPr>
          </w:p>
        </w:tc>
      </w:tr>
      <w:tr>
        <w:trPr>
          <w:trHeight w:val="205"/>
        </w:trPr>
        <w:tc>
          <w:tcPr>
            <w:tcW w:w="5860" w:type="dxa"/>
            <w:vAlign w:val="bottom"/>
          </w:tcPr>
          <w:p>
            <w:pPr>
              <w:jc w:val="center"/>
              <w:spacing w:after="0"/>
              <w:rPr>
                <w:sz w:val="20"/>
                <w:szCs w:val="20"/>
                <w:color w:val="auto"/>
              </w:rPr>
            </w:pPr>
            <w:r>
              <w:rPr>
                <w:rFonts w:ascii="Arial" w:cs="Arial" w:eastAsia="Arial" w:hAnsi="Arial"/>
                <w:sz w:val="15"/>
                <w:szCs w:val="15"/>
                <w:color w:val="auto"/>
              </w:rPr>
              <w:t>Pension Trust Fund*</w:t>
            </w:r>
          </w:p>
        </w:tc>
        <w:tc>
          <w:tcPr>
            <w:tcW w:w="53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860" w:type="dxa"/>
            <w:vAlign w:val="bottom"/>
            <w:shd w:val="clear" w:color="auto" w:fill="DBDBDB"/>
          </w:tcPr>
          <w:p>
            <w:pPr>
              <w:jc w:val="center"/>
              <w:spacing w:after="0"/>
              <w:rPr>
                <w:sz w:val="20"/>
                <w:szCs w:val="20"/>
                <w:color w:val="auto"/>
              </w:rPr>
            </w:pPr>
            <w:r>
              <w:rPr>
                <w:rFonts w:ascii="Arial" w:cs="Arial" w:eastAsia="Arial" w:hAnsi="Arial"/>
                <w:sz w:val="15"/>
                <w:szCs w:val="15"/>
                <w:color w:val="auto"/>
              </w:rPr>
              <w:t>Teamsters Local 617 Pension Fund*</w:t>
            </w:r>
          </w:p>
        </w:tc>
        <w:tc>
          <w:tcPr>
            <w:tcW w:w="5380" w:type="dxa"/>
            <w:vAlign w:val="bottom"/>
            <w:shd w:val="clear" w:color="auto" w:fill="DBDBDB"/>
          </w:tcPr>
          <w:p>
            <w:pPr>
              <w:jc w:val="center"/>
              <w:ind w:left="43"/>
              <w:spacing w:after="0"/>
              <w:rPr>
                <w:sz w:val="20"/>
                <w:szCs w:val="20"/>
                <w:color w:val="auto"/>
              </w:rPr>
            </w:pPr>
            <w:r>
              <w:rPr>
                <w:rFonts w:ascii="Arial" w:cs="Arial" w:eastAsia="Arial" w:hAnsi="Arial"/>
                <w:sz w:val="15"/>
                <w:szCs w:val="15"/>
                <w:color w:val="auto"/>
              </w:rPr>
              <w:t>2/28/2025, 2/29/2024, and 2/28/2023</w:t>
            </w:r>
          </w:p>
        </w:tc>
        <w:tc>
          <w:tcPr>
            <w:tcW w:w="0" w:type="dxa"/>
            <w:vAlign w:val="bottom"/>
          </w:tcPr>
          <w:p>
            <w:pPr>
              <w:spacing w:after="0"/>
              <w:rPr>
                <w:sz w:val="1"/>
                <w:szCs w:val="1"/>
                <w:color w:val="auto"/>
              </w:rPr>
            </w:pPr>
          </w:p>
        </w:tc>
      </w:tr>
      <w:tr>
        <w:trPr>
          <w:trHeight w:val="205"/>
        </w:trPr>
        <w:tc>
          <w:tcPr>
            <w:tcW w:w="5860" w:type="dxa"/>
            <w:vAlign w:val="bottom"/>
          </w:tcPr>
          <w:p>
            <w:pPr>
              <w:jc w:val="center"/>
              <w:spacing w:after="0"/>
              <w:rPr>
                <w:sz w:val="20"/>
                <w:szCs w:val="20"/>
                <w:color w:val="auto"/>
              </w:rPr>
            </w:pPr>
            <w:r>
              <w:rPr>
                <w:rFonts w:ascii="Arial" w:cs="Arial" w:eastAsia="Arial" w:hAnsi="Arial"/>
                <w:sz w:val="15"/>
                <w:szCs w:val="15"/>
                <w:color w:val="auto"/>
              </w:rPr>
              <w:t>Teamsters Local Union No. 727 Pension Plan*</w:t>
            </w:r>
          </w:p>
        </w:tc>
        <w:tc>
          <w:tcPr>
            <w:tcW w:w="5380" w:type="dxa"/>
            <w:vAlign w:val="bottom"/>
          </w:tcPr>
          <w:p>
            <w:pPr>
              <w:jc w:val="center"/>
              <w:ind w:left="43"/>
              <w:spacing w:after="0"/>
              <w:rPr>
                <w:sz w:val="20"/>
                <w:szCs w:val="20"/>
                <w:color w:val="auto"/>
              </w:rPr>
            </w:pPr>
            <w:r>
              <w:rPr>
                <w:rFonts w:ascii="Arial" w:cs="Arial" w:eastAsia="Arial" w:hAnsi="Arial"/>
                <w:sz w:val="15"/>
                <w:szCs w:val="15"/>
                <w:color w:val="auto"/>
              </w:rPr>
              <w:t>2/28/2025, 2/29/2024, and 2/28/2023</w:t>
            </w:r>
          </w:p>
        </w:tc>
        <w:tc>
          <w:tcPr>
            <w:tcW w:w="0" w:type="dxa"/>
            <w:vAlign w:val="bottom"/>
          </w:tcPr>
          <w:p>
            <w:pPr>
              <w:spacing w:after="0"/>
              <w:rPr>
                <w:sz w:val="1"/>
                <w:szCs w:val="1"/>
                <w:color w:val="auto"/>
              </w:rPr>
            </w:pPr>
          </w:p>
        </w:tc>
      </w:tr>
    </w:tbl>
    <w:p>
      <w:pPr>
        <w:spacing w:after="0" w:line="61" w:lineRule="exact"/>
        <w:rPr>
          <w:sz w:val="20"/>
          <w:szCs w:val="20"/>
          <w:color w:val="auto"/>
        </w:rPr>
      </w:pPr>
    </w:p>
    <w:p>
      <w:pPr>
        <w:spacing w:after="0"/>
        <w:rPr>
          <w:sz w:val="20"/>
          <w:szCs w:val="20"/>
          <w:color w:val="auto"/>
        </w:rPr>
      </w:pPr>
      <w:r>
        <w:rPr>
          <w:rFonts w:ascii="Arial" w:cs="Arial" w:eastAsia="Arial" w:hAnsi="Arial"/>
          <w:sz w:val="12"/>
          <w:szCs w:val="12"/>
          <w:color w:val="auto"/>
        </w:rPr>
        <w:t>* These plans are not separately listed in our multiemployer table as they represent an insignificant portion of our total multiemployer pension plan contributions.</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46AD"/>
        </w:rPr>
        <w:t>Multiemployer Defined Contribution Plans</w:t>
      </w:r>
    </w:p>
    <w:p>
      <w:pPr>
        <w:spacing w:after="0" w:line="165"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17"/>
          <w:szCs w:val="17"/>
          <w:color w:val="auto"/>
        </w:rPr>
        <w:t>In addition to contributions noted above, we also make contributions to multiemployer defined contribution plans. During 2025, 2024, and 2023, our contributions to the defined contribution plans were $59.0 million, $54.5 million, and $59.2 million, respectively.</w:t>
      </w:r>
    </w:p>
    <w:p>
      <w:pPr>
        <w:spacing w:after="0" w:line="9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46AD"/>
        </w:rPr>
        <w:t>Other Multiemployer Benefit Plans</w:t>
      </w:r>
    </w:p>
    <w:p>
      <w:pPr>
        <w:spacing w:after="0" w:line="165"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We also contribute to several multiemployer postretirement health and welfare plans based on obligations arising under collective bargaining agreements covering union-represented employees. These plans may provide medical, pharmacy, dental, vision, mental health, and other benefits to employees as determined by the trustees of each plan. The majority of our contributions benefit active employees and, as such, may not constitute contributions to a postretirement benefit plan. However, since we are unable to separate contribution amounts to postretirement benefit plans from contribution amounts paid to benefit active employees, we categorize all such amounts as contributions to postretirement benefit plans. During 2025, 2024, and 2023, our contributions to such plans were $446.7 million, $434.1 million, and $441.8 million, respectively. There have been no significant changes that affect the comparability of total contributions for any of the periods presented.</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69" w:right="339" w:bottom="1440" w:gutter="0" w:footer="0" w:header="0"/>
        </w:sectPr>
      </w:pPr>
    </w:p>
    <w:bookmarkStart w:id="80" w:name="page81"/>
    <w:bookmarkEnd w:id="80"/>
    <w:p>
      <w:pPr>
        <w:spacing w:after="0"/>
        <w:rPr>
          <w:sz w:val="20"/>
          <w:szCs w:val="20"/>
          <w:color w:val="auto"/>
        </w:rPr>
      </w:pPr>
      <w:r>
        <w:rPr>
          <w:rFonts w:ascii="Arial" w:cs="Arial" w:eastAsia="Arial" w:hAnsi="Arial"/>
          <w:sz w:val="17"/>
          <w:szCs w:val="17"/>
          <w:b w:val="1"/>
          <w:bCs w:val="1"/>
          <w:color w:val="0046AD"/>
        </w:rPr>
        <w:t>14. COMMITMENTS AND CONTINGENCIES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wp:posOffset>
            </wp:positionV>
            <wp:extent cx="712216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22160" cy="8255"/>
                    </a:xfrm>
                    <a:prstGeom prst="rect">
                      <a:avLst/>
                    </a:prstGeom>
                    <a:noFill/>
                  </pic:spPr>
                </pic:pic>
              </a:graphicData>
            </a:graphic>
          </wp:anchor>
        </w:drawing>
      </w:r>
    </w:p>
    <w:p>
      <w:pPr>
        <w:spacing w:after="0" w:line="365"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Letters of Credit and Surety Bonds</w:t>
      </w:r>
    </w:p>
    <w:p>
      <w:pPr>
        <w:spacing w:after="0" w:line="168"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17"/>
          <w:szCs w:val="17"/>
          <w:color w:val="auto"/>
        </w:rPr>
        <w:t>We use letters of credit and surety bonds to secure certain commitments related to insurance programs and for other purposes. As of October 31, 2025, these letters of credit totaled $23.5 million, and surety bonds and surety-backed letters of credit totaled $1,026.6 million.</w:t>
      </w:r>
    </w:p>
    <w:p>
      <w:pPr>
        <w:spacing w:after="0" w:line="93"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Guarantees</w:t>
      </w:r>
    </w:p>
    <w:p>
      <w:pPr>
        <w:spacing w:after="0" w:line="168"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In some instances, we offer clients guaranteed energy savings under certain energy savings contracts. At October 31, 2025 and 2024, total guarantees were $ 214.3 million and $224.2 million, respectively, and these guarantees extend through 2045 and 2044, respectively. We accrue for the estimated cost of guarantees when it is probable that a liability has been incurred and the amount can be reasonably estimated. Historically, we have not incurred any material losses in connection with these guarantees.</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Indemnifications</w:t>
      </w:r>
    </w:p>
    <w:p>
      <w:pPr>
        <w:spacing w:after="0" w:line="168"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We are party to a variety of agreements under which we may be obligated to indemnify the other party for certain matters. These agreements are primarily standard indemnification arrangements entered into in our ordinary course of business. Pursuant to these arrangements, we may agree to indemnify, hold harmless, and reimburse the indemnified parties for losses suffered or incurred by the indemnified party, generally our clients, in connection with any claims arising out of the services that we provide. We also incur costs to defend lawsuits or settle claims related to these indemnification arrangements, and in most cases these costs are paid from our insurance program. Although we attempt to place limits on such indemnification arrangements related to the size of the contract, the maximum obligation may not be explicitly stated and, as a result, we are unable to determine the maximum potential amount of future payments we could be required to make under these arrangements.</w:t>
      </w:r>
    </w:p>
    <w:p>
      <w:pPr>
        <w:spacing w:after="0" w:line="122"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17"/>
          <w:szCs w:val="17"/>
          <w:color w:val="auto"/>
        </w:rPr>
        <w:t>Our certificate of incorporation and bylaws may require us to indemnify our directors and officers for certain liabilities that were incurred as a result of their status or service to ABM as a director or officer. The amount of these obligations cannot be reasonably estimated.</w:t>
      </w:r>
    </w:p>
    <w:p>
      <w:pPr>
        <w:spacing w:after="0" w:line="93"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Legal Matters</w:t>
      </w:r>
    </w:p>
    <w:p>
      <w:pPr>
        <w:spacing w:after="0" w:line="168"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7"/>
          <w:szCs w:val="17"/>
          <w:color w:val="auto"/>
        </w:rPr>
        <w:t>We are a party to a number of lawsuits, claims, and proceedings incident to the operation of our business, including those pertaining to labor and employment, contracts, personal injury, and other matters, some of which allege substantial monetary damages. Some of these actions may be brought as class actions on behalf of a class or purported class of employees.</w:t>
      </w:r>
    </w:p>
    <w:p>
      <w:pPr>
        <w:spacing w:after="0" w:line="111" w:lineRule="exact"/>
        <w:rPr>
          <w:sz w:val="20"/>
          <w:szCs w:val="20"/>
          <w:color w:val="auto"/>
        </w:rPr>
      </w:pPr>
    </w:p>
    <w:p>
      <w:pPr>
        <w:jc w:val="both"/>
        <w:ind w:firstLine="619"/>
        <w:spacing w:after="0" w:line="260" w:lineRule="auto"/>
        <w:rPr>
          <w:sz w:val="20"/>
          <w:szCs w:val="20"/>
          <w:color w:val="auto"/>
        </w:rPr>
      </w:pPr>
      <w:r>
        <w:rPr>
          <w:rFonts w:ascii="Arial" w:cs="Arial" w:eastAsia="Arial" w:hAnsi="Arial"/>
          <w:sz w:val="17"/>
          <w:szCs w:val="17"/>
          <w:color w:val="auto"/>
        </w:rPr>
        <w:t>At October 31, 2025, the total amount accrued for probable litigation losses where a reasonable estimate of the loss could be made was $9.5 million. We do not accrue for contingent losses that, in our judgment, are considered to be reasonably possible but not probable. The estimation of reasonably possible losses also requires the analysis of multiple possible outcomes that often depend on judgments about potential actions by third parties. Our management currently estimates the range of loss for all reasonably possible losses for which a reasonable estimate of the loss can be made is between zero and $15.2 million. Factors underlying this estimated range of loss may change from time to time, and actual results may vary significantly from this estimate.</w:t>
      </w:r>
    </w:p>
    <w:p>
      <w:pPr>
        <w:spacing w:after="0" w:line="122"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Litigation outcomes are difficult to predict and the estimation of probable losses requires the analysis of multiple possible outcomes that often depend on judgments about potential actions by third parties. If one or more matters are resolved in a particular period in an amount in excess of, or in a manner different than, what we anticipated, this could have a material adverse effect on our financial position, results of operations, or cash flows.</w:t>
      </w:r>
    </w:p>
    <w:p>
      <w:pPr>
        <w:spacing w:after="0" w:line="116"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7"/>
          <w:szCs w:val="17"/>
          <w:color w:val="auto"/>
        </w:rPr>
        <w:t>In some cases, although a loss is probable or reasonably possible, we cannot reasonably estimate the maximum potential losses for probable matters or the range of losses for reasonably possible matters. Therefore, our accrual for probable losses and our estimated range of loss for reasonably possible losses do not represent our maximum possible exposure.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65" w:right="339" w:bottom="1440" w:gutter="0" w:footer="0" w:header="0"/>
        </w:sectPr>
      </w:pPr>
    </w:p>
    <w:bookmarkStart w:id="81" w:name="page82"/>
    <w:bookmarkEnd w:id="81"/>
    <w:p>
      <w:pPr>
        <w:spacing w:after="0"/>
        <w:rPr>
          <w:sz w:val="20"/>
          <w:szCs w:val="20"/>
          <w:color w:val="auto"/>
        </w:rPr>
      </w:pPr>
      <w:r>
        <w:rPr>
          <w:rFonts w:ascii="Arial" w:cs="Arial" w:eastAsia="Arial" w:hAnsi="Arial"/>
          <w:sz w:val="17"/>
          <w:szCs w:val="17"/>
          <w:b w:val="1"/>
          <w:bCs w:val="1"/>
          <w:color w:val="0046AD"/>
        </w:rPr>
        <w:t>15. PREFERRED AND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wp:posOffset>
            </wp:positionV>
            <wp:extent cx="712216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22160" cy="8255"/>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Preferred Stock</w:t>
      </w:r>
    </w:p>
    <w:p>
      <w:pPr>
        <w:spacing w:after="0" w:line="168"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We are authorized to issue 500,000 shares of preferred stock. None of these preferred shares are issued.</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Common Stock</w:t>
      </w:r>
    </w:p>
    <w:p>
      <w:pPr>
        <w:spacing w:after="0" w:line="168" w:lineRule="exact"/>
        <w:rPr>
          <w:sz w:val="20"/>
          <w:szCs w:val="20"/>
          <w:color w:val="auto"/>
        </w:rPr>
      </w:pPr>
    </w:p>
    <w:p>
      <w:pPr>
        <w:jc w:val="both"/>
        <w:ind w:right="100" w:firstLine="619"/>
        <w:spacing w:after="0" w:line="262" w:lineRule="auto"/>
        <w:rPr>
          <w:sz w:val="20"/>
          <w:szCs w:val="20"/>
          <w:color w:val="auto"/>
        </w:rPr>
      </w:pPr>
      <w:r>
        <w:rPr>
          <w:rFonts w:ascii="Arial" w:cs="Arial" w:eastAsia="Arial" w:hAnsi="Arial"/>
          <w:sz w:val="17"/>
          <w:szCs w:val="17"/>
          <w:color w:val="auto"/>
        </w:rPr>
        <w:t>Effective September 3, 2025, our Board of Directors expanded our existing share repurchase program by an additional $150.0 million of our common stock. Share repurchases may take place on the open market or otherwise, and all or part of the repurchases may be made pursuant to Rule 10b5-1 plans or in privately negotiated transactions. The timing of repurchases is at our discretion and will depend upon several factors, including market and business conditions, future cash flows, share price, share availability, and other factors. Repurchased shares are retired and returned to an authorized but unissued status. The repurchase program may be suspended or discontinued at any time without prior notice.</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46AD"/>
        </w:rPr>
        <w:t>Repurchase Activity</w:t>
      </w:r>
    </w:p>
    <w:p>
      <w:pPr>
        <w:spacing w:after="0" w:line="165" w:lineRule="exact"/>
        <w:rPr>
          <w:sz w:val="20"/>
          <w:szCs w:val="20"/>
          <w:color w:val="auto"/>
        </w:rPr>
      </w:pPr>
    </w:p>
    <w:p>
      <w:pPr>
        <w:jc w:val="both"/>
        <w:ind w:right="100" w:firstLine="619"/>
        <w:spacing w:after="0" w:line="290" w:lineRule="auto"/>
        <w:rPr>
          <w:sz w:val="20"/>
          <w:szCs w:val="20"/>
          <w:color w:val="auto"/>
        </w:rPr>
      </w:pPr>
      <w:r>
        <w:rPr>
          <w:rFonts w:ascii="Arial" w:cs="Arial" w:eastAsia="Arial" w:hAnsi="Arial"/>
          <w:sz w:val="17"/>
          <w:szCs w:val="17"/>
          <w:color w:val="auto"/>
        </w:rPr>
        <w:t>We repurchased shares under the share repurchase program during the year ended October 31, 2025, as summarized below. At October 31, 2025, authorization for $183.1 million of repurchases remained under the Share Repurchase Program.</w:t>
      </w:r>
    </w:p>
    <w:p>
      <w:pPr>
        <w:spacing w:after="0" w:line="183" w:lineRule="exact"/>
        <w:rPr>
          <w:sz w:val="20"/>
          <w:szCs w:val="20"/>
          <w:color w:val="auto"/>
        </w:rPr>
      </w:pPr>
    </w:p>
    <w:p>
      <w:pPr>
        <w:ind w:left="8760"/>
        <w:spacing w:after="0"/>
        <w:rPr>
          <w:sz w:val="20"/>
          <w:szCs w:val="20"/>
          <w:color w:val="auto"/>
        </w:rPr>
      </w:pPr>
      <w:r>
        <w:rPr>
          <w:rFonts w:ascii="Arial" w:cs="Arial" w:eastAsia="Arial" w:hAnsi="Arial"/>
          <w:sz w:val="17"/>
          <w:szCs w:val="17"/>
          <w:b w:val="1"/>
          <w:bCs w:val="1"/>
          <w:color w:val="auto"/>
        </w:rPr>
        <w:t>Years Ended October 31,</w:t>
      </w:r>
    </w:p>
    <w:p>
      <w:pPr>
        <w:spacing w:after="0" w:line="30" w:lineRule="exact"/>
        <w:rPr>
          <w:sz w:val="20"/>
          <w:szCs w:val="20"/>
          <w:color w:val="auto"/>
        </w:rPr>
      </w:pPr>
    </w:p>
    <w:tbl>
      <w:tblPr>
        <w:tblLayout w:type="fixed"/>
        <w:tblInd w:w="620" w:type="dxa"/>
        <w:tblCellMar>
          <w:top w:w="0" w:type="dxa"/>
          <w:left w:w="0" w:type="dxa"/>
          <w:bottom w:w="0" w:type="dxa"/>
          <w:right w:w="0" w:type="dxa"/>
        </w:tblCellMar>
      </w:tblPr>
      <w:tr>
        <w:trPr>
          <w:trHeight w:val="160"/>
        </w:trPr>
        <w:tc>
          <w:tcPr>
            <w:tcW w:w="7060" w:type="dxa"/>
            <w:vAlign w:val="bottom"/>
            <w:gridSpan w:val="3"/>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 except per share amounts)</w:t>
            </w:r>
          </w:p>
        </w:tc>
        <w:tc>
          <w:tcPr>
            <w:tcW w:w="1380" w:type="dxa"/>
            <w:vAlign w:val="bottom"/>
            <w:tcBorders>
              <w:top w:val="single" w:sz="8" w:color="auto"/>
            </w:tcBorders>
          </w:tcPr>
          <w:p>
            <w:pPr>
              <w:jc w:val="right"/>
              <w:ind w:right="74"/>
              <w:spacing w:after="0" w:line="161" w:lineRule="exact"/>
              <w:rPr>
                <w:sz w:val="20"/>
                <w:szCs w:val="20"/>
                <w:color w:val="auto"/>
              </w:rPr>
            </w:pPr>
            <w:r>
              <w:rPr>
                <w:rFonts w:ascii="Arial" w:cs="Arial" w:eastAsia="Arial" w:hAnsi="Arial"/>
                <w:sz w:val="17"/>
                <w:szCs w:val="17"/>
                <w:b w:val="1"/>
                <w:bCs w:val="1"/>
                <w:color w:val="auto"/>
              </w:rPr>
              <w:t>2025</w:t>
            </w:r>
          </w:p>
        </w:tc>
        <w:tc>
          <w:tcPr>
            <w:tcW w:w="6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520" w:type="dxa"/>
            <w:vAlign w:val="bottom"/>
            <w:tcBorders>
              <w:top w:val="single" w:sz="8" w:color="auto"/>
            </w:tcBorders>
          </w:tcPr>
          <w:p>
            <w:pPr>
              <w:jc w:val="right"/>
              <w:ind w:right="214"/>
              <w:spacing w:after="0" w:line="161" w:lineRule="exact"/>
              <w:rPr>
                <w:sz w:val="20"/>
                <w:szCs w:val="20"/>
                <w:color w:val="auto"/>
              </w:rPr>
            </w:pPr>
            <w:r>
              <w:rPr>
                <w:rFonts w:ascii="Arial" w:cs="Arial" w:eastAsia="Arial" w:hAnsi="Arial"/>
                <w:sz w:val="17"/>
                <w:szCs w:val="17"/>
                <w:b w:val="1"/>
                <w:bCs w:val="1"/>
                <w:color w:val="auto"/>
              </w:rPr>
              <w:t>2024</w:t>
            </w:r>
          </w:p>
        </w:tc>
      </w:tr>
      <w:tr>
        <w:trPr>
          <w:trHeight w:val="32"/>
        </w:trPr>
        <w:tc>
          <w:tcPr>
            <w:tcW w:w="20" w:type="dxa"/>
            <w:vAlign w:val="bottom"/>
            <w:tcBorders>
              <w:bottom w:val="single" w:sz="8" w:color="DCE2EF"/>
            </w:tcBorders>
          </w:tcPr>
          <w:p>
            <w:pPr>
              <w:spacing w:after="0"/>
              <w:rPr>
                <w:sz w:val="2"/>
                <w:szCs w:val="2"/>
                <w:color w:val="auto"/>
              </w:rPr>
            </w:pPr>
          </w:p>
        </w:tc>
        <w:tc>
          <w:tcPr>
            <w:tcW w:w="2140" w:type="dxa"/>
            <w:vAlign w:val="bottom"/>
            <w:tcBorders>
              <w:top w:val="single" w:sz="8" w:color="auto"/>
              <w:bottom w:val="single" w:sz="8" w:color="DCE2EF"/>
            </w:tcBorders>
          </w:tcPr>
          <w:p>
            <w:pPr>
              <w:spacing w:after="0"/>
              <w:rPr>
                <w:sz w:val="2"/>
                <w:szCs w:val="2"/>
                <w:color w:val="auto"/>
              </w:rPr>
            </w:pPr>
          </w:p>
        </w:tc>
        <w:tc>
          <w:tcPr>
            <w:tcW w:w="4900" w:type="dxa"/>
            <w:vAlign w:val="bottom"/>
            <w:tcBorders>
              <w:bottom w:val="single" w:sz="8" w:color="DCE2E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12"/>
        </w:trPr>
        <w:tc>
          <w:tcPr>
            <w:tcW w:w="7060" w:type="dxa"/>
            <w:vAlign w:val="bottom"/>
            <w:gridSpan w:val="3"/>
            <w:shd w:val="clear" w:color="auto" w:fill="DCE2EF"/>
          </w:tcPr>
          <w:p>
            <w:pPr>
              <w:ind w:left="20"/>
              <w:spacing w:after="0"/>
              <w:rPr>
                <w:sz w:val="20"/>
                <w:szCs w:val="20"/>
                <w:color w:val="auto"/>
              </w:rPr>
            </w:pPr>
            <w:r>
              <w:rPr>
                <w:rFonts w:ascii="Arial" w:cs="Arial" w:eastAsia="Arial" w:hAnsi="Arial"/>
                <w:sz w:val="17"/>
                <w:szCs w:val="17"/>
                <w:color w:val="auto"/>
              </w:rPr>
              <w:t>Total number of shares purchased</w:t>
            </w:r>
          </w:p>
        </w:tc>
        <w:tc>
          <w:tcPr>
            <w:tcW w:w="1380" w:type="dxa"/>
            <w:vAlign w:val="bottom"/>
            <w:shd w:val="clear" w:color="auto" w:fill="DCE2EF"/>
          </w:tcPr>
          <w:p>
            <w:pPr>
              <w:spacing w:after="0"/>
              <w:rPr>
                <w:sz w:val="18"/>
                <w:szCs w:val="18"/>
                <w:color w:val="auto"/>
              </w:rPr>
            </w:pPr>
          </w:p>
        </w:tc>
        <w:tc>
          <w:tcPr>
            <w:tcW w:w="660" w:type="dxa"/>
            <w:vAlign w:val="bottom"/>
            <w:shd w:val="clear" w:color="auto" w:fill="DCE2EF"/>
          </w:tcPr>
          <w:p>
            <w:pPr>
              <w:jc w:val="right"/>
              <w:spacing w:after="0"/>
              <w:rPr>
                <w:sz w:val="20"/>
                <w:szCs w:val="20"/>
                <w:color w:val="auto"/>
              </w:rPr>
            </w:pPr>
            <w:r>
              <w:rPr>
                <w:rFonts w:ascii="Arial" w:cs="Arial" w:eastAsia="Arial" w:hAnsi="Arial"/>
                <w:sz w:val="17"/>
                <w:szCs w:val="17"/>
                <w:color w:val="auto"/>
              </w:rPr>
              <w:t>2.56</w:t>
            </w:r>
          </w:p>
        </w:tc>
        <w:tc>
          <w:tcPr>
            <w:tcW w:w="100" w:type="dxa"/>
            <w:vAlign w:val="bottom"/>
            <w:shd w:val="clear" w:color="auto" w:fill="DCE2EF"/>
          </w:tcPr>
          <w:p>
            <w:pPr>
              <w:spacing w:after="0"/>
              <w:rPr>
                <w:sz w:val="18"/>
                <w:szCs w:val="18"/>
                <w:color w:val="auto"/>
              </w:rPr>
            </w:pPr>
          </w:p>
        </w:tc>
        <w:tc>
          <w:tcPr>
            <w:tcW w:w="1520" w:type="dxa"/>
            <w:vAlign w:val="bottom"/>
            <w:shd w:val="clear" w:color="auto" w:fill="DCE2EF"/>
          </w:tcPr>
          <w:p>
            <w:pPr>
              <w:spacing w:after="0"/>
              <w:rPr>
                <w:sz w:val="18"/>
                <w:szCs w:val="18"/>
                <w:color w:val="auto"/>
              </w:rPr>
            </w:pPr>
          </w:p>
        </w:tc>
      </w:tr>
      <w:tr>
        <w:trPr>
          <w:trHeight w:val="219"/>
        </w:trPr>
        <w:tc>
          <w:tcPr>
            <w:tcW w:w="7060" w:type="dxa"/>
            <w:vAlign w:val="bottom"/>
            <w:gridSpan w:val="3"/>
          </w:tcPr>
          <w:p>
            <w:pPr>
              <w:ind w:left="20"/>
              <w:spacing w:after="0" w:line="219" w:lineRule="exact"/>
              <w:rPr>
                <w:sz w:val="20"/>
                <w:szCs w:val="20"/>
                <w:color w:val="auto"/>
              </w:rPr>
            </w:pPr>
            <w:r>
              <w:rPr>
                <w:rFonts w:ascii="Arial" w:cs="Arial" w:eastAsia="Arial" w:hAnsi="Arial"/>
                <w:sz w:val="17"/>
                <w:szCs w:val="17"/>
                <w:color w:val="auto"/>
              </w:rPr>
              <w:t>Average price paid per share</w:t>
            </w:r>
            <w:r>
              <w:rPr>
                <w:rFonts w:ascii="Arial" w:cs="Arial" w:eastAsia="Arial" w:hAnsi="Arial"/>
                <w:sz w:val="22"/>
                <w:szCs w:val="22"/>
                <w:color w:val="auto"/>
                <w:vertAlign w:val="superscript"/>
              </w:rPr>
              <w:t>(1)</w:t>
            </w:r>
          </w:p>
        </w:tc>
        <w:tc>
          <w:tcPr>
            <w:tcW w:w="1380" w:type="dxa"/>
            <w:vAlign w:val="bottom"/>
          </w:tcPr>
          <w:p>
            <w:pPr>
              <w:jc w:val="right"/>
              <w:ind w:right="1174"/>
              <w:spacing w:after="0"/>
              <w:rPr>
                <w:sz w:val="20"/>
                <w:szCs w:val="20"/>
                <w:color w:val="auto"/>
              </w:rPr>
            </w:pPr>
            <w:r>
              <w:rPr>
                <w:rFonts w:ascii="Arial" w:cs="Arial" w:eastAsia="Arial" w:hAnsi="Arial"/>
                <w:sz w:val="17"/>
                <w:szCs w:val="17"/>
                <w:color w:val="auto"/>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47.35</w:t>
            </w:r>
          </w:p>
        </w:tc>
        <w:tc>
          <w:tcPr>
            <w:tcW w:w="100" w:type="dxa"/>
            <w:vAlign w:val="bottom"/>
          </w:tcPr>
          <w:p>
            <w:pPr>
              <w:spacing w:after="0"/>
              <w:rPr>
                <w:sz w:val="19"/>
                <w:szCs w:val="19"/>
                <w:color w:val="auto"/>
              </w:rPr>
            </w:pPr>
          </w:p>
        </w:tc>
        <w:tc>
          <w:tcPr>
            <w:tcW w:w="1520" w:type="dxa"/>
            <w:vAlign w:val="bottom"/>
          </w:tcPr>
          <w:p>
            <w:pPr>
              <w:jc w:val="right"/>
              <w:ind w:right="1314"/>
              <w:spacing w:after="0"/>
              <w:rPr>
                <w:sz w:val="20"/>
                <w:szCs w:val="20"/>
                <w:color w:val="auto"/>
              </w:rPr>
            </w:pPr>
            <w:r>
              <w:rPr>
                <w:rFonts w:ascii="Arial" w:cs="Arial" w:eastAsia="Arial" w:hAnsi="Arial"/>
                <w:sz w:val="17"/>
                <w:szCs w:val="17"/>
                <w:color w:val="auto"/>
              </w:rPr>
              <w:t>$</w:t>
            </w:r>
          </w:p>
        </w:tc>
      </w:tr>
      <w:tr>
        <w:trPr>
          <w:trHeight w:val="219"/>
        </w:trPr>
        <w:tc>
          <w:tcPr>
            <w:tcW w:w="7060" w:type="dxa"/>
            <w:vAlign w:val="bottom"/>
            <w:gridSpan w:val="3"/>
            <w:shd w:val="clear" w:color="auto" w:fill="DCE2EF"/>
          </w:tcPr>
          <w:p>
            <w:pPr>
              <w:ind w:left="20"/>
              <w:spacing w:after="0" w:line="219" w:lineRule="exact"/>
              <w:rPr>
                <w:sz w:val="20"/>
                <w:szCs w:val="20"/>
                <w:color w:val="auto"/>
              </w:rPr>
            </w:pPr>
            <w:r>
              <w:rPr>
                <w:rFonts w:ascii="Arial" w:cs="Arial" w:eastAsia="Arial" w:hAnsi="Arial"/>
                <w:sz w:val="17"/>
                <w:szCs w:val="17"/>
                <w:color w:val="auto"/>
              </w:rPr>
              <w:t>Total cash paid for share repurchases</w:t>
            </w:r>
            <w:r>
              <w:rPr>
                <w:rFonts w:ascii="Arial" w:cs="Arial" w:eastAsia="Arial" w:hAnsi="Arial"/>
                <w:sz w:val="22"/>
                <w:szCs w:val="22"/>
                <w:color w:val="auto"/>
                <w:vertAlign w:val="superscript"/>
              </w:rPr>
              <w:t>(1)</w:t>
            </w:r>
          </w:p>
        </w:tc>
        <w:tc>
          <w:tcPr>
            <w:tcW w:w="1380" w:type="dxa"/>
            <w:vAlign w:val="bottom"/>
            <w:shd w:val="clear" w:color="auto" w:fill="DCE2EF"/>
          </w:tcPr>
          <w:p>
            <w:pPr>
              <w:jc w:val="right"/>
              <w:ind w:right="1174"/>
              <w:spacing w:after="0"/>
              <w:rPr>
                <w:sz w:val="20"/>
                <w:szCs w:val="20"/>
                <w:color w:val="auto"/>
              </w:rPr>
            </w:pPr>
            <w:r>
              <w:rPr>
                <w:rFonts w:ascii="Arial" w:cs="Arial" w:eastAsia="Arial" w:hAnsi="Arial"/>
                <w:sz w:val="17"/>
                <w:szCs w:val="17"/>
                <w:color w:val="auto"/>
              </w:rPr>
              <w:t>$</w:t>
            </w:r>
          </w:p>
        </w:tc>
        <w:tc>
          <w:tcPr>
            <w:tcW w:w="660" w:type="dxa"/>
            <w:vAlign w:val="bottom"/>
            <w:shd w:val="clear" w:color="auto" w:fill="DCE2EF"/>
          </w:tcPr>
          <w:p>
            <w:pPr>
              <w:jc w:val="right"/>
              <w:spacing w:after="0"/>
              <w:rPr>
                <w:sz w:val="20"/>
                <w:szCs w:val="20"/>
                <w:color w:val="auto"/>
              </w:rPr>
            </w:pPr>
            <w:r>
              <w:rPr>
                <w:rFonts w:ascii="Arial" w:cs="Arial" w:eastAsia="Arial" w:hAnsi="Arial"/>
                <w:sz w:val="17"/>
                <w:szCs w:val="17"/>
                <w:color w:val="auto"/>
              </w:rPr>
              <w:t>121.3</w:t>
            </w:r>
          </w:p>
        </w:tc>
        <w:tc>
          <w:tcPr>
            <w:tcW w:w="100" w:type="dxa"/>
            <w:vAlign w:val="bottom"/>
            <w:shd w:val="clear" w:color="auto" w:fill="DCE2EF"/>
          </w:tcPr>
          <w:p>
            <w:pPr>
              <w:spacing w:after="0"/>
              <w:rPr>
                <w:sz w:val="19"/>
                <w:szCs w:val="19"/>
                <w:color w:val="auto"/>
              </w:rPr>
            </w:pPr>
          </w:p>
        </w:tc>
        <w:tc>
          <w:tcPr>
            <w:tcW w:w="1520" w:type="dxa"/>
            <w:vAlign w:val="bottom"/>
            <w:shd w:val="clear" w:color="auto" w:fill="DCE2EF"/>
          </w:tcPr>
          <w:p>
            <w:pPr>
              <w:jc w:val="right"/>
              <w:ind w:right="1314"/>
              <w:spacing w:after="0"/>
              <w:rPr>
                <w:sz w:val="20"/>
                <w:szCs w:val="20"/>
                <w:color w:val="auto"/>
              </w:rPr>
            </w:pPr>
            <w:r>
              <w:rPr>
                <w:rFonts w:ascii="Arial" w:cs="Arial" w:eastAsia="Arial" w:hAnsi="Arial"/>
                <w:sz w:val="17"/>
                <w:szCs w:val="17"/>
                <w:color w:val="auto"/>
              </w:rPr>
              <w:t>$</w:t>
            </w:r>
          </w:p>
        </w:tc>
      </w:tr>
    </w:tbl>
    <w:p>
      <w:pPr>
        <w:spacing w:after="0" w:line="297" w:lineRule="exact"/>
        <w:rPr>
          <w:sz w:val="20"/>
          <w:szCs w:val="20"/>
          <w:color w:val="auto"/>
        </w:rPr>
      </w:pPr>
    </w:p>
    <w:p>
      <w:pPr>
        <w:ind w:right="100" w:firstLine="3"/>
        <w:spacing w:after="0" w:line="224" w:lineRule="auto"/>
        <w:tabs>
          <w:tab w:leader="none" w:pos="185" w:val="left"/>
        </w:tabs>
        <w:numPr>
          <w:ilvl w:val="0"/>
          <w:numId w:val="39"/>
        </w:numPr>
        <w:rPr>
          <w:rFonts w:ascii="Arial" w:cs="Arial" w:eastAsia="Arial" w:hAnsi="Arial"/>
          <w:sz w:val="22"/>
          <w:szCs w:val="22"/>
          <w:color w:val="auto"/>
          <w:vertAlign w:val="superscript"/>
        </w:rPr>
      </w:pPr>
      <w:r>
        <w:rPr>
          <w:rFonts w:ascii="Arial" w:cs="Arial" w:eastAsia="Arial" w:hAnsi="Arial"/>
          <w:sz w:val="15"/>
          <w:szCs w:val="15"/>
          <w:color w:val="auto"/>
        </w:rPr>
        <w:t>Average price paid per share and total cash paid for share repurchases does not include any excise tax for share repurchases as part of the Inflation Reduction Act of 2022.</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16. SHARE-BASED COMPENSATION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wp:posOffset>
            </wp:positionV>
            <wp:extent cx="712216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22160" cy="8255"/>
                    </a:xfrm>
                    <a:prstGeom prst="rect">
                      <a:avLst/>
                    </a:prstGeom>
                    <a:noFill/>
                  </pic:spPr>
                </pic:pic>
              </a:graphicData>
            </a:graphic>
          </wp:anchor>
        </w:drawing>
      </w:r>
    </w:p>
    <w:p>
      <w:pPr>
        <w:spacing w:after="0" w:line="315" w:lineRule="exact"/>
        <w:rPr>
          <w:sz w:val="20"/>
          <w:szCs w:val="20"/>
          <w:color w:val="auto"/>
        </w:rPr>
      </w:pPr>
    </w:p>
    <w:p>
      <w:pPr>
        <w:jc w:val="both"/>
        <w:ind w:right="100" w:firstLine="619"/>
        <w:spacing w:after="0" w:line="290" w:lineRule="auto"/>
        <w:rPr>
          <w:sz w:val="20"/>
          <w:szCs w:val="20"/>
          <w:color w:val="auto"/>
        </w:rPr>
      </w:pPr>
      <w:r>
        <w:rPr>
          <w:rFonts w:ascii="Arial" w:cs="Arial" w:eastAsia="Arial" w:hAnsi="Arial"/>
          <w:sz w:val="17"/>
          <w:szCs w:val="17"/>
          <w:color w:val="auto"/>
        </w:rPr>
        <w:t>We use various share-based compensation plans to provide incentives for our key employees and non-employee members of our Board of Directors. Currently, these incentives primarily consist of RSUs and performance shares.</w:t>
      </w:r>
    </w:p>
    <w:p>
      <w:pPr>
        <w:spacing w:after="0" w:line="95" w:lineRule="exact"/>
        <w:rPr>
          <w:sz w:val="20"/>
          <w:szCs w:val="20"/>
          <w:color w:val="auto"/>
        </w:rPr>
      </w:pPr>
    </w:p>
    <w:p>
      <w:pPr>
        <w:jc w:val="both"/>
        <w:ind w:right="100" w:firstLine="619"/>
        <w:spacing w:after="0" w:line="262" w:lineRule="auto"/>
        <w:rPr>
          <w:sz w:val="20"/>
          <w:szCs w:val="20"/>
          <w:color w:val="auto"/>
        </w:rPr>
      </w:pPr>
      <w:r>
        <w:rPr>
          <w:rFonts w:ascii="Arial" w:cs="Arial" w:eastAsia="Arial" w:hAnsi="Arial"/>
          <w:sz w:val="17"/>
          <w:szCs w:val="17"/>
          <w:color w:val="auto"/>
        </w:rPr>
        <w:t>On May 2, 2006, our stockholders approved the 2006 Equity Incentive Plan, which was last amended and restated on March 7, 2018 (as amended and restated, the “2006 Equity Plan”). The 2006 Equity Plan is an omnibus plan that provides for a variety of equity and equity-based award vehicles, including stock options, stock appreciation rights, RSUs, performance shares, and other share-based awards. Shares subject to awards that terminate without vesting or exercise are available for future awards under the 2006 Equity Plan. Certain of the awards under the 2006 Equity Plan may qualify as “performance-based” compensation under the IRC.</w:t>
      </w:r>
    </w:p>
    <w:p>
      <w:pPr>
        <w:spacing w:after="0" w:line="119" w:lineRule="exact"/>
        <w:rPr>
          <w:sz w:val="20"/>
          <w:szCs w:val="20"/>
          <w:color w:val="auto"/>
        </w:rPr>
      </w:pPr>
    </w:p>
    <w:p>
      <w:pPr>
        <w:jc w:val="both"/>
        <w:ind w:right="100" w:firstLine="619"/>
        <w:spacing w:after="0" w:line="262" w:lineRule="auto"/>
        <w:rPr>
          <w:sz w:val="20"/>
          <w:szCs w:val="20"/>
          <w:color w:val="auto"/>
        </w:rPr>
      </w:pPr>
      <w:r>
        <w:rPr>
          <w:rFonts w:ascii="Arial" w:cs="Arial" w:eastAsia="Arial" w:hAnsi="Arial"/>
          <w:sz w:val="17"/>
          <w:szCs w:val="17"/>
          <w:color w:val="auto"/>
        </w:rPr>
        <w:t>On March 24, 2021, our stockholders approved the 2021 Equity and Incentive Compensation Plan (the “2021 Equity Plan”). The 2021 Equity Plan is an omnibus plan that provides for a variety of equity and equity-based award vehicles, including stock options, stock appreciation rights, RSUs, performance shares, and other share-based awards. Shares subject to awards that terminate without vesting or exercise are available for future awards under the 2021 Equity Plan. Certain of the awards under the 2021 Equity Plan may qualify as “performance-based” compensation under the IRC.</w:t>
      </w:r>
    </w:p>
    <w:p>
      <w:pPr>
        <w:spacing w:after="0" w:line="119" w:lineRule="exact"/>
        <w:rPr>
          <w:sz w:val="20"/>
          <w:szCs w:val="20"/>
          <w:color w:val="auto"/>
        </w:rPr>
      </w:pPr>
    </w:p>
    <w:p>
      <w:pPr>
        <w:jc w:val="both"/>
        <w:ind w:right="100" w:firstLine="619"/>
        <w:spacing w:after="0" w:line="262" w:lineRule="auto"/>
        <w:rPr>
          <w:sz w:val="20"/>
          <w:szCs w:val="20"/>
          <w:color w:val="auto"/>
        </w:rPr>
      </w:pPr>
      <w:r>
        <w:rPr>
          <w:rFonts w:ascii="Arial" w:cs="Arial" w:eastAsia="Arial" w:hAnsi="Arial"/>
          <w:sz w:val="17"/>
          <w:szCs w:val="17"/>
          <w:color w:val="auto"/>
        </w:rPr>
        <w:t>No further shares are authorized for issuance under the 2006 Equity Plan. As of October 31, 2024, there were 3,975,000 total shares of common stock authorized for issuance under the 2021 Equity Plan. On March 26, 2025, our stockholders approved the 2021 Equity Plan (Amended and Restated February 10, 2025), increasing the number of shares authorized for issuance under the plan by 2,425,000 shares. As amended, there are 6,400,000 total shares of common stock authorized for issuance under the 2021 Equity Plan, and at October 31, 2025, there were 3,296,050 shares of common stock available for grant for future equity-based compensation awards. In</w:t>
      </w:r>
    </w:p>
    <w:p>
      <w:pPr>
        <w:spacing w:after="0" w:line="200" w:lineRule="exact"/>
        <w:rPr>
          <w:sz w:val="20"/>
          <w:szCs w:val="20"/>
          <w:color w:val="auto"/>
        </w:rPr>
      </w:pPr>
    </w:p>
    <w:p>
      <w:pPr>
        <w:spacing w:after="0" w:line="293"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340"/>
          </w:cols>
          <w:pgMar w:left="320" w:top="1165" w:right="239" w:bottom="1440" w:gutter="0" w:footer="0" w:header="0"/>
        </w:sectPr>
      </w:pPr>
    </w:p>
    <w:bookmarkStart w:id="82" w:name="page83"/>
    <w:bookmarkEnd w:id="82"/>
    <w:p>
      <w:pPr>
        <w:jc w:val="both"/>
        <w:spacing w:after="0" w:line="290" w:lineRule="auto"/>
        <w:rPr>
          <w:sz w:val="20"/>
          <w:szCs w:val="20"/>
          <w:color w:val="auto"/>
        </w:rPr>
      </w:pPr>
      <w:r>
        <w:rPr>
          <w:rFonts w:ascii="Arial" w:cs="Arial" w:eastAsia="Arial" w:hAnsi="Arial"/>
          <w:sz w:val="17"/>
          <w:szCs w:val="17"/>
          <w:color w:val="auto"/>
        </w:rPr>
        <w:t>addition, there are certain plans under which we can no longer issue awards, such as the 2006 Equity Plan, although awards outstanding under such plans may still vest and be exercised.</w:t>
      </w:r>
    </w:p>
    <w:p>
      <w:pPr>
        <w:spacing w:after="0" w:line="95"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On March 9, 2004, our stockholders approved the 2004 Employee Stock Purchase Plan (the “2004 ESPP”), which was last amended and restated on March 9, 2016. As amended, there are 4,000,000 total shares of common stock authorized for issuance under the 2004 ESPP. Effective May 1, 2006, the 2004 ESPP is no longer considered compensatory and the values of the awards are no longer treated as share-based compensation expense. No further shares are authorized for issuance under the 2004 ESPP.</w:t>
      </w:r>
    </w:p>
    <w:p>
      <w:pPr>
        <w:spacing w:after="0" w:line="116" w:lineRule="exact"/>
        <w:rPr>
          <w:sz w:val="20"/>
          <w:szCs w:val="20"/>
          <w:color w:val="auto"/>
        </w:rPr>
      </w:pPr>
    </w:p>
    <w:p>
      <w:pPr>
        <w:jc w:val="both"/>
        <w:ind w:firstLine="619"/>
        <w:spacing w:after="0" w:line="260" w:lineRule="auto"/>
        <w:rPr>
          <w:sz w:val="20"/>
          <w:szCs w:val="20"/>
          <w:color w:val="auto"/>
        </w:rPr>
      </w:pPr>
      <w:r>
        <w:rPr>
          <w:rFonts w:ascii="Arial" w:cs="Arial" w:eastAsia="Arial" w:hAnsi="Arial"/>
          <w:sz w:val="17"/>
          <w:szCs w:val="17"/>
          <w:color w:val="auto"/>
        </w:rPr>
        <w:t>On March 26, 2025, our stockholders approved the 2025 Employee Stock Purchase Plan (the “2025 ESPP”), replacing the 2004 ESPP. There are 1,500,000 total shares of common stock authorized for issuance under the 2025 ESPP. The plan is considered non-compensatory, and the values of the awards are not treated as share-based compensation expense. The 2025 ESPP allows eligible employees of the Company to purchase shares of the Company’s common stock, through payroll deductions, at a discount to fair market value of 5%, in accordance with the terms and conditions of the 2025 ESPP. Employees may designate up to 10% of their compensation for the purchase of stock, subject to a $25,000 annual limit. At October 31, 2025, there were 1,438,653 remaining unissued shares under the 2025 ESPP.</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Compensation Expense by Type of Award and Related Income Tax Benefit</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3480" w:type="dxa"/>
            <w:vAlign w:val="bottom"/>
            <w:tcBorders>
              <w:bottom w:val="single" w:sz="8" w:color="auto"/>
            </w:tcBorders>
            <w:gridSpan w:val="6"/>
          </w:tcPr>
          <w:p>
            <w:pPr>
              <w:jc w:val="right"/>
              <w:ind w:right="194"/>
              <w:spacing w:after="0"/>
              <w:rPr>
                <w:sz w:val="20"/>
                <w:szCs w:val="20"/>
                <w:color w:val="auto"/>
              </w:rPr>
            </w:pPr>
            <w:r>
              <w:rPr>
                <w:rFonts w:ascii="Arial" w:cs="Arial" w:eastAsia="Arial" w:hAnsi="Arial"/>
                <w:sz w:val="17"/>
                <w:szCs w:val="17"/>
                <w:b w:val="1"/>
                <w:bCs w:val="1"/>
                <w:color w:val="auto"/>
              </w:rPr>
              <w:t>Years Ended October 31,</w:t>
            </w:r>
          </w:p>
        </w:tc>
        <w:tc>
          <w:tcPr>
            <w:tcW w:w="1260" w:type="dxa"/>
            <w:vAlign w:val="bottom"/>
            <w:tcBorders>
              <w:bottom w:val="single" w:sz="8" w:color="auto"/>
            </w:tcBorders>
          </w:tcPr>
          <w:p>
            <w:pPr>
              <w:spacing w:after="0"/>
              <w:rPr>
                <w:sz w:val="19"/>
                <w:szCs w:val="19"/>
                <w:color w:val="auto"/>
              </w:rPr>
            </w:pPr>
          </w:p>
        </w:tc>
      </w:tr>
      <w:tr>
        <w:trPr>
          <w:trHeight w:val="160"/>
        </w:trPr>
        <w:tc>
          <w:tcPr>
            <w:tcW w:w="6120" w:type="dxa"/>
            <w:vAlign w:val="bottom"/>
            <w:gridSpan w:val="3"/>
          </w:tcPr>
          <w:p>
            <w:pPr>
              <w:ind w:left="20"/>
              <w:spacing w:after="0" w:line="148" w:lineRule="exact"/>
              <w:rPr>
                <w:sz w:val="20"/>
                <w:szCs w:val="20"/>
                <w:color w:val="auto"/>
              </w:rPr>
            </w:pPr>
            <w:r>
              <w:rPr>
                <w:rFonts w:ascii="Times New Roman" w:cs="Times New Roman" w:eastAsia="Times New Roman" w:hAnsi="Times New Roman"/>
                <w:sz w:val="14"/>
                <w:szCs w:val="14"/>
                <w:i w:val="1"/>
                <w:iCs w:val="1"/>
                <w:color w:val="auto"/>
              </w:rPr>
              <w:t>(in millions)</w:t>
            </w:r>
          </w:p>
        </w:tc>
        <w:tc>
          <w:tcPr>
            <w:tcW w:w="360" w:type="dxa"/>
            <w:vAlign w:val="bottom"/>
          </w:tcPr>
          <w:p>
            <w:pPr>
              <w:spacing w:after="0"/>
              <w:rPr>
                <w:sz w:val="13"/>
                <w:szCs w:val="13"/>
                <w:color w:val="auto"/>
              </w:rPr>
            </w:pPr>
          </w:p>
        </w:tc>
        <w:tc>
          <w:tcPr>
            <w:tcW w:w="1260" w:type="dxa"/>
            <w:vAlign w:val="bottom"/>
          </w:tcPr>
          <w:p>
            <w:pPr>
              <w:jc w:val="right"/>
              <w:ind w:right="534"/>
              <w:spacing w:after="0" w:line="148" w:lineRule="exact"/>
              <w:rPr>
                <w:sz w:val="20"/>
                <w:szCs w:val="20"/>
                <w:color w:val="auto"/>
              </w:rPr>
            </w:pPr>
            <w:r>
              <w:rPr>
                <w:rFonts w:ascii="Arial" w:cs="Arial" w:eastAsia="Arial" w:hAnsi="Arial"/>
                <w:sz w:val="17"/>
                <w:szCs w:val="17"/>
                <w:b w:val="1"/>
                <w:bCs w:val="1"/>
                <w:color w:val="auto"/>
              </w:rPr>
              <w:t>2025</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60" w:type="dxa"/>
            <w:vAlign w:val="bottom"/>
          </w:tcPr>
          <w:p>
            <w:pPr>
              <w:jc w:val="right"/>
              <w:ind w:right="534"/>
              <w:spacing w:after="0" w:line="148" w:lineRule="exact"/>
              <w:rPr>
                <w:sz w:val="20"/>
                <w:szCs w:val="20"/>
                <w:color w:val="auto"/>
              </w:rPr>
            </w:pPr>
            <w:r>
              <w:rPr>
                <w:rFonts w:ascii="Arial" w:cs="Arial" w:eastAsia="Arial" w:hAnsi="Arial"/>
                <w:sz w:val="17"/>
                <w:szCs w:val="17"/>
                <w:b w:val="1"/>
                <w:bCs w:val="1"/>
                <w:color w:val="auto"/>
              </w:rPr>
              <w:t>2024</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60" w:type="dxa"/>
            <w:vAlign w:val="bottom"/>
          </w:tcPr>
          <w:p>
            <w:pPr>
              <w:jc w:val="right"/>
              <w:ind w:right="534"/>
              <w:spacing w:after="0" w:line="148" w:lineRule="exact"/>
              <w:rPr>
                <w:sz w:val="20"/>
                <w:szCs w:val="20"/>
                <w:color w:val="auto"/>
              </w:rPr>
            </w:pPr>
            <w:r>
              <w:rPr>
                <w:rFonts w:ascii="Arial" w:cs="Arial" w:eastAsia="Arial" w:hAnsi="Arial"/>
                <w:sz w:val="17"/>
                <w:szCs w:val="17"/>
                <w:b w:val="1"/>
                <w:bCs w:val="1"/>
                <w:color w:val="auto"/>
              </w:rPr>
              <w:t>2023</w:t>
            </w:r>
          </w:p>
        </w:tc>
      </w:tr>
      <w:tr>
        <w:trPr>
          <w:trHeight w:val="32"/>
        </w:trPr>
        <w:tc>
          <w:tcPr>
            <w:tcW w:w="20" w:type="dxa"/>
            <w:vAlign w:val="bottom"/>
            <w:tcBorders>
              <w:bottom w:val="single" w:sz="8" w:color="DCE2EF"/>
            </w:tcBorders>
          </w:tcPr>
          <w:p>
            <w:pPr>
              <w:spacing w:after="0"/>
              <w:rPr>
                <w:sz w:val="2"/>
                <w:szCs w:val="2"/>
                <w:color w:val="auto"/>
              </w:rPr>
            </w:pPr>
          </w:p>
        </w:tc>
        <w:tc>
          <w:tcPr>
            <w:tcW w:w="680" w:type="dxa"/>
            <w:vAlign w:val="bottom"/>
            <w:tcBorders>
              <w:top w:val="single" w:sz="8" w:color="auto"/>
              <w:bottom w:val="single" w:sz="8" w:color="DCE2EF"/>
            </w:tcBorders>
          </w:tcPr>
          <w:p>
            <w:pPr>
              <w:spacing w:after="0"/>
              <w:rPr>
                <w:sz w:val="2"/>
                <w:szCs w:val="2"/>
                <w:color w:val="auto"/>
              </w:rPr>
            </w:pPr>
          </w:p>
        </w:tc>
        <w:tc>
          <w:tcPr>
            <w:tcW w:w="5420" w:type="dxa"/>
            <w:vAlign w:val="bottom"/>
            <w:tcBorders>
              <w:bottom w:val="single" w:sz="8" w:color="DCE2E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12"/>
        </w:trPr>
        <w:tc>
          <w:tcPr>
            <w:tcW w:w="6120" w:type="dxa"/>
            <w:vAlign w:val="bottom"/>
            <w:gridSpan w:val="3"/>
            <w:shd w:val="clear" w:color="auto" w:fill="DCE2EF"/>
          </w:tcPr>
          <w:p>
            <w:pPr>
              <w:ind w:left="20"/>
              <w:spacing w:after="0"/>
              <w:rPr>
                <w:sz w:val="20"/>
                <w:szCs w:val="20"/>
                <w:color w:val="auto"/>
              </w:rPr>
            </w:pPr>
            <w:r>
              <w:rPr>
                <w:rFonts w:ascii="Arial" w:cs="Arial" w:eastAsia="Arial" w:hAnsi="Arial"/>
                <w:sz w:val="17"/>
                <w:szCs w:val="17"/>
                <w:color w:val="auto"/>
              </w:rPr>
              <w:t>RSUs</w:t>
            </w:r>
          </w:p>
        </w:tc>
        <w:tc>
          <w:tcPr>
            <w:tcW w:w="360" w:type="dxa"/>
            <w:vAlign w:val="bottom"/>
            <w:shd w:val="clear" w:color="auto" w:fill="DCE2EF"/>
          </w:tcPr>
          <w:p>
            <w:pPr>
              <w:jc w:val="right"/>
              <w:ind w:right="174"/>
              <w:spacing w:after="0"/>
              <w:rPr>
                <w:sz w:val="20"/>
                <w:szCs w:val="20"/>
                <w:color w:val="auto"/>
              </w:rPr>
            </w:pPr>
            <w:r>
              <w:rPr>
                <w:rFonts w:ascii="Arial" w:cs="Arial" w:eastAsia="Arial" w:hAnsi="Arial"/>
                <w:sz w:val="17"/>
                <w:szCs w:val="17"/>
                <w:color w:val="auto"/>
                <w:w w:val="84"/>
              </w:rPr>
              <w:t>$</w:t>
            </w:r>
          </w:p>
        </w:tc>
        <w:tc>
          <w:tcPr>
            <w:tcW w:w="1260" w:type="dxa"/>
            <w:vAlign w:val="bottom"/>
            <w:shd w:val="clear" w:color="auto" w:fill="DCE2EF"/>
          </w:tcPr>
          <w:p>
            <w:pPr>
              <w:jc w:val="center"/>
              <w:ind w:left="694"/>
              <w:spacing w:after="0"/>
              <w:rPr>
                <w:sz w:val="20"/>
                <w:szCs w:val="20"/>
                <w:color w:val="auto"/>
              </w:rPr>
            </w:pPr>
            <w:r>
              <w:rPr>
                <w:rFonts w:ascii="Arial" w:cs="Arial" w:eastAsia="Arial" w:hAnsi="Arial"/>
                <w:sz w:val="17"/>
                <w:szCs w:val="17"/>
                <w:color w:val="auto"/>
                <w:w w:val="96"/>
              </w:rPr>
              <w:t>22.3</w:t>
            </w:r>
          </w:p>
        </w:tc>
        <w:tc>
          <w:tcPr>
            <w:tcW w:w="100" w:type="dxa"/>
            <w:vAlign w:val="bottom"/>
            <w:shd w:val="clear" w:color="auto" w:fill="DCE2EF"/>
          </w:tcPr>
          <w:p>
            <w:pPr>
              <w:spacing w:after="0"/>
              <w:rPr>
                <w:sz w:val="18"/>
                <w:szCs w:val="18"/>
                <w:color w:val="auto"/>
              </w:rPr>
            </w:pPr>
          </w:p>
        </w:tc>
        <w:tc>
          <w:tcPr>
            <w:tcW w:w="380" w:type="dxa"/>
            <w:vAlign w:val="bottom"/>
            <w:shd w:val="clear" w:color="auto" w:fill="DCE2EF"/>
          </w:tcPr>
          <w:p>
            <w:pPr>
              <w:jc w:val="right"/>
              <w:ind w:right="174"/>
              <w:spacing w:after="0"/>
              <w:rPr>
                <w:sz w:val="20"/>
                <w:szCs w:val="20"/>
                <w:color w:val="auto"/>
              </w:rPr>
            </w:pPr>
            <w:r>
              <w:rPr>
                <w:rFonts w:ascii="Arial" w:cs="Arial" w:eastAsia="Arial" w:hAnsi="Arial"/>
                <w:sz w:val="17"/>
                <w:szCs w:val="17"/>
                <w:color w:val="auto"/>
              </w:rPr>
              <w:t>$</w:t>
            </w:r>
          </w:p>
        </w:tc>
        <w:tc>
          <w:tcPr>
            <w:tcW w:w="1260" w:type="dxa"/>
            <w:vAlign w:val="bottom"/>
            <w:shd w:val="clear" w:color="auto" w:fill="DCE2EF"/>
          </w:tcPr>
          <w:p>
            <w:pPr>
              <w:jc w:val="right"/>
              <w:spacing w:after="0"/>
              <w:rPr>
                <w:sz w:val="20"/>
                <w:szCs w:val="20"/>
                <w:color w:val="auto"/>
              </w:rPr>
            </w:pPr>
            <w:r>
              <w:rPr>
                <w:rFonts w:ascii="Arial" w:cs="Arial" w:eastAsia="Arial" w:hAnsi="Arial"/>
                <w:sz w:val="17"/>
                <w:szCs w:val="17"/>
                <w:color w:val="auto"/>
              </w:rPr>
              <w:t>19.9</w:t>
            </w:r>
          </w:p>
        </w:tc>
        <w:tc>
          <w:tcPr>
            <w:tcW w:w="100" w:type="dxa"/>
            <w:vAlign w:val="bottom"/>
            <w:shd w:val="clear" w:color="auto" w:fill="DCE2EF"/>
          </w:tcPr>
          <w:p>
            <w:pPr>
              <w:spacing w:after="0"/>
              <w:rPr>
                <w:sz w:val="18"/>
                <w:szCs w:val="18"/>
                <w:color w:val="auto"/>
              </w:rPr>
            </w:pPr>
          </w:p>
        </w:tc>
        <w:tc>
          <w:tcPr>
            <w:tcW w:w="380" w:type="dxa"/>
            <w:vAlign w:val="bottom"/>
            <w:shd w:val="clear" w:color="auto" w:fill="DCE2EF"/>
          </w:tcPr>
          <w:p>
            <w:pPr>
              <w:jc w:val="right"/>
              <w:ind w:right="174"/>
              <w:spacing w:after="0"/>
              <w:rPr>
                <w:sz w:val="20"/>
                <w:szCs w:val="20"/>
                <w:color w:val="auto"/>
              </w:rPr>
            </w:pPr>
            <w:r>
              <w:rPr>
                <w:rFonts w:ascii="Arial" w:cs="Arial" w:eastAsia="Arial" w:hAnsi="Arial"/>
                <w:sz w:val="17"/>
                <w:szCs w:val="17"/>
                <w:color w:val="auto"/>
              </w:rPr>
              <w:t>$</w:t>
            </w:r>
          </w:p>
        </w:tc>
        <w:tc>
          <w:tcPr>
            <w:tcW w:w="1260" w:type="dxa"/>
            <w:vAlign w:val="bottom"/>
            <w:shd w:val="clear" w:color="auto" w:fill="DCE2EF"/>
          </w:tcPr>
          <w:p>
            <w:pPr>
              <w:jc w:val="right"/>
              <w:spacing w:after="0"/>
              <w:rPr>
                <w:sz w:val="20"/>
                <w:szCs w:val="20"/>
                <w:color w:val="auto"/>
              </w:rPr>
            </w:pPr>
            <w:r>
              <w:rPr>
                <w:rFonts w:ascii="Arial" w:cs="Arial" w:eastAsia="Arial" w:hAnsi="Arial"/>
                <w:sz w:val="17"/>
                <w:szCs w:val="17"/>
                <w:color w:val="auto"/>
              </w:rPr>
              <w:t>17.7</w:t>
            </w:r>
          </w:p>
        </w:tc>
      </w:tr>
      <w:tr>
        <w:trPr>
          <w:trHeight w:val="219"/>
        </w:trPr>
        <w:tc>
          <w:tcPr>
            <w:tcW w:w="6120" w:type="dxa"/>
            <w:vAlign w:val="bottom"/>
            <w:tcBorders>
              <w:bottom w:val="single" w:sz="8" w:color="DCE2EF"/>
            </w:tcBorders>
            <w:gridSpan w:val="3"/>
          </w:tcPr>
          <w:p>
            <w:pPr>
              <w:ind w:left="20"/>
              <w:spacing w:after="0"/>
              <w:rPr>
                <w:sz w:val="20"/>
                <w:szCs w:val="20"/>
                <w:color w:val="auto"/>
              </w:rPr>
            </w:pPr>
            <w:r>
              <w:rPr>
                <w:rFonts w:ascii="Arial" w:cs="Arial" w:eastAsia="Arial" w:hAnsi="Arial"/>
                <w:sz w:val="17"/>
                <w:szCs w:val="17"/>
                <w:color w:val="auto"/>
              </w:rPr>
              <w:t>Performance shares</w:t>
            </w: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ind w:left="694"/>
              <w:spacing w:after="0"/>
              <w:rPr>
                <w:sz w:val="20"/>
                <w:szCs w:val="20"/>
                <w:color w:val="auto"/>
              </w:rPr>
            </w:pPr>
            <w:r>
              <w:rPr>
                <w:rFonts w:ascii="Arial" w:cs="Arial" w:eastAsia="Arial" w:hAnsi="Arial"/>
                <w:sz w:val="17"/>
                <w:szCs w:val="17"/>
                <w:color w:val="auto"/>
                <w:w w:val="96"/>
              </w:rPr>
              <w:t>15.7</w:t>
            </w:r>
          </w:p>
        </w:tc>
        <w:tc>
          <w:tcPr>
            <w:tcW w:w="100" w:type="dxa"/>
            <w:vAlign w:val="bottom"/>
            <w:tcBorders>
              <w:bottom w:val="single" w:sz="8" w:color="DCE2E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10.1</w:t>
            </w:r>
          </w:p>
        </w:tc>
        <w:tc>
          <w:tcPr>
            <w:tcW w:w="100" w:type="dxa"/>
            <w:vAlign w:val="bottom"/>
            <w:tcBorders>
              <w:bottom w:val="single" w:sz="8" w:color="DCE2E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12.7</w:t>
            </w:r>
          </w:p>
        </w:tc>
      </w:tr>
      <w:tr>
        <w:trPr>
          <w:trHeight w:val="212"/>
        </w:trPr>
        <w:tc>
          <w:tcPr>
            <w:tcW w:w="6120" w:type="dxa"/>
            <w:vAlign w:val="bottom"/>
            <w:gridSpan w:val="3"/>
            <w:shd w:val="clear" w:color="auto" w:fill="DCE2EF"/>
          </w:tcPr>
          <w:p>
            <w:pPr>
              <w:ind w:left="20"/>
              <w:spacing w:after="0"/>
              <w:rPr>
                <w:sz w:val="20"/>
                <w:szCs w:val="20"/>
                <w:color w:val="auto"/>
              </w:rPr>
            </w:pPr>
            <w:r>
              <w:rPr>
                <w:rFonts w:ascii="Arial" w:cs="Arial" w:eastAsia="Arial" w:hAnsi="Arial"/>
                <w:sz w:val="17"/>
                <w:szCs w:val="17"/>
                <w:color w:val="auto"/>
              </w:rPr>
              <w:t>Share-based compensation expense before income taxes</w:t>
            </w:r>
          </w:p>
        </w:tc>
        <w:tc>
          <w:tcPr>
            <w:tcW w:w="360" w:type="dxa"/>
            <w:vAlign w:val="bottom"/>
            <w:shd w:val="clear" w:color="auto" w:fill="DCE2EF"/>
          </w:tcPr>
          <w:p>
            <w:pPr>
              <w:spacing w:after="0"/>
              <w:rPr>
                <w:sz w:val="18"/>
                <w:szCs w:val="18"/>
                <w:color w:val="auto"/>
              </w:rPr>
            </w:pPr>
          </w:p>
        </w:tc>
        <w:tc>
          <w:tcPr>
            <w:tcW w:w="1260" w:type="dxa"/>
            <w:vAlign w:val="bottom"/>
            <w:shd w:val="clear" w:color="auto" w:fill="DCE2EF"/>
          </w:tcPr>
          <w:p>
            <w:pPr>
              <w:jc w:val="center"/>
              <w:ind w:left="694"/>
              <w:spacing w:after="0"/>
              <w:rPr>
                <w:sz w:val="20"/>
                <w:szCs w:val="20"/>
                <w:color w:val="auto"/>
              </w:rPr>
            </w:pPr>
            <w:r>
              <w:rPr>
                <w:rFonts w:ascii="Arial" w:cs="Arial" w:eastAsia="Arial" w:hAnsi="Arial"/>
                <w:sz w:val="17"/>
                <w:szCs w:val="17"/>
                <w:color w:val="auto"/>
                <w:w w:val="96"/>
              </w:rPr>
              <w:t>38.0</w:t>
            </w:r>
          </w:p>
        </w:tc>
        <w:tc>
          <w:tcPr>
            <w:tcW w:w="100" w:type="dxa"/>
            <w:vAlign w:val="bottom"/>
            <w:shd w:val="clear" w:color="auto" w:fill="DCE2EF"/>
          </w:tcPr>
          <w:p>
            <w:pPr>
              <w:spacing w:after="0"/>
              <w:rPr>
                <w:sz w:val="18"/>
                <w:szCs w:val="18"/>
                <w:color w:val="auto"/>
              </w:rPr>
            </w:pPr>
          </w:p>
        </w:tc>
        <w:tc>
          <w:tcPr>
            <w:tcW w:w="380" w:type="dxa"/>
            <w:vAlign w:val="bottom"/>
            <w:shd w:val="clear" w:color="auto" w:fill="DCE2EF"/>
          </w:tcPr>
          <w:p>
            <w:pPr>
              <w:spacing w:after="0"/>
              <w:rPr>
                <w:sz w:val="18"/>
                <w:szCs w:val="18"/>
                <w:color w:val="auto"/>
              </w:rPr>
            </w:pPr>
          </w:p>
        </w:tc>
        <w:tc>
          <w:tcPr>
            <w:tcW w:w="1260" w:type="dxa"/>
            <w:vAlign w:val="bottom"/>
            <w:shd w:val="clear" w:color="auto" w:fill="DCE2EF"/>
          </w:tcPr>
          <w:p>
            <w:pPr>
              <w:jc w:val="right"/>
              <w:spacing w:after="0"/>
              <w:rPr>
                <w:sz w:val="20"/>
                <w:szCs w:val="20"/>
                <w:color w:val="auto"/>
              </w:rPr>
            </w:pPr>
            <w:r>
              <w:rPr>
                <w:rFonts w:ascii="Arial" w:cs="Arial" w:eastAsia="Arial" w:hAnsi="Arial"/>
                <w:sz w:val="17"/>
                <w:szCs w:val="17"/>
                <w:color w:val="auto"/>
              </w:rPr>
              <w:t>30.0</w:t>
            </w:r>
          </w:p>
        </w:tc>
        <w:tc>
          <w:tcPr>
            <w:tcW w:w="100" w:type="dxa"/>
            <w:vAlign w:val="bottom"/>
            <w:shd w:val="clear" w:color="auto" w:fill="DCE2EF"/>
          </w:tcPr>
          <w:p>
            <w:pPr>
              <w:spacing w:after="0"/>
              <w:rPr>
                <w:sz w:val="18"/>
                <w:szCs w:val="18"/>
                <w:color w:val="auto"/>
              </w:rPr>
            </w:pPr>
          </w:p>
        </w:tc>
        <w:tc>
          <w:tcPr>
            <w:tcW w:w="380" w:type="dxa"/>
            <w:vAlign w:val="bottom"/>
            <w:shd w:val="clear" w:color="auto" w:fill="DCE2EF"/>
          </w:tcPr>
          <w:p>
            <w:pPr>
              <w:spacing w:after="0"/>
              <w:rPr>
                <w:sz w:val="18"/>
                <w:szCs w:val="18"/>
                <w:color w:val="auto"/>
              </w:rPr>
            </w:pPr>
          </w:p>
        </w:tc>
        <w:tc>
          <w:tcPr>
            <w:tcW w:w="1260" w:type="dxa"/>
            <w:vAlign w:val="bottom"/>
            <w:shd w:val="clear" w:color="auto" w:fill="DCE2EF"/>
          </w:tcPr>
          <w:p>
            <w:pPr>
              <w:jc w:val="right"/>
              <w:spacing w:after="0"/>
              <w:rPr>
                <w:sz w:val="20"/>
                <w:szCs w:val="20"/>
                <w:color w:val="auto"/>
              </w:rPr>
            </w:pPr>
            <w:r>
              <w:rPr>
                <w:rFonts w:ascii="Arial" w:cs="Arial" w:eastAsia="Arial" w:hAnsi="Arial"/>
                <w:sz w:val="17"/>
                <w:szCs w:val="17"/>
                <w:color w:val="auto"/>
              </w:rPr>
              <w:t>30.5</w:t>
            </w:r>
          </w:p>
        </w:tc>
      </w:tr>
      <w:tr>
        <w:trPr>
          <w:trHeight w:val="219"/>
        </w:trPr>
        <w:tc>
          <w:tcPr>
            <w:tcW w:w="6120" w:type="dxa"/>
            <w:vAlign w:val="bottom"/>
            <w:tcBorders>
              <w:bottom w:val="single" w:sz="8" w:color="DCE2EF"/>
            </w:tcBorders>
            <w:gridSpan w:val="3"/>
          </w:tcPr>
          <w:p>
            <w:pPr>
              <w:ind w:left="20"/>
              <w:spacing w:after="0"/>
              <w:rPr>
                <w:sz w:val="20"/>
                <w:szCs w:val="20"/>
                <w:color w:val="auto"/>
              </w:rPr>
            </w:pPr>
            <w:r>
              <w:rPr>
                <w:rFonts w:ascii="Arial" w:cs="Arial" w:eastAsia="Arial" w:hAnsi="Arial"/>
                <w:sz w:val="17"/>
                <w:szCs w:val="17"/>
                <w:color w:val="auto"/>
              </w:rPr>
              <w:t>Income tax benefit</w:t>
            </w: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ind w:left="674"/>
              <w:spacing w:after="0"/>
              <w:rPr>
                <w:sz w:val="20"/>
                <w:szCs w:val="20"/>
                <w:color w:val="auto"/>
              </w:rPr>
            </w:pPr>
            <w:r>
              <w:rPr>
                <w:rFonts w:ascii="Arial" w:cs="Arial" w:eastAsia="Arial" w:hAnsi="Arial"/>
                <w:sz w:val="17"/>
                <w:szCs w:val="17"/>
                <w:color w:val="auto"/>
              </w:rPr>
              <w:t>(10.0)</w:t>
            </w:r>
          </w:p>
        </w:tc>
        <w:tc>
          <w:tcPr>
            <w:tcW w:w="100" w:type="dxa"/>
            <w:vAlign w:val="bottom"/>
            <w:tcBorders>
              <w:bottom w:val="single" w:sz="8" w:color="DCE2E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(8.4)</w:t>
            </w:r>
          </w:p>
        </w:tc>
        <w:tc>
          <w:tcPr>
            <w:tcW w:w="100" w:type="dxa"/>
            <w:vAlign w:val="bottom"/>
            <w:tcBorders>
              <w:bottom w:val="single" w:sz="8" w:color="DCE2E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(8.6)</w:t>
            </w:r>
          </w:p>
        </w:tc>
      </w:tr>
      <w:tr>
        <w:trPr>
          <w:trHeight w:val="237"/>
        </w:trPr>
        <w:tc>
          <w:tcPr>
            <w:tcW w:w="6120" w:type="dxa"/>
            <w:vAlign w:val="bottom"/>
            <w:tcBorders>
              <w:bottom w:val="single" w:sz="8" w:color="DCE2EF"/>
            </w:tcBorders>
            <w:gridSpan w:val="3"/>
            <w:shd w:val="clear" w:color="auto" w:fill="DCE2EF"/>
          </w:tcPr>
          <w:p>
            <w:pPr>
              <w:ind w:left="20"/>
              <w:spacing w:after="0"/>
              <w:rPr>
                <w:sz w:val="20"/>
                <w:szCs w:val="20"/>
                <w:color w:val="auto"/>
              </w:rPr>
            </w:pPr>
            <w:r>
              <w:rPr>
                <w:rFonts w:ascii="Arial" w:cs="Arial" w:eastAsia="Arial" w:hAnsi="Arial"/>
                <w:sz w:val="17"/>
                <w:szCs w:val="17"/>
                <w:color w:val="auto"/>
              </w:rPr>
              <w:t>Share-based compensation expense, net of taxes</w:t>
            </w:r>
          </w:p>
        </w:tc>
        <w:tc>
          <w:tcPr>
            <w:tcW w:w="360" w:type="dxa"/>
            <w:vAlign w:val="bottom"/>
            <w:tcBorders>
              <w:bottom w:val="single" w:sz="8" w:color="auto"/>
            </w:tcBorders>
            <w:shd w:val="clear" w:color="auto" w:fill="DCE2EF"/>
          </w:tcPr>
          <w:p>
            <w:pPr>
              <w:jc w:val="right"/>
              <w:ind w:right="174"/>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shd w:val="clear" w:color="auto" w:fill="DCE2EF"/>
          </w:tcPr>
          <w:p>
            <w:pPr>
              <w:jc w:val="center"/>
              <w:ind w:left="694"/>
              <w:spacing w:after="0"/>
              <w:rPr>
                <w:sz w:val="20"/>
                <w:szCs w:val="20"/>
                <w:color w:val="auto"/>
              </w:rPr>
            </w:pPr>
            <w:r>
              <w:rPr>
                <w:rFonts w:ascii="Arial" w:cs="Arial" w:eastAsia="Arial" w:hAnsi="Arial"/>
                <w:sz w:val="17"/>
                <w:szCs w:val="17"/>
                <w:color w:val="auto"/>
                <w:w w:val="96"/>
              </w:rPr>
              <w:t>28.1</w:t>
            </w:r>
          </w:p>
        </w:tc>
        <w:tc>
          <w:tcPr>
            <w:tcW w:w="100" w:type="dxa"/>
            <w:vAlign w:val="bottom"/>
            <w:tcBorders>
              <w:bottom w:val="single" w:sz="8" w:color="DCE2EF"/>
            </w:tcBorders>
            <w:shd w:val="clear" w:color="auto" w:fill="DCE2EF"/>
          </w:tcPr>
          <w:p>
            <w:pPr>
              <w:spacing w:after="0"/>
              <w:rPr>
                <w:sz w:val="20"/>
                <w:szCs w:val="20"/>
                <w:color w:val="auto"/>
              </w:rPr>
            </w:pPr>
          </w:p>
        </w:tc>
        <w:tc>
          <w:tcPr>
            <w:tcW w:w="380" w:type="dxa"/>
            <w:vAlign w:val="bottom"/>
            <w:tcBorders>
              <w:bottom w:val="single" w:sz="8" w:color="auto"/>
            </w:tcBorders>
            <w:shd w:val="clear" w:color="auto" w:fill="DCE2EF"/>
          </w:tcPr>
          <w:p>
            <w:pPr>
              <w:jc w:val="right"/>
              <w:ind w:right="174"/>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7"/>
                <w:szCs w:val="17"/>
                <w:color w:val="auto"/>
              </w:rPr>
              <w:t>21.6</w:t>
            </w:r>
          </w:p>
        </w:tc>
        <w:tc>
          <w:tcPr>
            <w:tcW w:w="100" w:type="dxa"/>
            <w:vAlign w:val="bottom"/>
            <w:tcBorders>
              <w:bottom w:val="single" w:sz="8" w:color="DCE2EF"/>
            </w:tcBorders>
            <w:shd w:val="clear" w:color="auto" w:fill="DCE2EF"/>
          </w:tcPr>
          <w:p>
            <w:pPr>
              <w:spacing w:after="0"/>
              <w:rPr>
                <w:sz w:val="20"/>
                <w:szCs w:val="20"/>
                <w:color w:val="auto"/>
              </w:rPr>
            </w:pPr>
          </w:p>
        </w:tc>
        <w:tc>
          <w:tcPr>
            <w:tcW w:w="380" w:type="dxa"/>
            <w:vAlign w:val="bottom"/>
            <w:tcBorders>
              <w:bottom w:val="single" w:sz="8" w:color="auto"/>
            </w:tcBorders>
            <w:shd w:val="clear" w:color="auto" w:fill="DCE2EF"/>
          </w:tcPr>
          <w:p>
            <w:pPr>
              <w:jc w:val="right"/>
              <w:ind w:right="174"/>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7"/>
                <w:szCs w:val="17"/>
                <w:color w:val="auto"/>
              </w:rPr>
              <w:t>21.8</w:t>
            </w:r>
          </w:p>
        </w:tc>
      </w:tr>
      <w:tr>
        <w:trPr>
          <w:trHeight w:val="20"/>
        </w:trPr>
        <w:tc>
          <w:tcPr>
            <w:tcW w:w="20" w:type="dxa"/>
            <w:vAlign w:val="bottom"/>
            <w:tcBorders>
              <w:top w:val="single" w:sz="8" w:color="DCE2EF"/>
            </w:tcBorders>
          </w:tcPr>
          <w:p>
            <w:pPr>
              <w:spacing w:after="0" w:line="20" w:lineRule="exact"/>
              <w:rPr>
                <w:sz w:val="1"/>
                <w:szCs w:val="1"/>
                <w:color w:val="auto"/>
              </w:rPr>
            </w:pPr>
          </w:p>
        </w:tc>
        <w:tc>
          <w:tcPr>
            <w:tcW w:w="680" w:type="dxa"/>
            <w:vAlign w:val="bottom"/>
            <w:tcBorders>
              <w:top w:val="single" w:sz="8" w:color="DCE2EF"/>
            </w:tcBorders>
          </w:tcPr>
          <w:p>
            <w:pPr>
              <w:spacing w:after="0" w:line="20" w:lineRule="exact"/>
              <w:rPr>
                <w:sz w:val="1"/>
                <w:szCs w:val="1"/>
                <w:color w:val="auto"/>
              </w:rPr>
            </w:pPr>
          </w:p>
        </w:tc>
        <w:tc>
          <w:tcPr>
            <w:tcW w:w="5420" w:type="dxa"/>
            <w:vAlign w:val="bottom"/>
            <w:tcBorders>
              <w:top w:val="single" w:sz="8" w:color="DCE2EF"/>
            </w:tcBorders>
          </w:tcPr>
          <w:p>
            <w:pPr>
              <w:spacing w:after="0" w:line="20" w:lineRule="exact"/>
              <w:rPr>
                <w:sz w:val="1"/>
                <w:szCs w:val="1"/>
                <w:color w:val="auto"/>
              </w:rPr>
            </w:pPr>
          </w:p>
        </w:tc>
        <w:tc>
          <w:tcPr>
            <w:tcW w:w="360" w:type="dxa"/>
            <w:vAlign w:val="bottom"/>
            <w:tcBorders>
              <w:top w:val="single" w:sz="8" w:color="DCE2EF"/>
              <w:bottom w:val="single" w:sz="8" w:color="auto"/>
            </w:tcBorders>
          </w:tcPr>
          <w:p>
            <w:pPr>
              <w:spacing w:after="0" w:line="20" w:lineRule="exact"/>
              <w:rPr>
                <w:sz w:val="1"/>
                <w:szCs w:val="1"/>
                <w:color w:val="auto"/>
              </w:rPr>
            </w:pPr>
          </w:p>
        </w:tc>
        <w:tc>
          <w:tcPr>
            <w:tcW w:w="1260" w:type="dxa"/>
            <w:vAlign w:val="bottom"/>
            <w:tcBorders>
              <w:top w:val="single" w:sz="8" w:color="DCE2EF"/>
              <w:bottom w:val="single" w:sz="8" w:color="auto"/>
            </w:tcBorders>
          </w:tcPr>
          <w:p>
            <w:pPr>
              <w:spacing w:after="0" w:line="20" w:lineRule="exact"/>
              <w:rPr>
                <w:sz w:val="1"/>
                <w:szCs w:val="1"/>
                <w:color w:val="auto"/>
              </w:rPr>
            </w:pPr>
          </w:p>
        </w:tc>
        <w:tc>
          <w:tcPr>
            <w:tcW w:w="100" w:type="dxa"/>
            <w:vAlign w:val="bottom"/>
            <w:tcBorders>
              <w:top w:val="single" w:sz="8" w:color="DCE2EF"/>
            </w:tcBorders>
          </w:tcPr>
          <w:p>
            <w:pPr>
              <w:spacing w:after="0" w:line="20" w:lineRule="exact"/>
              <w:rPr>
                <w:sz w:val="1"/>
                <w:szCs w:val="1"/>
                <w:color w:val="auto"/>
              </w:rPr>
            </w:pPr>
          </w:p>
        </w:tc>
        <w:tc>
          <w:tcPr>
            <w:tcW w:w="380" w:type="dxa"/>
            <w:vAlign w:val="bottom"/>
            <w:tcBorders>
              <w:top w:val="single" w:sz="8" w:color="DCE2EF"/>
              <w:bottom w:val="single" w:sz="8" w:color="auto"/>
            </w:tcBorders>
          </w:tcPr>
          <w:p>
            <w:pPr>
              <w:spacing w:after="0" w:line="20" w:lineRule="exact"/>
              <w:rPr>
                <w:sz w:val="1"/>
                <w:szCs w:val="1"/>
                <w:color w:val="auto"/>
              </w:rPr>
            </w:pPr>
          </w:p>
        </w:tc>
        <w:tc>
          <w:tcPr>
            <w:tcW w:w="1260" w:type="dxa"/>
            <w:vAlign w:val="bottom"/>
            <w:tcBorders>
              <w:top w:val="single" w:sz="8" w:color="DCE2EF"/>
              <w:bottom w:val="single" w:sz="8" w:color="auto"/>
            </w:tcBorders>
          </w:tcPr>
          <w:p>
            <w:pPr>
              <w:spacing w:after="0" w:line="20" w:lineRule="exact"/>
              <w:rPr>
                <w:sz w:val="1"/>
                <w:szCs w:val="1"/>
                <w:color w:val="auto"/>
              </w:rPr>
            </w:pPr>
          </w:p>
        </w:tc>
        <w:tc>
          <w:tcPr>
            <w:tcW w:w="100" w:type="dxa"/>
            <w:vAlign w:val="bottom"/>
            <w:tcBorders>
              <w:top w:val="single" w:sz="8" w:color="DCE2EF"/>
            </w:tcBorders>
          </w:tcPr>
          <w:p>
            <w:pPr>
              <w:spacing w:after="0" w:line="20" w:lineRule="exact"/>
              <w:rPr>
                <w:sz w:val="1"/>
                <w:szCs w:val="1"/>
                <w:color w:val="auto"/>
              </w:rPr>
            </w:pPr>
          </w:p>
        </w:tc>
        <w:tc>
          <w:tcPr>
            <w:tcW w:w="380" w:type="dxa"/>
            <w:vAlign w:val="bottom"/>
            <w:tcBorders>
              <w:top w:val="single" w:sz="8" w:color="DCE2EF"/>
              <w:bottom w:val="single" w:sz="8" w:color="auto"/>
            </w:tcBorders>
          </w:tcPr>
          <w:p>
            <w:pPr>
              <w:spacing w:after="0" w:line="20" w:lineRule="exact"/>
              <w:rPr>
                <w:sz w:val="1"/>
                <w:szCs w:val="1"/>
                <w:color w:val="auto"/>
              </w:rPr>
            </w:pPr>
          </w:p>
        </w:tc>
        <w:tc>
          <w:tcPr>
            <w:tcW w:w="1260" w:type="dxa"/>
            <w:vAlign w:val="bottom"/>
            <w:tcBorders>
              <w:top w:val="single" w:sz="8" w:color="DCE2EF"/>
              <w:bottom w:val="single" w:sz="8" w:color="auto"/>
            </w:tcBorders>
          </w:tcPr>
          <w:p>
            <w:pPr>
              <w:spacing w:after="0" w:line="20" w:lineRule="exact"/>
              <w:rPr>
                <w:sz w:val="1"/>
                <w:szCs w:val="1"/>
                <w:color w:val="auto"/>
              </w:rPr>
            </w:pPr>
          </w:p>
        </w:tc>
      </w:tr>
    </w:tbl>
    <w:p>
      <w:pPr>
        <w:spacing w:after="0" w:line="278"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RSUs and Dividend Equivalent Rights</w:t>
      </w:r>
    </w:p>
    <w:p>
      <w:pPr>
        <w:spacing w:after="0" w:line="168" w:lineRule="exact"/>
        <w:rPr>
          <w:sz w:val="20"/>
          <w:szCs w:val="20"/>
          <w:color w:val="auto"/>
        </w:rPr>
      </w:pPr>
    </w:p>
    <w:p>
      <w:pPr>
        <w:jc w:val="both"/>
        <w:ind w:firstLine="619"/>
        <w:spacing w:after="0" w:line="258" w:lineRule="auto"/>
        <w:rPr>
          <w:sz w:val="20"/>
          <w:szCs w:val="20"/>
          <w:color w:val="auto"/>
        </w:rPr>
      </w:pPr>
      <w:r>
        <w:rPr>
          <w:rFonts w:ascii="Arial" w:cs="Arial" w:eastAsia="Arial" w:hAnsi="Arial"/>
          <w:sz w:val="17"/>
          <w:szCs w:val="17"/>
          <w:color w:val="auto"/>
        </w:rPr>
        <w:t>We award RSUs to eligible employees and non-employee members of our Board of Directors (each, a “Grantee”) that entitle the Grantee to receive shares of our common stock as the units vest. RSUs granted to eligible employees after 2020 generally vest ratably over three years. RSUs granted to eligible employees prior to 2020 generally vest with respect to 50% of the underlying award on the second and fourth anniversary of the award. Upon the retirement of certain executive employees at age 60 with a minimum of 10 years of service to the Company, pursuant to the terms of their respective employment agreements, RSUs granted to such executive employees that were granted at least one year prior to termination by reason of retirement will continue to be eligible for vesting, exercise, and settlement, as applicable, on the originally scheduled vesting date. RSUs granted to non-employee directors vest on the first anniversary date of the grant date. In general, the receipt of RSUs is subject to the grantee’s continuing employment or service as a non-employee director.</w:t>
      </w:r>
    </w:p>
    <w:p>
      <w:pPr>
        <w:spacing w:after="0" w:line="124"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17"/>
          <w:szCs w:val="17"/>
          <w:color w:val="auto"/>
        </w:rPr>
        <w:t>RSUs are credited with dividend equivalent rights that are converted to RSUs at the fair market value of our common stock on the dates the dividend payments are made and are subject to the same terms and conditions as the underlying award.</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140" w:type="dxa"/>
            <w:vAlign w:val="bottom"/>
            <w:gridSpan w:val="2"/>
          </w:tcPr>
          <w:p>
            <w:pPr>
              <w:spacing w:after="0"/>
              <w:rPr>
                <w:sz w:val="20"/>
                <w:szCs w:val="20"/>
                <w:color w:val="auto"/>
              </w:rPr>
            </w:pPr>
            <w:r>
              <w:rPr>
                <w:rFonts w:ascii="Arial" w:cs="Arial" w:eastAsia="Arial" w:hAnsi="Arial"/>
                <w:sz w:val="17"/>
                <w:szCs w:val="17"/>
                <w:b w:val="1"/>
                <w:bCs w:val="1"/>
                <w:i w:val="1"/>
                <w:iCs w:val="1"/>
                <w:color w:val="0046AD"/>
              </w:rPr>
              <w:t>RSU Activity</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180" w:type="dxa"/>
            <w:vAlign w:val="bottom"/>
          </w:tcPr>
          <w:p>
            <w:pPr>
              <w:spacing w:after="0"/>
              <w:rPr>
                <w:sz w:val="20"/>
                <w:szCs w:val="20"/>
                <w:color w:val="auto"/>
              </w:rPr>
            </w:pPr>
          </w:p>
        </w:tc>
      </w:tr>
      <w:tr>
        <w:trPr>
          <w:trHeight w:val="181"/>
        </w:trPr>
        <w:tc>
          <w:tcPr>
            <w:tcW w:w="6260" w:type="dxa"/>
            <w:vAlign w:val="bottom"/>
          </w:tcPr>
          <w:p>
            <w:pPr>
              <w:spacing w:after="0"/>
              <w:rPr>
                <w:sz w:val="15"/>
                <w:szCs w:val="15"/>
                <w:color w:val="auto"/>
              </w:rPr>
            </w:pPr>
          </w:p>
        </w:tc>
        <w:tc>
          <w:tcPr>
            <w:tcW w:w="1880" w:type="dxa"/>
            <w:vAlign w:val="bottom"/>
          </w:tcPr>
          <w:p>
            <w:pPr>
              <w:jc w:val="center"/>
              <w:ind w:left="454"/>
              <w:spacing w:after="0" w:line="181" w:lineRule="exact"/>
              <w:rPr>
                <w:sz w:val="20"/>
                <w:szCs w:val="20"/>
                <w:color w:val="auto"/>
              </w:rPr>
            </w:pPr>
            <w:r>
              <w:rPr>
                <w:rFonts w:ascii="Arial" w:cs="Arial" w:eastAsia="Arial" w:hAnsi="Arial"/>
                <w:sz w:val="17"/>
                <w:szCs w:val="17"/>
                <w:b w:val="1"/>
                <w:bCs w:val="1"/>
                <w:color w:val="auto"/>
              </w:rPr>
              <w:t>Number of</w:t>
            </w: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180" w:type="dxa"/>
            <w:vAlign w:val="bottom"/>
          </w:tcPr>
          <w:p>
            <w:pPr>
              <w:jc w:val="center"/>
              <w:ind w:right="174"/>
              <w:spacing w:after="0" w:line="181" w:lineRule="exact"/>
              <w:rPr>
                <w:sz w:val="20"/>
                <w:szCs w:val="20"/>
                <w:color w:val="auto"/>
              </w:rPr>
            </w:pPr>
            <w:r>
              <w:rPr>
                <w:rFonts w:ascii="Arial" w:cs="Arial" w:eastAsia="Arial" w:hAnsi="Arial"/>
                <w:sz w:val="17"/>
                <w:szCs w:val="17"/>
                <w:b w:val="1"/>
                <w:bCs w:val="1"/>
                <w:color w:val="auto"/>
                <w:w w:val="99"/>
              </w:rPr>
              <w:t>Weighted-Average</w:t>
            </w:r>
          </w:p>
        </w:tc>
      </w:tr>
      <w:tr>
        <w:trPr>
          <w:trHeight w:val="168"/>
        </w:trPr>
        <w:tc>
          <w:tcPr>
            <w:tcW w:w="6260" w:type="dxa"/>
            <w:vAlign w:val="bottom"/>
          </w:tcPr>
          <w:p>
            <w:pPr>
              <w:spacing w:after="0"/>
              <w:rPr>
                <w:sz w:val="14"/>
                <w:szCs w:val="14"/>
                <w:color w:val="auto"/>
              </w:rPr>
            </w:pPr>
          </w:p>
        </w:tc>
        <w:tc>
          <w:tcPr>
            <w:tcW w:w="1880" w:type="dxa"/>
            <w:vAlign w:val="bottom"/>
          </w:tcPr>
          <w:p>
            <w:pPr>
              <w:jc w:val="center"/>
              <w:ind w:left="454"/>
              <w:spacing w:after="0" w:line="167" w:lineRule="exact"/>
              <w:rPr>
                <w:sz w:val="20"/>
                <w:szCs w:val="20"/>
                <w:color w:val="auto"/>
              </w:rPr>
            </w:pPr>
            <w:r>
              <w:rPr>
                <w:rFonts w:ascii="Arial" w:cs="Arial" w:eastAsia="Arial" w:hAnsi="Arial"/>
                <w:sz w:val="17"/>
                <w:szCs w:val="17"/>
                <w:b w:val="1"/>
                <w:bCs w:val="1"/>
                <w:color w:val="auto"/>
              </w:rPr>
              <w:t>Shares</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80" w:type="dxa"/>
            <w:vAlign w:val="bottom"/>
          </w:tcPr>
          <w:p>
            <w:pPr>
              <w:jc w:val="center"/>
              <w:ind w:right="174"/>
              <w:spacing w:after="0" w:line="167" w:lineRule="exact"/>
              <w:rPr>
                <w:sz w:val="20"/>
                <w:szCs w:val="20"/>
                <w:color w:val="auto"/>
              </w:rPr>
            </w:pPr>
            <w:r>
              <w:rPr>
                <w:rFonts w:ascii="Arial" w:cs="Arial" w:eastAsia="Arial" w:hAnsi="Arial"/>
                <w:sz w:val="17"/>
                <w:szCs w:val="17"/>
                <w:b w:val="1"/>
                <w:bCs w:val="1"/>
                <w:color w:val="auto"/>
              </w:rPr>
              <w:t>Grant Date</w:t>
            </w:r>
          </w:p>
        </w:tc>
      </w:tr>
      <w:tr>
        <w:trPr>
          <w:trHeight w:val="232"/>
        </w:trPr>
        <w:tc>
          <w:tcPr>
            <w:tcW w:w="6260" w:type="dxa"/>
            <w:vAlign w:val="bottom"/>
            <w:tcBorders>
              <w:bottom w:val="single" w:sz="8" w:color="DCE2EF"/>
            </w:tcBorders>
          </w:tcPr>
          <w:p>
            <w:pPr>
              <w:spacing w:after="0"/>
              <w:rPr>
                <w:sz w:val="20"/>
                <w:szCs w:val="20"/>
                <w:color w:val="auto"/>
              </w:rPr>
            </w:pPr>
          </w:p>
        </w:tc>
        <w:tc>
          <w:tcPr>
            <w:tcW w:w="1880" w:type="dxa"/>
            <w:vAlign w:val="bottom"/>
            <w:tcBorders>
              <w:bottom w:val="single" w:sz="8" w:color="auto"/>
            </w:tcBorders>
          </w:tcPr>
          <w:p>
            <w:pPr>
              <w:jc w:val="center"/>
              <w:ind w:left="474"/>
              <w:spacing w:after="0"/>
              <w:rPr>
                <w:sz w:val="20"/>
                <w:szCs w:val="20"/>
                <w:color w:val="auto"/>
              </w:rPr>
            </w:pPr>
            <w:r>
              <w:rPr>
                <w:rFonts w:ascii="Arial" w:cs="Arial" w:eastAsia="Arial" w:hAnsi="Arial"/>
                <w:sz w:val="17"/>
                <w:szCs w:val="17"/>
                <w:b w:val="1"/>
                <w:bCs w:val="1"/>
                <w:color w:val="auto"/>
              </w:rPr>
              <w:t>(in millions)</w:t>
            </w:r>
          </w:p>
        </w:tc>
        <w:tc>
          <w:tcPr>
            <w:tcW w:w="560" w:type="dxa"/>
            <w:vAlign w:val="bottom"/>
            <w:tcBorders>
              <w:bottom w:val="single" w:sz="8" w:color="auto"/>
            </w:tcBorders>
          </w:tcPr>
          <w:p>
            <w:pPr>
              <w:spacing w:after="0"/>
              <w:rPr>
                <w:sz w:val="20"/>
                <w:szCs w:val="20"/>
                <w:color w:val="auto"/>
              </w:rPr>
            </w:pPr>
          </w:p>
        </w:tc>
        <w:tc>
          <w:tcPr>
            <w:tcW w:w="100" w:type="dxa"/>
            <w:vAlign w:val="bottom"/>
            <w:tcBorders>
              <w:bottom w:val="single" w:sz="8" w:color="DCE2E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tcPr>
          <w:p>
            <w:pPr>
              <w:jc w:val="center"/>
              <w:ind w:right="174"/>
              <w:spacing w:after="0"/>
              <w:rPr>
                <w:sz w:val="20"/>
                <w:szCs w:val="20"/>
                <w:color w:val="auto"/>
              </w:rPr>
            </w:pPr>
            <w:r>
              <w:rPr>
                <w:rFonts w:ascii="Arial" w:cs="Arial" w:eastAsia="Arial" w:hAnsi="Arial"/>
                <w:sz w:val="17"/>
                <w:szCs w:val="17"/>
                <w:b w:val="1"/>
                <w:bCs w:val="1"/>
                <w:color w:val="auto"/>
                <w:w w:val="99"/>
              </w:rPr>
              <w:t>Fair Value per Share</w:t>
            </w:r>
          </w:p>
        </w:tc>
      </w:tr>
      <w:tr>
        <w:trPr>
          <w:trHeight w:val="212"/>
        </w:trPr>
        <w:tc>
          <w:tcPr>
            <w:tcW w:w="6260" w:type="dxa"/>
            <w:vAlign w:val="bottom"/>
            <w:shd w:val="clear" w:color="auto" w:fill="DCE2EF"/>
          </w:tcPr>
          <w:p>
            <w:pPr>
              <w:ind w:left="20"/>
              <w:spacing w:after="0"/>
              <w:rPr>
                <w:sz w:val="20"/>
                <w:szCs w:val="20"/>
                <w:color w:val="auto"/>
              </w:rPr>
            </w:pPr>
            <w:r>
              <w:rPr>
                <w:rFonts w:ascii="Arial" w:cs="Arial" w:eastAsia="Arial" w:hAnsi="Arial"/>
                <w:sz w:val="17"/>
                <w:szCs w:val="17"/>
                <w:color w:val="auto"/>
              </w:rPr>
              <w:t>Outstanding at October 31, 2024</w:t>
            </w:r>
          </w:p>
        </w:tc>
        <w:tc>
          <w:tcPr>
            <w:tcW w:w="1880" w:type="dxa"/>
            <w:vAlign w:val="bottom"/>
            <w:shd w:val="clear" w:color="auto" w:fill="DCE2EF"/>
          </w:tcPr>
          <w:p>
            <w:pPr>
              <w:spacing w:after="0"/>
              <w:rPr>
                <w:sz w:val="18"/>
                <w:szCs w:val="18"/>
                <w:color w:val="auto"/>
              </w:rPr>
            </w:pPr>
          </w:p>
        </w:tc>
        <w:tc>
          <w:tcPr>
            <w:tcW w:w="560" w:type="dxa"/>
            <w:vAlign w:val="bottom"/>
            <w:shd w:val="clear" w:color="auto" w:fill="DCE2EF"/>
          </w:tcPr>
          <w:p>
            <w:pPr>
              <w:jc w:val="center"/>
              <w:ind w:left="74"/>
              <w:spacing w:after="0"/>
              <w:rPr>
                <w:sz w:val="20"/>
                <w:szCs w:val="20"/>
                <w:color w:val="auto"/>
              </w:rPr>
            </w:pPr>
            <w:r>
              <w:rPr>
                <w:rFonts w:ascii="Arial" w:cs="Arial" w:eastAsia="Arial" w:hAnsi="Arial"/>
                <w:sz w:val="17"/>
                <w:szCs w:val="17"/>
                <w:color w:val="auto"/>
              </w:rPr>
              <w:t>1.2</w:t>
            </w:r>
          </w:p>
        </w:tc>
        <w:tc>
          <w:tcPr>
            <w:tcW w:w="100" w:type="dxa"/>
            <w:vAlign w:val="bottom"/>
            <w:shd w:val="clear" w:color="auto" w:fill="DCE2EF"/>
          </w:tcPr>
          <w:p>
            <w:pPr>
              <w:spacing w:after="0"/>
              <w:rPr>
                <w:sz w:val="18"/>
                <w:szCs w:val="18"/>
                <w:color w:val="auto"/>
              </w:rPr>
            </w:pPr>
          </w:p>
        </w:tc>
        <w:tc>
          <w:tcPr>
            <w:tcW w:w="260" w:type="dxa"/>
            <w:vAlign w:val="bottom"/>
            <w:shd w:val="clear" w:color="auto" w:fill="DCE2EF"/>
          </w:tcPr>
          <w:p>
            <w:pPr>
              <w:jc w:val="right"/>
              <w:ind w:right="74"/>
              <w:spacing w:after="0"/>
              <w:rPr>
                <w:sz w:val="20"/>
                <w:szCs w:val="20"/>
                <w:color w:val="auto"/>
              </w:rPr>
            </w:pPr>
            <w:r>
              <w:rPr>
                <w:rFonts w:ascii="Arial" w:cs="Arial" w:eastAsia="Arial" w:hAnsi="Arial"/>
                <w:sz w:val="17"/>
                <w:szCs w:val="17"/>
                <w:color w:val="auto"/>
                <w:w w:val="84"/>
              </w:rPr>
              <w:t>$</w:t>
            </w:r>
          </w:p>
        </w:tc>
        <w:tc>
          <w:tcPr>
            <w:tcW w:w="2180" w:type="dxa"/>
            <w:vAlign w:val="bottom"/>
            <w:shd w:val="clear" w:color="auto" w:fill="DCE2EF"/>
          </w:tcPr>
          <w:p>
            <w:pPr>
              <w:jc w:val="right"/>
              <w:spacing w:after="0"/>
              <w:rPr>
                <w:sz w:val="20"/>
                <w:szCs w:val="20"/>
                <w:color w:val="auto"/>
              </w:rPr>
            </w:pPr>
            <w:r>
              <w:rPr>
                <w:rFonts w:ascii="Arial" w:cs="Arial" w:eastAsia="Arial" w:hAnsi="Arial"/>
                <w:sz w:val="17"/>
                <w:szCs w:val="17"/>
                <w:color w:val="auto"/>
              </w:rPr>
              <w:t>40.82</w:t>
            </w:r>
          </w:p>
        </w:tc>
      </w:tr>
      <w:tr>
        <w:trPr>
          <w:trHeight w:val="219"/>
        </w:trPr>
        <w:tc>
          <w:tcPr>
            <w:tcW w:w="8140" w:type="dxa"/>
            <w:vAlign w:val="bottom"/>
            <w:gridSpan w:val="2"/>
          </w:tcPr>
          <w:p>
            <w:pPr>
              <w:ind w:left="20"/>
              <w:spacing w:after="0"/>
              <w:rPr>
                <w:sz w:val="20"/>
                <w:szCs w:val="20"/>
                <w:color w:val="auto"/>
              </w:rPr>
            </w:pPr>
            <w:r>
              <w:rPr>
                <w:rFonts w:ascii="Arial" w:cs="Arial" w:eastAsia="Arial" w:hAnsi="Arial"/>
                <w:sz w:val="17"/>
                <w:szCs w:val="17"/>
                <w:color w:val="auto"/>
              </w:rPr>
              <w:t>Granted</w:t>
            </w:r>
          </w:p>
        </w:tc>
        <w:tc>
          <w:tcPr>
            <w:tcW w:w="560" w:type="dxa"/>
            <w:vAlign w:val="bottom"/>
          </w:tcPr>
          <w:p>
            <w:pPr>
              <w:jc w:val="center"/>
              <w:ind w:left="74"/>
              <w:spacing w:after="0"/>
              <w:rPr>
                <w:sz w:val="20"/>
                <w:szCs w:val="20"/>
                <w:color w:val="auto"/>
              </w:rPr>
            </w:pPr>
            <w:r>
              <w:rPr>
                <w:rFonts w:ascii="Arial" w:cs="Arial" w:eastAsia="Arial" w:hAnsi="Arial"/>
                <w:sz w:val="17"/>
                <w:szCs w:val="17"/>
                <w:color w:val="auto"/>
              </w:rPr>
              <w:t>0.5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180" w:type="dxa"/>
            <w:vAlign w:val="bottom"/>
          </w:tcPr>
          <w:p>
            <w:pPr>
              <w:jc w:val="right"/>
              <w:spacing w:after="0"/>
              <w:rPr>
                <w:sz w:val="20"/>
                <w:szCs w:val="20"/>
                <w:color w:val="auto"/>
              </w:rPr>
            </w:pPr>
            <w:r>
              <w:rPr>
                <w:rFonts w:ascii="Arial" w:cs="Arial" w:eastAsia="Arial" w:hAnsi="Arial"/>
                <w:sz w:val="17"/>
                <w:szCs w:val="17"/>
                <w:color w:val="auto"/>
              </w:rPr>
              <w:t>48.36</w:t>
            </w:r>
          </w:p>
        </w:tc>
      </w:tr>
      <w:tr>
        <w:trPr>
          <w:trHeight w:val="219"/>
        </w:trPr>
        <w:tc>
          <w:tcPr>
            <w:tcW w:w="8140" w:type="dxa"/>
            <w:vAlign w:val="bottom"/>
            <w:gridSpan w:val="2"/>
            <w:shd w:val="clear" w:color="auto" w:fill="DCE2EF"/>
          </w:tcPr>
          <w:p>
            <w:pPr>
              <w:ind w:left="20"/>
              <w:spacing w:after="0"/>
              <w:rPr>
                <w:sz w:val="20"/>
                <w:szCs w:val="20"/>
                <w:color w:val="auto"/>
              </w:rPr>
            </w:pPr>
            <w:r>
              <w:rPr>
                <w:rFonts w:ascii="Arial" w:cs="Arial" w:eastAsia="Arial" w:hAnsi="Arial"/>
                <w:sz w:val="17"/>
                <w:szCs w:val="17"/>
                <w:color w:val="auto"/>
              </w:rPr>
              <w:t>Vested (including 0.2 shares withheld for income taxes)</w:t>
            </w:r>
          </w:p>
        </w:tc>
        <w:tc>
          <w:tcPr>
            <w:tcW w:w="560" w:type="dxa"/>
            <w:vAlign w:val="bottom"/>
            <w:shd w:val="clear" w:color="auto" w:fill="DCE2EF"/>
          </w:tcPr>
          <w:p>
            <w:pPr>
              <w:jc w:val="center"/>
              <w:ind w:left="54"/>
              <w:spacing w:after="0"/>
              <w:rPr>
                <w:sz w:val="20"/>
                <w:szCs w:val="20"/>
                <w:color w:val="auto"/>
              </w:rPr>
            </w:pPr>
            <w:r>
              <w:rPr>
                <w:rFonts w:ascii="Arial" w:cs="Arial" w:eastAsia="Arial" w:hAnsi="Arial"/>
                <w:sz w:val="17"/>
                <w:szCs w:val="17"/>
                <w:color w:val="auto"/>
                <w:w w:val="97"/>
              </w:rPr>
              <w:t>(0.5)</w:t>
            </w:r>
          </w:p>
        </w:tc>
        <w:tc>
          <w:tcPr>
            <w:tcW w:w="100" w:type="dxa"/>
            <w:vAlign w:val="bottom"/>
            <w:shd w:val="clear" w:color="auto" w:fill="DCE2EF"/>
          </w:tcPr>
          <w:p>
            <w:pPr>
              <w:spacing w:after="0"/>
              <w:rPr>
                <w:sz w:val="19"/>
                <w:szCs w:val="19"/>
                <w:color w:val="auto"/>
              </w:rPr>
            </w:pPr>
          </w:p>
        </w:tc>
        <w:tc>
          <w:tcPr>
            <w:tcW w:w="260" w:type="dxa"/>
            <w:vAlign w:val="bottom"/>
            <w:shd w:val="clear" w:color="auto" w:fill="DCE2EF"/>
          </w:tcPr>
          <w:p>
            <w:pPr>
              <w:spacing w:after="0"/>
              <w:rPr>
                <w:sz w:val="19"/>
                <w:szCs w:val="19"/>
                <w:color w:val="auto"/>
              </w:rPr>
            </w:pPr>
          </w:p>
        </w:tc>
        <w:tc>
          <w:tcPr>
            <w:tcW w:w="2180" w:type="dxa"/>
            <w:vAlign w:val="bottom"/>
            <w:shd w:val="clear" w:color="auto" w:fill="DCE2EF"/>
          </w:tcPr>
          <w:p>
            <w:pPr>
              <w:jc w:val="right"/>
              <w:spacing w:after="0"/>
              <w:rPr>
                <w:sz w:val="20"/>
                <w:szCs w:val="20"/>
                <w:color w:val="auto"/>
              </w:rPr>
            </w:pPr>
            <w:r>
              <w:rPr>
                <w:rFonts w:ascii="Arial" w:cs="Arial" w:eastAsia="Arial" w:hAnsi="Arial"/>
                <w:sz w:val="17"/>
                <w:szCs w:val="17"/>
                <w:color w:val="auto"/>
              </w:rPr>
              <w:t>41.71</w:t>
            </w:r>
          </w:p>
        </w:tc>
      </w:tr>
      <w:tr>
        <w:trPr>
          <w:trHeight w:val="219"/>
        </w:trPr>
        <w:tc>
          <w:tcPr>
            <w:tcW w:w="6260" w:type="dxa"/>
            <w:vAlign w:val="bottom"/>
            <w:tcBorders>
              <w:bottom w:val="single" w:sz="8" w:color="DCE2EF"/>
            </w:tcBorders>
          </w:tcPr>
          <w:p>
            <w:pPr>
              <w:ind w:left="20"/>
              <w:spacing w:after="0"/>
              <w:rPr>
                <w:sz w:val="20"/>
                <w:szCs w:val="20"/>
                <w:color w:val="auto"/>
              </w:rPr>
            </w:pPr>
            <w:r>
              <w:rPr>
                <w:rFonts w:ascii="Arial" w:cs="Arial" w:eastAsia="Arial" w:hAnsi="Arial"/>
                <w:sz w:val="17"/>
                <w:szCs w:val="17"/>
                <w:color w:val="auto"/>
              </w:rPr>
              <w:t>Forfeited</w:t>
            </w:r>
          </w:p>
        </w:tc>
        <w:tc>
          <w:tcPr>
            <w:tcW w:w="18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center"/>
              <w:ind w:left="54"/>
              <w:spacing w:after="0"/>
              <w:rPr>
                <w:sz w:val="20"/>
                <w:szCs w:val="20"/>
                <w:color w:val="auto"/>
              </w:rPr>
            </w:pPr>
            <w:r>
              <w:rPr>
                <w:rFonts w:ascii="Arial" w:cs="Arial" w:eastAsia="Arial" w:hAnsi="Arial"/>
                <w:sz w:val="17"/>
                <w:szCs w:val="17"/>
                <w:color w:val="auto"/>
                <w:w w:val="97"/>
              </w:rPr>
              <w:t>(0.1)</w:t>
            </w:r>
          </w:p>
        </w:tc>
        <w:tc>
          <w:tcPr>
            <w:tcW w:w="100" w:type="dxa"/>
            <w:vAlign w:val="bottom"/>
            <w:tcBorders>
              <w:bottom w:val="single" w:sz="8" w:color="DCE2E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44.86</w:t>
            </w:r>
          </w:p>
        </w:tc>
      </w:tr>
      <w:tr>
        <w:trPr>
          <w:trHeight w:val="232"/>
        </w:trPr>
        <w:tc>
          <w:tcPr>
            <w:tcW w:w="8140" w:type="dxa"/>
            <w:vAlign w:val="bottom"/>
            <w:gridSpan w:val="2"/>
            <w:shd w:val="clear" w:color="auto" w:fill="DCE2EF"/>
          </w:tcPr>
          <w:p>
            <w:pPr>
              <w:ind w:left="20"/>
              <w:spacing w:after="0"/>
              <w:rPr>
                <w:sz w:val="20"/>
                <w:szCs w:val="20"/>
                <w:color w:val="auto"/>
              </w:rPr>
            </w:pPr>
            <w:r>
              <w:rPr>
                <w:rFonts w:ascii="Arial" w:cs="Arial" w:eastAsia="Arial" w:hAnsi="Arial"/>
                <w:sz w:val="17"/>
                <w:szCs w:val="17"/>
                <w:color w:val="auto"/>
              </w:rPr>
              <w:t>Outstanding at October 31, 2025</w:t>
            </w:r>
          </w:p>
        </w:tc>
        <w:tc>
          <w:tcPr>
            <w:tcW w:w="560" w:type="dxa"/>
            <w:vAlign w:val="bottom"/>
            <w:shd w:val="clear" w:color="auto" w:fill="DCE2EF"/>
          </w:tcPr>
          <w:p>
            <w:pPr>
              <w:jc w:val="center"/>
              <w:ind w:left="74"/>
              <w:spacing w:after="0"/>
              <w:rPr>
                <w:sz w:val="20"/>
                <w:szCs w:val="20"/>
                <w:color w:val="auto"/>
              </w:rPr>
            </w:pPr>
            <w:r>
              <w:rPr>
                <w:rFonts w:ascii="Arial" w:cs="Arial" w:eastAsia="Arial" w:hAnsi="Arial"/>
                <w:sz w:val="17"/>
                <w:szCs w:val="17"/>
                <w:color w:val="auto"/>
              </w:rPr>
              <w:t>1.1</w:t>
            </w:r>
          </w:p>
        </w:tc>
        <w:tc>
          <w:tcPr>
            <w:tcW w:w="100" w:type="dxa"/>
            <w:vAlign w:val="bottom"/>
            <w:shd w:val="clear" w:color="auto" w:fill="DCE2EF"/>
          </w:tcPr>
          <w:p>
            <w:pPr>
              <w:spacing w:after="0"/>
              <w:rPr>
                <w:sz w:val="20"/>
                <w:szCs w:val="20"/>
                <w:color w:val="auto"/>
              </w:rPr>
            </w:pPr>
          </w:p>
        </w:tc>
        <w:tc>
          <w:tcPr>
            <w:tcW w:w="260" w:type="dxa"/>
            <w:vAlign w:val="bottom"/>
            <w:shd w:val="clear" w:color="auto" w:fill="DCE2EF"/>
          </w:tcPr>
          <w:p>
            <w:pPr>
              <w:jc w:val="right"/>
              <w:ind w:right="74"/>
              <w:spacing w:after="0"/>
              <w:rPr>
                <w:sz w:val="20"/>
                <w:szCs w:val="20"/>
                <w:color w:val="auto"/>
              </w:rPr>
            </w:pPr>
            <w:r>
              <w:rPr>
                <w:rFonts w:ascii="Arial" w:cs="Arial" w:eastAsia="Arial" w:hAnsi="Arial"/>
                <w:sz w:val="17"/>
                <w:szCs w:val="17"/>
                <w:color w:val="auto"/>
                <w:w w:val="84"/>
              </w:rPr>
              <w:t>$</w:t>
            </w:r>
          </w:p>
        </w:tc>
        <w:tc>
          <w:tcPr>
            <w:tcW w:w="2180" w:type="dxa"/>
            <w:vAlign w:val="bottom"/>
            <w:shd w:val="clear" w:color="auto" w:fill="DCE2EF"/>
          </w:tcPr>
          <w:p>
            <w:pPr>
              <w:jc w:val="right"/>
              <w:spacing w:after="0"/>
              <w:rPr>
                <w:sz w:val="20"/>
                <w:szCs w:val="20"/>
                <w:color w:val="auto"/>
              </w:rPr>
            </w:pPr>
            <w:r>
              <w:rPr>
                <w:rFonts w:ascii="Arial" w:cs="Arial" w:eastAsia="Arial" w:hAnsi="Arial"/>
                <w:sz w:val="17"/>
                <w:szCs w:val="17"/>
                <w:color w:val="auto"/>
              </w:rPr>
              <w:t>43.27</w:t>
            </w:r>
          </w:p>
        </w:tc>
      </w:tr>
      <w:tr>
        <w:trPr>
          <w:trHeight w:val="20"/>
        </w:trPr>
        <w:tc>
          <w:tcPr>
            <w:tcW w:w="6260" w:type="dxa"/>
            <w:vAlign w:val="bottom"/>
            <w:tcBorders>
              <w:top w:val="single" w:sz="8" w:color="DCE2EF"/>
            </w:tcBorders>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CE2E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180" w:type="dxa"/>
            <w:vAlign w:val="bottom"/>
            <w:tcBorders>
              <w:top w:val="single" w:sz="8" w:color="auto"/>
              <w:bottom w:val="single" w:sz="8" w:color="auto"/>
            </w:tcBorders>
          </w:tcPr>
          <w:p>
            <w:pPr>
              <w:spacing w:after="0" w:line="20" w:lineRule="exact"/>
              <w:rPr>
                <w:sz w:val="1"/>
                <w:szCs w:val="1"/>
                <w:color w:val="auto"/>
              </w:rPr>
            </w:pPr>
          </w:p>
        </w:tc>
      </w:tr>
    </w:tbl>
    <w:p>
      <w:pPr>
        <w:spacing w:after="0" w:line="241"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17"/>
          <w:szCs w:val="17"/>
          <w:color w:val="auto"/>
        </w:rPr>
        <w:t>At October 31, 2025, total unrecognized compensation cost, net of estimated forfeitures, related to RSUs was $21.8 million, which is expected to be recognized ratably over a weighted-average vesting period of 1.8 years.</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67" w:right="339" w:bottom="1440" w:gutter="0" w:footer="0" w:header="0"/>
        </w:sectPr>
      </w:pPr>
    </w:p>
    <w:bookmarkStart w:id="83" w:name="page84"/>
    <w:bookmarkEnd w:id="83"/>
    <w:p>
      <w:pPr>
        <w:jc w:val="both"/>
        <w:spacing w:after="0" w:line="271" w:lineRule="auto"/>
        <w:rPr>
          <w:sz w:val="20"/>
          <w:szCs w:val="20"/>
          <w:color w:val="auto"/>
        </w:rPr>
      </w:pPr>
      <w:r>
        <w:rPr>
          <w:rFonts w:ascii="Arial" w:cs="Arial" w:eastAsia="Arial" w:hAnsi="Arial"/>
          <w:sz w:val="17"/>
          <w:szCs w:val="17"/>
          <w:color w:val="auto"/>
        </w:rPr>
        <w:t>In 2025, 2024, and 2023, the weighted-average grant date fair value per share of awards granted was $48.36, $41.32, and $44.37, respectively. In 2025, 2024, and 2023, the total grant date fair value of RSUs vested and converted to shares of ABM common stock was $19.3 million, $15.7 million, and $17.1 million, respectively.</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Performance Shares, Including TSR Performance Shares</w:t>
      </w:r>
    </w:p>
    <w:p>
      <w:pPr>
        <w:spacing w:after="0" w:line="168"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Performance shares consist of a contingent right to receive shares of our common stock based on performance targets adopted by our Compensation Committee. Performance shares are credited with dividend equivalent rights that will be converted to performance shares at the fair market value of our common stock beginning after the performance targets have been satisfied and are subject to the same terms and conditions as the underlying award.</w:t>
      </w:r>
    </w:p>
    <w:p>
      <w:pPr>
        <w:spacing w:after="0" w:line="116"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7"/>
          <w:szCs w:val="17"/>
          <w:color w:val="auto"/>
        </w:rPr>
        <w:t>For our performance share awards, the number of performance shares that will vest is based on pre-established internal financial performance targets and typically a three-year service and performance period. Depending on the level of performance achieved, vesting of these awards may range from 0% to 200% of the target number of shares granted.</w:t>
      </w:r>
    </w:p>
    <w:p>
      <w:pPr>
        <w:spacing w:after="0" w:line="111"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7"/>
          <w:szCs w:val="17"/>
          <w:color w:val="auto"/>
        </w:rPr>
        <w:t>Certain performance share awards also include a total shareholder return modifier (“TSR-modified awards”). The number of TSR-modified awards that will vest is based on our total shareholder return relative to the S&amp;P 1500 Composite Commercial Services &amp; Supplies Index. As a result of the modifier, vesting of these awards may range from 0% to 240% of the awards originally granted.</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120" w:type="dxa"/>
            <w:vAlign w:val="bottom"/>
            <w:gridSpan w:val="2"/>
          </w:tcPr>
          <w:p>
            <w:pPr>
              <w:spacing w:after="0"/>
              <w:rPr>
                <w:sz w:val="20"/>
                <w:szCs w:val="20"/>
                <w:color w:val="auto"/>
              </w:rPr>
            </w:pPr>
            <w:r>
              <w:rPr>
                <w:rFonts w:ascii="Arial" w:cs="Arial" w:eastAsia="Arial" w:hAnsi="Arial"/>
                <w:sz w:val="17"/>
                <w:szCs w:val="17"/>
                <w:b w:val="1"/>
                <w:bCs w:val="1"/>
                <w:i w:val="1"/>
                <w:iCs w:val="1"/>
                <w:color w:val="0046AD"/>
              </w:rPr>
              <w:t>Performance Share Activity</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0" w:type="dxa"/>
            <w:vAlign w:val="bottom"/>
          </w:tcPr>
          <w:p>
            <w:pPr>
              <w:spacing w:after="0"/>
              <w:rPr>
                <w:sz w:val="20"/>
                <w:szCs w:val="20"/>
                <w:color w:val="auto"/>
              </w:rPr>
            </w:pPr>
          </w:p>
        </w:tc>
      </w:tr>
      <w:tr>
        <w:trPr>
          <w:trHeight w:val="336"/>
        </w:trPr>
        <w:tc>
          <w:tcPr>
            <w:tcW w:w="6220" w:type="dxa"/>
            <w:vAlign w:val="bottom"/>
          </w:tcPr>
          <w:p>
            <w:pPr>
              <w:spacing w:after="0"/>
              <w:rPr>
                <w:sz w:val="24"/>
                <w:szCs w:val="24"/>
                <w:color w:val="auto"/>
              </w:rPr>
            </w:pPr>
          </w:p>
        </w:tc>
        <w:tc>
          <w:tcPr>
            <w:tcW w:w="1900" w:type="dxa"/>
            <w:vAlign w:val="bottom"/>
          </w:tcPr>
          <w:p>
            <w:pPr>
              <w:jc w:val="center"/>
              <w:ind w:left="474"/>
              <w:spacing w:after="0"/>
              <w:rPr>
                <w:sz w:val="20"/>
                <w:szCs w:val="20"/>
                <w:color w:val="auto"/>
              </w:rPr>
            </w:pPr>
            <w:r>
              <w:rPr>
                <w:rFonts w:ascii="Arial" w:cs="Arial" w:eastAsia="Arial" w:hAnsi="Arial"/>
                <w:sz w:val="17"/>
                <w:szCs w:val="17"/>
                <w:b w:val="1"/>
                <w:bCs w:val="1"/>
                <w:color w:val="auto"/>
              </w:rPr>
              <w:t>Number of</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0" w:type="dxa"/>
            <w:vAlign w:val="bottom"/>
          </w:tcPr>
          <w:p>
            <w:pPr>
              <w:jc w:val="center"/>
              <w:ind w:right="174"/>
              <w:spacing w:after="0"/>
              <w:rPr>
                <w:sz w:val="20"/>
                <w:szCs w:val="20"/>
                <w:color w:val="auto"/>
              </w:rPr>
            </w:pPr>
            <w:r>
              <w:rPr>
                <w:rFonts w:ascii="Arial" w:cs="Arial" w:eastAsia="Arial" w:hAnsi="Arial"/>
                <w:sz w:val="17"/>
                <w:szCs w:val="17"/>
                <w:b w:val="1"/>
                <w:bCs w:val="1"/>
                <w:color w:val="auto"/>
              </w:rPr>
              <w:t>Weighted-Average</w:t>
            </w:r>
          </w:p>
        </w:tc>
      </w:tr>
      <w:tr>
        <w:trPr>
          <w:trHeight w:val="175"/>
        </w:trPr>
        <w:tc>
          <w:tcPr>
            <w:tcW w:w="6220" w:type="dxa"/>
            <w:vAlign w:val="bottom"/>
          </w:tcPr>
          <w:p>
            <w:pPr>
              <w:spacing w:after="0"/>
              <w:rPr>
                <w:sz w:val="15"/>
                <w:szCs w:val="15"/>
                <w:color w:val="auto"/>
              </w:rPr>
            </w:pPr>
          </w:p>
        </w:tc>
        <w:tc>
          <w:tcPr>
            <w:tcW w:w="1900" w:type="dxa"/>
            <w:vAlign w:val="bottom"/>
          </w:tcPr>
          <w:p>
            <w:pPr>
              <w:jc w:val="center"/>
              <w:ind w:left="474"/>
              <w:spacing w:after="0" w:line="175" w:lineRule="exact"/>
              <w:rPr>
                <w:sz w:val="20"/>
                <w:szCs w:val="20"/>
                <w:color w:val="auto"/>
              </w:rPr>
            </w:pPr>
            <w:r>
              <w:rPr>
                <w:rFonts w:ascii="Arial" w:cs="Arial" w:eastAsia="Arial" w:hAnsi="Arial"/>
                <w:sz w:val="17"/>
                <w:szCs w:val="17"/>
                <w:b w:val="1"/>
                <w:bCs w:val="1"/>
                <w:color w:val="auto"/>
              </w:rPr>
              <w:t>Shares</w:t>
            </w: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0" w:type="dxa"/>
            <w:vAlign w:val="bottom"/>
          </w:tcPr>
          <w:p>
            <w:pPr>
              <w:jc w:val="center"/>
              <w:ind w:right="154"/>
              <w:spacing w:after="0" w:line="175" w:lineRule="exact"/>
              <w:rPr>
                <w:sz w:val="20"/>
                <w:szCs w:val="20"/>
                <w:color w:val="auto"/>
              </w:rPr>
            </w:pPr>
            <w:r>
              <w:rPr>
                <w:rFonts w:ascii="Arial" w:cs="Arial" w:eastAsia="Arial" w:hAnsi="Arial"/>
                <w:sz w:val="17"/>
                <w:szCs w:val="17"/>
                <w:b w:val="1"/>
                <w:bCs w:val="1"/>
                <w:color w:val="auto"/>
              </w:rPr>
              <w:t>Grant Date</w:t>
            </w:r>
          </w:p>
        </w:tc>
      </w:tr>
      <w:tr>
        <w:trPr>
          <w:trHeight w:val="225"/>
        </w:trPr>
        <w:tc>
          <w:tcPr>
            <w:tcW w:w="6220" w:type="dxa"/>
            <w:vAlign w:val="bottom"/>
            <w:tcBorders>
              <w:bottom w:val="single" w:sz="8" w:color="DCE2EF"/>
            </w:tcBorders>
          </w:tcPr>
          <w:p>
            <w:pPr>
              <w:spacing w:after="0"/>
              <w:rPr>
                <w:sz w:val="19"/>
                <w:szCs w:val="19"/>
                <w:color w:val="auto"/>
              </w:rPr>
            </w:pPr>
          </w:p>
        </w:tc>
        <w:tc>
          <w:tcPr>
            <w:tcW w:w="1900" w:type="dxa"/>
            <w:vAlign w:val="bottom"/>
            <w:tcBorders>
              <w:bottom w:val="single" w:sz="8" w:color="auto"/>
            </w:tcBorders>
          </w:tcPr>
          <w:p>
            <w:pPr>
              <w:jc w:val="center"/>
              <w:ind w:left="494"/>
              <w:spacing w:after="0"/>
              <w:rPr>
                <w:sz w:val="20"/>
                <w:szCs w:val="20"/>
                <w:color w:val="auto"/>
              </w:rPr>
            </w:pPr>
            <w:r>
              <w:rPr>
                <w:rFonts w:ascii="Arial" w:cs="Arial" w:eastAsia="Arial" w:hAnsi="Arial"/>
                <w:sz w:val="17"/>
                <w:szCs w:val="17"/>
                <w:b w:val="1"/>
                <w:bCs w:val="1"/>
                <w:color w:val="auto"/>
              </w:rPr>
              <w:t>(in millions)</w:t>
            </w:r>
          </w:p>
        </w:tc>
        <w:tc>
          <w:tcPr>
            <w:tcW w:w="560" w:type="dxa"/>
            <w:vAlign w:val="bottom"/>
            <w:tcBorders>
              <w:bottom w:val="single" w:sz="8" w:color="auto"/>
            </w:tcBorders>
          </w:tcPr>
          <w:p>
            <w:pPr>
              <w:spacing w:after="0"/>
              <w:rPr>
                <w:sz w:val="19"/>
                <w:szCs w:val="19"/>
                <w:color w:val="auto"/>
              </w:rPr>
            </w:pPr>
          </w:p>
        </w:tc>
        <w:tc>
          <w:tcPr>
            <w:tcW w:w="100" w:type="dxa"/>
            <w:vAlign w:val="bottom"/>
            <w:tcBorders>
              <w:bottom w:val="single" w:sz="8" w:color="DCE2E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200" w:type="dxa"/>
            <w:vAlign w:val="bottom"/>
            <w:tcBorders>
              <w:bottom w:val="single" w:sz="8" w:color="auto"/>
            </w:tcBorders>
          </w:tcPr>
          <w:p>
            <w:pPr>
              <w:jc w:val="center"/>
              <w:ind w:right="174"/>
              <w:spacing w:after="0"/>
              <w:rPr>
                <w:sz w:val="20"/>
                <w:szCs w:val="20"/>
                <w:color w:val="auto"/>
              </w:rPr>
            </w:pPr>
            <w:r>
              <w:rPr>
                <w:rFonts w:ascii="Arial" w:cs="Arial" w:eastAsia="Arial" w:hAnsi="Arial"/>
                <w:sz w:val="17"/>
                <w:szCs w:val="17"/>
                <w:b w:val="1"/>
                <w:bCs w:val="1"/>
                <w:color w:val="auto"/>
              </w:rPr>
              <w:t>Fair Value per Share</w:t>
            </w:r>
          </w:p>
        </w:tc>
      </w:tr>
      <w:tr>
        <w:trPr>
          <w:trHeight w:val="212"/>
        </w:trPr>
        <w:tc>
          <w:tcPr>
            <w:tcW w:w="6220" w:type="dxa"/>
            <w:vAlign w:val="bottom"/>
            <w:shd w:val="clear" w:color="auto" w:fill="DCE2EF"/>
          </w:tcPr>
          <w:p>
            <w:pPr>
              <w:ind w:left="20"/>
              <w:spacing w:after="0"/>
              <w:rPr>
                <w:sz w:val="20"/>
                <w:szCs w:val="20"/>
                <w:color w:val="auto"/>
              </w:rPr>
            </w:pPr>
            <w:r>
              <w:rPr>
                <w:rFonts w:ascii="Arial" w:cs="Arial" w:eastAsia="Arial" w:hAnsi="Arial"/>
                <w:sz w:val="17"/>
                <w:szCs w:val="17"/>
                <w:color w:val="auto"/>
              </w:rPr>
              <w:t>Outstanding at October 31, 2024</w:t>
            </w:r>
          </w:p>
        </w:tc>
        <w:tc>
          <w:tcPr>
            <w:tcW w:w="1900" w:type="dxa"/>
            <w:vAlign w:val="bottom"/>
            <w:shd w:val="clear" w:color="auto" w:fill="DCE2EF"/>
          </w:tcPr>
          <w:p>
            <w:pPr>
              <w:spacing w:after="0"/>
              <w:rPr>
                <w:sz w:val="18"/>
                <w:szCs w:val="18"/>
                <w:color w:val="auto"/>
              </w:rPr>
            </w:pPr>
          </w:p>
        </w:tc>
        <w:tc>
          <w:tcPr>
            <w:tcW w:w="560" w:type="dxa"/>
            <w:vAlign w:val="bottom"/>
            <w:shd w:val="clear" w:color="auto" w:fill="DCE2EF"/>
          </w:tcPr>
          <w:p>
            <w:pPr>
              <w:jc w:val="center"/>
              <w:ind w:left="74"/>
              <w:spacing w:after="0"/>
              <w:rPr>
                <w:sz w:val="20"/>
                <w:szCs w:val="20"/>
                <w:color w:val="auto"/>
              </w:rPr>
            </w:pPr>
            <w:r>
              <w:rPr>
                <w:rFonts w:ascii="Arial" w:cs="Arial" w:eastAsia="Arial" w:hAnsi="Arial"/>
                <w:sz w:val="17"/>
                <w:szCs w:val="17"/>
                <w:color w:val="auto"/>
              </w:rPr>
              <w:t>0.9</w:t>
            </w:r>
          </w:p>
        </w:tc>
        <w:tc>
          <w:tcPr>
            <w:tcW w:w="100" w:type="dxa"/>
            <w:vAlign w:val="bottom"/>
            <w:shd w:val="clear" w:color="auto" w:fill="DCE2EF"/>
          </w:tcPr>
          <w:p>
            <w:pPr>
              <w:spacing w:after="0"/>
              <w:rPr>
                <w:sz w:val="18"/>
                <w:szCs w:val="18"/>
                <w:color w:val="auto"/>
              </w:rPr>
            </w:pPr>
          </w:p>
        </w:tc>
        <w:tc>
          <w:tcPr>
            <w:tcW w:w="260" w:type="dxa"/>
            <w:vAlign w:val="bottom"/>
            <w:shd w:val="clear" w:color="auto" w:fill="DCE2EF"/>
          </w:tcPr>
          <w:p>
            <w:pPr>
              <w:jc w:val="right"/>
              <w:ind w:right="54"/>
              <w:spacing w:after="0"/>
              <w:rPr>
                <w:sz w:val="20"/>
                <w:szCs w:val="20"/>
                <w:color w:val="auto"/>
              </w:rPr>
            </w:pPr>
            <w:r>
              <w:rPr>
                <w:rFonts w:ascii="Arial" w:cs="Arial" w:eastAsia="Arial" w:hAnsi="Arial"/>
                <w:sz w:val="17"/>
                <w:szCs w:val="17"/>
                <w:color w:val="auto"/>
              </w:rPr>
              <w:t>$</w:t>
            </w:r>
          </w:p>
        </w:tc>
        <w:tc>
          <w:tcPr>
            <w:tcW w:w="2200" w:type="dxa"/>
            <w:vAlign w:val="bottom"/>
            <w:shd w:val="clear" w:color="auto" w:fill="DCE2EF"/>
          </w:tcPr>
          <w:p>
            <w:pPr>
              <w:jc w:val="right"/>
              <w:spacing w:after="0"/>
              <w:rPr>
                <w:sz w:val="20"/>
                <w:szCs w:val="20"/>
                <w:color w:val="auto"/>
              </w:rPr>
            </w:pPr>
            <w:r>
              <w:rPr>
                <w:rFonts w:ascii="Arial" w:cs="Arial" w:eastAsia="Arial" w:hAnsi="Arial"/>
                <w:sz w:val="17"/>
                <w:szCs w:val="17"/>
                <w:color w:val="auto"/>
              </w:rPr>
              <w:t>44.06</w:t>
            </w:r>
          </w:p>
        </w:tc>
      </w:tr>
      <w:tr>
        <w:trPr>
          <w:trHeight w:val="219"/>
        </w:trPr>
        <w:tc>
          <w:tcPr>
            <w:tcW w:w="8120" w:type="dxa"/>
            <w:vAlign w:val="bottom"/>
            <w:gridSpan w:val="2"/>
          </w:tcPr>
          <w:p>
            <w:pPr>
              <w:ind w:left="20"/>
              <w:spacing w:after="0"/>
              <w:rPr>
                <w:sz w:val="20"/>
                <w:szCs w:val="20"/>
                <w:color w:val="auto"/>
              </w:rPr>
            </w:pPr>
            <w:r>
              <w:rPr>
                <w:rFonts w:ascii="Arial" w:cs="Arial" w:eastAsia="Arial" w:hAnsi="Arial"/>
                <w:sz w:val="17"/>
                <w:szCs w:val="17"/>
                <w:color w:val="auto"/>
              </w:rPr>
              <w:t>Granted</w:t>
            </w:r>
          </w:p>
        </w:tc>
        <w:tc>
          <w:tcPr>
            <w:tcW w:w="560" w:type="dxa"/>
            <w:vAlign w:val="bottom"/>
          </w:tcPr>
          <w:p>
            <w:pPr>
              <w:jc w:val="center"/>
              <w:ind w:left="74"/>
              <w:spacing w:after="0"/>
              <w:rPr>
                <w:sz w:val="20"/>
                <w:szCs w:val="20"/>
                <w:color w:val="auto"/>
              </w:rPr>
            </w:pPr>
            <w:r>
              <w:rPr>
                <w:rFonts w:ascii="Arial" w:cs="Arial" w:eastAsia="Arial" w:hAnsi="Arial"/>
                <w:sz w:val="17"/>
                <w:szCs w:val="17"/>
                <w:color w:val="auto"/>
              </w:rPr>
              <w:t>0.4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0" w:type="dxa"/>
            <w:vAlign w:val="bottom"/>
          </w:tcPr>
          <w:p>
            <w:pPr>
              <w:jc w:val="right"/>
              <w:spacing w:after="0"/>
              <w:rPr>
                <w:sz w:val="20"/>
                <w:szCs w:val="20"/>
                <w:color w:val="auto"/>
              </w:rPr>
            </w:pPr>
            <w:r>
              <w:rPr>
                <w:rFonts w:ascii="Arial" w:cs="Arial" w:eastAsia="Arial" w:hAnsi="Arial"/>
                <w:sz w:val="17"/>
                <w:szCs w:val="17"/>
                <w:color w:val="auto"/>
              </w:rPr>
              <w:t>49.06</w:t>
            </w:r>
          </w:p>
        </w:tc>
      </w:tr>
      <w:tr>
        <w:trPr>
          <w:trHeight w:val="219"/>
        </w:trPr>
        <w:tc>
          <w:tcPr>
            <w:tcW w:w="8120" w:type="dxa"/>
            <w:vAlign w:val="bottom"/>
            <w:gridSpan w:val="2"/>
            <w:shd w:val="clear" w:color="auto" w:fill="DCE2EF"/>
          </w:tcPr>
          <w:p>
            <w:pPr>
              <w:ind w:left="20"/>
              <w:spacing w:after="0"/>
              <w:rPr>
                <w:sz w:val="20"/>
                <w:szCs w:val="20"/>
                <w:color w:val="auto"/>
              </w:rPr>
            </w:pPr>
            <w:r>
              <w:rPr>
                <w:rFonts w:ascii="Arial" w:cs="Arial" w:eastAsia="Arial" w:hAnsi="Arial"/>
                <w:sz w:val="17"/>
                <w:szCs w:val="17"/>
                <w:color w:val="auto"/>
              </w:rPr>
              <w:t>Vested (including 0.1 shares withheld for income taxes)</w:t>
            </w:r>
          </w:p>
        </w:tc>
        <w:tc>
          <w:tcPr>
            <w:tcW w:w="560" w:type="dxa"/>
            <w:vAlign w:val="bottom"/>
            <w:shd w:val="clear" w:color="auto" w:fill="DCE2EF"/>
          </w:tcPr>
          <w:p>
            <w:pPr>
              <w:jc w:val="center"/>
              <w:ind w:left="74"/>
              <w:spacing w:after="0"/>
              <w:rPr>
                <w:sz w:val="20"/>
                <w:szCs w:val="20"/>
                <w:color w:val="auto"/>
              </w:rPr>
            </w:pPr>
            <w:r>
              <w:rPr>
                <w:rFonts w:ascii="Arial" w:cs="Arial" w:eastAsia="Arial" w:hAnsi="Arial"/>
                <w:sz w:val="17"/>
                <w:szCs w:val="17"/>
                <w:color w:val="auto"/>
              </w:rPr>
              <w:t>(0.2)</w:t>
            </w:r>
          </w:p>
        </w:tc>
        <w:tc>
          <w:tcPr>
            <w:tcW w:w="100" w:type="dxa"/>
            <w:vAlign w:val="bottom"/>
            <w:shd w:val="clear" w:color="auto" w:fill="DCE2EF"/>
          </w:tcPr>
          <w:p>
            <w:pPr>
              <w:spacing w:after="0"/>
              <w:rPr>
                <w:sz w:val="19"/>
                <w:szCs w:val="19"/>
                <w:color w:val="auto"/>
              </w:rPr>
            </w:pPr>
          </w:p>
        </w:tc>
        <w:tc>
          <w:tcPr>
            <w:tcW w:w="260" w:type="dxa"/>
            <w:vAlign w:val="bottom"/>
            <w:shd w:val="clear" w:color="auto" w:fill="DCE2EF"/>
          </w:tcPr>
          <w:p>
            <w:pPr>
              <w:spacing w:after="0"/>
              <w:rPr>
                <w:sz w:val="19"/>
                <w:szCs w:val="19"/>
                <w:color w:val="auto"/>
              </w:rPr>
            </w:pPr>
          </w:p>
        </w:tc>
        <w:tc>
          <w:tcPr>
            <w:tcW w:w="2200" w:type="dxa"/>
            <w:vAlign w:val="bottom"/>
            <w:shd w:val="clear" w:color="auto" w:fill="DCE2EF"/>
          </w:tcPr>
          <w:p>
            <w:pPr>
              <w:jc w:val="right"/>
              <w:spacing w:after="0"/>
              <w:rPr>
                <w:sz w:val="20"/>
                <w:szCs w:val="20"/>
                <w:color w:val="auto"/>
              </w:rPr>
            </w:pPr>
            <w:r>
              <w:rPr>
                <w:rFonts w:ascii="Arial" w:cs="Arial" w:eastAsia="Arial" w:hAnsi="Arial"/>
                <w:sz w:val="17"/>
                <w:szCs w:val="17"/>
                <w:color w:val="auto"/>
              </w:rPr>
              <w:t>42.71</w:t>
            </w:r>
          </w:p>
        </w:tc>
      </w:tr>
      <w:tr>
        <w:trPr>
          <w:trHeight w:val="219"/>
        </w:trPr>
        <w:tc>
          <w:tcPr>
            <w:tcW w:w="8120" w:type="dxa"/>
            <w:vAlign w:val="bottom"/>
            <w:gridSpan w:val="2"/>
          </w:tcPr>
          <w:p>
            <w:pPr>
              <w:ind w:left="20"/>
              <w:spacing w:after="0"/>
              <w:rPr>
                <w:sz w:val="20"/>
                <w:szCs w:val="20"/>
                <w:color w:val="auto"/>
              </w:rPr>
            </w:pPr>
            <w:r>
              <w:rPr>
                <w:rFonts w:ascii="Arial" w:cs="Arial" w:eastAsia="Arial" w:hAnsi="Arial"/>
                <w:sz w:val="17"/>
                <w:szCs w:val="17"/>
                <w:color w:val="auto"/>
              </w:rPr>
              <w:t>Performance adjustments</w:t>
            </w:r>
          </w:p>
        </w:tc>
        <w:tc>
          <w:tcPr>
            <w:tcW w:w="560" w:type="dxa"/>
            <w:vAlign w:val="bottom"/>
          </w:tcPr>
          <w:p>
            <w:pPr>
              <w:jc w:val="center"/>
              <w:ind w:left="74"/>
              <w:spacing w:after="0"/>
              <w:rPr>
                <w:sz w:val="20"/>
                <w:szCs w:val="20"/>
                <w:color w:val="auto"/>
              </w:rPr>
            </w:pPr>
            <w:r>
              <w:rPr>
                <w:rFonts w:ascii="Arial" w:cs="Arial" w:eastAsia="Arial" w:hAnsi="Arial"/>
                <w:sz w:val="17"/>
                <w:szCs w:val="17"/>
                <w:color w:val="auto"/>
              </w:rPr>
              <w:t>0.1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0" w:type="dxa"/>
            <w:vAlign w:val="bottom"/>
          </w:tcPr>
          <w:p>
            <w:pPr>
              <w:jc w:val="right"/>
              <w:spacing w:after="0"/>
              <w:rPr>
                <w:sz w:val="20"/>
                <w:szCs w:val="20"/>
                <w:color w:val="auto"/>
              </w:rPr>
            </w:pPr>
            <w:r>
              <w:rPr>
                <w:rFonts w:ascii="Arial" w:cs="Arial" w:eastAsia="Arial" w:hAnsi="Arial"/>
                <w:sz w:val="17"/>
                <w:szCs w:val="17"/>
                <w:color w:val="auto"/>
              </w:rPr>
              <w:t>44.71</w:t>
            </w:r>
          </w:p>
        </w:tc>
      </w:tr>
      <w:tr>
        <w:trPr>
          <w:trHeight w:val="219"/>
        </w:trPr>
        <w:tc>
          <w:tcPr>
            <w:tcW w:w="6220" w:type="dxa"/>
            <w:vAlign w:val="bottom"/>
            <w:shd w:val="clear" w:color="auto" w:fill="DCE2EF"/>
          </w:tcPr>
          <w:p>
            <w:pPr>
              <w:ind w:left="20"/>
              <w:spacing w:after="0"/>
              <w:rPr>
                <w:sz w:val="20"/>
                <w:szCs w:val="20"/>
                <w:color w:val="auto"/>
              </w:rPr>
            </w:pPr>
            <w:r>
              <w:rPr>
                <w:rFonts w:ascii="Arial" w:cs="Arial" w:eastAsia="Arial" w:hAnsi="Arial"/>
                <w:sz w:val="17"/>
                <w:szCs w:val="17"/>
                <w:color w:val="auto"/>
              </w:rPr>
              <w:t>Forfeited</w:t>
            </w:r>
          </w:p>
        </w:tc>
        <w:tc>
          <w:tcPr>
            <w:tcW w:w="1900" w:type="dxa"/>
            <w:vAlign w:val="bottom"/>
            <w:tcBorders>
              <w:bottom w:val="single" w:sz="8" w:color="auto"/>
            </w:tcBorders>
            <w:shd w:val="clear" w:color="auto" w:fill="DCE2EF"/>
          </w:tcPr>
          <w:p>
            <w:pPr>
              <w:spacing w:after="0"/>
              <w:rPr>
                <w:sz w:val="19"/>
                <w:szCs w:val="19"/>
                <w:color w:val="auto"/>
              </w:rPr>
            </w:pPr>
          </w:p>
        </w:tc>
        <w:tc>
          <w:tcPr>
            <w:tcW w:w="560" w:type="dxa"/>
            <w:vAlign w:val="bottom"/>
            <w:tcBorders>
              <w:bottom w:val="single" w:sz="8" w:color="auto"/>
            </w:tcBorders>
            <w:shd w:val="clear" w:color="auto" w:fill="DCE2EF"/>
          </w:tcPr>
          <w:p>
            <w:pPr>
              <w:jc w:val="center"/>
              <w:ind w:left="74"/>
              <w:spacing w:after="0"/>
              <w:rPr>
                <w:sz w:val="20"/>
                <w:szCs w:val="20"/>
                <w:color w:val="auto"/>
              </w:rPr>
            </w:pPr>
            <w:r>
              <w:rPr>
                <w:rFonts w:ascii="Arial" w:cs="Arial" w:eastAsia="Arial" w:hAnsi="Arial"/>
                <w:sz w:val="17"/>
                <w:szCs w:val="17"/>
                <w:color w:val="auto"/>
              </w:rPr>
              <w:t>(0.1)</w:t>
            </w:r>
          </w:p>
        </w:tc>
        <w:tc>
          <w:tcPr>
            <w:tcW w:w="100" w:type="dxa"/>
            <w:vAlign w:val="bottom"/>
            <w:shd w:val="clear" w:color="auto" w:fill="DCE2EF"/>
          </w:tcPr>
          <w:p>
            <w:pPr>
              <w:spacing w:after="0"/>
              <w:rPr>
                <w:sz w:val="19"/>
                <w:szCs w:val="19"/>
                <w:color w:val="auto"/>
              </w:rPr>
            </w:pPr>
          </w:p>
        </w:tc>
        <w:tc>
          <w:tcPr>
            <w:tcW w:w="260" w:type="dxa"/>
            <w:vAlign w:val="bottom"/>
            <w:tcBorders>
              <w:bottom w:val="single" w:sz="8" w:color="auto"/>
            </w:tcBorders>
            <w:shd w:val="clear" w:color="auto" w:fill="DCE2EF"/>
          </w:tcPr>
          <w:p>
            <w:pPr>
              <w:spacing w:after="0"/>
              <w:rPr>
                <w:sz w:val="19"/>
                <w:szCs w:val="19"/>
                <w:color w:val="auto"/>
              </w:rPr>
            </w:pPr>
          </w:p>
        </w:tc>
        <w:tc>
          <w:tcPr>
            <w:tcW w:w="220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7"/>
                <w:szCs w:val="17"/>
                <w:color w:val="auto"/>
              </w:rPr>
              <w:t>47.27</w:t>
            </w:r>
          </w:p>
        </w:tc>
      </w:tr>
      <w:tr>
        <w:trPr>
          <w:trHeight w:val="212"/>
        </w:trPr>
        <w:tc>
          <w:tcPr>
            <w:tcW w:w="8120" w:type="dxa"/>
            <w:vAlign w:val="bottom"/>
            <w:gridSpan w:val="2"/>
          </w:tcPr>
          <w:p>
            <w:pPr>
              <w:ind w:left="20"/>
              <w:spacing w:after="0"/>
              <w:rPr>
                <w:sz w:val="20"/>
                <w:szCs w:val="20"/>
                <w:color w:val="auto"/>
              </w:rPr>
            </w:pPr>
            <w:r>
              <w:rPr>
                <w:rFonts w:ascii="Arial" w:cs="Arial" w:eastAsia="Arial" w:hAnsi="Arial"/>
                <w:sz w:val="17"/>
                <w:szCs w:val="17"/>
                <w:color w:val="auto"/>
              </w:rPr>
              <w:t>Outstanding at October 31, 2025</w:t>
            </w:r>
          </w:p>
        </w:tc>
        <w:tc>
          <w:tcPr>
            <w:tcW w:w="560" w:type="dxa"/>
            <w:vAlign w:val="bottom"/>
          </w:tcPr>
          <w:p>
            <w:pPr>
              <w:jc w:val="center"/>
              <w:ind w:left="74"/>
              <w:spacing w:after="0"/>
              <w:rPr>
                <w:sz w:val="20"/>
                <w:szCs w:val="20"/>
                <w:color w:val="auto"/>
              </w:rPr>
            </w:pPr>
            <w:r>
              <w:rPr>
                <w:rFonts w:ascii="Arial" w:cs="Arial" w:eastAsia="Arial" w:hAnsi="Arial"/>
                <w:sz w:val="17"/>
                <w:szCs w:val="17"/>
                <w:color w:val="auto"/>
              </w:rPr>
              <w:t>1.1</w:t>
            </w:r>
          </w:p>
        </w:tc>
        <w:tc>
          <w:tcPr>
            <w:tcW w:w="100" w:type="dxa"/>
            <w:vAlign w:val="bottom"/>
          </w:tcPr>
          <w:p>
            <w:pPr>
              <w:spacing w:after="0"/>
              <w:rPr>
                <w:sz w:val="18"/>
                <w:szCs w:val="18"/>
                <w:color w:val="auto"/>
              </w:rPr>
            </w:pPr>
          </w:p>
        </w:tc>
        <w:tc>
          <w:tcPr>
            <w:tcW w:w="260" w:type="dxa"/>
            <w:vAlign w:val="bottom"/>
          </w:tcPr>
          <w:p>
            <w:pPr>
              <w:jc w:val="right"/>
              <w:ind w:right="54"/>
              <w:spacing w:after="0"/>
              <w:rPr>
                <w:sz w:val="20"/>
                <w:szCs w:val="20"/>
                <w:color w:val="auto"/>
              </w:rPr>
            </w:pPr>
            <w:r>
              <w:rPr>
                <w:rFonts w:ascii="Arial" w:cs="Arial" w:eastAsia="Arial" w:hAnsi="Arial"/>
                <w:sz w:val="17"/>
                <w:szCs w:val="17"/>
                <w:color w:val="auto"/>
              </w:rPr>
              <w:t>$</w:t>
            </w:r>
          </w:p>
        </w:tc>
        <w:tc>
          <w:tcPr>
            <w:tcW w:w="2200" w:type="dxa"/>
            <w:vAlign w:val="bottom"/>
          </w:tcPr>
          <w:p>
            <w:pPr>
              <w:jc w:val="right"/>
              <w:spacing w:after="0"/>
              <w:rPr>
                <w:sz w:val="20"/>
                <w:szCs w:val="20"/>
                <w:color w:val="auto"/>
              </w:rPr>
            </w:pPr>
            <w:r>
              <w:rPr>
                <w:rFonts w:ascii="Arial" w:cs="Arial" w:eastAsia="Arial" w:hAnsi="Arial"/>
                <w:sz w:val="17"/>
                <w:szCs w:val="17"/>
                <w:color w:val="auto"/>
              </w:rPr>
              <w:t>45.89</w:t>
            </w:r>
          </w:p>
        </w:tc>
      </w:tr>
      <w:tr>
        <w:trPr>
          <w:trHeight w:val="20"/>
        </w:trPr>
        <w:tc>
          <w:tcPr>
            <w:tcW w:w="6220" w:type="dxa"/>
            <w:vAlign w:val="bottom"/>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0" w:type="dxa"/>
            <w:vAlign w:val="bottom"/>
            <w:tcBorders>
              <w:top w:val="single" w:sz="8" w:color="auto"/>
              <w:bottom w:val="single" w:sz="8" w:color="auto"/>
            </w:tcBorders>
          </w:tcPr>
          <w:p>
            <w:pPr>
              <w:spacing w:after="0" w:line="20" w:lineRule="exact"/>
              <w:rPr>
                <w:sz w:val="1"/>
                <w:szCs w:val="1"/>
                <w:color w:val="auto"/>
              </w:rPr>
            </w:pPr>
          </w:p>
        </w:tc>
      </w:tr>
    </w:tbl>
    <w:p>
      <w:pPr>
        <w:spacing w:after="0" w:line="254"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At October 31, 2025, total unrecognized compensation cost related to performance share awards was $19.8 million, which is expected to be recognized ratably over a weighted-average vesting period of 2.3 years. Except for TSR performance shares, these costs are based on estimated achievement of performance targets and estimated costs are periodically reevaluated. For our TSR performance shares, these costs are based on the fair value of awards at the grant date and are recognized on a straight-line basis over the service period of three years.</w:t>
      </w:r>
    </w:p>
    <w:p>
      <w:pPr>
        <w:spacing w:after="0" w:line="116"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7"/>
          <w:szCs w:val="17"/>
          <w:color w:val="auto"/>
        </w:rPr>
        <w:t>In 2025, 2024, and 2023, the weighted-average grant date fair value per share of awards granted was $49.06, $41.62, and $46.47, respectively. In 2025, 2024, and 2023, the total grant date fair value of performance shares vested and converted to shares of ABM common stock was $9.4 million, $12.3 million, and $14.6 million, respectively.</w:t>
      </w:r>
    </w:p>
    <w:p>
      <w:pPr>
        <w:spacing w:after="0" w:line="111"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17"/>
          <w:szCs w:val="17"/>
          <w:color w:val="auto"/>
        </w:rPr>
        <w:t>In 2025, 2024, and 2023, we used the Monte Carlo simulation valuation technique to estimate the fair value of TSR performance share grants, which used the assumptions in the table below.</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200" w:type="dxa"/>
            <w:vAlign w:val="bottom"/>
          </w:tcPr>
          <w:p>
            <w:pPr>
              <w:spacing w:after="0"/>
              <w:rPr>
                <w:sz w:val="20"/>
                <w:szCs w:val="20"/>
                <w:color w:val="auto"/>
              </w:rPr>
            </w:pPr>
            <w:r>
              <w:rPr>
                <w:rFonts w:ascii="Arial" w:cs="Arial" w:eastAsia="Arial" w:hAnsi="Arial"/>
                <w:sz w:val="17"/>
                <w:szCs w:val="17"/>
                <w:b w:val="1"/>
                <w:bCs w:val="1"/>
                <w:i w:val="1"/>
                <w:iCs w:val="1"/>
                <w:color w:val="0046AD"/>
              </w:rPr>
              <w:t>Monte Carlo Assumptions</w:t>
            </w:r>
          </w:p>
        </w:tc>
        <w:tc>
          <w:tcPr>
            <w:tcW w:w="4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387"/>
        </w:trPr>
        <w:tc>
          <w:tcPr>
            <w:tcW w:w="5200" w:type="dxa"/>
            <w:vAlign w:val="bottom"/>
            <w:tcBorders>
              <w:bottom w:val="single" w:sz="8" w:color="DCE2EF"/>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694"/>
              <w:spacing w:after="0"/>
              <w:rPr>
                <w:sz w:val="20"/>
                <w:szCs w:val="20"/>
                <w:color w:val="auto"/>
              </w:rPr>
            </w:pPr>
            <w:r>
              <w:rPr>
                <w:rFonts w:ascii="Arial" w:cs="Arial" w:eastAsia="Arial" w:hAnsi="Arial"/>
                <w:sz w:val="17"/>
                <w:szCs w:val="17"/>
                <w:b w:val="1"/>
                <w:bCs w:val="1"/>
                <w:color w:val="auto"/>
              </w:rPr>
              <w:t>2025</w:t>
            </w:r>
          </w:p>
        </w:tc>
        <w:tc>
          <w:tcPr>
            <w:tcW w:w="100" w:type="dxa"/>
            <w:vAlign w:val="bottom"/>
            <w:tcBorders>
              <w:bottom w:val="single" w:sz="8" w:color="DCE2EF"/>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ind w:right="674"/>
              <w:spacing w:after="0"/>
              <w:rPr>
                <w:sz w:val="20"/>
                <w:szCs w:val="20"/>
                <w:color w:val="auto"/>
              </w:rPr>
            </w:pPr>
            <w:r>
              <w:rPr>
                <w:rFonts w:ascii="Arial" w:cs="Arial" w:eastAsia="Arial" w:hAnsi="Arial"/>
                <w:sz w:val="17"/>
                <w:szCs w:val="17"/>
                <w:b w:val="1"/>
                <w:bCs w:val="1"/>
                <w:color w:val="auto"/>
              </w:rPr>
              <w:t>2024</w:t>
            </w:r>
          </w:p>
        </w:tc>
        <w:tc>
          <w:tcPr>
            <w:tcW w:w="120" w:type="dxa"/>
            <w:vAlign w:val="bottom"/>
            <w:tcBorders>
              <w:bottom w:val="single" w:sz="8" w:color="DCE2EF"/>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ind w:right="674"/>
              <w:spacing w:after="0"/>
              <w:rPr>
                <w:sz w:val="20"/>
                <w:szCs w:val="20"/>
                <w:color w:val="auto"/>
              </w:rPr>
            </w:pPr>
            <w:r>
              <w:rPr>
                <w:rFonts w:ascii="Arial" w:cs="Arial" w:eastAsia="Arial" w:hAnsi="Arial"/>
                <w:sz w:val="17"/>
                <w:szCs w:val="17"/>
                <w:b w:val="1"/>
                <w:bCs w:val="1"/>
                <w:color w:val="auto"/>
              </w:rPr>
              <w:t>2023</w:t>
            </w:r>
          </w:p>
        </w:tc>
      </w:tr>
      <w:tr>
        <w:trPr>
          <w:trHeight w:val="212"/>
        </w:trPr>
        <w:tc>
          <w:tcPr>
            <w:tcW w:w="5200" w:type="dxa"/>
            <w:vAlign w:val="bottom"/>
            <w:shd w:val="clear" w:color="auto" w:fill="DCE2EF"/>
          </w:tcPr>
          <w:p>
            <w:pPr>
              <w:ind w:left="20"/>
              <w:spacing w:after="0" w:line="212" w:lineRule="exact"/>
              <w:rPr>
                <w:sz w:val="20"/>
                <w:szCs w:val="20"/>
                <w:color w:val="auto"/>
              </w:rPr>
            </w:pPr>
            <w:r>
              <w:rPr>
                <w:rFonts w:ascii="Arial" w:cs="Arial" w:eastAsia="Arial" w:hAnsi="Arial"/>
                <w:sz w:val="17"/>
                <w:szCs w:val="17"/>
                <w:color w:val="auto"/>
              </w:rPr>
              <w:t>Expected life</w:t>
            </w:r>
            <w:r>
              <w:rPr>
                <w:rFonts w:ascii="Arial" w:cs="Arial" w:eastAsia="Arial" w:hAnsi="Arial"/>
                <w:sz w:val="22"/>
                <w:szCs w:val="22"/>
                <w:color w:val="auto"/>
                <w:vertAlign w:val="superscript"/>
              </w:rPr>
              <w:t>(1)</w:t>
            </w:r>
          </w:p>
        </w:tc>
        <w:tc>
          <w:tcPr>
            <w:tcW w:w="440" w:type="dxa"/>
            <w:vAlign w:val="bottom"/>
            <w:shd w:val="clear" w:color="auto" w:fill="DCE2EF"/>
          </w:tcPr>
          <w:p>
            <w:pPr>
              <w:spacing w:after="0"/>
              <w:rPr>
                <w:sz w:val="18"/>
                <w:szCs w:val="18"/>
                <w:color w:val="auto"/>
              </w:rPr>
            </w:pPr>
          </w:p>
        </w:tc>
        <w:tc>
          <w:tcPr>
            <w:tcW w:w="1500" w:type="dxa"/>
            <w:vAlign w:val="bottom"/>
            <w:shd w:val="clear" w:color="auto" w:fill="DCE2EF"/>
          </w:tcPr>
          <w:p>
            <w:pPr>
              <w:jc w:val="right"/>
              <w:spacing w:after="0"/>
              <w:rPr>
                <w:sz w:val="20"/>
                <w:szCs w:val="20"/>
                <w:color w:val="auto"/>
              </w:rPr>
            </w:pPr>
            <w:r>
              <w:rPr>
                <w:rFonts w:ascii="Arial" w:cs="Arial" w:eastAsia="Arial" w:hAnsi="Arial"/>
                <w:sz w:val="17"/>
                <w:szCs w:val="17"/>
                <w:color w:val="auto"/>
              </w:rPr>
              <w:t>2.81 years</w:t>
            </w:r>
          </w:p>
        </w:tc>
        <w:tc>
          <w:tcPr>
            <w:tcW w:w="100" w:type="dxa"/>
            <w:vAlign w:val="bottom"/>
            <w:shd w:val="clear" w:color="auto" w:fill="DCE2EF"/>
          </w:tcPr>
          <w:p>
            <w:pPr>
              <w:spacing w:after="0"/>
              <w:rPr>
                <w:sz w:val="18"/>
                <w:szCs w:val="18"/>
                <w:color w:val="auto"/>
              </w:rPr>
            </w:pPr>
          </w:p>
        </w:tc>
        <w:tc>
          <w:tcPr>
            <w:tcW w:w="440" w:type="dxa"/>
            <w:vAlign w:val="bottom"/>
            <w:shd w:val="clear" w:color="auto" w:fill="DCE2EF"/>
          </w:tcPr>
          <w:p>
            <w:pPr>
              <w:spacing w:after="0"/>
              <w:rPr>
                <w:sz w:val="18"/>
                <w:szCs w:val="18"/>
                <w:color w:val="auto"/>
              </w:rPr>
            </w:pPr>
          </w:p>
        </w:tc>
        <w:tc>
          <w:tcPr>
            <w:tcW w:w="1480" w:type="dxa"/>
            <w:vAlign w:val="bottom"/>
            <w:shd w:val="clear" w:color="auto" w:fill="DCE2EF"/>
          </w:tcPr>
          <w:p>
            <w:pPr>
              <w:jc w:val="right"/>
              <w:spacing w:after="0"/>
              <w:rPr>
                <w:sz w:val="20"/>
                <w:szCs w:val="20"/>
                <w:color w:val="auto"/>
              </w:rPr>
            </w:pPr>
            <w:r>
              <w:rPr>
                <w:rFonts w:ascii="Arial" w:cs="Arial" w:eastAsia="Arial" w:hAnsi="Arial"/>
                <w:sz w:val="17"/>
                <w:szCs w:val="17"/>
                <w:color w:val="auto"/>
              </w:rPr>
              <w:t>2.81 years</w:t>
            </w:r>
          </w:p>
        </w:tc>
        <w:tc>
          <w:tcPr>
            <w:tcW w:w="120" w:type="dxa"/>
            <w:vAlign w:val="bottom"/>
            <w:shd w:val="clear" w:color="auto" w:fill="DCE2EF"/>
          </w:tcPr>
          <w:p>
            <w:pPr>
              <w:spacing w:after="0"/>
              <w:rPr>
                <w:sz w:val="18"/>
                <w:szCs w:val="18"/>
                <w:color w:val="auto"/>
              </w:rPr>
            </w:pPr>
          </w:p>
        </w:tc>
        <w:tc>
          <w:tcPr>
            <w:tcW w:w="440" w:type="dxa"/>
            <w:vAlign w:val="bottom"/>
            <w:shd w:val="clear" w:color="auto" w:fill="DCE2EF"/>
          </w:tcPr>
          <w:p>
            <w:pPr>
              <w:spacing w:after="0"/>
              <w:rPr>
                <w:sz w:val="18"/>
                <w:szCs w:val="18"/>
                <w:color w:val="auto"/>
              </w:rPr>
            </w:pPr>
          </w:p>
        </w:tc>
        <w:tc>
          <w:tcPr>
            <w:tcW w:w="1480" w:type="dxa"/>
            <w:vAlign w:val="bottom"/>
            <w:shd w:val="clear" w:color="auto" w:fill="DCE2EF"/>
          </w:tcPr>
          <w:p>
            <w:pPr>
              <w:jc w:val="right"/>
              <w:spacing w:after="0"/>
              <w:rPr>
                <w:sz w:val="20"/>
                <w:szCs w:val="20"/>
                <w:color w:val="auto"/>
              </w:rPr>
            </w:pPr>
            <w:r>
              <w:rPr>
                <w:rFonts w:ascii="Arial" w:cs="Arial" w:eastAsia="Arial" w:hAnsi="Arial"/>
                <w:sz w:val="17"/>
                <w:szCs w:val="17"/>
                <w:color w:val="auto"/>
              </w:rPr>
              <w:t>2.81 years</w:t>
            </w:r>
          </w:p>
        </w:tc>
      </w:tr>
      <w:tr>
        <w:trPr>
          <w:trHeight w:val="219"/>
        </w:trPr>
        <w:tc>
          <w:tcPr>
            <w:tcW w:w="5200" w:type="dxa"/>
            <w:vAlign w:val="bottom"/>
          </w:tcPr>
          <w:p>
            <w:pPr>
              <w:ind w:left="20"/>
              <w:spacing w:after="0" w:line="219" w:lineRule="exact"/>
              <w:rPr>
                <w:sz w:val="20"/>
                <w:szCs w:val="20"/>
                <w:color w:val="auto"/>
              </w:rPr>
            </w:pPr>
            <w:r>
              <w:rPr>
                <w:rFonts w:ascii="Arial" w:cs="Arial" w:eastAsia="Arial" w:hAnsi="Arial"/>
                <w:sz w:val="17"/>
                <w:szCs w:val="17"/>
                <w:color w:val="auto"/>
              </w:rPr>
              <w:t>Expected stock price volatility</w:t>
            </w:r>
            <w:r>
              <w:rPr>
                <w:rFonts w:ascii="Arial" w:cs="Arial" w:eastAsia="Arial" w:hAnsi="Arial"/>
                <w:sz w:val="22"/>
                <w:szCs w:val="22"/>
                <w:color w:val="auto"/>
                <w:vertAlign w:val="superscript"/>
              </w:rPr>
              <w:t>(2)</w:t>
            </w:r>
          </w:p>
        </w:tc>
        <w:tc>
          <w:tcPr>
            <w:tcW w:w="4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31.7 %</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33.0 %</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39.9 %</w:t>
            </w:r>
          </w:p>
        </w:tc>
      </w:tr>
      <w:tr>
        <w:trPr>
          <w:trHeight w:val="219"/>
        </w:trPr>
        <w:tc>
          <w:tcPr>
            <w:tcW w:w="5200" w:type="dxa"/>
            <w:vAlign w:val="bottom"/>
            <w:shd w:val="clear" w:color="auto" w:fill="DCE2EF"/>
          </w:tcPr>
          <w:p>
            <w:pPr>
              <w:ind w:left="20"/>
              <w:spacing w:after="0" w:line="219" w:lineRule="exact"/>
              <w:rPr>
                <w:sz w:val="20"/>
                <w:szCs w:val="20"/>
                <w:color w:val="auto"/>
              </w:rPr>
            </w:pPr>
            <w:r>
              <w:rPr>
                <w:rFonts w:ascii="Arial" w:cs="Arial" w:eastAsia="Arial" w:hAnsi="Arial"/>
                <w:sz w:val="17"/>
                <w:szCs w:val="17"/>
                <w:color w:val="auto"/>
              </w:rPr>
              <w:t>Risk-free interest rate</w:t>
            </w:r>
            <w:r>
              <w:rPr>
                <w:rFonts w:ascii="Arial" w:cs="Arial" w:eastAsia="Arial" w:hAnsi="Arial"/>
                <w:sz w:val="22"/>
                <w:szCs w:val="22"/>
                <w:color w:val="auto"/>
                <w:vertAlign w:val="superscript"/>
              </w:rPr>
              <w:t>(3)</w:t>
            </w:r>
          </w:p>
        </w:tc>
        <w:tc>
          <w:tcPr>
            <w:tcW w:w="440" w:type="dxa"/>
            <w:vAlign w:val="bottom"/>
            <w:shd w:val="clear" w:color="auto" w:fill="DCE2EF"/>
          </w:tcPr>
          <w:p>
            <w:pPr>
              <w:spacing w:after="0"/>
              <w:rPr>
                <w:sz w:val="19"/>
                <w:szCs w:val="19"/>
                <w:color w:val="auto"/>
              </w:rPr>
            </w:pPr>
          </w:p>
        </w:tc>
        <w:tc>
          <w:tcPr>
            <w:tcW w:w="1500" w:type="dxa"/>
            <w:vAlign w:val="bottom"/>
            <w:shd w:val="clear" w:color="auto" w:fill="DCE2EF"/>
          </w:tcPr>
          <w:p>
            <w:pPr>
              <w:jc w:val="right"/>
              <w:spacing w:after="0"/>
              <w:rPr>
                <w:sz w:val="20"/>
                <w:szCs w:val="20"/>
                <w:color w:val="auto"/>
              </w:rPr>
            </w:pPr>
            <w:r>
              <w:rPr>
                <w:rFonts w:ascii="Arial" w:cs="Arial" w:eastAsia="Arial" w:hAnsi="Arial"/>
                <w:sz w:val="17"/>
                <w:szCs w:val="17"/>
                <w:color w:val="auto"/>
              </w:rPr>
              <w:t>4.3 %</w:t>
            </w:r>
          </w:p>
        </w:tc>
        <w:tc>
          <w:tcPr>
            <w:tcW w:w="100" w:type="dxa"/>
            <w:vAlign w:val="bottom"/>
            <w:shd w:val="clear" w:color="auto" w:fill="DCE2EF"/>
          </w:tcPr>
          <w:p>
            <w:pPr>
              <w:spacing w:after="0"/>
              <w:rPr>
                <w:sz w:val="19"/>
                <w:szCs w:val="19"/>
                <w:color w:val="auto"/>
              </w:rPr>
            </w:pPr>
          </w:p>
        </w:tc>
        <w:tc>
          <w:tcPr>
            <w:tcW w:w="440" w:type="dxa"/>
            <w:vAlign w:val="bottom"/>
            <w:shd w:val="clear" w:color="auto" w:fill="DCE2EF"/>
          </w:tcPr>
          <w:p>
            <w:pPr>
              <w:spacing w:after="0"/>
              <w:rPr>
                <w:sz w:val="19"/>
                <w:szCs w:val="19"/>
                <w:color w:val="auto"/>
              </w:rPr>
            </w:pPr>
          </w:p>
        </w:tc>
        <w:tc>
          <w:tcPr>
            <w:tcW w:w="1480" w:type="dxa"/>
            <w:vAlign w:val="bottom"/>
            <w:shd w:val="clear" w:color="auto" w:fill="DCE2EF"/>
          </w:tcPr>
          <w:p>
            <w:pPr>
              <w:jc w:val="right"/>
              <w:spacing w:after="0"/>
              <w:rPr>
                <w:sz w:val="20"/>
                <w:szCs w:val="20"/>
                <w:color w:val="auto"/>
              </w:rPr>
            </w:pPr>
            <w:r>
              <w:rPr>
                <w:rFonts w:ascii="Arial" w:cs="Arial" w:eastAsia="Arial" w:hAnsi="Arial"/>
                <w:sz w:val="17"/>
                <w:szCs w:val="17"/>
                <w:color w:val="auto"/>
              </w:rPr>
              <w:t>4.1 %</w:t>
            </w:r>
          </w:p>
        </w:tc>
        <w:tc>
          <w:tcPr>
            <w:tcW w:w="120" w:type="dxa"/>
            <w:vAlign w:val="bottom"/>
            <w:shd w:val="clear" w:color="auto" w:fill="DCE2EF"/>
          </w:tcPr>
          <w:p>
            <w:pPr>
              <w:spacing w:after="0"/>
              <w:rPr>
                <w:sz w:val="19"/>
                <w:szCs w:val="19"/>
                <w:color w:val="auto"/>
              </w:rPr>
            </w:pPr>
          </w:p>
        </w:tc>
        <w:tc>
          <w:tcPr>
            <w:tcW w:w="440" w:type="dxa"/>
            <w:vAlign w:val="bottom"/>
            <w:shd w:val="clear" w:color="auto" w:fill="DCE2EF"/>
          </w:tcPr>
          <w:p>
            <w:pPr>
              <w:spacing w:after="0"/>
              <w:rPr>
                <w:sz w:val="19"/>
                <w:szCs w:val="19"/>
                <w:color w:val="auto"/>
              </w:rPr>
            </w:pPr>
          </w:p>
        </w:tc>
        <w:tc>
          <w:tcPr>
            <w:tcW w:w="1480" w:type="dxa"/>
            <w:vAlign w:val="bottom"/>
            <w:shd w:val="clear" w:color="auto" w:fill="DCE2EF"/>
          </w:tcPr>
          <w:p>
            <w:pPr>
              <w:jc w:val="right"/>
              <w:spacing w:after="0"/>
              <w:rPr>
                <w:sz w:val="20"/>
                <w:szCs w:val="20"/>
                <w:color w:val="auto"/>
              </w:rPr>
            </w:pPr>
            <w:r>
              <w:rPr>
                <w:rFonts w:ascii="Arial" w:cs="Arial" w:eastAsia="Arial" w:hAnsi="Arial"/>
                <w:sz w:val="17"/>
                <w:szCs w:val="17"/>
                <w:color w:val="auto"/>
              </w:rPr>
              <w:t>4.0 %</w:t>
            </w:r>
          </w:p>
        </w:tc>
      </w:tr>
      <w:tr>
        <w:trPr>
          <w:trHeight w:val="299"/>
        </w:trPr>
        <w:tc>
          <w:tcPr>
            <w:tcW w:w="5200" w:type="dxa"/>
            <w:vAlign w:val="bottom"/>
          </w:tcPr>
          <w:p>
            <w:pPr>
              <w:ind w:left="20"/>
              <w:spacing w:after="0"/>
              <w:rPr>
                <w:sz w:val="20"/>
                <w:szCs w:val="20"/>
                <w:color w:val="auto"/>
              </w:rPr>
            </w:pPr>
            <w:r>
              <w:rPr>
                <w:rFonts w:ascii="Arial" w:cs="Arial" w:eastAsia="Arial" w:hAnsi="Arial"/>
                <w:sz w:val="17"/>
                <w:szCs w:val="17"/>
                <w:color w:val="auto"/>
              </w:rPr>
              <w:t>Stock price</w:t>
            </w:r>
            <w:r>
              <w:rPr>
                <w:rFonts w:ascii="Arial" w:cs="Arial" w:eastAsia="Arial" w:hAnsi="Arial"/>
                <w:sz w:val="22"/>
                <w:szCs w:val="22"/>
                <w:color w:val="auto"/>
                <w:vertAlign w:val="superscript"/>
              </w:rPr>
              <w:t>(4)</w:t>
            </w:r>
          </w:p>
        </w:tc>
        <w:tc>
          <w:tcPr>
            <w:tcW w:w="440" w:type="dxa"/>
            <w:vAlign w:val="bottom"/>
          </w:tcPr>
          <w:p>
            <w:pPr>
              <w:jc w:val="right"/>
              <w:ind w:right="234"/>
              <w:spacing w:after="0"/>
              <w:rPr>
                <w:sz w:val="20"/>
                <w:szCs w:val="20"/>
                <w:color w:val="auto"/>
              </w:rPr>
            </w:pPr>
            <w:r>
              <w:rPr>
                <w:rFonts w:ascii="Arial" w:cs="Arial" w:eastAsia="Arial" w:hAnsi="Arial"/>
                <w:sz w:val="17"/>
                <w:szCs w:val="17"/>
                <w:color w:val="auto"/>
              </w:rPr>
              <w:t>$</w:t>
            </w:r>
          </w:p>
        </w:tc>
        <w:tc>
          <w:tcPr>
            <w:tcW w:w="1500" w:type="dxa"/>
            <w:vAlign w:val="bottom"/>
          </w:tcPr>
          <w:p>
            <w:pPr>
              <w:jc w:val="right"/>
              <w:ind w:right="154"/>
              <w:spacing w:after="0"/>
              <w:rPr>
                <w:sz w:val="20"/>
                <w:szCs w:val="20"/>
                <w:color w:val="auto"/>
              </w:rPr>
            </w:pPr>
            <w:r>
              <w:rPr>
                <w:rFonts w:ascii="Arial" w:cs="Arial" w:eastAsia="Arial" w:hAnsi="Arial"/>
                <w:sz w:val="17"/>
                <w:szCs w:val="17"/>
                <w:color w:val="auto"/>
              </w:rPr>
              <w:t>50.97</w:t>
            </w:r>
          </w:p>
        </w:tc>
        <w:tc>
          <w:tcPr>
            <w:tcW w:w="100" w:type="dxa"/>
            <w:vAlign w:val="bottom"/>
          </w:tcPr>
          <w:p>
            <w:pPr>
              <w:spacing w:after="0"/>
              <w:rPr>
                <w:sz w:val="24"/>
                <w:szCs w:val="24"/>
                <w:color w:val="auto"/>
              </w:rPr>
            </w:pPr>
          </w:p>
        </w:tc>
        <w:tc>
          <w:tcPr>
            <w:tcW w:w="440" w:type="dxa"/>
            <w:vAlign w:val="bottom"/>
          </w:tcPr>
          <w:p>
            <w:pPr>
              <w:jc w:val="right"/>
              <w:ind w:right="254"/>
              <w:spacing w:after="0"/>
              <w:rPr>
                <w:sz w:val="20"/>
                <w:szCs w:val="20"/>
                <w:color w:val="auto"/>
              </w:rPr>
            </w:pPr>
            <w:r>
              <w:rPr>
                <w:rFonts w:ascii="Arial" w:cs="Arial" w:eastAsia="Arial" w:hAnsi="Arial"/>
                <w:sz w:val="17"/>
                <w:szCs w:val="17"/>
                <w:color w:val="auto"/>
                <w:w w:val="84"/>
              </w:rPr>
              <w:t>$</w:t>
            </w:r>
          </w:p>
        </w:tc>
        <w:tc>
          <w:tcPr>
            <w:tcW w:w="1480" w:type="dxa"/>
            <w:vAlign w:val="bottom"/>
          </w:tcPr>
          <w:p>
            <w:pPr>
              <w:jc w:val="right"/>
              <w:ind w:right="134"/>
              <w:spacing w:after="0"/>
              <w:rPr>
                <w:sz w:val="20"/>
                <w:szCs w:val="20"/>
                <w:color w:val="auto"/>
              </w:rPr>
            </w:pPr>
            <w:r>
              <w:rPr>
                <w:rFonts w:ascii="Arial" w:cs="Arial" w:eastAsia="Arial" w:hAnsi="Arial"/>
                <w:sz w:val="17"/>
                <w:szCs w:val="17"/>
                <w:color w:val="auto"/>
              </w:rPr>
              <w:t>42.13</w:t>
            </w:r>
          </w:p>
        </w:tc>
        <w:tc>
          <w:tcPr>
            <w:tcW w:w="120" w:type="dxa"/>
            <w:vAlign w:val="bottom"/>
          </w:tcPr>
          <w:p>
            <w:pPr>
              <w:spacing w:after="0"/>
              <w:rPr>
                <w:sz w:val="24"/>
                <w:szCs w:val="24"/>
                <w:color w:val="auto"/>
              </w:rPr>
            </w:pPr>
          </w:p>
        </w:tc>
        <w:tc>
          <w:tcPr>
            <w:tcW w:w="440" w:type="dxa"/>
            <w:vAlign w:val="bottom"/>
          </w:tcPr>
          <w:p>
            <w:pPr>
              <w:jc w:val="right"/>
              <w:ind w:right="254"/>
              <w:spacing w:after="0"/>
              <w:rPr>
                <w:sz w:val="20"/>
                <w:szCs w:val="20"/>
                <w:color w:val="auto"/>
              </w:rPr>
            </w:pPr>
            <w:r>
              <w:rPr>
                <w:rFonts w:ascii="Arial" w:cs="Arial" w:eastAsia="Arial" w:hAnsi="Arial"/>
                <w:sz w:val="17"/>
                <w:szCs w:val="17"/>
                <w:color w:val="auto"/>
                <w:w w:val="84"/>
              </w:rPr>
              <w:t>$</w:t>
            </w:r>
          </w:p>
        </w:tc>
        <w:tc>
          <w:tcPr>
            <w:tcW w:w="1480" w:type="dxa"/>
            <w:vAlign w:val="bottom"/>
          </w:tcPr>
          <w:p>
            <w:pPr>
              <w:jc w:val="right"/>
              <w:ind w:right="134"/>
              <w:spacing w:after="0"/>
              <w:rPr>
                <w:sz w:val="20"/>
                <w:szCs w:val="20"/>
                <w:color w:val="auto"/>
              </w:rPr>
            </w:pPr>
            <w:r>
              <w:rPr>
                <w:rFonts w:ascii="Arial" w:cs="Arial" w:eastAsia="Arial" w:hAnsi="Arial"/>
                <w:sz w:val="17"/>
                <w:szCs w:val="17"/>
                <w:color w:val="auto"/>
              </w:rPr>
              <w:t>46.19</w:t>
            </w:r>
          </w:p>
        </w:tc>
      </w:tr>
    </w:tbl>
    <w:p>
      <w:pPr>
        <w:spacing w:after="0" w:line="178" w:lineRule="exact"/>
        <w:rPr>
          <w:sz w:val="20"/>
          <w:szCs w:val="20"/>
          <w:color w:val="auto"/>
        </w:rPr>
      </w:pPr>
    </w:p>
    <w:p>
      <w:pPr>
        <w:ind w:left="160" w:hanging="157"/>
        <w:spacing w:after="0"/>
        <w:tabs>
          <w:tab w:leader="none" w:pos="160" w:val="left"/>
        </w:tabs>
        <w:numPr>
          <w:ilvl w:val="0"/>
          <w:numId w:val="40"/>
        </w:numPr>
        <w:rPr>
          <w:rFonts w:ascii="Arial" w:cs="Arial" w:eastAsia="Arial" w:hAnsi="Arial"/>
          <w:sz w:val="19"/>
          <w:szCs w:val="19"/>
          <w:color w:val="auto"/>
          <w:vertAlign w:val="superscript"/>
        </w:rPr>
      </w:pPr>
      <w:r>
        <w:rPr>
          <w:rFonts w:ascii="Arial" w:cs="Arial" w:eastAsia="Arial" w:hAnsi="Arial"/>
          <w:sz w:val="15"/>
          <w:szCs w:val="15"/>
          <w:color w:val="auto"/>
        </w:rPr>
        <w:t>The expected life represents the remaining performance period of the awards.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8" w:right="339" w:bottom="1440" w:gutter="0" w:footer="0" w:header="0"/>
        </w:sectPr>
      </w:pPr>
    </w:p>
    <w:bookmarkStart w:id="84" w:name="page85"/>
    <w:bookmarkEnd w:id="84"/>
    <w:p>
      <w:pPr>
        <w:ind w:left="160" w:hanging="157"/>
        <w:spacing w:after="0" w:line="229" w:lineRule="auto"/>
        <w:tabs>
          <w:tab w:leader="none" w:pos="169" w:val="left"/>
        </w:tabs>
        <w:numPr>
          <w:ilvl w:val="0"/>
          <w:numId w:val="41"/>
        </w:numPr>
        <w:rPr>
          <w:rFonts w:ascii="Arial" w:cs="Arial" w:eastAsia="Arial" w:hAnsi="Arial"/>
          <w:sz w:val="20"/>
          <w:szCs w:val="20"/>
          <w:color w:val="auto"/>
          <w:vertAlign w:val="superscript"/>
        </w:rPr>
      </w:pPr>
      <w:r>
        <w:rPr>
          <w:rFonts w:ascii="Arial" w:cs="Arial" w:eastAsia="Arial" w:hAnsi="Arial"/>
          <w:sz w:val="15"/>
          <w:szCs w:val="15"/>
          <w:color w:val="auto"/>
        </w:rPr>
        <w:t>The expected volatility for each grant is determined based on the historical volatility of our common stock over a period equal to the remaining term of the performance period from the date of grant for all awards.</w:t>
      </w:r>
    </w:p>
    <w:p>
      <w:pPr>
        <w:spacing w:after="0" w:line="92" w:lineRule="exact"/>
        <w:rPr>
          <w:rFonts w:ascii="Arial" w:cs="Arial" w:eastAsia="Arial" w:hAnsi="Arial"/>
          <w:sz w:val="20"/>
          <w:szCs w:val="20"/>
          <w:color w:val="auto"/>
          <w:vertAlign w:val="superscript"/>
        </w:rPr>
      </w:pPr>
    </w:p>
    <w:p>
      <w:pPr>
        <w:ind w:left="160" w:hanging="157"/>
        <w:spacing w:after="0" w:line="229" w:lineRule="auto"/>
        <w:tabs>
          <w:tab w:leader="none" w:pos="169" w:val="left"/>
        </w:tabs>
        <w:numPr>
          <w:ilvl w:val="0"/>
          <w:numId w:val="41"/>
        </w:numPr>
        <w:rPr>
          <w:rFonts w:ascii="Arial" w:cs="Arial" w:eastAsia="Arial" w:hAnsi="Arial"/>
          <w:sz w:val="20"/>
          <w:szCs w:val="20"/>
          <w:color w:val="auto"/>
          <w:vertAlign w:val="superscript"/>
        </w:rPr>
      </w:pPr>
      <w:r>
        <w:rPr>
          <w:rFonts w:ascii="Arial" w:cs="Arial" w:eastAsia="Arial" w:hAnsi="Arial"/>
          <w:sz w:val="15"/>
          <w:szCs w:val="15"/>
          <w:color w:val="auto"/>
        </w:rPr>
        <w:t>The risk-free interest rate is based on the continuous compounded yield on U.S. Treasury Constant Maturity Rates with varying remaining terms; the yield is determined over a time period commensurate with the performance period from the grant date.</w:t>
      </w:r>
    </w:p>
    <w:p>
      <w:pPr>
        <w:spacing w:after="0" w:line="78" w:lineRule="exact"/>
        <w:rPr>
          <w:rFonts w:ascii="Arial" w:cs="Arial" w:eastAsia="Arial" w:hAnsi="Arial"/>
          <w:sz w:val="20"/>
          <w:szCs w:val="20"/>
          <w:color w:val="auto"/>
          <w:vertAlign w:val="superscript"/>
        </w:rPr>
      </w:pPr>
    </w:p>
    <w:p>
      <w:pPr>
        <w:ind w:left="160" w:hanging="157"/>
        <w:spacing w:after="0"/>
        <w:tabs>
          <w:tab w:leader="none" w:pos="160" w:val="left"/>
        </w:tabs>
        <w:numPr>
          <w:ilvl w:val="0"/>
          <w:numId w:val="41"/>
        </w:numPr>
        <w:rPr>
          <w:rFonts w:ascii="Arial" w:cs="Arial" w:eastAsia="Arial" w:hAnsi="Arial"/>
          <w:sz w:val="19"/>
          <w:szCs w:val="19"/>
          <w:color w:val="auto"/>
          <w:vertAlign w:val="superscript"/>
        </w:rPr>
      </w:pPr>
      <w:r>
        <w:rPr>
          <w:rFonts w:ascii="Arial" w:cs="Arial" w:eastAsia="Arial" w:hAnsi="Arial"/>
          <w:sz w:val="15"/>
          <w:szCs w:val="15"/>
          <w:color w:val="auto"/>
        </w:rPr>
        <w:t>The stock price is the closing price of our common stock on the valuation date.</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Employee Stock Purchase Plan</w:t>
      </w:r>
    </w:p>
    <w:p>
      <w:pPr>
        <w:spacing w:after="0" w:line="49" w:lineRule="exact"/>
        <w:rPr>
          <w:sz w:val="20"/>
          <w:szCs w:val="20"/>
          <w:color w:val="auto"/>
        </w:rPr>
      </w:pPr>
    </w:p>
    <w:p>
      <w:pPr>
        <w:ind w:left="8080"/>
        <w:spacing w:after="0"/>
        <w:rPr>
          <w:sz w:val="20"/>
          <w:szCs w:val="20"/>
          <w:color w:val="auto"/>
        </w:rPr>
      </w:pPr>
      <w:r>
        <w:rPr>
          <w:rFonts w:ascii="Arial" w:cs="Arial" w:eastAsia="Arial" w:hAnsi="Arial"/>
          <w:sz w:val="17"/>
          <w:szCs w:val="17"/>
          <w:b w:val="1"/>
          <w:bCs w:val="1"/>
          <w:color w:val="auto"/>
        </w:rPr>
        <w:t>Years Ended October 31,</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6980" w:type="dxa"/>
            <w:vAlign w:val="bottom"/>
            <w:gridSpan w:val="3"/>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 except per share amounts)</w:t>
            </w:r>
          </w:p>
        </w:tc>
        <w:tc>
          <w:tcPr>
            <w:tcW w:w="3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right"/>
              <w:ind w:right="394"/>
              <w:spacing w:after="0" w:line="161" w:lineRule="exact"/>
              <w:rPr>
                <w:sz w:val="20"/>
                <w:szCs w:val="20"/>
                <w:color w:val="auto"/>
              </w:rPr>
            </w:pPr>
            <w:r>
              <w:rPr>
                <w:rFonts w:ascii="Arial" w:cs="Arial" w:eastAsia="Arial" w:hAnsi="Arial"/>
                <w:sz w:val="17"/>
                <w:szCs w:val="17"/>
                <w:b w:val="1"/>
                <w:bCs w:val="1"/>
                <w:color w:val="auto"/>
              </w:rPr>
              <w:t>2025</w:t>
            </w:r>
          </w:p>
        </w:tc>
        <w:tc>
          <w:tcPr>
            <w:tcW w:w="10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right"/>
              <w:ind w:right="374"/>
              <w:spacing w:after="0" w:line="161" w:lineRule="exact"/>
              <w:rPr>
                <w:sz w:val="20"/>
                <w:szCs w:val="20"/>
                <w:color w:val="auto"/>
              </w:rPr>
            </w:pPr>
            <w:r>
              <w:rPr>
                <w:rFonts w:ascii="Arial" w:cs="Arial" w:eastAsia="Arial" w:hAnsi="Arial"/>
                <w:sz w:val="17"/>
                <w:szCs w:val="17"/>
                <w:b w:val="1"/>
                <w:bCs w:val="1"/>
                <w:color w:val="auto"/>
              </w:rPr>
              <w:t>2024</w:t>
            </w:r>
          </w:p>
        </w:tc>
        <w:tc>
          <w:tcPr>
            <w:tcW w:w="12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right"/>
              <w:ind w:right="394"/>
              <w:spacing w:after="0" w:line="161" w:lineRule="exact"/>
              <w:rPr>
                <w:sz w:val="20"/>
                <w:szCs w:val="20"/>
                <w:color w:val="auto"/>
              </w:rPr>
            </w:pPr>
            <w:r>
              <w:rPr>
                <w:rFonts w:ascii="Arial" w:cs="Arial" w:eastAsia="Arial" w:hAnsi="Arial"/>
                <w:sz w:val="17"/>
                <w:szCs w:val="17"/>
                <w:b w:val="1"/>
                <w:bCs w:val="1"/>
                <w:color w:val="auto"/>
              </w:rPr>
              <w:t>2023</w:t>
            </w:r>
          </w:p>
        </w:tc>
      </w:tr>
      <w:tr>
        <w:trPr>
          <w:trHeight w:val="32"/>
        </w:trPr>
        <w:tc>
          <w:tcPr>
            <w:tcW w:w="20" w:type="dxa"/>
            <w:vAlign w:val="bottom"/>
            <w:tcBorders>
              <w:bottom w:val="single" w:sz="8" w:color="DCE2EF"/>
            </w:tcBorders>
          </w:tcPr>
          <w:p>
            <w:pPr>
              <w:spacing w:after="0"/>
              <w:rPr>
                <w:sz w:val="2"/>
                <w:szCs w:val="2"/>
                <w:color w:val="auto"/>
              </w:rPr>
            </w:pPr>
          </w:p>
        </w:tc>
        <w:tc>
          <w:tcPr>
            <w:tcW w:w="2140" w:type="dxa"/>
            <w:vAlign w:val="bottom"/>
            <w:tcBorders>
              <w:top w:val="single" w:sz="8" w:color="auto"/>
              <w:bottom w:val="single" w:sz="8" w:color="DCE2EF"/>
            </w:tcBorders>
          </w:tcPr>
          <w:p>
            <w:pPr>
              <w:spacing w:after="0"/>
              <w:rPr>
                <w:sz w:val="2"/>
                <w:szCs w:val="2"/>
                <w:color w:val="auto"/>
              </w:rPr>
            </w:pPr>
          </w:p>
        </w:tc>
        <w:tc>
          <w:tcPr>
            <w:tcW w:w="4820" w:type="dxa"/>
            <w:vAlign w:val="bottom"/>
            <w:tcBorders>
              <w:bottom w:val="single" w:sz="8" w:color="DCE2E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DCE2E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2"/>
        </w:trPr>
        <w:tc>
          <w:tcPr>
            <w:tcW w:w="6980" w:type="dxa"/>
            <w:vAlign w:val="bottom"/>
            <w:gridSpan w:val="3"/>
            <w:shd w:val="clear" w:color="auto" w:fill="DCE2EF"/>
          </w:tcPr>
          <w:p>
            <w:pPr>
              <w:ind w:left="20"/>
              <w:spacing w:after="0"/>
              <w:rPr>
                <w:sz w:val="20"/>
                <w:szCs w:val="20"/>
                <w:color w:val="auto"/>
              </w:rPr>
            </w:pPr>
            <w:r>
              <w:rPr>
                <w:rFonts w:ascii="Arial" w:cs="Arial" w:eastAsia="Arial" w:hAnsi="Arial"/>
                <w:sz w:val="17"/>
                <w:szCs w:val="17"/>
                <w:color w:val="auto"/>
              </w:rPr>
              <w:t>Weighted-average fair value of granted purchase rights per share</w:t>
            </w:r>
          </w:p>
        </w:tc>
        <w:tc>
          <w:tcPr>
            <w:tcW w:w="300" w:type="dxa"/>
            <w:vAlign w:val="bottom"/>
            <w:shd w:val="clear" w:color="auto" w:fill="DCE2EF"/>
          </w:tcPr>
          <w:p>
            <w:pPr>
              <w:jc w:val="right"/>
              <w:ind w:right="94"/>
              <w:spacing w:after="0"/>
              <w:rPr>
                <w:sz w:val="20"/>
                <w:szCs w:val="20"/>
                <w:color w:val="auto"/>
              </w:rPr>
            </w:pPr>
            <w:r>
              <w:rPr>
                <w:rFonts w:ascii="Arial" w:cs="Arial" w:eastAsia="Arial" w:hAnsi="Arial"/>
                <w:sz w:val="17"/>
                <w:szCs w:val="17"/>
                <w:color w:val="auto"/>
              </w:rPr>
              <w:t>$</w:t>
            </w:r>
          </w:p>
        </w:tc>
        <w:tc>
          <w:tcPr>
            <w:tcW w:w="1040" w:type="dxa"/>
            <w:vAlign w:val="bottom"/>
            <w:shd w:val="clear" w:color="auto" w:fill="DCE2EF"/>
          </w:tcPr>
          <w:p>
            <w:pPr>
              <w:jc w:val="right"/>
              <w:spacing w:after="0"/>
              <w:rPr>
                <w:sz w:val="20"/>
                <w:szCs w:val="20"/>
                <w:color w:val="auto"/>
              </w:rPr>
            </w:pPr>
            <w:r>
              <w:rPr>
                <w:rFonts w:ascii="Arial" w:cs="Arial" w:eastAsia="Arial" w:hAnsi="Arial"/>
                <w:sz w:val="17"/>
                <w:szCs w:val="17"/>
                <w:color w:val="auto"/>
              </w:rPr>
              <w:t>2.50</w:t>
            </w:r>
          </w:p>
        </w:tc>
        <w:tc>
          <w:tcPr>
            <w:tcW w:w="100" w:type="dxa"/>
            <w:vAlign w:val="bottom"/>
            <w:shd w:val="clear" w:color="auto" w:fill="DCE2EF"/>
          </w:tcPr>
          <w:p>
            <w:pPr>
              <w:spacing w:after="0"/>
              <w:rPr>
                <w:sz w:val="18"/>
                <w:szCs w:val="18"/>
                <w:color w:val="auto"/>
              </w:rPr>
            </w:pPr>
          </w:p>
        </w:tc>
        <w:tc>
          <w:tcPr>
            <w:tcW w:w="300" w:type="dxa"/>
            <w:vAlign w:val="bottom"/>
            <w:shd w:val="clear" w:color="auto" w:fill="DCE2EF"/>
          </w:tcPr>
          <w:p>
            <w:pPr>
              <w:jc w:val="right"/>
              <w:ind w:right="94"/>
              <w:spacing w:after="0"/>
              <w:rPr>
                <w:sz w:val="20"/>
                <w:szCs w:val="20"/>
                <w:color w:val="auto"/>
              </w:rPr>
            </w:pPr>
            <w:r>
              <w:rPr>
                <w:rFonts w:ascii="Arial" w:cs="Arial" w:eastAsia="Arial" w:hAnsi="Arial"/>
                <w:sz w:val="17"/>
                <w:szCs w:val="17"/>
                <w:color w:val="auto"/>
              </w:rPr>
              <w:t>$</w:t>
            </w:r>
          </w:p>
        </w:tc>
        <w:tc>
          <w:tcPr>
            <w:tcW w:w="1020" w:type="dxa"/>
            <w:vAlign w:val="bottom"/>
            <w:shd w:val="clear" w:color="auto" w:fill="DCE2EF"/>
          </w:tcPr>
          <w:p>
            <w:pPr>
              <w:jc w:val="right"/>
              <w:spacing w:after="0"/>
              <w:rPr>
                <w:sz w:val="20"/>
                <w:szCs w:val="20"/>
                <w:color w:val="auto"/>
              </w:rPr>
            </w:pPr>
            <w:r>
              <w:rPr>
                <w:rFonts w:ascii="Arial" w:cs="Arial" w:eastAsia="Arial" w:hAnsi="Arial"/>
                <w:sz w:val="17"/>
                <w:szCs w:val="17"/>
                <w:color w:val="auto"/>
              </w:rPr>
              <w:t>2.31</w:t>
            </w:r>
          </w:p>
        </w:tc>
        <w:tc>
          <w:tcPr>
            <w:tcW w:w="120" w:type="dxa"/>
            <w:vAlign w:val="bottom"/>
            <w:shd w:val="clear" w:color="auto" w:fill="DCE2EF"/>
          </w:tcPr>
          <w:p>
            <w:pPr>
              <w:spacing w:after="0"/>
              <w:rPr>
                <w:sz w:val="18"/>
                <w:szCs w:val="18"/>
                <w:color w:val="auto"/>
              </w:rPr>
            </w:pPr>
          </w:p>
        </w:tc>
        <w:tc>
          <w:tcPr>
            <w:tcW w:w="280" w:type="dxa"/>
            <w:vAlign w:val="bottom"/>
            <w:shd w:val="clear" w:color="auto" w:fill="DCE2EF"/>
          </w:tcPr>
          <w:p>
            <w:pPr>
              <w:jc w:val="right"/>
              <w:ind w:right="94"/>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DCE2EF"/>
          </w:tcPr>
          <w:p>
            <w:pPr>
              <w:jc w:val="right"/>
              <w:spacing w:after="0"/>
              <w:rPr>
                <w:sz w:val="20"/>
                <w:szCs w:val="20"/>
                <w:color w:val="auto"/>
              </w:rPr>
            </w:pPr>
            <w:r>
              <w:rPr>
                <w:rFonts w:ascii="Arial" w:cs="Arial" w:eastAsia="Arial" w:hAnsi="Arial"/>
                <w:sz w:val="17"/>
                <w:szCs w:val="17"/>
                <w:color w:val="auto"/>
              </w:rPr>
              <w:t>2.23</w:t>
            </w:r>
          </w:p>
        </w:tc>
      </w:tr>
      <w:tr>
        <w:trPr>
          <w:trHeight w:val="219"/>
        </w:trPr>
        <w:tc>
          <w:tcPr>
            <w:tcW w:w="6980" w:type="dxa"/>
            <w:vAlign w:val="bottom"/>
            <w:gridSpan w:val="3"/>
          </w:tcPr>
          <w:p>
            <w:pPr>
              <w:ind w:left="20"/>
              <w:spacing w:after="0"/>
              <w:rPr>
                <w:sz w:val="20"/>
                <w:szCs w:val="20"/>
                <w:color w:val="auto"/>
              </w:rPr>
            </w:pPr>
            <w:r>
              <w:rPr>
                <w:rFonts w:ascii="Arial" w:cs="Arial" w:eastAsia="Arial" w:hAnsi="Arial"/>
                <w:sz w:val="17"/>
                <w:szCs w:val="17"/>
                <w:color w:val="auto"/>
              </w:rPr>
              <w:t>Common stock issued</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0.1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0.1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0.1</w:t>
            </w:r>
          </w:p>
        </w:tc>
      </w:tr>
      <w:tr>
        <w:trPr>
          <w:trHeight w:val="219"/>
        </w:trPr>
        <w:tc>
          <w:tcPr>
            <w:tcW w:w="6980" w:type="dxa"/>
            <w:vAlign w:val="bottom"/>
            <w:gridSpan w:val="3"/>
            <w:shd w:val="clear" w:color="auto" w:fill="DCE2EF"/>
          </w:tcPr>
          <w:p>
            <w:pPr>
              <w:ind w:left="20"/>
              <w:spacing w:after="0"/>
              <w:rPr>
                <w:sz w:val="20"/>
                <w:szCs w:val="20"/>
                <w:color w:val="auto"/>
              </w:rPr>
            </w:pPr>
            <w:r>
              <w:rPr>
                <w:rFonts w:ascii="Arial" w:cs="Arial" w:eastAsia="Arial" w:hAnsi="Arial"/>
                <w:sz w:val="17"/>
                <w:szCs w:val="17"/>
                <w:color w:val="auto"/>
              </w:rPr>
              <w:t>Fair value of common stock issued per share</w:t>
            </w:r>
          </w:p>
        </w:tc>
        <w:tc>
          <w:tcPr>
            <w:tcW w:w="300" w:type="dxa"/>
            <w:vAlign w:val="bottom"/>
            <w:shd w:val="clear" w:color="auto" w:fill="DCE2EF"/>
          </w:tcPr>
          <w:p>
            <w:pPr>
              <w:jc w:val="right"/>
              <w:ind w:right="94"/>
              <w:spacing w:after="0"/>
              <w:rPr>
                <w:sz w:val="20"/>
                <w:szCs w:val="20"/>
                <w:color w:val="auto"/>
              </w:rPr>
            </w:pPr>
            <w:r>
              <w:rPr>
                <w:rFonts w:ascii="Arial" w:cs="Arial" w:eastAsia="Arial" w:hAnsi="Arial"/>
                <w:sz w:val="17"/>
                <w:szCs w:val="17"/>
                <w:color w:val="auto"/>
              </w:rPr>
              <w:t>$</w:t>
            </w:r>
          </w:p>
        </w:tc>
        <w:tc>
          <w:tcPr>
            <w:tcW w:w="1040" w:type="dxa"/>
            <w:vAlign w:val="bottom"/>
            <w:shd w:val="clear" w:color="auto" w:fill="DCE2EF"/>
          </w:tcPr>
          <w:p>
            <w:pPr>
              <w:jc w:val="right"/>
              <w:spacing w:after="0"/>
              <w:rPr>
                <w:sz w:val="20"/>
                <w:szCs w:val="20"/>
                <w:color w:val="auto"/>
              </w:rPr>
            </w:pPr>
            <w:r>
              <w:rPr>
                <w:rFonts w:ascii="Arial" w:cs="Arial" w:eastAsia="Arial" w:hAnsi="Arial"/>
                <w:sz w:val="17"/>
                <w:szCs w:val="17"/>
                <w:color w:val="auto"/>
              </w:rPr>
              <w:t>47.42</w:t>
            </w:r>
          </w:p>
        </w:tc>
        <w:tc>
          <w:tcPr>
            <w:tcW w:w="100" w:type="dxa"/>
            <w:vAlign w:val="bottom"/>
            <w:shd w:val="clear" w:color="auto" w:fill="DCE2EF"/>
          </w:tcPr>
          <w:p>
            <w:pPr>
              <w:spacing w:after="0"/>
              <w:rPr>
                <w:sz w:val="19"/>
                <w:szCs w:val="19"/>
                <w:color w:val="auto"/>
              </w:rPr>
            </w:pPr>
          </w:p>
        </w:tc>
        <w:tc>
          <w:tcPr>
            <w:tcW w:w="300" w:type="dxa"/>
            <w:vAlign w:val="bottom"/>
            <w:shd w:val="clear" w:color="auto" w:fill="DCE2EF"/>
          </w:tcPr>
          <w:p>
            <w:pPr>
              <w:jc w:val="right"/>
              <w:ind w:right="94"/>
              <w:spacing w:after="0"/>
              <w:rPr>
                <w:sz w:val="20"/>
                <w:szCs w:val="20"/>
                <w:color w:val="auto"/>
              </w:rPr>
            </w:pPr>
            <w:r>
              <w:rPr>
                <w:rFonts w:ascii="Arial" w:cs="Arial" w:eastAsia="Arial" w:hAnsi="Arial"/>
                <w:sz w:val="17"/>
                <w:szCs w:val="17"/>
                <w:color w:val="auto"/>
              </w:rPr>
              <w:t>$</w:t>
            </w:r>
          </w:p>
        </w:tc>
        <w:tc>
          <w:tcPr>
            <w:tcW w:w="1020" w:type="dxa"/>
            <w:vAlign w:val="bottom"/>
            <w:shd w:val="clear" w:color="auto" w:fill="DCE2EF"/>
          </w:tcPr>
          <w:p>
            <w:pPr>
              <w:jc w:val="right"/>
              <w:spacing w:after="0"/>
              <w:rPr>
                <w:sz w:val="20"/>
                <w:szCs w:val="20"/>
                <w:color w:val="auto"/>
              </w:rPr>
            </w:pPr>
            <w:r>
              <w:rPr>
                <w:rFonts w:ascii="Arial" w:cs="Arial" w:eastAsia="Arial" w:hAnsi="Arial"/>
                <w:sz w:val="17"/>
                <w:szCs w:val="17"/>
                <w:color w:val="auto"/>
              </w:rPr>
              <w:t>43.93</w:t>
            </w:r>
          </w:p>
        </w:tc>
        <w:tc>
          <w:tcPr>
            <w:tcW w:w="120" w:type="dxa"/>
            <w:vAlign w:val="bottom"/>
            <w:shd w:val="clear" w:color="auto" w:fill="DCE2EF"/>
          </w:tcPr>
          <w:p>
            <w:pPr>
              <w:spacing w:after="0"/>
              <w:rPr>
                <w:sz w:val="19"/>
                <w:szCs w:val="19"/>
                <w:color w:val="auto"/>
              </w:rPr>
            </w:pPr>
          </w:p>
        </w:tc>
        <w:tc>
          <w:tcPr>
            <w:tcW w:w="280" w:type="dxa"/>
            <w:vAlign w:val="bottom"/>
            <w:shd w:val="clear" w:color="auto" w:fill="DCE2EF"/>
          </w:tcPr>
          <w:p>
            <w:pPr>
              <w:jc w:val="right"/>
              <w:ind w:right="94"/>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DCE2EF"/>
          </w:tcPr>
          <w:p>
            <w:pPr>
              <w:jc w:val="right"/>
              <w:spacing w:after="0"/>
              <w:rPr>
                <w:sz w:val="20"/>
                <w:szCs w:val="20"/>
                <w:color w:val="auto"/>
              </w:rPr>
            </w:pPr>
            <w:r>
              <w:rPr>
                <w:rFonts w:ascii="Arial" w:cs="Arial" w:eastAsia="Arial" w:hAnsi="Arial"/>
                <w:sz w:val="17"/>
                <w:szCs w:val="17"/>
                <w:color w:val="auto"/>
              </w:rPr>
              <w:t>42.40</w:t>
            </w:r>
          </w:p>
        </w:tc>
      </w:tr>
      <w:tr>
        <w:trPr>
          <w:trHeight w:val="226"/>
        </w:trPr>
        <w:tc>
          <w:tcPr>
            <w:tcW w:w="6980" w:type="dxa"/>
            <w:vAlign w:val="bottom"/>
            <w:gridSpan w:val="3"/>
          </w:tcPr>
          <w:p>
            <w:pPr>
              <w:ind w:left="20"/>
              <w:spacing w:after="0"/>
              <w:rPr>
                <w:sz w:val="20"/>
                <w:szCs w:val="20"/>
                <w:color w:val="auto"/>
              </w:rPr>
            </w:pPr>
            <w:r>
              <w:rPr>
                <w:rFonts w:ascii="Arial" w:cs="Arial" w:eastAsia="Arial" w:hAnsi="Arial"/>
                <w:sz w:val="17"/>
                <w:szCs w:val="17"/>
                <w:color w:val="auto"/>
              </w:rPr>
              <w:t>Aggregate purchases</w:t>
            </w:r>
          </w:p>
        </w:tc>
        <w:tc>
          <w:tcPr>
            <w:tcW w:w="300" w:type="dxa"/>
            <w:vAlign w:val="bottom"/>
          </w:tcPr>
          <w:p>
            <w:pPr>
              <w:jc w:val="right"/>
              <w:ind w:right="94"/>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4.8</w:t>
            </w:r>
          </w:p>
        </w:tc>
        <w:tc>
          <w:tcPr>
            <w:tcW w:w="100" w:type="dxa"/>
            <w:vAlign w:val="bottom"/>
          </w:tcPr>
          <w:p>
            <w:pPr>
              <w:spacing w:after="0"/>
              <w:rPr>
                <w:sz w:val="19"/>
                <w:szCs w:val="19"/>
                <w:color w:val="auto"/>
              </w:rPr>
            </w:pPr>
          </w:p>
        </w:tc>
        <w:tc>
          <w:tcPr>
            <w:tcW w:w="300" w:type="dxa"/>
            <w:vAlign w:val="bottom"/>
          </w:tcPr>
          <w:p>
            <w:pPr>
              <w:jc w:val="right"/>
              <w:ind w:right="94"/>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3.7</w:t>
            </w:r>
          </w:p>
        </w:tc>
        <w:tc>
          <w:tcPr>
            <w:tcW w:w="120" w:type="dxa"/>
            <w:vAlign w:val="bottom"/>
          </w:tcPr>
          <w:p>
            <w:pPr>
              <w:spacing w:after="0"/>
              <w:rPr>
                <w:sz w:val="19"/>
                <w:szCs w:val="19"/>
                <w:color w:val="auto"/>
              </w:rPr>
            </w:pPr>
          </w:p>
        </w:tc>
        <w:tc>
          <w:tcPr>
            <w:tcW w:w="280" w:type="dxa"/>
            <w:vAlign w:val="bottom"/>
          </w:tcPr>
          <w:p>
            <w:pPr>
              <w:jc w:val="right"/>
              <w:ind w:right="94"/>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3.4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85" w:name="page86"/>
    <w:bookmarkEnd w:id="85"/>
    <w:p>
      <w:pPr>
        <w:spacing w:after="0"/>
        <w:rPr>
          <w:sz w:val="20"/>
          <w:szCs w:val="20"/>
          <w:color w:val="auto"/>
        </w:rPr>
      </w:pPr>
      <w:r>
        <w:rPr>
          <w:rFonts w:ascii="Arial" w:cs="Arial" w:eastAsia="Arial" w:hAnsi="Arial"/>
          <w:sz w:val="17"/>
          <w:szCs w:val="17"/>
          <w:b w:val="1"/>
          <w:bCs w:val="1"/>
          <w:color w:val="0046AD"/>
        </w:rPr>
        <w:t>17.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wp:posOffset>
            </wp:positionV>
            <wp:extent cx="712216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22160" cy="8255"/>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Geographic Sources of Income Before Income Taxes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7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3240" w:type="dxa"/>
            <w:vAlign w:val="bottom"/>
            <w:tcBorders>
              <w:bottom w:val="single" w:sz="8" w:color="auto"/>
            </w:tcBorders>
            <w:gridSpan w:val="6"/>
          </w:tcPr>
          <w:p>
            <w:pPr>
              <w:jc w:val="center"/>
              <w:ind w:left="754"/>
              <w:spacing w:after="0"/>
              <w:rPr>
                <w:sz w:val="20"/>
                <w:szCs w:val="20"/>
                <w:color w:val="auto"/>
              </w:rPr>
            </w:pPr>
            <w:r>
              <w:rPr>
                <w:rFonts w:ascii="Arial" w:cs="Arial" w:eastAsia="Arial" w:hAnsi="Arial"/>
                <w:sz w:val="17"/>
                <w:szCs w:val="17"/>
                <w:b w:val="1"/>
                <w:bCs w:val="1"/>
                <w:color w:val="auto"/>
              </w:rPr>
              <w:t>Year Ended October 31,</w:t>
            </w:r>
          </w:p>
        </w:tc>
        <w:tc>
          <w:tcPr>
            <w:tcW w:w="11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0"/>
        </w:trPr>
        <w:tc>
          <w:tcPr>
            <w:tcW w:w="6480" w:type="dxa"/>
            <w:vAlign w:val="bottom"/>
            <w:gridSpan w:val="3"/>
          </w:tcPr>
          <w:p>
            <w:pPr>
              <w:ind w:left="20"/>
              <w:spacing w:after="0" w:line="148" w:lineRule="exact"/>
              <w:rPr>
                <w:sz w:val="20"/>
                <w:szCs w:val="20"/>
                <w:color w:val="auto"/>
              </w:rPr>
            </w:pPr>
            <w:r>
              <w:rPr>
                <w:rFonts w:ascii="Times New Roman" w:cs="Times New Roman" w:eastAsia="Times New Roman" w:hAnsi="Times New Roman"/>
                <w:sz w:val="14"/>
                <w:szCs w:val="14"/>
                <w:i w:val="1"/>
                <w:iCs w:val="1"/>
                <w:color w:val="auto"/>
              </w:rPr>
              <w:t>(in millions)</w:t>
            </w:r>
          </w:p>
        </w:tc>
        <w:tc>
          <w:tcPr>
            <w:tcW w:w="340" w:type="dxa"/>
            <w:vAlign w:val="bottom"/>
          </w:tcPr>
          <w:p>
            <w:pPr>
              <w:spacing w:after="0"/>
              <w:rPr>
                <w:sz w:val="13"/>
                <w:szCs w:val="13"/>
                <w:color w:val="auto"/>
              </w:rPr>
            </w:pPr>
          </w:p>
        </w:tc>
        <w:tc>
          <w:tcPr>
            <w:tcW w:w="1180" w:type="dxa"/>
            <w:vAlign w:val="bottom"/>
          </w:tcPr>
          <w:p>
            <w:pPr>
              <w:jc w:val="right"/>
              <w:ind w:right="494"/>
              <w:spacing w:after="0" w:line="148" w:lineRule="exact"/>
              <w:rPr>
                <w:sz w:val="20"/>
                <w:szCs w:val="20"/>
                <w:color w:val="auto"/>
              </w:rPr>
            </w:pPr>
            <w:r>
              <w:rPr>
                <w:rFonts w:ascii="Arial" w:cs="Arial" w:eastAsia="Arial" w:hAnsi="Arial"/>
                <w:sz w:val="17"/>
                <w:szCs w:val="17"/>
                <w:b w:val="1"/>
                <w:bCs w:val="1"/>
                <w:color w:val="auto"/>
              </w:rPr>
              <w:t>2025</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80" w:type="dxa"/>
            <w:vAlign w:val="bottom"/>
          </w:tcPr>
          <w:p>
            <w:pPr>
              <w:jc w:val="center"/>
              <w:ind w:right="254"/>
              <w:spacing w:after="0" w:line="148" w:lineRule="exact"/>
              <w:rPr>
                <w:sz w:val="20"/>
                <w:szCs w:val="20"/>
                <w:color w:val="auto"/>
              </w:rPr>
            </w:pPr>
            <w:r>
              <w:rPr>
                <w:rFonts w:ascii="Arial" w:cs="Arial" w:eastAsia="Arial" w:hAnsi="Arial"/>
                <w:sz w:val="17"/>
                <w:szCs w:val="17"/>
                <w:b w:val="1"/>
                <w:bCs w:val="1"/>
                <w:color w:val="auto"/>
              </w:rPr>
              <w:t>2024</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80" w:type="dxa"/>
            <w:vAlign w:val="bottom"/>
          </w:tcPr>
          <w:p>
            <w:pPr>
              <w:jc w:val="right"/>
              <w:ind w:right="474"/>
              <w:spacing w:after="0" w:line="148" w:lineRule="exact"/>
              <w:rPr>
                <w:sz w:val="20"/>
                <w:szCs w:val="20"/>
                <w:color w:val="auto"/>
              </w:rPr>
            </w:pPr>
            <w:r>
              <w:rPr>
                <w:rFonts w:ascii="Arial" w:cs="Arial" w:eastAsia="Arial" w:hAnsi="Arial"/>
                <w:sz w:val="17"/>
                <w:szCs w:val="17"/>
                <w:b w:val="1"/>
                <w:bCs w:val="1"/>
                <w:color w:val="auto"/>
              </w:rPr>
              <w:t>2023</w:t>
            </w:r>
          </w:p>
        </w:tc>
        <w:tc>
          <w:tcPr>
            <w:tcW w:w="0" w:type="dxa"/>
            <w:vAlign w:val="bottom"/>
          </w:tcPr>
          <w:p>
            <w:pPr>
              <w:spacing w:after="0"/>
              <w:rPr>
                <w:sz w:val="1"/>
                <w:szCs w:val="1"/>
                <w:color w:val="auto"/>
              </w:rPr>
            </w:pPr>
          </w:p>
        </w:tc>
      </w:tr>
      <w:tr>
        <w:trPr>
          <w:trHeight w:val="32"/>
        </w:trPr>
        <w:tc>
          <w:tcPr>
            <w:tcW w:w="20" w:type="dxa"/>
            <w:vAlign w:val="bottom"/>
            <w:tcBorders>
              <w:bottom w:val="single" w:sz="8" w:color="DCE2EF"/>
            </w:tcBorders>
          </w:tcPr>
          <w:p>
            <w:pPr>
              <w:spacing w:after="0"/>
              <w:rPr>
                <w:sz w:val="2"/>
                <w:szCs w:val="2"/>
                <w:color w:val="auto"/>
              </w:rPr>
            </w:pPr>
          </w:p>
        </w:tc>
        <w:tc>
          <w:tcPr>
            <w:tcW w:w="680" w:type="dxa"/>
            <w:vAlign w:val="bottom"/>
            <w:tcBorders>
              <w:top w:val="single" w:sz="8" w:color="auto"/>
              <w:bottom w:val="single" w:sz="8" w:color="DCE2EF"/>
            </w:tcBorders>
          </w:tcPr>
          <w:p>
            <w:pPr>
              <w:spacing w:after="0"/>
              <w:rPr>
                <w:sz w:val="2"/>
                <w:szCs w:val="2"/>
                <w:color w:val="auto"/>
              </w:rPr>
            </w:pPr>
          </w:p>
        </w:tc>
        <w:tc>
          <w:tcPr>
            <w:tcW w:w="5780" w:type="dxa"/>
            <w:vAlign w:val="bottom"/>
            <w:tcBorders>
              <w:bottom w:val="single" w:sz="8" w:color="DCE2E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6480" w:type="dxa"/>
            <w:vAlign w:val="bottom"/>
            <w:gridSpan w:val="3"/>
            <w:shd w:val="clear" w:color="auto" w:fill="DCE2EF"/>
          </w:tcPr>
          <w:p>
            <w:pPr>
              <w:ind w:left="20"/>
              <w:spacing w:after="0"/>
              <w:rPr>
                <w:sz w:val="20"/>
                <w:szCs w:val="20"/>
                <w:color w:val="auto"/>
              </w:rPr>
            </w:pPr>
            <w:r>
              <w:rPr>
                <w:rFonts w:ascii="Arial" w:cs="Arial" w:eastAsia="Arial" w:hAnsi="Arial"/>
                <w:sz w:val="17"/>
                <w:szCs w:val="17"/>
                <w:color w:val="auto"/>
              </w:rPr>
              <w:t>United States</w:t>
            </w:r>
          </w:p>
        </w:tc>
        <w:tc>
          <w:tcPr>
            <w:tcW w:w="340" w:type="dxa"/>
            <w:vAlign w:val="bottom"/>
            <w:shd w:val="clear" w:color="auto" w:fill="DCE2EF"/>
          </w:tcPr>
          <w:p>
            <w:pPr>
              <w:jc w:val="right"/>
              <w:ind w:right="154"/>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DCE2EF"/>
          </w:tcPr>
          <w:p>
            <w:pPr>
              <w:jc w:val="right"/>
              <w:spacing w:after="0"/>
              <w:rPr>
                <w:sz w:val="20"/>
                <w:szCs w:val="20"/>
                <w:color w:val="auto"/>
              </w:rPr>
            </w:pPr>
            <w:r>
              <w:rPr>
                <w:rFonts w:ascii="Arial" w:cs="Arial" w:eastAsia="Arial" w:hAnsi="Arial"/>
                <w:sz w:val="17"/>
                <w:szCs w:val="17"/>
                <w:color w:val="auto"/>
              </w:rPr>
              <w:t>170.4</w:t>
            </w:r>
          </w:p>
        </w:tc>
        <w:tc>
          <w:tcPr>
            <w:tcW w:w="100" w:type="dxa"/>
            <w:vAlign w:val="bottom"/>
            <w:shd w:val="clear" w:color="auto" w:fill="DCE2EF"/>
          </w:tcPr>
          <w:p>
            <w:pPr>
              <w:spacing w:after="0"/>
              <w:rPr>
                <w:sz w:val="18"/>
                <w:szCs w:val="18"/>
                <w:color w:val="auto"/>
              </w:rPr>
            </w:pPr>
          </w:p>
        </w:tc>
        <w:tc>
          <w:tcPr>
            <w:tcW w:w="340" w:type="dxa"/>
            <w:vAlign w:val="bottom"/>
            <w:shd w:val="clear" w:color="auto" w:fill="DCE2EF"/>
          </w:tcPr>
          <w:p>
            <w:pPr>
              <w:jc w:val="right"/>
              <w:ind w:right="134"/>
              <w:spacing w:after="0"/>
              <w:rPr>
                <w:sz w:val="20"/>
                <w:szCs w:val="20"/>
                <w:color w:val="auto"/>
              </w:rPr>
            </w:pPr>
            <w:r>
              <w:rPr>
                <w:rFonts w:ascii="Arial" w:cs="Arial" w:eastAsia="Arial" w:hAnsi="Arial"/>
                <w:sz w:val="17"/>
                <w:szCs w:val="17"/>
                <w:color w:val="auto"/>
              </w:rPr>
              <w:t>$</w:t>
            </w:r>
          </w:p>
        </w:tc>
        <w:tc>
          <w:tcPr>
            <w:tcW w:w="1180" w:type="dxa"/>
            <w:vAlign w:val="bottom"/>
            <w:shd w:val="clear" w:color="auto" w:fill="DCE2EF"/>
          </w:tcPr>
          <w:p>
            <w:pPr>
              <w:jc w:val="right"/>
              <w:spacing w:after="0"/>
              <w:rPr>
                <w:sz w:val="20"/>
                <w:szCs w:val="20"/>
                <w:color w:val="auto"/>
              </w:rPr>
            </w:pPr>
            <w:r>
              <w:rPr>
                <w:rFonts w:ascii="Arial" w:cs="Arial" w:eastAsia="Arial" w:hAnsi="Arial"/>
                <w:sz w:val="17"/>
                <w:szCs w:val="17"/>
                <w:color w:val="auto"/>
              </w:rPr>
              <w:t>88.8</w:t>
            </w:r>
          </w:p>
        </w:tc>
        <w:tc>
          <w:tcPr>
            <w:tcW w:w="100" w:type="dxa"/>
            <w:vAlign w:val="bottom"/>
            <w:shd w:val="clear" w:color="auto" w:fill="DCE2EF"/>
          </w:tcPr>
          <w:p>
            <w:pPr>
              <w:spacing w:after="0"/>
              <w:rPr>
                <w:sz w:val="18"/>
                <w:szCs w:val="18"/>
                <w:color w:val="auto"/>
              </w:rPr>
            </w:pPr>
          </w:p>
        </w:tc>
        <w:tc>
          <w:tcPr>
            <w:tcW w:w="340" w:type="dxa"/>
            <w:vAlign w:val="bottom"/>
            <w:shd w:val="clear" w:color="auto" w:fill="DCE2EF"/>
          </w:tcPr>
          <w:p>
            <w:pPr>
              <w:jc w:val="right"/>
              <w:ind w:right="134"/>
              <w:spacing w:after="0"/>
              <w:rPr>
                <w:sz w:val="20"/>
                <w:szCs w:val="20"/>
                <w:color w:val="auto"/>
              </w:rPr>
            </w:pPr>
            <w:r>
              <w:rPr>
                <w:rFonts w:ascii="Arial" w:cs="Arial" w:eastAsia="Arial" w:hAnsi="Arial"/>
                <w:sz w:val="17"/>
                <w:szCs w:val="17"/>
                <w:color w:val="auto"/>
              </w:rPr>
              <w:t>$</w:t>
            </w:r>
          </w:p>
        </w:tc>
        <w:tc>
          <w:tcPr>
            <w:tcW w:w="1180" w:type="dxa"/>
            <w:vAlign w:val="bottom"/>
            <w:shd w:val="clear" w:color="auto" w:fill="DCE2EF"/>
          </w:tcPr>
          <w:p>
            <w:pPr>
              <w:jc w:val="right"/>
              <w:spacing w:after="0"/>
              <w:rPr>
                <w:sz w:val="20"/>
                <w:szCs w:val="20"/>
                <w:color w:val="auto"/>
              </w:rPr>
            </w:pPr>
            <w:r>
              <w:rPr>
                <w:rFonts w:ascii="Arial" w:cs="Arial" w:eastAsia="Arial" w:hAnsi="Arial"/>
                <w:sz w:val="17"/>
                <w:szCs w:val="17"/>
                <w:color w:val="auto"/>
              </w:rPr>
              <w:t>294.3</w:t>
            </w:r>
          </w:p>
        </w:tc>
        <w:tc>
          <w:tcPr>
            <w:tcW w:w="0" w:type="dxa"/>
            <w:vAlign w:val="bottom"/>
          </w:tcPr>
          <w:p>
            <w:pPr>
              <w:spacing w:after="0"/>
              <w:rPr>
                <w:sz w:val="1"/>
                <w:szCs w:val="1"/>
                <w:color w:val="auto"/>
              </w:rPr>
            </w:pPr>
          </w:p>
        </w:tc>
      </w:tr>
      <w:tr>
        <w:trPr>
          <w:trHeight w:val="219"/>
        </w:trPr>
        <w:tc>
          <w:tcPr>
            <w:tcW w:w="6480" w:type="dxa"/>
            <w:vAlign w:val="bottom"/>
            <w:tcBorders>
              <w:bottom w:val="single" w:sz="8" w:color="DCE2EF"/>
            </w:tcBorders>
            <w:gridSpan w:val="3"/>
          </w:tcPr>
          <w:p>
            <w:pPr>
              <w:ind w:left="20"/>
              <w:spacing w:after="0"/>
              <w:rPr>
                <w:sz w:val="20"/>
                <w:szCs w:val="20"/>
                <w:color w:val="auto"/>
              </w:rPr>
            </w:pPr>
            <w:r>
              <w:rPr>
                <w:rFonts w:ascii="Arial" w:cs="Arial" w:eastAsia="Arial" w:hAnsi="Arial"/>
                <w:sz w:val="17"/>
                <w:szCs w:val="17"/>
                <w:color w:val="auto"/>
              </w:rPr>
              <w:t>Foreign</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49.5</w:t>
            </w:r>
          </w:p>
        </w:tc>
        <w:tc>
          <w:tcPr>
            <w:tcW w:w="100" w:type="dxa"/>
            <w:vAlign w:val="bottom"/>
            <w:tcBorders>
              <w:bottom w:val="single" w:sz="8" w:color="DCE2E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44.8</w:t>
            </w:r>
          </w:p>
        </w:tc>
        <w:tc>
          <w:tcPr>
            <w:tcW w:w="100" w:type="dxa"/>
            <w:vAlign w:val="bottom"/>
            <w:tcBorders>
              <w:bottom w:val="single" w:sz="8" w:color="DCE2E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36.8</w:t>
            </w:r>
          </w:p>
        </w:tc>
        <w:tc>
          <w:tcPr>
            <w:tcW w:w="0" w:type="dxa"/>
            <w:vAlign w:val="bottom"/>
          </w:tcPr>
          <w:p>
            <w:pPr>
              <w:spacing w:after="0"/>
              <w:rPr>
                <w:sz w:val="1"/>
                <w:szCs w:val="1"/>
                <w:color w:val="auto"/>
              </w:rPr>
            </w:pPr>
          </w:p>
        </w:tc>
      </w:tr>
      <w:tr>
        <w:trPr>
          <w:trHeight w:val="237"/>
        </w:trPr>
        <w:tc>
          <w:tcPr>
            <w:tcW w:w="6480" w:type="dxa"/>
            <w:vAlign w:val="bottom"/>
            <w:tcBorders>
              <w:bottom w:val="single" w:sz="8" w:color="DCE2EF"/>
            </w:tcBorders>
            <w:gridSpan w:val="3"/>
            <w:shd w:val="clear" w:color="auto" w:fill="DCE2EF"/>
          </w:tcPr>
          <w:p>
            <w:pPr>
              <w:ind w:left="20"/>
              <w:spacing w:after="0"/>
              <w:rPr>
                <w:sz w:val="20"/>
                <w:szCs w:val="20"/>
                <w:color w:val="auto"/>
              </w:rPr>
            </w:pPr>
            <w:r>
              <w:rPr>
                <w:rFonts w:ascii="Arial" w:cs="Arial" w:eastAsia="Arial" w:hAnsi="Arial"/>
                <w:sz w:val="17"/>
                <w:szCs w:val="17"/>
                <w:b w:val="1"/>
                <w:bCs w:val="1"/>
                <w:color w:val="auto"/>
              </w:rPr>
              <w:t>Income before income taxes</w:t>
            </w:r>
          </w:p>
        </w:tc>
        <w:tc>
          <w:tcPr>
            <w:tcW w:w="340" w:type="dxa"/>
            <w:vAlign w:val="bottom"/>
            <w:tcBorders>
              <w:bottom w:val="single" w:sz="8" w:color="auto"/>
            </w:tcBorders>
            <w:shd w:val="clear" w:color="auto" w:fill="DCE2EF"/>
          </w:tcPr>
          <w:p>
            <w:pPr>
              <w:jc w:val="right"/>
              <w:ind w:right="154"/>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7"/>
                <w:szCs w:val="17"/>
                <w:color w:val="auto"/>
              </w:rPr>
              <w:t>219.9</w:t>
            </w:r>
          </w:p>
        </w:tc>
        <w:tc>
          <w:tcPr>
            <w:tcW w:w="100" w:type="dxa"/>
            <w:vAlign w:val="bottom"/>
            <w:tcBorders>
              <w:bottom w:val="single" w:sz="8" w:color="DCE2EF"/>
            </w:tcBorders>
            <w:shd w:val="clear" w:color="auto" w:fill="DCE2EF"/>
          </w:tcPr>
          <w:p>
            <w:pPr>
              <w:spacing w:after="0"/>
              <w:rPr>
                <w:sz w:val="20"/>
                <w:szCs w:val="20"/>
                <w:color w:val="auto"/>
              </w:rPr>
            </w:pPr>
          </w:p>
        </w:tc>
        <w:tc>
          <w:tcPr>
            <w:tcW w:w="340" w:type="dxa"/>
            <w:vAlign w:val="bottom"/>
            <w:tcBorders>
              <w:bottom w:val="single" w:sz="8" w:color="auto"/>
            </w:tcBorders>
            <w:shd w:val="clear" w:color="auto" w:fill="DCE2EF"/>
          </w:tcPr>
          <w:p>
            <w:pPr>
              <w:jc w:val="right"/>
              <w:ind w:right="134"/>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7"/>
                <w:szCs w:val="17"/>
                <w:color w:val="auto"/>
              </w:rPr>
              <w:t>133.6</w:t>
            </w:r>
          </w:p>
        </w:tc>
        <w:tc>
          <w:tcPr>
            <w:tcW w:w="100" w:type="dxa"/>
            <w:vAlign w:val="bottom"/>
            <w:tcBorders>
              <w:bottom w:val="single" w:sz="8" w:color="DCE2EF"/>
            </w:tcBorders>
            <w:shd w:val="clear" w:color="auto" w:fill="DCE2EF"/>
          </w:tcPr>
          <w:p>
            <w:pPr>
              <w:spacing w:after="0"/>
              <w:rPr>
                <w:sz w:val="20"/>
                <w:szCs w:val="20"/>
                <w:color w:val="auto"/>
              </w:rPr>
            </w:pPr>
          </w:p>
        </w:tc>
        <w:tc>
          <w:tcPr>
            <w:tcW w:w="340" w:type="dxa"/>
            <w:vAlign w:val="bottom"/>
            <w:tcBorders>
              <w:bottom w:val="single" w:sz="8" w:color="auto"/>
            </w:tcBorders>
            <w:shd w:val="clear" w:color="auto" w:fill="DCE2EF"/>
          </w:tcPr>
          <w:p>
            <w:pPr>
              <w:jc w:val="right"/>
              <w:ind w:right="134"/>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7"/>
                <w:szCs w:val="17"/>
                <w:color w:val="auto"/>
              </w:rPr>
              <w:t>331.1</w:t>
            </w:r>
          </w:p>
        </w:tc>
        <w:tc>
          <w:tcPr>
            <w:tcW w:w="0" w:type="dxa"/>
            <w:vAlign w:val="bottom"/>
          </w:tcPr>
          <w:p>
            <w:pPr>
              <w:spacing w:after="0"/>
              <w:rPr>
                <w:sz w:val="1"/>
                <w:szCs w:val="1"/>
                <w:color w:val="auto"/>
              </w:rPr>
            </w:pPr>
          </w:p>
        </w:tc>
      </w:tr>
      <w:tr>
        <w:trPr>
          <w:trHeight w:val="20"/>
        </w:trPr>
        <w:tc>
          <w:tcPr>
            <w:tcW w:w="6480" w:type="dxa"/>
            <w:vAlign w:val="bottom"/>
            <w:tcBorders>
              <w:top w:val="single" w:sz="8" w:color="DCE2EF"/>
              <w:bottom w:val="single" w:sz="8" w:color="DCE2EF"/>
            </w:tcBorders>
            <w:gridSpan w:val="3"/>
            <w:vMerge w:val="restart"/>
          </w:tcPr>
          <w:p>
            <w:pPr>
              <w:spacing w:after="0"/>
              <w:rPr>
                <w:sz w:val="20"/>
                <w:szCs w:val="20"/>
                <w:color w:val="auto"/>
              </w:rPr>
            </w:pPr>
            <w:r>
              <w:rPr>
                <w:rFonts w:ascii="Arial" w:cs="Arial" w:eastAsia="Arial" w:hAnsi="Arial"/>
                <w:sz w:val="17"/>
                <w:szCs w:val="17"/>
                <w:b w:val="1"/>
                <w:bCs w:val="1"/>
                <w:color w:val="0046AD"/>
              </w:rPr>
              <w:t>Components of Income Tax Provision</w:t>
            </w:r>
          </w:p>
        </w:tc>
        <w:tc>
          <w:tcPr>
            <w:tcW w:w="340" w:type="dxa"/>
            <w:vAlign w:val="bottom"/>
            <w:tcBorders>
              <w:top w:val="single" w:sz="8" w:color="DCE2EF"/>
              <w:bottom w:val="single" w:sz="8" w:color="auto"/>
            </w:tcBorders>
          </w:tcPr>
          <w:p>
            <w:pPr>
              <w:spacing w:after="0" w:line="20" w:lineRule="exact"/>
              <w:rPr>
                <w:sz w:val="1"/>
                <w:szCs w:val="1"/>
                <w:color w:val="auto"/>
              </w:rPr>
            </w:pPr>
          </w:p>
        </w:tc>
        <w:tc>
          <w:tcPr>
            <w:tcW w:w="1180" w:type="dxa"/>
            <w:vAlign w:val="bottom"/>
            <w:tcBorders>
              <w:top w:val="single" w:sz="8" w:color="DCE2EF"/>
              <w:bottom w:val="single" w:sz="8" w:color="auto"/>
            </w:tcBorders>
          </w:tcPr>
          <w:p>
            <w:pPr>
              <w:spacing w:after="0" w:line="20" w:lineRule="exact"/>
              <w:rPr>
                <w:sz w:val="1"/>
                <w:szCs w:val="1"/>
                <w:color w:val="auto"/>
              </w:rPr>
            </w:pPr>
          </w:p>
        </w:tc>
        <w:tc>
          <w:tcPr>
            <w:tcW w:w="100" w:type="dxa"/>
            <w:vAlign w:val="bottom"/>
            <w:tcBorders>
              <w:top w:val="single" w:sz="8" w:color="DCE2EF"/>
            </w:tcBorders>
          </w:tcPr>
          <w:p>
            <w:pPr>
              <w:spacing w:after="0" w:line="20" w:lineRule="exact"/>
              <w:rPr>
                <w:sz w:val="1"/>
                <w:szCs w:val="1"/>
                <w:color w:val="auto"/>
              </w:rPr>
            </w:pPr>
          </w:p>
        </w:tc>
        <w:tc>
          <w:tcPr>
            <w:tcW w:w="340" w:type="dxa"/>
            <w:vAlign w:val="bottom"/>
            <w:tcBorders>
              <w:top w:val="single" w:sz="8" w:color="DCE2EF"/>
              <w:bottom w:val="single" w:sz="8" w:color="auto"/>
            </w:tcBorders>
          </w:tcPr>
          <w:p>
            <w:pPr>
              <w:spacing w:after="0" w:line="20" w:lineRule="exact"/>
              <w:rPr>
                <w:sz w:val="1"/>
                <w:szCs w:val="1"/>
                <w:color w:val="auto"/>
              </w:rPr>
            </w:pPr>
          </w:p>
        </w:tc>
        <w:tc>
          <w:tcPr>
            <w:tcW w:w="1180" w:type="dxa"/>
            <w:vAlign w:val="bottom"/>
            <w:tcBorders>
              <w:top w:val="single" w:sz="8" w:color="DCE2EF"/>
              <w:bottom w:val="single" w:sz="8" w:color="auto"/>
            </w:tcBorders>
          </w:tcPr>
          <w:p>
            <w:pPr>
              <w:spacing w:after="0" w:line="20" w:lineRule="exact"/>
              <w:rPr>
                <w:sz w:val="1"/>
                <w:szCs w:val="1"/>
                <w:color w:val="auto"/>
              </w:rPr>
            </w:pPr>
          </w:p>
        </w:tc>
        <w:tc>
          <w:tcPr>
            <w:tcW w:w="100" w:type="dxa"/>
            <w:vAlign w:val="bottom"/>
            <w:tcBorders>
              <w:top w:val="single" w:sz="8" w:color="DCE2EF"/>
            </w:tcBorders>
          </w:tcPr>
          <w:p>
            <w:pPr>
              <w:spacing w:after="0" w:line="20" w:lineRule="exact"/>
              <w:rPr>
                <w:sz w:val="1"/>
                <w:szCs w:val="1"/>
                <w:color w:val="auto"/>
              </w:rPr>
            </w:pPr>
          </w:p>
        </w:tc>
        <w:tc>
          <w:tcPr>
            <w:tcW w:w="340" w:type="dxa"/>
            <w:vAlign w:val="bottom"/>
            <w:tcBorders>
              <w:top w:val="single" w:sz="8" w:color="DCE2EF"/>
              <w:bottom w:val="single" w:sz="8" w:color="auto"/>
            </w:tcBorders>
          </w:tcPr>
          <w:p>
            <w:pPr>
              <w:spacing w:after="0" w:line="20" w:lineRule="exact"/>
              <w:rPr>
                <w:sz w:val="1"/>
                <w:szCs w:val="1"/>
                <w:color w:val="auto"/>
              </w:rPr>
            </w:pPr>
          </w:p>
        </w:tc>
        <w:tc>
          <w:tcPr>
            <w:tcW w:w="1180" w:type="dxa"/>
            <w:vAlign w:val="bottom"/>
            <w:tcBorders>
              <w:top w:val="single" w:sz="8" w:color="DCE2E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5"/>
        </w:trPr>
        <w:tc>
          <w:tcPr>
            <w:tcW w:w="6480" w:type="dxa"/>
            <w:vAlign w:val="bottom"/>
            <w:gridSpan w:val="3"/>
            <w:vMerge w:val="continue"/>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7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240" w:type="dxa"/>
            <w:vAlign w:val="bottom"/>
            <w:tcBorders>
              <w:bottom w:val="single" w:sz="8" w:color="auto"/>
            </w:tcBorders>
            <w:gridSpan w:val="6"/>
          </w:tcPr>
          <w:p>
            <w:pPr>
              <w:jc w:val="center"/>
              <w:ind w:left="754"/>
              <w:spacing w:after="0"/>
              <w:rPr>
                <w:sz w:val="20"/>
                <w:szCs w:val="20"/>
                <w:color w:val="auto"/>
              </w:rPr>
            </w:pPr>
            <w:r>
              <w:rPr>
                <w:rFonts w:ascii="Arial" w:cs="Arial" w:eastAsia="Arial" w:hAnsi="Arial"/>
                <w:sz w:val="17"/>
                <w:szCs w:val="17"/>
                <w:b w:val="1"/>
                <w:bCs w:val="1"/>
                <w:color w:val="auto"/>
              </w:rPr>
              <w:t>Year Ended October 31,</w:t>
            </w:r>
          </w:p>
        </w:tc>
        <w:tc>
          <w:tcPr>
            <w:tcW w:w="11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0"/>
        </w:trPr>
        <w:tc>
          <w:tcPr>
            <w:tcW w:w="6480" w:type="dxa"/>
            <w:vAlign w:val="bottom"/>
            <w:gridSpan w:val="3"/>
          </w:tcPr>
          <w:p>
            <w:pPr>
              <w:ind w:left="20"/>
              <w:spacing w:after="0" w:line="148" w:lineRule="exact"/>
              <w:rPr>
                <w:sz w:val="20"/>
                <w:szCs w:val="20"/>
                <w:color w:val="auto"/>
              </w:rPr>
            </w:pPr>
            <w:r>
              <w:rPr>
                <w:rFonts w:ascii="Times New Roman" w:cs="Times New Roman" w:eastAsia="Times New Roman" w:hAnsi="Times New Roman"/>
                <w:sz w:val="14"/>
                <w:szCs w:val="14"/>
                <w:i w:val="1"/>
                <w:iCs w:val="1"/>
                <w:color w:val="auto"/>
              </w:rPr>
              <w:t>(in millions)</w:t>
            </w:r>
          </w:p>
        </w:tc>
        <w:tc>
          <w:tcPr>
            <w:tcW w:w="340" w:type="dxa"/>
            <w:vAlign w:val="bottom"/>
          </w:tcPr>
          <w:p>
            <w:pPr>
              <w:spacing w:after="0"/>
              <w:rPr>
                <w:sz w:val="13"/>
                <w:szCs w:val="13"/>
                <w:color w:val="auto"/>
              </w:rPr>
            </w:pPr>
          </w:p>
        </w:tc>
        <w:tc>
          <w:tcPr>
            <w:tcW w:w="1180" w:type="dxa"/>
            <w:vAlign w:val="bottom"/>
          </w:tcPr>
          <w:p>
            <w:pPr>
              <w:jc w:val="right"/>
              <w:ind w:right="494"/>
              <w:spacing w:after="0" w:line="148" w:lineRule="exact"/>
              <w:rPr>
                <w:sz w:val="20"/>
                <w:szCs w:val="20"/>
                <w:color w:val="auto"/>
              </w:rPr>
            </w:pPr>
            <w:r>
              <w:rPr>
                <w:rFonts w:ascii="Arial" w:cs="Arial" w:eastAsia="Arial" w:hAnsi="Arial"/>
                <w:sz w:val="17"/>
                <w:szCs w:val="17"/>
                <w:b w:val="1"/>
                <w:bCs w:val="1"/>
                <w:color w:val="auto"/>
              </w:rPr>
              <w:t>2025</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80" w:type="dxa"/>
            <w:vAlign w:val="bottom"/>
          </w:tcPr>
          <w:p>
            <w:pPr>
              <w:jc w:val="center"/>
              <w:ind w:right="254"/>
              <w:spacing w:after="0" w:line="148" w:lineRule="exact"/>
              <w:rPr>
                <w:sz w:val="20"/>
                <w:szCs w:val="20"/>
                <w:color w:val="auto"/>
              </w:rPr>
            </w:pPr>
            <w:r>
              <w:rPr>
                <w:rFonts w:ascii="Arial" w:cs="Arial" w:eastAsia="Arial" w:hAnsi="Arial"/>
                <w:sz w:val="17"/>
                <w:szCs w:val="17"/>
                <w:b w:val="1"/>
                <w:bCs w:val="1"/>
                <w:color w:val="auto"/>
              </w:rPr>
              <w:t>2024</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80" w:type="dxa"/>
            <w:vAlign w:val="bottom"/>
          </w:tcPr>
          <w:p>
            <w:pPr>
              <w:jc w:val="right"/>
              <w:ind w:right="474"/>
              <w:spacing w:after="0" w:line="148" w:lineRule="exact"/>
              <w:rPr>
                <w:sz w:val="20"/>
                <w:szCs w:val="20"/>
                <w:color w:val="auto"/>
              </w:rPr>
            </w:pPr>
            <w:r>
              <w:rPr>
                <w:rFonts w:ascii="Arial" w:cs="Arial" w:eastAsia="Arial" w:hAnsi="Arial"/>
                <w:sz w:val="17"/>
                <w:szCs w:val="17"/>
                <w:b w:val="1"/>
                <w:bCs w:val="1"/>
                <w:color w:val="auto"/>
              </w:rPr>
              <w:t>2023</w:t>
            </w:r>
          </w:p>
        </w:tc>
        <w:tc>
          <w:tcPr>
            <w:tcW w:w="0" w:type="dxa"/>
            <w:vAlign w:val="bottom"/>
          </w:tcPr>
          <w:p>
            <w:pPr>
              <w:spacing w:after="0"/>
              <w:rPr>
                <w:sz w:val="1"/>
                <w:szCs w:val="1"/>
                <w:color w:val="auto"/>
              </w:rPr>
            </w:pPr>
          </w:p>
        </w:tc>
      </w:tr>
      <w:tr>
        <w:trPr>
          <w:trHeight w:val="32"/>
        </w:trPr>
        <w:tc>
          <w:tcPr>
            <w:tcW w:w="20" w:type="dxa"/>
            <w:vAlign w:val="bottom"/>
            <w:tcBorders>
              <w:bottom w:val="single" w:sz="8" w:color="DCE2EF"/>
            </w:tcBorders>
          </w:tcPr>
          <w:p>
            <w:pPr>
              <w:spacing w:after="0"/>
              <w:rPr>
                <w:sz w:val="2"/>
                <w:szCs w:val="2"/>
                <w:color w:val="auto"/>
              </w:rPr>
            </w:pPr>
          </w:p>
        </w:tc>
        <w:tc>
          <w:tcPr>
            <w:tcW w:w="680" w:type="dxa"/>
            <w:vAlign w:val="bottom"/>
            <w:tcBorders>
              <w:top w:val="single" w:sz="8" w:color="auto"/>
              <w:bottom w:val="single" w:sz="8" w:color="DCE2EF"/>
            </w:tcBorders>
          </w:tcPr>
          <w:p>
            <w:pPr>
              <w:spacing w:after="0"/>
              <w:rPr>
                <w:sz w:val="2"/>
                <w:szCs w:val="2"/>
                <w:color w:val="auto"/>
              </w:rPr>
            </w:pPr>
          </w:p>
        </w:tc>
        <w:tc>
          <w:tcPr>
            <w:tcW w:w="5780" w:type="dxa"/>
            <w:vAlign w:val="bottom"/>
            <w:tcBorders>
              <w:bottom w:val="single" w:sz="8" w:color="DCE2E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9"/>
        </w:trPr>
        <w:tc>
          <w:tcPr>
            <w:tcW w:w="6480" w:type="dxa"/>
            <w:vAlign w:val="bottom"/>
            <w:gridSpan w:val="3"/>
            <w:shd w:val="clear" w:color="auto" w:fill="DCE2EF"/>
          </w:tcPr>
          <w:p>
            <w:pPr>
              <w:ind w:left="20"/>
              <w:spacing w:after="0"/>
              <w:rPr>
                <w:sz w:val="20"/>
                <w:szCs w:val="20"/>
                <w:color w:val="auto"/>
              </w:rPr>
            </w:pPr>
            <w:r>
              <w:rPr>
                <w:rFonts w:ascii="Arial" w:cs="Arial" w:eastAsia="Arial" w:hAnsi="Arial"/>
                <w:sz w:val="17"/>
                <w:szCs w:val="17"/>
                <w:b w:val="1"/>
                <w:bCs w:val="1"/>
                <w:i w:val="1"/>
                <w:iCs w:val="1"/>
                <w:color w:val="auto"/>
              </w:rPr>
              <w:t>Current:</w:t>
            </w:r>
          </w:p>
        </w:tc>
        <w:tc>
          <w:tcPr>
            <w:tcW w:w="340" w:type="dxa"/>
            <w:vAlign w:val="bottom"/>
            <w:shd w:val="clear" w:color="auto" w:fill="DCE2EF"/>
          </w:tcPr>
          <w:p>
            <w:pPr>
              <w:spacing w:after="0"/>
              <w:rPr>
                <w:sz w:val="17"/>
                <w:szCs w:val="17"/>
                <w:color w:val="auto"/>
              </w:rPr>
            </w:pPr>
          </w:p>
        </w:tc>
        <w:tc>
          <w:tcPr>
            <w:tcW w:w="1180" w:type="dxa"/>
            <w:vAlign w:val="bottom"/>
            <w:shd w:val="clear" w:color="auto" w:fill="DCE2EF"/>
          </w:tcPr>
          <w:p>
            <w:pPr>
              <w:spacing w:after="0"/>
              <w:rPr>
                <w:sz w:val="17"/>
                <w:szCs w:val="17"/>
                <w:color w:val="auto"/>
              </w:rPr>
            </w:pPr>
          </w:p>
        </w:tc>
        <w:tc>
          <w:tcPr>
            <w:tcW w:w="100" w:type="dxa"/>
            <w:vAlign w:val="bottom"/>
            <w:shd w:val="clear" w:color="auto" w:fill="DCE2EF"/>
          </w:tcPr>
          <w:p>
            <w:pPr>
              <w:spacing w:after="0"/>
              <w:rPr>
                <w:sz w:val="17"/>
                <w:szCs w:val="17"/>
                <w:color w:val="auto"/>
              </w:rPr>
            </w:pPr>
          </w:p>
        </w:tc>
        <w:tc>
          <w:tcPr>
            <w:tcW w:w="340" w:type="dxa"/>
            <w:vAlign w:val="bottom"/>
            <w:shd w:val="clear" w:color="auto" w:fill="DCE2EF"/>
          </w:tcPr>
          <w:p>
            <w:pPr>
              <w:spacing w:after="0"/>
              <w:rPr>
                <w:sz w:val="17"/>
                <w:szCs w:val="17"/>
                <w:color w:val="auto"/>
              </w:rPr>
            </w:pPr>
          </w:p>
        </w:tc>
        <w:tc>
          <w:tcPr>
            <w:tcW w:w="1180" w:type="dxa"/>
            <w:vAlign w:val="bottom"/>
            <w:shd w:val="clear" w:color="auto" w:fill="DCE2EF"/>
          </w:tcPr>
          <w:p>
            <w:pPr>
              <w:spacing w:after="0"/>
              <w:rPr>
                <w:sz w:val="17"/>
                <w:szCs w:val="17"/>
                <w:color w:val="auto"/>
              </w:rPr>
            </w:pPr>
          </w:p>
        </w:tc>
        <w:tc>
          <w:tcPr>
            <w:tcW w:w="100" w:type="dxa"/>
            <w:vAlign w:val="bottom"/>
            <w:shd w:val="clear" w:color="auto" w:fill="DCE2EF"/>
          </w:tcPr>
          <w:p>
            <w:pPr>
              <w:spacing w:after="0"/>
              <w:rPr>
                <w:sz w:val="17"/>
                <w:szCs w:val="17"/>
                <w:color w:val="auto"/>
              </w:rPr>
            </w:pPr>
          </w:p>
        </w:tc>
        <w:tc>
          <w:tcPr>
            <w:tcW w:w="340" w:type="dxa"/>
            <w:vAlign w:val="bottom"/>
            <w:shd w:val="clear" w:color="auto" w:fill="DCE2EF"/>
          </w:tcPr>
          <w:p>
            <w:pPr>
              <w:spacing w:after="0"/>
              <w:rPr>
                <w:sz w:val="17"/>
                <w:szCs w:val="17"/>
                <w:color w:val="auto"/>
              </w:rPr>
            </w:pPr>
          </w:p>
        </w:tc>
        <w:tc>
          <w:tcPr>
            <w:tcW w:w="1180" w:type="dxa"/>
            <w:vAlign w:val="bottom"/>
            <w:shd w:val="clear" w:color="auto" w:fill="DCE2E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460" w:type="dxa"/>
            <w:vAlign w:val="bottom"/>
            <w:gridSpan w:val="2"/>
          </w:tcPr>
          <w:p>
            <w:pPr>
              <w:ind w:left="120"/>
              <w:spacing w:after="0"/>
              <w:rPr>
                <w:sz w:val="20"/>
                <w:szCs w:val="20"/>
                <w:color w:val="auto"/>
              </w:rPr>
            </w:pPr>
            <w:r>
              <w:rPr>
                <w:rFonts w:ascii="Arial" w:cs="Arial" w:eastAsia="Arial" w:hAnsi="Arial"/>
                <w:sz w:val="17"/>
                <w:szCs w:val="17"/>
                <w:color w:val="auto"/>
              </w:rPr>
              <w:t>Federal</w:t>
            </w:r>
          </w:p>
        </w:tc>
        <w:tc>
          <w:tcPr>
            <w:tcW w:w="340" w:type="dxa"/>
            <w:vAlign w:val="bottom"/>
          </w:tcPr>
          <w:p>
            <w:pPr>
              <w:jc w:val="right"/>
              <w:ind w:right="154"/>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(49.3)</w:t>
            </w:r>
          </w:p>
        </w:tc>
        <w:tc>
          <w:tcPr>
            <w:tcW w:w="100" w:type="dxa"/>
            <w:vAlign w:val="bottom"/>
          </w:tcPr>
          <w:p>
            <w:pPr>
              <w:spacing w:after="0"/>
              <w:rPr>
                <w:sz w:val="19"/>
                <w:szCs w:val="19"/>
                <w:color w:val="auto"/>
              </w:rPr>
            </w:pPr>
          </w:p>
        </w:tc>
        <w:tc>
          <w:tcPr>
            <w:tcW w:w="340" w:type="dxa"/>
            <w:vAlign w:val="bottom"/>
          </w:tcPr>
          <w:p>
            <w:pPr>
              <w:jc w:val="right"/>
              <w:ind w:right="134"/>
              <w:spacing w:after="0"/>
              <w:rPr>
                <w:sz w:val="20"/>
                <w:szCs w:val="20"/>
                <w:color w:val="auto"/>
              </w:rPr>
            </w:pPr>
            <w:r>
              <w:rPr>
                <w:rFonts w:ascii="Arial" w:cs="Arial" w:eastAsia="Arial" w:hAnsi="Arial"/>
                <w:sz w:val="17"/>
                <w:szCs w:val="17"/>
                <w:color w:val="auto"/>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(53.7)</w:t>
            </w:r>
          </w:p>
        </w:tc>
        <w:tc>
          <w:tcPr>
            <w:tcW w:w="100" w:type="dxa"/>
            <w:vAlign w:val="bottom"/>
          </w:tcPr>
          <w:p>
            <w:pPr>
              <w:spacing w:after="0"/>
              <w:rPr>
                <w:sz w:val="19"/>
                <w:szCs w:val="19"/>
                <w:color w:val="auto"/>
              </w:rPr>
            </w:pPr>
          </w:p>
        </w:tc>
        <w:tc>
          <w:tcPr>
            <w:tcW w:w="340" w:type="dxa"/>
            <w:vAlign w:val="bottom"/>
          </w:tcPr>
          <w:p>
            <w:pPr>
              <w:jc w:val="right"/>
              <w:ind w:right="134"/>
              <w:spacing w:after="0"/>
              <w:rPr>
                <w:sz w:val="20"/>
                <w:szCs w:val="20"/>
                <w:color w:val="auto"/>
              </w:rPr>
            </w:pPr>
            <w:r>
              <w:rPr>
                <w:rFonts w:ascii="Arial" w:cs="Arial" w:eastAsia="Arial" w:hAnsi="Arial"/>
                <w:sz w:val="17"/>
                <w:szCs w:val="17"/>
                <w:color w:val="auto"/>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(50.6)</w:t>
            </w:r>
          </w:p>
        </w:tc>
        <w:tc>
          <w:tcPr>
            <w:tcW w:w="0" w:type="dxa"/>
            <w:vAlign w:val="bottom"/>
          </w:tcPr>
          <w:p>
            <w:pPr>
              <w:spacing w:after="0"/>
              <w:rPr>
                <w:sz w:val="1"/>
                <w:szCs w:val="1"/>
                <w:color w:val="auto"/>
              </w:rPr>
            </w:pPr>
          </w:p>
        </w:tc>
      </w:tr>
      <w:tr>
        <w:trPr>
          <w:trHeight w:val="219"/>
        </w:trPr>
        <w:tc>
          <w:tcPr>
            <w:tcW w:w="20" w:type="dxa"/>
            <w:vAlign w:val="bottom"/>
            <w:shd w:val="clear" w:color="auto" w:fill="DCE2EF"/>
          </w:tcPr>
          <w:p>
            <w:pPr>
              <w:spacing w:after="0"/>
              <w:rPr>
                <w:sz w:val="19"/>
                <w:szCs w:val="19"/>
                <w:color w:val="auto"/>
              </w:rPr>
            </w:pPr>
          </w:p>
        </w:tc>
        <w:tc>
          <w:tcPr>
            <w:tcW w:w="6460" w:type="dxa"/>
            <w:vAlign w:val="bottom"/>
            <w:gridSpan w:val="2"/>
            <w:shd w:val="clear" w:color="auto" w:fill="DCE2EF"/>
          </w:tcPr>
          <w:p>
            <w:pPr>
              <w:ind w:left="120"/>
              <w:spacing w:after="0"/>
              <w:rPr>
                <w:sz w:val="20"/>
                <w:szCs w:val="20"/>
                <w:color w:val="auto"/>
              </w:rPr>
            </w:pPr>
            <w:r>
              <w:rPr>
                <w:rFonts w:ascii="Arial" w:cs="Arial" w:eastAsia="Arial" w:hAnsi="Arial"/>
                <w:sz w:val="17"/>
                <w:szCs w:val="17"/>
                <w:color w:val="auto"/>
              </w:rPr>
              <w:t>State</w:t>
            </w:r>
          </w:p>
        </w:tc>
        <w:tc>
          <w:tcPr>
            <w:tcW w:w="340" w:type="dxa"/>
            <w:vAlign w:val="bottom"/>
            <w:shd w:val="clear" w:color="auto" w:fill="DCE2EF"/>
          </w:tcPr>
          <w:p>
            <w:pPr>
              <w:spacing w:after="0"/>
              <w:rPr>
                <w:sz w:val="19"/>
                <w:szCs w:val="19"/>
                <w:color w:val="auto"/>
              </w:rPr>
            </w:pPr>
          </w:p>
        </w:tc>
        <w:tc>
          <w:tcPr>
            <w:tcW w:w="1180" w:type="dxa"/>
            <w:vAlign w:val="bottom"/>
            <w:shd w:val="clear" w:color="auto" w:fill="DCE2EF"/>
          </w:tcPr>
          <w:p>
            <w:pPr>
              <w:jc w:val="right"/>
              <w:spacing w:after="0"/>
              <w:rPr>
                <w:sz w:val="20"/>
                <w:szCs w:val="20"/>
                <w:color w:val="auto"/>
              </w:rPr>
            </w:pPr>
            <w:r>
              <w:rPr>
                <w:rFonts w:ascii="Arial" w:cs="Arial" w:eastAsia="Arial" w:hAnsi="Arial"/>
                <w:sz w:val="17"/>
                <w:szCs w:val="17"/>
                <w:color w:val="auto"/>
              </w:rPr>
              <w:t>(22.8)</w:t>
            </w:r>
          </w:p>
        </w:tc>
        <w:tc>
          <w:tcPr>
            <w:tcW w:w="100" w:type="dxa"/>
            <w:vAlign w:val="bottom"/>
            <w:shd w:val="clear" w:color="auto" w:fill="DCE2EF"/>
          </w:tcPr>
          <w:p>
            <w:pPr>
              <w:spacing w:after="0"/>
              <w:rPr>
                <w:sz w:val="19"/>
                <w:szCs w:val="19"/>
                <w:color w:val="auto"/>
              </w:rPr>
            </w:pPr>
          </w:p>
        </w:tc>
        <w:tc>
          <w:tcPr>
            <w:tcW w:w="340" w:type="dxa"/>
            <w:vAlign w:val="bottom"/>
            <w:shd w:val="clear" w:color="auto" w:fill="DCE2EF"/>
          </w:tcPr>
          <w:p>
            <w:pPr>
              <w:spacing w:after="0"/>
              <w:rPr>
                <w:sz w:val="19"/>
                <w:szCs w:val="19"/>
                <w:color w:val="auto"/>
              </w:rPr>
            </w:pPr>
          </w:p>
        </w:tc>
        <w:tc>
          <w:tcPr>
            <w:tcW w:w="1180" w:type="dxa"/>
            <w:vAlign w:val="bottom"/>
            <w:shd w:val="clear" w:color="auto" w:fill="DCE2EF"/>
          </w:tcPr>
          <w:p>
            <w:pPr>
              <w:jc w:val="right"/>
              <w:spacing w:after="0"/>
              <w:rPr>
                <w:sz w:val="20"/>
                <w:szCs w:val="20"/>
                <w:color w:val="auto"/>
              </w:rPr>
            </w:pPr>
            <w:r>
              <w:rPr>
                <w:rFonts w:ascii="Arial" w:cs="Arial" w:eastAsia="Arial" w:hAnsi="Arial"/>
                <w:sz w:val="17"/>
                <w:szCs w:val="17"/>
                <w:color w:val="auto"/>
              </w:rPr>
              <w:t>(22.8)</w:t>
            </w:r>
          </w:p>
        </w:tc>
        <w:tc>
          <w:tcPr>
            <w:tcW w:w="100" w:type="dxa"/>
            <w:vAlign w:val="bottom"/>
            <w:shd w:val="clear" w:color="auto" w:fill="DCE2EF"/>
          </w:tcPr>
          <w:p>
            <w:pPr>
              <w:spacing w:after="0"/>
              <w:rPr>
                <w:sz w:val="19"/>
                <w:szCs w:val="19"/>
                <w:color w:val="auto"/>
              </w:rPr>
            </w:pPr>
          </w:p>
        </w:tc>
        <w:tc>
          <w:tcPr>
            <w:tcW w:w="340" w:type="dxa"/>
            <w:vAlign w:val="bottom"/>
            <w:shd w:val="clear" w:color="auto" w:fill="DCE2EF"/>
          </w:tcPr>
          <w:p>
            <w:pPr>
              <w:spacing w:after="0"/>
              <w:rPr>
                <w:sz w:val="19"/>
                <w:szCs w:val="19"/>
                <w:color w:val="auto"/>
              </w:rPr>
            </w:pPr>
          </w:p>
        </w:tc>
        <w:tc>
          <w:tcPr>
            <w:tcW w:w="1180" w:type="dxa"/>
            <w:vAlign w:val="bottom"/>
            <w:shd w:val="clear" w:color="auto" w:fill="DCE2EF"/>
          </w:tcPr>
          <w:p>
            <w:pPr>
              <w:jc w:val="right"/>
              <w:spacing w:after="0"/>
              <w:rPr>
                <w:sz w:val="20"/>
                <w:szCs w:val="20"/>
                <w:color w:val="auto"/>
              </w:rPr>
            </w:pPr>
            <w:r>
              <w:rPr>
                <w:rFonts w:ascii="Arial" w:cs="Arial" w:eastAsia="Arial" w:hAnsi="Arial"/>
                <w:sz w:val="17"/>
                <w:szCs w:val="17"/>
                <w:color w:val="auto"/>
              </w:rPr>
              <w:t>(25.0)</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460" w:type="dxa"/>
            <w:vAlign w:val="bottom"/>
            <w:gridSpan w:val="2"/>
          </w:tcPr>
          <w:p>
            <w:pPr>
              <w:ind w:left="120"/>
              <w:spacing w:after="0"/>
              <w:rPr>
                <w:sz w:val="20"/>
                <w:szCs w:val="20"/>
                <w:color w:val="auto"/>
              </w:rPr>
            </w:pPr>
            <w:r>
              <w:rPr>
                <w:rFonts w:ascii="Arial" w:cs="Arial" w:eastAsia="Arial" w:hAnsi="Arial"/>
                <w:sz w:val="17"/>
                <w:szCs w:val="17"/>
                <w:color w:val="auto"/>
              </w:rPr>
              <w:t>Foreign</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(7.4)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(0.4)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(9.0)</w:t>
            </w:r>
          </w:p>
        </w:tc>
        <w:tc>
          <w:tcPr>
            <w:tcW w:w="0" w:type="dxa"/>
            <w:vAlign w:val="bottom"/>
          </w:tcPr>
          <w:p>
            <w:pPr>
              <w:spacing w:after="0"/>
              <w:rPr>
                <w:sz w:val="1"/>
                <w:szCs w:val="1"/>
                <w:color w:val="auto"/>
              </w:rPr>
            </w:pPr>
          </w:p>
        </w:tc>
      </w:tr>
      <w:tr>
        <w:trPr>
          <w:trHeight w:val="219"/>
        </w:trPr>
        <w:tc>
          <w:tcPr>
            <w:tcW w:w="6480" w:type="dxa"/>
            <w:vAlign w:val="bottom"/>
            <w:gridSpan w:val="3"/>
            <w:shd w:val="clear" w:color="auto" w:fill="DCE2EF"/>
          </w:tcPr>
          <w:p>
            <w:pPr>
              <w:ind w:left="20"/>
              <w:spacing w:after="0"/>
              <w:rPr>
                <w:sz w:val="20"/>
                <w:szCs w:val="20"/>
                <w:color w:val="auto"/>
              </w:rPr>
            </w:pPr>
            <w:r>
              <w:rPr>
                <w:rFonts w:ascii="Arial" w:cs="Arial" w:eastAsia="Arial" w:hAnsi="Arial"/>
                <w:sz w:val="17"/>
                <w:szCs w:val="17"/>
                <w:b w:val="1"/>
                <w:bCs w:val="1"/>
                <w:i w:val="1"/>
                <w:iCs w:val="1"/>
                <w:color w:val="auto"/>
              </w:rPr>
              <w:t>Deferred:</w:t>
            </w:r>
          </w:p>
        </w:tc>
        <w:tc>
          <w:tcPr>
            <w:tcW w:w="340" w:type="dxa"/>
            <w:vAlign w:val="bottom"/>
            <w:shd w:val="clear" w:color="auto" w:fill="DCE2EF"/>
          </w:tcPr>
          <w:p>
            <w:pPr>
              <w:spacing w:after="0"/>
              <w:rPr>
                <w:sz w:val="19"/>
                <w:szCs w:val="19"/>
                <w:color w:val="auto"/>
              </w:rPr>
            </w:pPr>
          </w:p>
        </w:tc>
        <w:tc>
          <w:tcPr>
            <w:tcW w:w="1180" w:type="dxa"/>
            <w:vAlign w:val="bottom"/>
            <w:shd w:val="clear" w:color="auto" w:fill="DCE2EF"/>
          </w:tcPr>
          <w:p>
            <w:pPr>
              <w:spacing w:after="0"/>
              <w:rPr>
                <w:sz w:val="19"/>
                <w:szCs w:val="19"/>
                <w:color w:val="auto"/>
              </w:rPr>
            </w:pPr>
          </w:p>
        </w:tc>
        <w:tc>
          <w:tcPr>
            <w:tcW w:w="100" w:type="dxa"/>
            <w:vAlign w:val="bottom"/>
            <w:shd w:val="clear" w:color="auto" w:fill="DCE2EF"/>
          </w:tcPr>
          <w:p>
            <w:pPr>
              <w:spacing w:after="0"/>
              <w:rPr>
                <w:sz w:val="19"/>
                <w:szCs w:val="19"/>
                <w:color w:val="auto"/>
              </w:rPr>
            </w:pPr>
          </w:p>
        </w:tc>
        <w:tc>
          <w:tcPr>
            <w:tcW w:w="340" w:type="dxa"/>
            <w:vAlign w:val="bottom"/>
            <w:shd w:val="clear" w:color="auto" w:fill="DCE2EF"/>
          </w:tcPr>
          <w:p>
            <w:pPr>
              <w:spacing w:after="0"/>
              <w:rPr>
                <w:sz w:val="19"/>
                <w:szCs w:val="19"/>
                <w:color w:val="auto"/>
              </w:rPr>
            </w:pPr>
          </w:p>
        </w:tc>
        <w:tc>
          <w:tcPr>
            <w:tcW w:w="1180" w:type="dxa"/>
            <w:vAlign w:val="bottom"/>
            <w:shd w:val="clear" w:color="auto" w:fill="DCE2EF"/>
          </w:tcPr>
          <w:p>
            <w:pPr>
              <w:spacing w:after="0"/>
              <w:rPr>
                <w:sz w:val="19"/>
                <w:szCs w:val="19"/>
                <w:color w:val="auto"/>
              </w:rPr>
            </w:pPr>
          </w:p>
        </w:tc>
        <w:tc>
          <w:tcPr>
            <w:tcW w:w="100" w:type="dxa"/>
            <w:vAlign w:val="bottom"/>
            <w:shd w:val="clear" w:color="auto" w:fill="DCE2EF"/>
          </w:tcPr>
          <w:p>
            <w:pPr>
              <w:spacing w:after="0"/>
              <w:rPr>
                <w:sz w:val="19"/>
                <w:szCs w:val="19"/>
                <w:color w:val="auto"/>
              </w:rPr>
            </w:pPr>
          </w:p>
        </w:tc>
        <w:tc>
          <w:tcPr>
            <w:tcW w:w="340" w:type="dxa"/>
            <w:vAlign w:val="bottom"/>
            <w:shd w:val="clear" w:color="auto" w:fill="DCE2EF"/>
          </w:tcPr>
          <w:p>
            <w:pPr>
              <w:spacing w:after="0"/>
              <w:rPr>
                <w:sz w:val="19"/>
                <w:szCs w:val="19"/>
                <w:color w:val="auto"/>
              </w:rPr>
            </w:pPr>
          </w:p>
        </w:tc>
        <w:tc>
          <w:tcPr>
            <w:tcW w:w="1180" w:type="dxa"/>
            <w:vAlign w:val="bottom"/>
            <w:shd w:val="clear" w:color="auto" w:fill="DCE2E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460" w:type="dxa"/>
            <w:vAlign w:val="bottom"/>
            <w:gridSpan w:val="2"/>
          </w:tcPr>
          <w:p>
            <w:pPr>
              <w:ind w:left="120"/>
              <w:spacing w:after="0"/>
              <w:rPr>
                <w:sz w:val="20"/>
                <w:szCs w:val="20"/>
                <w:color w:val="auto"/>
              </w:rPr>
            </w:pPr>
            <w:r>
              <w:rPr>
                <w:rFonts w:ascii="Arial" w:cs="Arial" w:eastAsia="Arial" w:hAnsi="Arial"/>
                <w:sz w:val="17"/>
                <w:szCs w:val="17"/>
                <w:color w:val="auto"/>
              </w:rPr>
              <w:t>Federal</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13.4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19.3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(0.5)</w:t>
            </w:r>
          </w:p>
        </w:tc>
        <w:tc>
          <w:tcPr>
            <w:tcW w:w="0" w:type="dxa"/>
            <w:vAlign w:val="bottom"/>
          </w:tcPr>
          <w:p>
            <w:pPr>
              <w:spacing w:after="0"/>
              <w:rPr>
                <w:sz w:val="1"/>
                <w:szCs w:val="1"/>
                <w:color w:val="auto"/>
              </w:rPr>
            </w:pPr>
          </w:p>
        </w:tc>
      </w:tr>
      <w:tr>
        <w:trPr>
          <w:trHeight w:val="219"/>
        </w:trPr>
        <w:tc>
          <w:tcPr>
            <w:tcW w:w="20" w:type="dxa"/>
            <w:vAlign w:val="bottom"/>
            <w:shd w:val="clear" w:color="auto" w:fill="DCE2EF"/>
          </w:tcPr>
          <w:p>
            <w:pPr>
              <w:spacing w:after="0"/>
              <w:rPr>
                <w:sz w:val="19"/>
                <w:szCs w:val="19"/>
                <w:color w:val="auto"/>
              </w:rPr>
            </w:pPr>
          </w:p>
        </w:tc>
        <w:tc>
          <w:tcPr>
            <w:tcW w:w="6460" w:type="dxa"/>
            <w:vAlign w:val="bottom"/>
            <w:gridSpan w:val="2"/>
            <w:shd w:val="clear" w:color="auto" w:fill="DCE2EF"/>
          </w:tcPr>
          <w:p>
            <w:pPr>
              <w:ind w:left="120"/>
              <w:spacing w:after="0"/>
              <w:rPr>
                <w:sz w:val="20"/>
                <w:szCs w:val="20"/>
                <w:color w:val="auto"/>
              </w:rPr>
            </w:pPr>
            <w:r>
              <w:rPr>
                <w:rFonts w:ascii="Arial" w:cs="Arial" w:eastAsia="Arial" w:hAnsi="Arial"/>
                <w:sz w:val="17"/>
                <w:szCs w:val="17"/>
                <w:color w:val="auto"/>
              </w:rPr>
              <w:t>State</w:t>
            </w:r>
          </w:p>
        </w:tc>
        <w:tc>
          <w:tcPr>
            <w:tcW w:w="340" w:type="dxa"/>
            <w:vAlign w:val="bottom"/>
            <w:shd w:val="clear" w:color="auto" w:fill="DCE2EF"/>
          </w:tcPr>
          <w:p>
            <w:pPr>
              <w:spacing w:after="0"/>
              <w:rPr>
                <w:sz w:val="19"/>
                <w:szCs w:val="19"/>
                <w:color w:val="auto"/>
              </w:rPr>
            </w:pPr>
          </w:p>
        </w:tc>
        <w:tc>
          <w:tcPr>
            <w:tcW w:w="1180" w:type="dxa"/>
            <w:vAlign w:val="bottom"/>
            <w:shd w:val="clear" w:color="auto" w:fill="DCE2EF"/>
          </w:tcPr>
          <w:p>
            <w:pPr>
              <w:jc w:val="right"/>
              <w:spacing w:after="0"/>
              <w:rPr>
                <w:sz w:val="20"/>
                <w:szCs w:val="20"/>
                <w:color w:val="auto"/>
              </w:rPr>
            </w:pPr>
            <w:r>
              <w:rPr>
                <w:rFonts w:ascii="Arial" w:cs="Arial" w:eastAsia="Arial" w:hAnsi="Arial"/>
                <w:sz w:val="17"/>
                <w:szCs w:val="17"/>
                <w:color w:val="auto"/>
              </w:rPr>
              <w:t>8.4</w:t>
            </w:r>
          </w:p>
        </w:tc>
        <w:tc>
          <w:tcPr>
            <w:tcW w:w="100" w:type="dxa"/>
            <w:vAlign w:val="bottom"/>
            <w:shd w:val="clear" w:color="auto" w:fill="DCE2EF"/>
          </w:tcPr>
          <w:p>
            <w:pPr>
              <w:spacing w:after="0"/>
              <w:rPr>
                <w:sz w:val="19"/>
                <w:szCs w:val="19"/>
                <w:color w:val="auto"/>
              </w:rPr>
            </w:pPr>
          </w:p>
        </w:tc>
        <w:tc>
          <w:tcPr>
            <w:tcW w:w="340" w:type="dxa"/>
            <w:vAlign w:val="bottom"/>
            <w:shd w:val="clear" w:color="auto" w:fill="DCE2EF"/>
          </w:tcPr>
          <w:p>
            <w:pPr>
              <w:spacing w:after="0"/>
              <w:rPr>
                <w:sz w:val="19"/>
                <w:szCs w:val="19"/>
                <w:color w:val="auto"/>
              </w:rPr>
            </w:pPr>
          </w:p>
        </w:tc>
        <w:tc>
          <w:tcPr>
            <w:tcW w:w="1180" w:type="dxa"/>
            <w:vAlign w:val="bottom"/>
            <w:shd w:val="clear" w:color="auto" w:fill="DCE2EF"/>
          </w:tcPr>
          <w:p>
            <w:pPr>
              <w:jc w:val="right"/>
              <w:spacing w:after="0"/>
              <w:rPr>
                <w:sz w:val="20"/>
                <w:szCs w:val="20"/>
                <w:color w:val="auto"/>
              </w:rPr>
            </w:pPr>
            <w:r>
              <w:rPr>
                <w:rFonts w:ascii="Arial" w:cs="Arial" w:eastAsia="Arial" w:hAnsi="Arial"/>
                <w:sz w:val="17"/>
                <w:szCs w:val="17"/>
                <w:color w:val="auto"/>
              </w:rPr>
              <w:t>6.7</w:t>
            </w:r>
          </w:p>
        </w:tc>
        <w:tc>
          <w:tcPr>
            <w:tcW w:w="100" w:type="dxa"/>
            <w:vAlign w:val="bottom"/>
            <w:shd w:val="clear" w:color="auto" w:fill="DCE2EF"/>
          </w:tcPr>
          <w:p>
            <w:pPr>
              <w:spacing w:after="0"/>
              <w:rPr>
                <w:sz w:val="19"/>
                <w:szCs w:val="19"/>
                <w:color w:val="auto"/>
              </w:rPr>
            </w:pPr>
          </w:p>
        </w:tc>
        <w:tc>
          <w:tcPr>
            <w:tcW w:w="340" w:type="dxa"/>
            <w:vAlign w:val="bottom"/>
            <w:shd w:val="clear" w:color="auto" w:fill="DCE2EF"/>
          </w:tcPr>
          <w:p>
            <w:pPr>
              <w:spacing w:after="0"/>
              <w:rPr>
                <w:sz w:val="19"/>
                <w:szCs w:val="19"/>
                <w:color w:val="auto"/>
              </w:rPr>
            </w:pPr>
          </w:p>
        </w:tc>
        <w:tc>
          <w:tcPr>
            <w:tcW w:w="1180" w:type="dxa"/>
            <w:vAlign w:val="bottom"/>
            <w:shd w:val="clear" w:color="auto" w:fill="DCE2EF"/>
          </w:tcPr>
          <w:p>
            <w:pPr>
              <w:jc w:val="right"/>
              <w:spacing w:after="0"/>
              <w:rPr>
                <w:sz w:val="20"/>
                <w:szCs w:val="20"/>
                <w:color w:val="auto"/>
              </w:rPr>
            </w:pPr>
            <w:r>
              <w:rPr>
                <w:rFonts w:ascii="Arial" w:cs="Arial" w:eastAsia="Arial" w:hAnsi="Arial"/>
                <w:sz w:val="17"/>
                <w:szCs w:val="17"/>
                <w:color w:val="auto"/>
              </w:rPr>
              <w:t>5.3</w:t>
            </w:r>
          </w:p>
        </w:tc>
        <w:tc>
          <w:tcPr>
            <w:tcW w:w="0" w:type="dxa"/>
            <w:vAlign w:val="bottom"/>
          </w:tcPr>
          <w:p>
            <w:pPr>
              <w:spacing w:after="0"/>
              <w:rPr>
                <w:sz w:val="1"/>
                <w:szCs w:val="1"/>
                <w:color w:val="auto"/>
              </w:rPr>
            </w:pPr>
          </w:p>
        </w:tc>
      </w:tr>
      <w:tr>
        <w:trPr>
          <w:trHeight w:val="219"/>
        </w:trPr>
        <w:tc>
          <w:tcPr>
            <w:tcW w:w="20" w:type="dxa"/>
            <w:vAlign w:val="bottom"/>
            <w:tcBorders>
              <w:bottom w:val="single" w:sz="8" w:color="DCE2EF"/>
            </w:tcBorders>
          </w:tcPr>
          <w:p>
            <w:pPr>
              <w:spacing w:after="0"/>
              <w:rPr>
                <w:sz w:val="19"/>
                <w:szCs w:val="19"/>
                <w:color w:val="auto"/>
              </w:rPr>
            </w:pPr>
          </w:p>
        </w:tc>
        <w:tc>
          <w:tcPr>
            <w:tcW w:w="6460" w:type="dxa"/>
            <w:vAlign w:val="bottom"/>
            <w:tcBorders>
              <w:bottom w:val="single" w:sz="8" w:color="DCE2EF"/>
            </w:tcBorders>
            <w:gridSpan w:val="2"/>
          </w:tcPr>
          <w:p>
            <w:pPr>
              <w:ind w:left="120"/>
              <w:spacing w:after="0"/>
              <w:rPr>
                <w:sz w:val="20"/>
                <w:szCs w:val="20"/>
                <w:color w:val="auto"/>
              </w:rPr>
            </w:pPr>
            <w:r>
              <w:rPr>
                <w:rFonts w:ascii="Arial" w:cs="Arial" w:eastAsia="Arial" w:hAnsi="Arial"/>
                <w:sz w:val="17"/>
                <w:szCs w:val="17"/>
                <w:color w:val="auto"/>
              </w:rPr>
              <w:t>Foreign</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0.1</w:t>
            </w:r>
          </w:p>
        </w:tc>
        <w:tc>
          <w:tcPr>
            <w:tcW w:w="100" w:type="dxa"/>
            <w:vAlign w:val="bottom"/>
            <w:tcBorders>
              <w:bottom w:val="single" w:sz="8" w:color="DCE2E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w:t>
            </w:r>
          </w:p>
        </w:tc>
        <w:tc>
          <w:tcPr>
            <w:tcW w:w="100" w:type="dxa"/>
            <w:vAlign w:val="bottom"/>
            <w:tcBorders>
              <w:bottom w:val="single" w:sz="8" w:color="DCE2E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0.1</w:t>
            </w:r>
          </w:p>
        </w:tc>
        <w:tc>
          <w:tcPr>
            <w:tcW w:w="0" w:type="dxa"/>
            <w:vAlign w:val="bottom"/>
          </w:tcPr>
          <w:p>
            <w:pPr>
              <w:spacing w:after="0"/>
              <w:rPr>
                <w:sz w:val="1"/>
                <w:szCs w:val="1"/>
                <w:color w:val="auto"/>
              </w:rPr>
            </w:pPr>
          </w:p>
        </w:tc>
      </w:tr>
      <w:tr>
        <w:trPr>
          <w:trHeight w:val="237"/>
        </w:trPr>
        <w:tc>
          <w:tcPr>
            <w:tcW w:w="6480" w:type="dxa"/>
            <w:vAlign w:val="bottom"/>
            <w:tcBorders>
              <w:bottom w:val="single" w:sz="8" w:color="DCE2EF"/>
            </w:tcBorders>
            <w:gridSpan w:val="3"/>
            <w:shd w:val="clear" w:color="auto" w:fill="DCE2EF"/>
          </w:tcPr>
          <w:p>
            <w:pPr>
              <w:ind w:left="20"/>
              <w:spacing w:after="0"/>
              <w:rPr>
                <w:sz w:val="20"/>
                <w:szCs w:val="20"/>
                <w:color w:val="auto"/>
              </w:rPr>
            </w:pPr>
            <w:r>
              <w:rPr>
                <w:rFonts w:ascii="Arial" w:cs="Arial" w:eastAsia="Arial" w:hAnsi="Arial"/>
                <w:sz w:val="17"/>
                <w:szCs w:val="17"/>
                <w:b w:val="1"/>
                <w:bCs w:val="1"/>
                <w:color w:val="auto"/>
              </w:rPr>
              <w:t>Income tax provision</w:t>
            </w:r>
          </w:p>
        </w:tc>
        <w:tc>
          <w:tcPr>
            <w:tcW w:w="340" w:type="dxa"/>
            <w:vAlign w:val="bottom"/>
            <w:tcBorders>
              <w:bottom w:val="single" w:sz="8" w:color="auto"/>
            </w:tcBorders>
            <w:shd w:val="clear" w:color="auto" w:fill="DCE2EF"/>
          </w:tcPr>
          <w:p>
            <w:pPr>
              <w:jc w:val="right"/>
              <w:ind w:right="154"/>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7"/>
                <w:szCs w:val="17"/>
                <w:color w:val="auto"/>
              </w:rPr>
              <w:t>(57.6)</w:t>
            </w:r>
          </w:p>
        </w:tc>
        <w:tc>
          <w:tcPr>
            <w:tcW w:w="100" w:type="dxa"/>
            <w:vAlign w:val="bottom"/>
            <w:tcBorders>
              <w:bottom w:val="single" w:sz="8" w:color="DCE2EF"/>
            </w:tcBorders>
            <w:shd w:val="clear" w:color="auto" w:fill="DCE2EF"/>
          </w:tcPr>
          <w:p>
            <w:pPr>
              <w:spacing w:after="0"/>
              <w:rPr>
                <w:sz w:val="20"/>
                <w:szCs w:val="20"/>
                <w:color w:val="auto"/>
              </w:rPr>
            </w:pPr>
          </w:p>
        </w:tc>
        <w:tc>
          <w:tcPr>
            <w:tcW w:w="340" w:type="dxa"/>
            <w:vAlign w:val="bottom"/>
            <w:tcBorders>
              <w:bottom w:val="single" w:sz="8" w:color="auto"/>
            </w:tcBorders>
            <w:shd w:val="clear" w:color="auto" w:fill="DCE2EF"/>
          </w:tcPr>
          <w:p>
            <w:pPr>
              <w:jc w:val="right"/>
              <w:ind w:right="134"/>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7"/>
                <w:szCs w:val="17"/>
                <w:color w:val="auto"/>
              </w:rPr>
              <w:t>(52.2)</w:t>
            </w:r>
          </w:p>
        </w:tc>
        <w:tc>
          <w:tcPr>
            <w:tcW w:w="100" w:type="dxa"/>
            <w:vAlign w:val="bottom"/>
            <w:tcBorders>
              <w:bottom w:val="single" w:sz="8" w:color="DCE2EF"/>
            </w:tcBorders>
            <w:shd w:val="clear" w:color="auto" w:fill="DCE2EF"/>
          </w:tcPr>
          <w:p>
            <w:pPr>
              <w:spacing w:after="0"/>
              <w:rPr>
                <w:sz w:val="20"/>
                <w:szCs w:val="20"/>
                <w:color w:val="auto"/>
              </w:rPr>
            </w:pPr>
          </w:p>
        </w:tc>
        <w:tc>
          <w:tcPr>
            <w:tcW w:w="340" w:type="dxa"/>
            <w:vAlign w:val="bottom"/>
            <w:tcBorders>
              <w:bottom w:val="single" w:sz="8" w:color="auto"/>
            </w:tcBorders>
            <w:shd w:val="clear" w:color="auto" w:fill="DCE2EF"/>
          </w:tcPr>
          <w:p>
            <w:pPr>
              <w:jc w:val="right"/>
              <w:ind w:right="134"/>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7"/>
                <w:szCs w:val="17"/>
                <w:color w:val="auto"/>
              </w:rPr>
              <w:t>(79.7)</w:t>
            </w:r>
          </w:p>
        </w:tc>
        <w:tc>
          <w:tcPr>
            <w:tcW w:w="0" w:type="dxa"/>
            <w:vAlign w:val="bottom"/>
          </w:tcPr>
          <w:p>
            <w:pPr>
              <w:spacing w:after="0"/>
              <w:rPr>
                <w:sz w:val="1"/>
                <w:szCs w:val="1"/>
                <w:color w:val="auto"/>
              </w:rPr>
            </w:pPr>
          </w:p>
        </w:tc>
      </w:tr>
      <w:tr>
        <w:trPr>
          <w:trHeight w:val="20"/>
        </w:trPr>
        <w:tc>
          <w:tcPr>
            <w:tcW w:w="20" w:type="dxa"/>
            <w:vAlign w:val="bottom"/>
            <w:tcBorders>
              <w:top w:val="single" w:sz="8" w:color="DCE2EF"/>
            </w:tcBorders>
          </w:tcPr>
          <w:p>
            <w:pPr>
              <w:spacing w:after="0" w:line="20" w:lineRule="exact"/>
              <w:rPr>
                <w:sz w:val="1"/>
                <w:szCs w:val="1"/>
                <w:color w:val="auto"/>
              </w:rPr>
            </w:pPr>
          </w:p>
        </w:tc>
        <w:tc>
          <w:tcPr>
            <w:tcW w:w="680" w:type="dxa"/>
            <w:vAlign w:val="bottom"/>
            <w:tcBorders>
              <w:top w:val="single" w:sz="8" w:color="DCE2EF"/>
            </w:tcBorders>
          </w:tcPr>
          <w:p>
            <w:pPr>
              <w:spacing w:after="0" w:line="20" w:lineRule="exact"/>
              <w:rPr>
                <w:sz w:val="1"/>
                <w:szCs w:val="1"/>
                <w:color w:val="auto"/>
              </w:rPr>
            </w:pPr>
          </w:p>
        </w:tc>
        <w:tc>
          <w:tcPr>
            <w:tcW w:w="5780" w:type="dxa"/>
            <w:vAlign w:val="bottom"/>
            <w:tcBorders>
              <w:top w:val="single" w:sz="8" w:color="DCE2EF"/>
            </w:tcBorders>
          </w:tcPr>
          <w:p>
            <w:pPr>
              <w:spacing w:after="0" w:line="20" w:lineRule="exact"/>
              <w:rPr>
                <w:sz w:val="1"/>
                <w:szCs w:val="1"/>
                <w:color w:val="auto"/>
              </w:rPr>
            </w:pPr>
          </w:p>
        </w:tc>
        <w:tc>
          <w:tcPr>
            <w:tcW w:w="340" w:type="dxa"/>
            <w:vAlign w:val="bottom"/>
            <w:tcBorders>
              <w:top w:val="single" w:sz="8" w:color="DCE2EF"/>
              <w:bottom w:val="single" w:sz="8" w:color="auto"/>
            </w:tcBorders>
          </w:tcPr>
          <w:p>
            <w:pPr>
              <w:spacing w:after="0" w:line="20" w:lineRule="exact"/>
              <w:rPr>
                <w:sz w:val="1"/>
                <w:szCs w:val="1"/>
                <w:color w:val="auto"/>
              </w:rPr>
            </w:pPr>
          </w:p>
        </w:tc>
        <w:tc>
          <w:tcPr>
            <w:tcW w:w="1180" w:type="dxa"/>
            <w:vAlign w:val="bottom"/>
            <w:tcBorders>
              <w:top w:val="single" w:sz="8" w:color="DCE2EF"/>
              <w:bottom w:val="single" w:sz="8" w:color="auto"/>
            </w:tcBorders>
          </w:tcPr>
          <w:p>
            <w:pPr>
              <w:spacing w:after="0" w:line="20" w:lineRule="exact"/>
              <w:rPr>
                <w:sz w:val="1"/>
                <w:szCs w:val="1"/>
                <w:color w:val="auto"/>
              </w:rPr>
            </w:pPr>
          </w:p>
        </w:tc>
        <w:tc>
          <w:tcPr>
            <w:tcW w:w="100" w:type="dxa"/>
            <w:vAlign w:val="bottom"/>
            <w:tcBorders>
              <w:top w:val="single" w:sz="8" w:color="DCE2EF"/>
            </w:tcBorders>
          </w:tcPr>
          <w:p>
            <w:pPr>
              <w:spacing w:after="0" w:line="20" w:lineRule="exact"/>
              <w:rPr>
                <w:sz w:val="1"/>
                <w:szCs w:val="1"/>
                <w:color w:val="auto"/>
              </w:rPr>
            </w:pPr>
          </w:p>
        </w:tc>
        <w:tc>
          <w:tcPr>
            <w:tcW w:w="340" w:type="dxa"/>
            <w:vAlign w:val="bottom"/>
            <w:tcBorders>
              <w:top w:val="single" w:sz="8" w:color="DCE2EF"/>
              <w:bottom w:val="single" w:sz="8" w:color="auto"/>
            </w:tcBorders>
          </w:tcPr>
          <w:p>
            <w:pPr>
              <w:spacing w:after="0" w:line="20" w:lineRule="exact"/>
              <w:rPr>
                <w:sz w:val="1"/>
                <w:szCs w:val="1"/>
                <w:color w:val="auto"/>
              </w:rPr>
            </w:pPr>
          </w:p>
        </w:tc>
        <w:tc>
          <w:tcPr>
            <w:tcW w:w="1180" w:type="dxa"/>
            <w:vAlign w:val="bottom"/>
            <w:tcBorders>
              <w:top w:val="single" w:sz="8" w:color="DCE2EF"/>
              <w:bottom w:val="single" w:sz="8" w:color="auto"/>
            </w:tcBorders>
          </w:tcPr>
          <w:p>
            <w:pPr>
              <w:spacing w:after="0" w:line="20" w:lineRule="exact"/>
              <w:rPr>
                <w:sz w:val="1"/>
                <w:szCs w:val="1"/>
                <w:color w:val="auto"/>
              </w:rPr>
            </w:pPr>
          </w:p>
        </w:tc>
        <w:tc>
          <w:tcPr>
            <w:tcW w:w="100" w:type="dxa"/>
            <w:vAlign w:val="bottom"/>
            <w:tcBorders>
              <w:top w:val="single" w:sz="8" w:color="DCE2EF"/>
            </w:tcBorders>
          </w:tcPr>
          <w:p>
            <w:pPr>
              <w:spacing w:after="0" w:line="20" w:lineRule="exact"/>
              <w:rPr>
                <w:sz w:val="1"/>
                <w:szCs w:val="1"/>
                <w:color w:val="auto"/>
              </w:rPr>
            </w:pPr>
          </w:p>
        </w:tc>
        <w:tc>
          <w:tcPr>
            <w:tcW w:w="340" w:type="dxa"/>
            <w:vAlign w:val="bottom"/>
            <w:tcBorders>
              <w:top w:val="single" w:sz="8" w:color="DCE2EF"/>
              <w:bottom w:val="single" w:sz="8" w:color="auto"/>
            </w:tcBorders>
          </w:tcPr>
          <w:p>
            <w:pPr>
              <w:spacing w:after="0" w:line="20" w:lineRule="exact"/>
              <w:rPr>
                <w:sz w:val="1"/>
                <w:szCs w:val="1"/>
                <w:color w:val="auto"/>
              </w:rPr>
            </w:pPr>
          </w:p>
        </w:tc>
        <w:tc>
          <w:tcPr>
            <w:tcW w:w="1180" w:type="dxa"/>
            <w:vAlign w:val="bottom"/>
            <w:tcBorders>
              <w:top w:val="single" w:sz="8" w:color="DCE2E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9"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Reconciliation of the U.S. Statutory Tax Rate to Annual Effective Tax Rate</w:t>
      </w:r>
    </w:p>
    <w:p>
      <w:pPr>
        <w:spacing w:after="0" w:line="49" w:lineRule="exact"/>
        <w:rPr>
          <w:sz w:val="20"/>
          <w:szCs w:val="20"/>
          <w:color w:val="auto"/>
        </w:rPr>
      </w:pPr>
    </w:p>
    <w:p>
      <w:pPr>
        <w:ind w:left="7760"/>
        <w:spacing w:after="0"/>
        <w:rPr>
          <w:sz w:val="20"/>
          <w:szCs w:val="20"/>
          <w:color w:val="auto"/>
        </w:rPr>
      </w:pPr>
      <w:r>
        <w:rPr>
          <w:rFonts w:ascii="Arial" w:cs="Arial" w:eastAsia="Arial" w:hAnsi="Arial"/>
          <w:sz w:val="17"/>
          <w:szCs w:val="17"/>
          <w:b w:val="1"/>
          <w:bCs w:val="1"/>
          <w:color w:val="auto"/>
        </w:rPr>
        <w:t>Year Ended October 31,</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200" w:type="dxa"/>
            <w:vAlign w:val="bottom"/>
            <w:tcBorders>
              <w:bottom w:val="single" w:sz="8" w:color="DCE2EF"/>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2025</w:t>
            </w:r>
          </w:p>
        </w:tc>
        <w:tc>
          <w:tcPr>
            <w:tcW w:w="6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DCE2EF"/>
            </w:tcBorders>
          </w:tcPr>
          <w:p>
            <w:pPr>
              <w:spacing w:after="0"/>
              <w:rPr>
                <w:sz w:val="18"/>
                <w:szCs w:val="18"/>
                <w:color w:val="auto"/>
              </w:rPr>
            </w:pPr>
          </w:p>
        </w:tc>
        <w:tc>
          <w:tcPr>
            <w:tcW w:w="1620" w:type="dxa"/>
            <w:vAlign w:val="bottom"/>
            <w:tcBorders>
              <w:top w:val="single" w:sz="8" w:color="auto"/>
              <w:bottom w:val="single" w:sz="8" w:color="auto"/>
            </w:tcBorders>
          </w:tcPr>
          <w:p>
            <w:pPr>
              <w:jc w:val="right"/>
              <w:ind w:right="534"/>
              <w:spacing w:after="0"/>
              <w:rPr>
                <w:sz w:val="20"/>
                <w:szCs w:val="20"/>
                <w:color w:val="auto"/>
              </w:rPr>
            </w:pPr>
            <w:r>
              <w:rPr>
                <w:rFonts w:ascii="Arial" w:cs="Arial" w:eastAsia="Arial" w:hAnsi="Arial"/>
                <w:sz w:val="17"/>
                <w:szCs w:val="17"/>
                <w:b w:val="1"/>
                <w:bCs w:val="1"/>
                <w:color w:val="auto"/>
              </w:rPr>
              <w:t>2024</w:t>
            </w:r>
          </w:p>
        </w:tc>
        <w:tc>
          <w:tcPr>
            <w:tcW w:w="100" w:type="dxa"/>
            <w:vAlign w:val="bottom"/>
            <w:tcBorders>
              <w:top w:val="single" w:sz="8" w:color="auto"/>
              <w:bottom w:val="single" w:sz="8" w:color="DCE2EF"/>
            </w:tcBorders>
          </w:tcPr>
          <w:p>
            <w:pPr>
              <w:spacing w:after="0"/>
              <w:rPr>
                <w:sz w:val="18"/>
                <w:szCs w:val="18"/>
                <w:color w:val="auto"/>
              </w:rPr>
            </w:pPr>
          </w:p>
        </w:tc>
        <w:tc>
          <w:tcPr>
            <w:tcW w:w="160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7"/>
                <w:szCs w:val="17"/>
                <w:b w:val="1"/>
                <w:bCs w:val="1"/>
                <w:color w:val="auto"/>
              </w:rPr>
              <w:t>2023</w:t>
            </w:r>
          </w:p>
        </w:tc>
      </w:tr>
      <w:tr>
        <w:trPr>
          <w:trHeight w:val="212"/>
        </w:trPr>
        <w:tc>
          <w:tcPr>
            <w:tcW w:w="6200" w:type="dxa"/>
            <w:vAlign w:val="bottom"/>
            <w:shd w:val="clear" w:color="auto" w:fill="DCE2EF"/>
          </w:tcPr>
          <w:p>
            <w:pPr>
              <w:ind w:left="20"/>
              <w:spacing w:after="0"/>
              <w:rPr>
                <w:sz w:val="20"/>
                <w:szCs w:val="20"/>
                <w:color w:val="auto"/>
              </w:rPr>
            </w:pPr>
            <w:r>
              <w:rPr>
                <w:rFonts w:ascii="Arial" w:cs="Arial" w:eastAsia="Arial" w:hAnsi="Arial"/>
                <w:sz w:val="17"/>
                <w:szCs w:val="17"/>
                <w:b w:val="1"/>
                <w:bCs w:val="1"/>
                <w:color w:val="auto"/>
              </w:rPr>
              <w:t>U.S. statutory rate</w:t>
            </w:r>
          </w:p>
        </w:tc>
        <w:tc>
          <w:tcPr>
            <w:tcW w:w="1020" w:type="dxa"/>
            <w:vAlign w:val="bottom"/>
            <w:shd w:val="clear" w:color="auto" w:fill="DCE2EF"/>
          </w:tcPr>
          <w:p>
            <w:pPr>
              <w:spacing w:after="0"/>
              <w:rPr>
                <w:sz w:val="18"/>
                <w:szCs w:val="18"/>
                <w:color w:val="auto"/>
              </w:rPr>
            </w:pPr>
          </w:p>
        </w:tc>
        <w:tc>
          <w:tcPr>
            <w:tcW w:w="600" w:type="dxa"/>
            <w:vAlign w:val="bottom"/>
            <w:shd w:val="clear" w:color="auto" w:fill="DCE2EF"/>
          </w:tcPr>
          <w:p>
            <w:pPr>
              <w:jc w:val="right"/>
              <w:spacing w:after="0"/>
              <w:rPr>
                <w:sz w:val="20"/>
                <w:szCs w:val="20"/>
                <w:color w:val="auto"/>
              </w:rPr>
            </w:pPr>
            <w:r>
              <w:rPr>
                <w:rFonts w:ascii="Arial" w:cs="Arial" w:eastAsia="Arial" w:hAnsi="Arial"/>
                <w:sz w:val="17"/>
                <w:szCs w:val="17"/>
                <w:color w:val="auto"/>
              </w:rPr>
              <w:t>21.0%</w:t>
            </w:r>
          </w:p>
        </w:tc>
        <w:tc>
          <w:tcPr>
            <w:tcW w:w="100" w:type="dxa"/>
            <w:vAlign w:val="bottom"/>
            <w:shd w:val="clear" w:color="auto" w:fill="DCE2EF"/>
          </w:tcPr>
          <w:p>
            <w:pPr>
              <w:spacing w:after="0"/>
              <w:rPr>
                <w:sz w:val="18"/>
                <w:szCs w:val="18"/>
                <w:color w:val="auto"/>
              </w:rPr>
            </w:pPr>
          </w:p>
        </w:tc>
        <w:tc>
          <w:tcPr>
            <w:tcW w:w="1620" w:type="dxa"/>
            <w:vAlign w:val="bottom"/>
            <w:shd w:val="clear" w:color="auto" w:fill="DCE2EF"/>
          </w:tcPr>
          <w:p>
            <w:pPr>
              <w:jc w:val="right"/>
              <w:spacing w:after="0"/>
              <w:rPr>
                <w:sz w:val="20"/>
                <w:szCs w:val="20"/>
                <w:color w:val="auto"/>
              </w:rPr>
            </w:pPr>
            <w:r>
              <w:rPr>
                <w:rFonts w:ascii="Arial" w:cs="Arial" w:eastAsia="Arial" w:hAnsi="Arial"/>
                <w:sz w:val="17"/>
                <w:szCs w:val="17"/>
                <w:color w:val="auto"/>
              </w:rPr>
              <w:t>21.0%</w:t>
            </w:r>
          </w:p>
        </w:tc>
        <w:tc>
          <w:tcPr>
            <w:tcW w:w="100" w:type="dxa"/>
            <w:vAlign w:val="bottom"/>
            <w:shd w:val="clear" w:color="auto" w:fill="DCE2EF"/>
          </w:tcPr>
          <w:p>
            <w:pPr>
              <w:spacing w:after="0"/>
              <w:rPr>
                <w:sz w:val="18"/>
                <w:szCs w:val="18"/>
                <w:color w:val="auto"/>
              </w:rPr>
            </w:pPr>
          </w:p>
        </w:tc>
        <w:tc>
          <w:tcPr>
            <w:tcW w:w="1600" w:type="dxa"/>
            <w:vAlign w:val="bottom"/>
            <w:shd w:val="clear" w:color="auto" w:fill="DCE2EF"/>
          </w:tcPr>
          <w:p>
            <w:pPr>
              <w:jc w:val="right"/>
              <w:spacing w:after="0"/>
              <w:rPr>
                <w:sz w:val="20"/>
                <w:szCs w:val="20"/>
                <w:color w:val="auto"/>
              </w:rPr>
            </w:pPr>
            <w:r>
              <w:rPr>
                <w:rFonts w:ascii="Arial" w:cs="Arial" w:eastAsia="Arial" w:hAnsi="Arial"/>
                <w:sz w:val="17"/>
                <w:szCs w:val="17"/>
                <w:color w:val="auto"/>
              </w:rPr>
              <w:t>21.0%</w:t>
            </w:r>
          </w:p>
        </w:tc>
      </w:tr>
      <w:tr>
        <w:trPr>
          <w:trHeight w:val="219"/>
        </w:trPr>
        <w:tc>
          <w:tcPr>
            <w:tcW w:w="7220" w:type="dxa"/>
            <w:vAlign w:val="bottom"/>
            <w:gridSpan w:val="2"/>
          </w:tcPr>
          <w:p>
            <w:pPr>
              <w:ind w:left="140"/>
              <w:spacing w:after="0"/>
              <w:rPr>
                <w:sz w:val="20"/>
                <w:szCs w:val="20"/>
                <w:color w:val="auto"/>
              </w:rPr>
            </w:pPr>
            <w:r>
              <w:rPr>
                <w:rFonts w:ascii="Arial" w:cs="Arial" w:eastAsia="Arial" w:hAnsi="Arial"/>
                <w:sz w:val="17"/>
                <w:szCs w:val="17"/>
                <w:color w:val="auto"/>
              </w:rPr>
              <w:t>State and local income taxes, net of federal tax benefit</w:t>
            </w:r>
          </w:p>
        </w:tc>
        <w:tc>
          <w:tcPr>
            <w:tcW w:w="600" w:type="dxa"/>
            <w:vAlign w:val="bottom"/>
          </w:tcPr>
          <w:p>
            <w:pPr>
              <w:jc w:val="right"/>
              <w:ind w:right="154"/>
              <w:spacing w:after="0"/>
              <w:rPr>
                <w:sz w:val="20"/>
                <w:szCs w:val="20"/>
                <w:color w:val="auto"/>
              </w:rPr>
            </w:pPr>
            <w:r>
              <w:rPr>
                <w:rFonts w:ascii="Arial" w:cs="Arial" w:eastAsia="Arial" w:hAnsi="Arial"/>
                <w:sz w:val="17"/>
                <w:szCs w:val="17"/>
                <w:color w:val="auto"/>
              </w:rPr>
              <w:t>6.7</w:t>
            </w:r>
          </w:p>
        </w:tc>
        <w:tc>
          <w:tcPr>
            <w:tcW w:w="100" w:type="dxa"/>
            <w:vAlign w:val="bottom"/>
          </w:tcPr>
          <w:p>
            <w:pPr>
              <w:spacing w:after="0"/>
              <w:rPr>
                <w:sz w:val="19"/>
                <w:szCs w:val="19"/>
                <w:color w:val="auto"/>
              </w:rPr>
            </w:pPr>
          </w:p>
        </w:tc>
        <w:tc>
          <w:tcPr>
            <w:tcW w:w="1620" w:type="dxa"/>
            <w:vAlign w:val="bottom"/>
          </w:tcPr>
          <w:p>
            <w:pPr>
              <w:jc w:val="right"/>
              <w:ind w:right="154"/>
              <w:spacing w:after="0"/>
              <w:rPr>
                <w:sz w:val="20"/>
                <w:szCs w:val="20"/>
                <w:color w:val="auto"/>
              </w:rPr>
            </w:pPr>
            <w:r>
              <w:rPr>
                <w:rFonts w:ascii="Arial" w:cs="Arial" w:eastAsia="Arial" w:hAnsi="Arial"/>
                <w:sz w:val="17"/>
                <w:szCs w:val="17"/>
                <w:color w:val="auto"/>
              </w:rPr>
              <w:t>8.0</w:t>
            </w:r>
          </w:p>
        </w:tc>
        <w:tc>
          <w:tcPr>
            <w:tcW w:w="100" w:type="dxa"/>
            <w:vAlign w:val="bottom"/>
          </w:tcPr>
          <w:p>
            <w:pPr>
              <w:spacing w:after="0"/>
              <w:rPr>
                <w:sz w:val="19"/>
                <w:szCs w:val="19"/>
                <w:color w:val="auto"/>
              </w:rPr>
            </w:pPr>
          </w:p>
        </w:tc>
        <w:tc>
          <w:tcPr>
            <w:tcW w:w="1600" w:type="dxa"/>
            <w:vAlign w:val="bottom"/>
          </w:tcPr>
          <w:p>
            <w:pPr>
              <w:jc w:val="right"/>
              <w:ind w:right="134"/>
              <w:spacing w:after="0"/>
              <w:rPr>
                <w:sz w:val="20"/>
                <w:szCs w:val="20"/>
                <w:color w:val="auto"/>
              </w:rPr>
            </w:pPr>
            <w:r>
              <w:rPr>
                <w:rFonts w:ascii="Arial" w:cs="Arial" w:eastAsia="Arial" w:hAnsi="Arial"/>
                <w:sz w:val="17"/>
                <w:szCs w:val="17"/>
                <w:color w:val="auto"/>
              </w:rPr>
              <w:t>6.9</w:t>
            </w:r>
          </w:p>
        </w:tc>
      </w:tr>
      <w:tr>
        <w:trPr>
          <w:trHeight w:val="219"/>
        </w:trPr>
        <w:tc>
          <w:tcPr>
            <w:tcW w:w="7220" w:type="dxa"/>
            <w:vAlign w:val="bottom"/>
            <w:gridSpan w:val="2"/>
            <w:shd w:val="clear" w:color="auto" w:fill="DCE2EF"/>
          </w:tcPr>
          <w:p>
            <w:pPr>
              <w:ind w:left="140"/>
              <w:spacing w:after="0"/>
              <w:rPr>
                <w:sz w:val="20"/>
                <w:szCs w:val="20"/>
                <w:color w:val="auto"/>
              </w:rPr>
            </w:pPr>
            <w:r>
              <w:rPr>
                <w:rFonts w:ascii="Arial" w:cs="Arial" w:eastAsia="Arial" w:hAnsi="Arial"/>
                <w:sz w:val="17"/>
                <w:szCs w:val="17"/>
                <w:color w:val="auto"/>
              </w:rPr>
              <w:t>Federal and state tax credits</w:t>
            </w:r>
          </w:p>
        </w:tc>
        <w:tc>
          <w:tcPr>
            <w:tcW w:w="600" w:type="dxa"/>
            <w:vAlign w:val="bottom"/>
            <w:shd w:val="clear" w:color="auto" w:fill="DCE2EF"/>
          </w:tcPr>
          <w:p>
            <w:pPr>
              <w:jc w:val="right"/>
              <w:ind w:right="94"/>
              <w:spacing w:after="0"/>
              <w:rPr>
                <w:sz w:val="20"/>
                <w:szCs w:val="20"/>
                <w:color w:val="auto"/>
              </w:rPr>
            </w:pPr>
            <w:r>
              <w:rPr>
                <w:rFonts w:ascii="Arial" w:cs="Arial" w:eastAsia="Arial" w:hAnsi="Arial"/>
                <w:sz w:val="17"/>
                <w:szCs w:val="17"/>
                <w:color w:val="auto"/>
              </w:rPr>
              <w:t>(1.9)</w:t>
            </w:r>
          </w:p>
        </w:tc>
        <w:tc>
          <w:tcPr>
            <w:tcW w:w="100" w:type="dxa"/>
            <w:vAlign w:val="bottom"/>
            <w:shd w:val="clear" w:color="auto" w:fill="DCE2EF"/>
          </w:tcPr>
          <w:p>
            <w:pPr>
              <w:spacing w:after="0"/>
              <w:rPr>
                <w:sz w:val="19"/>
                <w:szCs w:val="19"/>
                <w:color w:val="auto"/>
              </w:rPr>
            </w:pPr>
          </w:p>
        </w:tc>
        <w:tc>
          <w:tcPr>
            <w:tcW w:w="1620" w:type="dxa"/>
            <w:vAlign w:val="bottom"/>
            <w:shd w:val="clear" w:color="auto" w:fill="DCE2EF"/>
          </w:tcPr>
          <w:p>
            <w:pPr>
              <w:jc w:val="right"/>
              <w:ind w:right="94"/>
              <w:spacing w:after="0"/>
              <w:rPr>
                <w:sz w:val="20"/>
                <w:szCs w:val="20"/>
                <w:color w:val="auto"/>
              </w:rPr>
            </w:pPr>
            <w:r>
              <w:rPr>
                <w:rFonts w:ascii="Arial" w:cs="Arial" w:eastAsia="Arial" w:hAnsi="Arial"/>
                <w:sz w:val="17"/>
                <w:szCs w:val="17"/>
                <w:color w:val="auto"/>
              </w:rPr>
              <w:t>(2.6)</w:t>
            </w:r>
          </w:p>
        </w:tc>
        <w:tc>
          <w:tcPr>
            <w:tcW w:w="100" w:type="dxa"/>
            <w:vAlign w:val="bottom"/>
            <w:shd w:val="clear" w:color="auto" w:fill="DCE2EF"/>
          </w:tcPr>
          <w:p>
            <w:pPr>
              <w:spacing w:after="0"/>
              <w:rPr>
                <w:sz w:val="19"/>
                <w:szCs w:val="19"/>
                <w:color w:val="auto"/>
              </w:rPr>
            </w:pPr>
          </w:p>
        </w:tc>
        <w:tc>
          <w:tcPr>
            <w:tcW w:w="1600" w:type="dxa"/>
            <w:vAlign w:val="bottom"/>
            <w:shd w:val="clear" w:color="auto" w:fill="DCE2EF"/>
          </w:tcPr>
          <w:p>
            <w:pPr>
              <w:jc w:val="right"/>
              <w:ind w:right="94"/>
              <w:spacing w:after="0"/>
              <w:rPr>
                <w:sz w:val="20"/>
                <w:szCs w:val="20"/>
                <w:color w:val="auto"/>
              </w:rPr>
            </w:pPr>
            <w:r>
              <w:rPr>
                <w:rFonts w:ascii="Arial" w:cs="Arial" w:eastAsia="Arial" w:hAnsi="Arial"/>
                <w:sz w:val="17"/>
                <w:szCs w:val="17"/>
                <w:color w:val="auto"/>
              </w:rPr>
              <w:t>(1.0)</w:t>
            </w:r>
          </w:p>
        </w:tc>
      </w:tr>
      <w:tr>
        <w:trPr>
          <w:trHeight w:val="219"/>
        </w:trPr>
        <w:tc>
          <w:tcPr>
            <w:tcW w:w="7220" w:type="dxa"/>
            <w:vAlign w:val="bottom"/>
            <w:gridSpan w:val="2"/>
          </w:tcPr>
          <w:p>
            <w:pPr>
              <w:ind w:left="140"/>
              <w:spacing w:after="0"/>
              <w:rPr>
                <w:sz w:val="20"/>
                <w:szCs w:val="20"/>
                <w:color w:val="auto"/>
              </w:rPr>
            </w:pPr>
            <w:r>
              <w:rPr>
                <w:rFonts w:ascii="Arial" w:cs="Arial" w:eastAsia="Arial" w:hAnsi="Arial"/>
                <w:sz w:val="17"/>
                <w:szCs w:val="17"/>
                <w:color w:val="auto"/>
              </w:rPr>
              <w:t>Impact of foreign operations</w:t>
            </w:r>
          </w:p>
        </w:tc>
        <w:tc>
          <w:tcPr>
            <w:tcW w:w="600" w:type="dxa"/>
            <w:vAlign w:val="bottom"/>
          </w:tcPr>
          <w:p>
            <w:pPr>
              <w:jc w:val="right"/>
              <w:ind w:right="94"/>
              <w:spacing w:after="0"/>
              <w:rPr>
                <w:sz w:val="20"/>
                <w:szCs w:val="20"/>
                <w:color w:val="auto"/>
              </w:rPr>
            </w:pPr>
            <w:r>
              <w:rPr>
                <w:rFonts w:ascii="Arial" w:cs="Arial" w:eastAsia="Arial" w:hAnsi="Arial"/>
                <w:sz w:val="17"/>
                <w:szCs w:val="17"/>
                <w:color w:val="auto"/>
              </w:rPr>
              <w:t>(1.9)</w:t>
            </w:r>
          </w:p>
        </w:tc>
        <w:tc>
          <w:tcPr>
            <w:tcW w:w="100" w:type="dxa"/>
            <w:vAlign w:val="bottom"/>
          </w:tcPr>
          <w:p>
            <w:pPr>
              <w:spacing w:after="0"/>
              <w:rPr>
                <w:sz w:val="19"/>
                <w:szCs w:val="19"/>
                <w:color w:val="auto"/>
              </w:rPr>
            </w:pPr>
          </w:p>
        </w:tc>
        <w:tc>
          <w:tcPr>
            <w:tcW w:w="1620" w:type="dxa"/>
            <w:vAlign w:val="bottom"/>
          </w:tcPr>
          <w:p>
            <w:pPr>
              <w:jc w:val="right"/>
              <w:ind w:right="94"/>
              <w:spacing w:after="0"/>
              <w:rPr>
                <w:sz w:val="20"/>
                <w:szCs w:val="20"/>
                <w:color w:val="auto"/>
              </w:rPr>
            </w:pPr>
            <w:r>
              <w:rPr>
                <w:rFonts w:ascii="Arial" w:cs="Arial" w:eastAsia="Arial" w:hAnsi="Arial"/>
                <w:sz w:val="17"/>
                <w:szCs w:val="17"/>
                <w:color w:val="auto"/>
              </w:rPr>
              <w:t>(6.4)</w:t>
            </w:r>
          </w:p>
        </w:tc>
        <w:tc>
          <w:tcPr>
            <w:tcW w:w="100" w:type="dxa"/>
            <w:vAlign w:val="bottom"/>
          </w:tcPr>
          <w:p>
            <w:pPr>
              <w:spacing w:after="0"/>
              <w:rPr>
                <w:sz w:val="19"/>
                <w:szCs w:val="19"/>
                <w:color w:val="auto"/>
              </w:rPr>
            </w:pPr>
          </w:p>
        </w:tc>
        <w:tc>
          <w:tcPr>
            <w:tcW w:w="1600" w:type="dxa"/>
            <w:vAlign w:val="bottom"/>
          </w:tcPr>
          <w:p>
            <w:pPr>
              <w:jc w:val="right"/>
              <w:ind w:right="134"/>
              <w:spacing w:after="0"/>
              <w:rPr>
                <w:sz w:val="20"/>
                <w:szCs w:val="20"/>
                <w:color w:val="auto"/>
              </w:rPr>
            </w:pPr>
            <w:r>
              <w:rPr>
                <w:rFonts w:ascii="Arial" w:cs="Arial" w:eastAsia="Arial" w:hAnsi="Arial"/>
                <w:sz w:val="17"/>
                <w:szCs w:val="17"/>
                <w:color w:val="auto"/>
              </w:rPr>
              <w:t>0.8</w:t>
            </w:r>
          </w:p>
        </w:tc>
      </w:tr>
      <w:tr>
        <w:trPr>
          <w:trHeight w:val="219"/>
        </w:trPr>
        <w:tc>
          <w:tcPr>
            <w:tcW w:w="7220" w:type="dxa"/>
            <w:vAlign w:val="bottom"/>
            <w:gridSpan w:val="2"/>
            <w:shd w:val="clear" w:color="auto" w:fill="DCE2EF"/>
          </w:tcPr>
          <w:p>
            <w:pPr>
              <w:ind w:left="140"/>
              <w:spacing w:after="0"/>
              <w:rPr>
                <w:sz w:val="20"/>
                <w:szCs w:val="20"/>
                <w:color w:val="auto"/>
              </w:rPr>
            </w:pPr>
            <w:r>
              <w:rPr>
                <w:rFonts w:ascii="Arial" w:cs="Arial" w:eastAsia="Arial" w:hAnsi="Arial"/>
                <w:sz w:val="17"/>
                <w:szCs w:val="17"/>
                <w:color w:val="auto"/>
              </w:rPr>
              <w:t>Changes in uncertain tax positions</w:t>
            </w:r>
          </w:p>
        </w:tc>
        <w:tc>
          <w:tcPr>
            <w:tcW w:w="700" w:type="dxa"/>
            <w:vAlign w:val="bottom"/>
            <w:gridSpan w:val="2"/>
            <w:shd w:val="clear" w:color="auto" w:fill="DCE2EF"/>
          </w:tcPr>
          <w:p>
            <w:pPr>
              <w:jc w:val="right"/>
              <w:ind w:right="340"/>
              <w:spacing w:after="0"/>
              <w:rPr>
                <w:sz w:val="20"/>
                <w:szCs w:val="20"/>
                <w:color w:val="auto"/>
              </w:rPr>
            </w:pPr>
            <w:r>
              <w:rPr>
                <w:rFonts w:ascii="Arial" w:cs="Arial" w:eastAsia="Arial" w:hAnsi="Arial"/>
                <w:sz w:val="17"/>
                <w:szCs w:val="17"/>
                <w:color w:val="auto"/>
              </w:rPr>
              <w:t>—</w:t>
            </w:r>
          </w:p>
        </w:tc>
        <w:tc>
          <w:tcPr>
            <w:tcW w:w="1620" w:type="dxa"/>
            <w:vAlign w:val="bottom"/>
            <w:shd w:val="clear" w:color="auto" w:fill="DCE2EF"/>
          </w:tcPr>
          <w:p>
            <w:pPr>
              <w:jc w:val="right"/>
              <w:ind w:right="94"/>
              <w:spacing w:after="0"/>
              <w:rPr>
                <w:sz w:val="20"/>
                <w:szCs w:val="20"/>
                <w:color w:val="auto"/>
              </w:rPr>
            </w:pPr>
            <w:r>
              <w:rPr>
                <w:rFonts w:ascii="Arial" w:cs="Arial" w:eastAsia="Arial" w:hAnsi="Arial"/>
                <w:sz w:val="17"/>
                <w:szCs w:val="17"/>
                <w:color w:val="auto"/>
              </w:rPr>
              <w:t>(2.2)</w:t>
            </w:r>
          </w:p>
        </w:tc>
        <w:tc>
          <w:tcPr>
            <w:tcW w:w="100" w:type="dxa"/>
            <w:vAlign w:val="bottom"/>
            <w:shd w:val="clear" w:color="auto" w:fill="DCE2EF"/>
          </w:tcPr>
          <w:p>
            <w:pPr>
              <w:spacing w:after="0"/>
              <w:rPr>
                <w:sz w:val="19"/>
                <w:szCs w:val="19"/>
                <w:color w:val="auto"/>
              </w:rPr>
            </w:pPr>
          </w:p>
        </w:tc>
        <w:tc>
          <w:tcPr>
            <w:tcW w:w="1600" w:type="dxa"/>
            <w:vAlign w:val="bottom"/>
            <w:shd w:val="clear" w:color="auto" w:fill="DCE2EF"/>
          </w:tcPr>
          <w:p>
            <w:pPr>
              <w:jc w:val="right"/>
              <w:ind w:right="134"/>
              <w:spacing w:after="0"/>
              <w:rPr>
                <w:sz w:val="20"/>
                <w:szCs w:val="20"/>
                <w:color w:val="auto"/>
              </w:rPr>
            </w:pPr>
            <w:r>
              <w:rPr>
                <w:rFonts w:ascii="Arial" w:cs="Arial" w:eastAsia="Arial" w:hAnsi="Arial"/>
                <w:sz w:val="17"/>
                <w:szCs w:val="17"/>
                <w:color w:val="auto"/>
              </w:rPr>
              <w:t>0.1</w:t>
            </w:r>
          </w:p>
        </w:tc>
      </w:tr>
      <w:tr>
        <w:trPr>
          <w:trHeight w:val="219"/>
        </w:trPr>
        <w:tc>
          <w:tcPr>
            <w:tcW w:w="7220" w:type="dxa"/>
            <w:vAlign w:val="bottom"/>
            <w:gridSpan w:val="2"/>
          </w:tcPr>
          <w:p>
            <w:pPr>
              <w:ind w:left="140"/>
              <w:spacing w:after="0"/>
              <w:rPr>
                <w:sz w:val="20"/>
                <w:szCs w:val="20"/>
                <w:color w:val="auto"/>
              </w:rPr>
            </w:pPr>
            <w:r>
              <w:rPr>
                <w:rFonts w:ascii="Arial" w:cs="Arial" w:eastAsia="Arial" w:hAnsi="Arial"/>
                <w:sz w:val="17"/>
                <w:szCs w:val="17"/>
                <w:color w:val="auto"/>
              </w:rPr>
              <w:t>Incremental tax benefit from share-based compensation awards</w:t>
            </w:r>
          </w:p>
        </w:tc>
        <w:tc>
          <w:tcPr>
            <w:tcW w:w="600" w:type="dxa"/>
            <w:vAlign w:val="bottom"/>
          </w:tcPr>
          <w:p>
            <w:pPr>
              <w:jc w:val="right"/>
              <w:ind w:right="94"/>
              <w:spacing w:after="0"/>
              <w:rPr>
                <w:sz w:val="20"/>
                <w:szCs w:val="20"/>
                <w:color w:val="auto"/>
              </w:rPr>
            </w:pPr>
            <w:r>
              <w:rPr>
                <w:rFonts w:ascii="Arial" w:cs="Arial" w:eastAsia="Arial" w:hAnsi="Arial"/>
                <w:sz w:val="17"/>
                <w:szCs w:val="17"/>
                <w:color w:val="auto"/>
              </w:rPr>
              <w:t>(0.2)</w:t>
            </w:r>
          </w:p>
        </w:tc>
        <w:tc>
          <w:tcPr>
            <w:tcW w:w="100" w:type="dxa"/>
            <w:vAlign w:val="bottom"/>
          </w:tcPr>
          <w:p>
            <w:pPr>
              <w:spacing w:after="0"/>
              <w:rPr>
                <w:sz w:val="19"/>
                <w:szCs w:val="19"/>
                <w:color w:val="auto"/>
              </w:rPr>
            </w:pPr>
          </w:p>
        </w:tc>
        <w:tc>
          <w:tcPr>
            <w:tcW w:w="1620" w:type="dxa"/>
            <w:vAlign w:val="bottom"/>
          </w:tcPr>
          <w:p>
            <w:pPr>
              <w:jc w:val="right"/>
              <w:ind w:right="94"/>
              <w:spacing w:after="0"/>
              <w:rPr>
                <w:sz w:val="20"/>
                <w:szCs w:val="20"/>
                <w:color w:val="auto"/>
              </w:rPr>
            </w:pPr>
            <w:r>
              <w:rPr>
                <w:rFonts w:ascii="Arial" w:cs="Arial" w:eastAsia="Arial" w:hAnsi="Arial"/>
                <w:sz w:val="17"/>
                <w:szCs w:val="17"/>
                <w:color w:val="auto"/>
              </w:rPr>
              <w:t>(1.6)</w:t>
            </w:r>
          </w:p>
        </w:tc>
        <w:tc>
          <w:tcPr>
            <w:tcW w:w="100" w:type="dxa"/>
            <w:vAlign w:val="bottom"/>
          </w:tcPr>
          <w:p>
            <w:pPr>
              <w:spacing w:after="0"/>
              <w:rPr>
                <w:sz w:val="19"/>
                <w:szCs w:val="19"/>
                <w:color w:val="auto"/>
              </w:rPr>
            </w:pPr>
          </w:p>
        </w:tc>
        <w:tc>
          <w:tcPr>
            <w:tcW w:w="1600" w:type="dxa"/>
            <w:vAlign w:val="bottom"/>
          </w:tcPr>
          <w:p>
            <w:pPr>
              <w:jc w:val="right"/>
              <w:ind w:right="94"/>
              <w:spacing w:after="0"/>
              <w:rPr>
                <w:sz w:val="20"/>
                <w:szCs w:val="20"/>
                <w:color w:val="auto"/>
              </w:rPr>
            </w:pPr>
            <w:r>
              <w:rPr>
                <w:rFonts w:ascii="Arial" w:cs="Arial" w:eastAsia="Arial" w:hAnsi="Arial"/>
                <w:sz w:val="17"/>
                <w:szCs w:val="17"/>
                <w:color w:val="auto"/>
              </w:rPr>
              <w:t>(0.7)</w:t>
            </w:r>
          </w:p>
        </w:tc>
      </w:tr>
      <w:tr>
        <w:trPr>
          <w:trHeight w:val="219"/>
        </w:trPr>
        <w:tc>
          <w:tcPr>
            <w:tcW w:w="7220" w:type="dxa"/>
            <w:vAlign w:val="bottom"/>
            <w:gridSpan w:val="2"/>
            <w:shd w:val="clear" w:color="auto" w:fill="DCE2EF"/>
          </w:tcPr>
          <w:p>
            <w:pPr>
              <w:ind w:left="140"/>
              <w:spacing w:after="0"/>
              <w:rPr>
                <w:sz w:val="20"/>
                <w:szCs w:val="20"/>
                <w:color w:val="auto"/>
              </w:rPr>
            </w:pPr>
            <w:r>
              <w:rPr>
                <w:rFonts w:ascii="Arial" w:cs="Arial" w:eastAsia="Arial" w:hAnsi="Arial"/>
                <w:sz w:val="17"/>
                <w:szCs w:val="17"/>
                <w:color w:val="auto"/>
              </w:rPr>
              <w:t>Energy efficiency incentives</w:t>
            </w:r>
          </w:p>
        </w:tc>
        <w:tc>
          <w:tcPr>
            <w:tcW w:w="600" w:type="dxa"/>
            <w:vAlign w:val="bottom"/>
            <w:shd w:val="clear" w:color="auto" w:fill="DCE2EF"/>
          </w:tcPr>
          <w:p>
            <w:pPr>
              <w:jc w:val="right"/>
              <w:ind w:right="94"/>
              <w:spacing w:after="0"/>
              <w:rPr>
                <w:sz w:val="20"/>
                <w:szCs w:val="20"/>
                <w:color w:val="auto"/>
              </w:rPr>
            </w:pPr>
            <w:r>
              <w:rPr>
                <w:rFonts w:ascii="Arial" w:cs="Arial" w:eastAsia="Arial" w:hAnsi="Arial"/>
                <w:sz w:val="17"/>
                <w:szCs w:val="17"/>
                <w:color w:val="auto"/>
              </w:rPr>
              <w:t>(0.4)</w:t>
            </w:r>
          </w:p>
        </w:tc>
        <w:tc>
          <w:tcPr>
            <w:tcW w:w="100" w:type="dxa"/>
            <w:vAlign w:val="bottom"/>
            <w:shd w:val="clear" w:color="auto" w:fill="DCE2EF"/>
          </w:tcPr>
          <w:p>
            <w:pPr>
              <w:spacing w:after="0"/>
              <w:rPr>
                <w:sz w:val="19"/>
                <w:szCs w:val="19"/>
                <w:color w:val="auto"/>
              </w:rPr>
            </w:pPr>
          </w:p>
        </w:tc>
        <w:tc>
          <w:tcPr>
            <w:tcW w:w="1620" w:type="dxa"/>
            <w:vAlign w:val="bottom"/>
            <w:shd w:val="clear" w:color="auto" w:fill="DCE2EF"/>
          </w:tcPr>
          <w:p>
            <w:pPr>
              <w:jc w:val="right"/>
              <w:ind w:right="94"/>
              <w:spacing w:after="0"/>
              <w:rPr>
                <w:sz w:val="20"/>
                <w:szCs w:val="20"/>
                <w:color w:val="auto"/>
              </w:rPr>
            </w:pPr>
            <w:r>
              <w:rPr>
                <w:rFonts w:ascii="Arial" w:cs="Arial" w:eastAsia="Arial" w:hAnsi="Arial"/>
                <w:sz w:val="17"/>
                <w:szCs w:val="17"/>
                <w:color w:val="auto"/>
              </w:rPr>
              <w:t>(4.1)</w:t>
            </w:r>
          </w:p>
        </w:tc>
        <w:tc>
          <w:tcPr>
            <w:tcW w:w="100" w:type="dxa"/>
            <w:vAlign w:val="bottom"/>
            <w:shd w:val="clear" w:color="auto" w:fill="DCE2EF"/>
          </w:tcPr>
          <w:p>
            <w:pPr>
              <w:spacing w:after="0"/>
              <w:rPr>
                <w:sz w:val="19"/>
                <w:szCs w:val="19"/>
                <w:color w:val="auto"/>
              </w:rPr>
            </w:pPr>
          </w:p>
        </w:tc>
        <w:tc>
          <w:tcPr>
            <w:tcW w:w="1600" w:type="dxa"/>
            <w:vAlign w:val="bottom"/>
            <w:shd w:val="clear" w:color="auto" w:fill="DCE2EF"/>
          </w:tcPr>
          <w:p>
            <w:pPr>
              <w:jc w:val="right"/>
              <w:ind w:right="94"/>
              <w:spacing w:after="0"/>
              <w:rPr>
                <w:sz w:val="20"/>
                <w:szCs w:val="20"/>
                <w:color w:val="auto"/>
              </w:rPr>
            </w:pPr>
            <w:r>
              <w:rPr>
                <w:rFonts w:ascii="Arial" w:cs="Arial" w:eastAsia="Arial" w:hAnsi="Arial"/>
                <w:sz w:val="17"/>
                <w:szCs w:val="17"/>
                <w:color w:val="auto"/>
              </w:rPr>
              <w:t>(0.1)</w:t>
            </w:r>
          </w:p>
        </w:tc>
      </w:tr>
      <w:tr>
        <w:trPr>
          <w:trHeight w:val="219"/>
        </w:trPr>
        <w:tc>
          <w:tcPr>
            <w:tcW w:w="7220" w:type="dxa"/>
            <w:vAlign w:val="bottom"/>
            <w:gridSpan w:val="2"/>
          </w:tcPr>
          <w:p>
            <w:pPr>
              <w:ind w:left="140"/>
              <w:spacing w:after="0"/>
              <w:rPr>
                <w:sz w:val="20"/>
                <w:szCs w:val="20"/>
                <w:color w:val="auto"/>
              </w:rPr>
            </w:pPr>
            <w:r>
              <w:rPr>
                <w:rFonts w:ascii="Arial" w:cs="Arial" w:eastAsia="Arial" w:hAnsi="Arial"/>
                <w:sz w:val="17"/>
                <w:szCs w:val="17"/>
                <w:color w:val="auto"/>
              </w:rPr>
              <w:t>Nondeductible executive compensation</w:t>
            </w:r>
          </w:p>
        </w:tc>
        <w:tc>
          <w:tcPr>
            <w:tcW w:w="600" w:type="dxa"/>
            <w:vAlign w:val="bottom"/>
          </w:tcPr>
          <w:p>
            <w:pPr>
              <w:jc w:val="right"/>
              <w:ind w:right="154"/>
              <w:spacing w:after="0"/>
              <w:rPr>
                <w:sz w:val="20"/>
                <w:szCs w:val="20"/>
                <w:color w:val="auto"/>
              </w:rPr>
            </w:pPr>
            <w:r>
              <w:rPr>
                <w:rFonts w:ascii="Arial" w:cs="Arial" w:eastAsia="Arial" w:hAnsi="Arial"/>
                <w:sz w:val="17"/>
                <w:szCs w:val="17"/>
                <w:color w:val="auto"/>
              </w:rPr>
              <w:t>1.8</w:t>
            </w:r>
          </w:p>
        </w:tc>
        <w:tc>
          <w:tcPr>
            <w:tcW w:w="100" w:type="dxa"/>
            <w:vAlign w:val="bottom"/>
          </w:tcPr>
          <w:p>
            <w:pPr>
              <w:spacing w:after="0"/>
              <w:rPr>
                <w:sz w:val="19"/>
                <w:szCs w:val="19"/>
                <w:color w:val="auto"/>
              </w:rPr>
            </w:pPr>
          </w:p>
        </w:tc>
        <w:tc>
          <w:tcPr>
            <w:tcW w:w="1620" w:type="dxa"/>
            <w:vAlign w:val="bottom"/>
          </w:tcPr>
          <w:p>
            <w:pPr>
              <w:jc w:val="right"/>
              <w:ind w:right="154"/>
              <w:spacing w:after="0"/>
              <w:rPr>
                <w:sz w:val="20"/>
                <w:szCs w:val="20"/>
                <w:color w:val="auto"/>
              </w:rPr>
            </w:pPr>
            <w:r>
              <w:rPr>
                <w:rFonts w:ascii="Arial" w:cs="Arial" w:eastAsia="Arial" w:hAnsi="Arial"/>
                <w:sz w:val="17"/>
                <w:szCs w:val="17"/>
                <w:color w:val="auto"/>
              </w:rPr>
              <w:t>3.4</w:t>
            </w:r>
          </w:p>
        </w:tc>
        <w:tc>
          <w:tcPr>
            <w:tcW w:w="100" w:type="dxa"/>
            <w:vAlign w:val="bottom"/>
          </w:tcPr>
          <w:p>
            <w:pPr>
              <w:spacing w:after="0"/>
              <w:rPr>
                <w:sz w:val="19"/>
                <w:szCs w:val="19"/>
                <w:color w:val="auto"/>
              </w:rPr>
            </w:pPr>
          </w:p>
        </w:tc>
        <w:tc>
          <w:tcPr>
            <w:tcW w:w="1600" w:type="dxa"/>
            <w:vAlign w:val="bottom"/>
          </w:tcPr>
          <w:p>
            <w:pPr>
              <w:jc w:val="right"/>
              <w:ind w:right="134"/>
              <w:spacing w:after="0"/>
              <w:rPr>
                <w:sz w:val="20"/>
                <w:szCs w:val="20"/>
                <w:color w:val="auto"/>
              </w:rPr>
            </w:pPr>
            <w:r>
              <w:rPr>
                <w:rFonts w:ascii="Arial" w:cs="Arial" w:eastAsia="Arial" w:hAnsi="Arial"/>
                <w:sz w:val="17"/>
                <w:szCs w:val="17"/>
                <w:color w:val="auto"/>
              </w:rPr>
              <w:t>1.4</w:t>
            </w:r>
          </w:p>
        </w:tc>
      </w:tr>
      <w:tr>
        <w:trPr>
          <w:trHeight w:val="219"/>
        </w:trPr>
        <w:tc>
          <w:tcPr>
            <w:tcW w:w="7220" w:type="dxa"/>
            <w:vAlign w:val="bottom"/>
            <w:gridSpan w:val="2"/>
            <w:shd w:val="clear" w:color="auto" w:fill="DCE2EF"/>
          </w:tcPr>
          <w:p>
            <w:pPr>
              <w:ind w:left="140"/>
              <w:spacing w:after="0"/>
              <w:rPr>
                <w:sz w:val="20"/>
                <w:szCs w:val="20"/>
                <w:color w:val="auto"/>
              </w:rPr>
            </w:pPr>
            <w:r>
              <w:rPr>
                <w:rFonts w:ascii="Arial" w:cs="Arial" w:eastAsia="Arial" w:hAnsi="Arial"/>
                <w:sz w:val="17"/>
                <w:szCs w:val="17"/>
                <w:color w:val="auto"/>
              </w:rPr>
              <w:t>Nontaxable RavenVolt contingent consideration</w:t>
            </w:r>
          </w:p>
        </w:tc>
        <w:tc>
          <w:tcPr>
            <w:tcW w:w="600" w:type="dxa"/>
            <w:vAlign w:val="bottom"/>
            <w:shd w:val="clear" w:color="auto" w:fill="DCE2EF"/>
          </w:tcPr>
          <w:p>
            <w:pPr>
              <w:jc w:val="right"/>
              <w:ind w:right="94"/>
              <w:spacing w:after="0"/>
              <w:rPr>
                <w:sz w:val="20"/>
                <w:szCs w:val="20"/>
                <w:color w:val="auto"/>
              </w:rPr>
            </w:pPr>
            <w:r>
              <w:rPr>
                <w:rFonts w:ascii="Arial" w:cs="Arial" w:eastAsia="Arial" w:hAnsi="Arial"/>
                <w:sz w:val="17"/>
                <w:szCs w:val="17"/>
                <w:color w:val="auto"/>
              </w:rPr>
              <w:t>(0.2)</w:t>
            </w:r>
          </w:p>
        </w:tc>
        <w:tc>
          <w:tcPr>
            <w:tcW w:w="100" w:type="dxa"/>
            <w:vAlign w:val="bottom"/>
            <w:shd w:val="clear" w:color="auto" w:fill="DCE2EF"/>
          </w:tcPr>
          <w:p>
            <w:pPr>
              <w:spacing w:after="0"/>
              <w:rPr>
                <w:sz w:val="19"/>
                <w:szCs w:val="19"/>
                <w:color w:val="auto"/>
              </w:rPr>
            </w:pPr>
          </w:p>
        </w:tc>
        <w:tc>
          <w:tcPr>
            <w:tcW w:w="1620" w:type="dxa"/>
            <w:vAlign w:val="bottom"/>
            <w:shd w:val="clear" w:color="auto" w:fill="DCE2EF"/>
          </w:tcPr>
          <w:p>
            <w:pPr>
              <w:jc w:val="right"/>
              <w:ind w:right="154"/>
              <w:spacing w:after="0"/>
              <w:rPr>
                <w:sz w:val="20"/>
                <w:szCs w:val="20"/>
                <w:color w:val="auto"/>
              </w:rPr>
            </w:pPr>
            <w:r>
              <w:rPr>
                <w:rFonts w:ascii="Arial" w:cs="Arial" w:eastAsia="Arial" w:hAnsi="Arial"/>
                <w:sz w:val="17"/>
                <w:szCs w:val="17"/>
                <w:color w:val="auto"/>
              </w:rPr>
              <w:t>20.1</w:t>
            </w:r>
          </w:p>
        </w:tc>
        <w:tc>
          <w:tcPr>
            <w:tcW w:w="100" w:type="dxa"/>
            <w:vAlign w:val="bottom"/>
            <w:shd w:val="clear" w:color="auto" w:fill="DCE2EF"/>
          </w:tcPr>
          <w:p>
            <w:pPr>
              <w:spacing w:after="0"/>
              <w:rPr>
                <w:sz w:val="19"/>
                <w:szCs w:val="19"/>
                <w:color w:val="auto"/>
              </w:rPr>
            </w:pPr>
          </w:p>
        </w:tc>
        <w:tc>
          <w:tcPr>
            <w:tcW w:w="1600" w:type="dxa"/>
            <w:vAlign w:val="bottom"/>
            <w:shd w:val="clear" w:color="auto" w:fill="DCE2EF"/>
          </w:tcPr>
          <w:p>
            <w:pPr>
              <w:jc w:val="right"/>
              <w:ind w:right="94"/>
              <w:spacing w:after="0"/>
              <w:rPr>
                <w:sz w:val="20"/>
                <w:szCs w:val="20"/>
                <w:color w:val="auto"/>
              </w:rPr>
            </w:pPr>
            <w:r>
              <w:rPr>
                <w:rFonts w:ascii="Arial" w:cs="Arial" w:eastAsia="Arial" w:hAnsi="Arial"/>
                <w:sz w:val="17"/>
                <w:szCs w:val="17"/>
                <w:color w:val="auto"/>
              </w:rPr>
              <w:t>(3.9)</w:t>
            </w:r>
          </w:p>
        </w:tc>
      </w:tr>
      <w:tr>
        <w:trPr>
          <w:trHeight w:val="219"/>
        </w:trPr>
        <w:tc>
          <w:tcPr>
            <w:tcW w:w="7220" w:type="dxa"/>
            <w:vAlign w:val="bottom"/>
            <w:gridSpan w:val="2"/>
          </w:tcPr>
          <w:p>
            <w:pPr>
              <w:ind w:left="140"/>
              <w:spacing w:after="0"/>
              <w:rPr>
                <w:sz w:val="20"/>
                <w:szCs w:val="20"/>
                <w:color w:val="auto"/>
              </w:rPr>
            </w:pPr>
            <w:r>
              <w:rPr>
                <w:rFonts w:ascii="Arial" w:cs="Arial" w:eastAsia="Arial" w:hAnsi="Arial"/>
                <w:sz w:val="17"/>
                <w:szCs w:val="17"/>
                <w:color w:val="auto"/>
              </w:rPr>
              <w:t>Other nondeductible expenses</w:t>
            </w:r>
          </w:p>
        </w:tc>
        <w:tc>
          <w:tcPr>
            <w:tcW w:w="600" w:type="dxa"/>
            <w:vAlign w:val="bottom"/>
          </w:tcPr>
          <w:p>
            <w:pPr>
              <w:jc w:val="right"/>
              <w:ind w:right="154"/>
              <w:spacing w:after="0"/>
              <w:rPr>
                <w:sz w:val="20"/>
                <w:szCs w:val="20"/>
                <w:color w:val="auto"/>
              </w:rPr>
            </w:pPr>
            <w:r>
              <w:rPr>
                <w:rFonts w:ascii="Arial" w:cs="Arial" w:eastAsia="Arial" w:hAnsi="Arial"/>
                <w:sz w:val="17"/>
                <w:szCs w:val="17"/>
                <w:color w:val="auto"/>
              </w:rPr>
              <w:t>1.4</w:t>
            </w:r>
          </w:p>
        </w:tc>
        <w:tc>
          <w:tcPr>
            <w:tcW w:w="100" w:type="dxa"/>
            <w:vAlign w:val="bottom"/>
          </w:tcPr>
          <w:p>
            <w:pPr>
              <w:spacing w:after="0"/>
              <w:rPr>
                <w:sz w:val="19"/>
                <w:szCs w:val="19"/>
                <w:color w:val="auto"/>
              </w:rPr>
            </w:pPr>
          </w:p>
        </w:tc>
        <w:tc>
          <w:tcPr>
            <w:tcW w:w="1620" w:type="dxa"/>
            <w:vAlign w:val="bottom"/>
          </w:tcPr>
          <w:p>
            <w:pPr>
              <w:jc w:val="right"/>
              <w:ind w:right="154"/>
              <w:spacing w:after="0"/>
              <w:rPr>
                <w:sz w:val="20"/>
                <w:szCs w:val="20"/>
                <w:color w:val="auto"/>
              </w:rPr>
            </w:pPr>
            <w:r>
              <w:rPr>
                <w:rFonts w:ascii="Arial" w:cs="Arial" w:eastAsia="Arial" w:hAnsi="Arial"/>
                <w:sz w:val="17"/>
                <w:szCs w:val="17"/>
                <w:color w:val="auto"/>
              </w:rPr>
              <w:t>2.1</w:t>
            </w:r>
          </w:p>
        </w:tc>
        <w:tc>
          <w:tcPr>
            <w:tcW w:w="100" w:type="dxa"/>
            <w:vAlign w:val="bottom"/>
          </w:tcPr>
          <w:p>
            <w:pPr>
              <w:spacing w:after="0"/>
              <w:rPr>
                <w:sz w:val="19"/>
                <w:szCs w:val="19"/>
                <w:color w:val="auto"/>
              </w:rPr>
            </w:pPr>
          </w:p>
        </w:tc>
        <w:tc>
          <w:tcPr>
            <w:tcW w:w="1600" w:type="dxa"/>
            <w:vAlign w:val="bottom"/>
          </w:tcPr>
          <w:p>
            <w:pPr>
              <w:jc w:val="right"/>
              <w:ind w:right="134"/>
              <w:spacing w:after="0"/>
              <w:rPr>
                <w:sz w:val="20"/>
                <w:szCs w:val="20"/>
                <w:color w:val="auto"/>
              </w:rPr>
            </w:pPr>
            <w:r>
              <w:rPr>
                <w:rFonts w:ascii="Arial" w:cs="Arial" w:eastAsia="Arial" w:hAnsi="Arial"/>
                <w:sz w:val="17"/>
                <w:szCs w:val="17"/>
                <w:color w:val="auto"/>
              </w:rPr>
              <w:t>0.6</w:t>
            </w:r>
          </w:p>
        </w:tc>
      </w:tr>
      <w:tr>
        <w:trPr>
          <w:trHeight w:val="219"/>
        </w:trPr>
        <w:tc>
          <w:tcPr>
            <w:tcW w:w="6200" w:type="dxa"/>
            <w:vAlign w:val="bottom"/>
            <w:shd w:val="clear" w:color="auto" w:fill="DCE2EF"/>
          </w:tcPr>
          <w:p>
            <w:pPr>
              <w:ind w:left="140"/>
              <w:spacing w:after="0"/>
              <w:rPr>
                <w:sz w:val="20"/>
                <w:szCs w:val="20"/>
                <w:color w:val="auto"/>
              </w:rPr>
            </w:pPr>
            <w:r>
              <w:rPr>
                <w:rFonts w:ascii="Arial" w:cs="Arial" w:eastAsia="Arial" w:hAnsi="Arial"/>
                <w:sz w:val="17"/>
                <w:szCs w:val="17"/>
                <w:color w:val="auto"/>
              </w:rPr>
              <w:t>Other, net</w:t>
            </w:r>
          </w:p>
        </w:tc>
        <w:tc>
          <w:tcPr>
            <w:tcW w:w="1020" w:type="dxa"/>
            <w:vAlign w:val="bottom"/>
            <w:tcBorders>
              <w:bottom w:val="single" w:sz="8" w:color="auto"/>
            </w:tcBorders>
            <w:shd w:val="clear" w:color="auto" w:fill="DCE2EF"/>
          </w:tcPr>
          <w:p>
            <w:pPr>
              <w:spacing w:after="0"/>
              <w:rPr>
                <w:sz w:val="19"/>
                <w:szCs w:val="19"/>
                <w:color w:val="auto"/>
              </w:rPr>
            </w:pPr>
          </w:p>
        </w:tc>
        <w:tc>
          <w:tcPr>
            <w:tcW w:w="600" w:type="dxa"/>
            <w:vAlign w:val="bottom"/>
            <w:tcBorders>
              <w:bottom w:val="single" w:sz="8" w:color="auto"/>
            </w:tcBorders>
            <w:shd w:val="clear" w:color="auto" w:fill="DCE2EF"/>
          </w:tcPr>
          <w:p>
            <w:pPr>
              <w:jc w:val="right"/>
              <w:ind w:right="94"/>
              <w:spacing w:after="0"/>
              <w:rPr>
                <w:sz w:val="20"/>
                <w:szCs w:val="20"/>
                <w:color w:val="auto"/>
              </w:rPr>
            </w:pPr>
            <w:r>
              <w:rPr>
                <w:rFonts w:ascii="Arial" w:cs="Arial" w:eastAsia="Arial" w:hAnsi="Arial"/>
                <w:sz w:val="17"/>
                <w:szCs w:val="17"/>
                <w:color w:val="auto"/>
              </w:rPr>
              <w:t>(0.1)</w:t>
            </w:r>
          </w:p>
        </w:tc>
        <w:tc>
          <w:tcPr>
            <w:tcW w:w="100" w:type="dxa"/>
            <w:vAlign w:val="bottom"/>
            <w:shd w:val="clear" w:color="auto" w:fill="DCE2EF"/>
          </w:tcPr>
          <w:p>
            <w:pPr>
              <w:spacing w:after="0"/>
              <w:rPr>
                <w:sz w:val="19"/>
                <w:szCs w:val="19"/>
                <w:color w:val="auto"/>
              </w:rPr>
            </w:pPr>
          </w:p>
        </w:tc>
        <w:tc>
          <w:tcPr>
            <w:tcW w:w="1620" w:type="dxa"/>
            <w:vAlign w:val="bottom"/>
            <w:tcBorders>
              <w:bottom w:val="single" w:sz="8" w:color="auto"/>
            </w:tcBorders>
            <w:shd w:val="clear" w:color="auto" w:fill="DCE2EF"/>
          </w:tcPr>
          <w:p>
            <w:pPr>
              <w:jc w:val="right"/>
              <w:ind w:right="154"/>
              <w:spacing w:after="0"/>
              <w:rPr>
                <w:sz w:val="20"/>
                <w:szCs w:val="20"/>
                <w:color w:val="auto"/>
              </w:rPr>
            </w:pPr>
            <w:r>
              <w:rPr>
                <w:rFonts w:ascii="Arial" w:cs="Arial" w:eastAsia="Arial" w:hAnsi="Arial"/>
                <w:sz w:val="17"/>
                <w:szCs w:val="17"/>
                <w:color w:val="auto"/>
              </w:rPr>
              <w:t>1.4</w:t>
            </w:r>
          </w:p>
        </w:tc>
        <w:tc>
          <w:tcPr>
            <w:tcW w:w="100" w:type="dxa"/>
            <w:vAlign w:val="bottom"/>
            <w:shd w:val="clear" w:color="auto" w:fill="DCE2EF"/>
          </w:tcPr>
          <w:p>
            <w:pPr>
              <w:spacing w:after="0"/>
              <w:rPr>
                <w:sz w:val="19"/>
                <w:szCs w:val="19"/>
                <w:color w:val="auto"/>
              </w:rPr>
            </w:pPr>
          </w:p>
        </w:tc>
        <w:tc>
          <w:tcPr>
            <w:tcW w:w="1600" w:type="dxa"/>
            <w:vAlign w:val="bottom"/>
            <w:tcBorders>
              <w:bottom w:val="single" w:sz="8" w:color="auto"/>
            </w:tcBorders>
            <w:shd w:val="clear" w:color="auto" w:fill="DCE2EF"/>
          </w:tcPr>
          <w:p>
            <w:pPr>
              <w:jc w:val="right"/>
              <w:ind w:right="94"/>
              <w:spacing w:after="0"/>
              <w:rPr>
                <w:sz w:val="20"/>
                <w:szCs w:val="20"/>
                <w:color w:val="auto"/>
              </w:rPr>
            </w:pPr>
            <w:r>
              <w:rPr>
                <w:rFonts w:ascii="Arial" w:cs="Arial" w:eastAsia="Arial" w:hAnsi="Arial"/>
                <w:sz w:val="17"/>
                <w:szCs w:val="17"/>
                <w:color w:val="auto"/>
              </w:rPr>
              <w:t>(1.0)</w:t>
            </w:r>
          </w:p>
        </w:tc>
      </w:tr>
      <w:tr>
        <w:trPr>
          <w:trHeight w:val="212"/>
        </w:trPr>
        <w:tc>
          <w:tcPr>
            <w:tcW w:w="7220" w:type="dxa"/>
            <w:vAlign w:val="bottom"/>
            <w:gridSpan w:val="2"/>
          </w:tcPr>
          <w:p>
            <w:pPr>
              <w:ind w:left="20"/>
              <w:spacing w:after="0"/>
              <w:rPr>
                <w:sz w:val="20"/>
                <w:szCs w:val="20"/>
                <w:color w:val="auto"/>
              </w:rPr>
            </w:pPr>
            <w:r>
              <w:rPr>
                <w:rFonts w:ascii="Arial" w:cs="Arial" w:eastAsia="Arial" w:hAnsi="Arial"/>
                <w:sz w:val="17"/>
                <w:szCs w:val="17"/>
                <w:b w:val="1"/>
                <w:bCs w:val="1"/>
                <w:color w:val="auto"/>
              </w:rPr>
              <w:t>Effective tax rate</w:t>
            </w:r>
          </w:p>
        </w:tc>
        <w:tc>
          <w:tcPr>
            <w:tcW w:w="600" w:type="dxa"/>
            <w:vAlign w:val="bottom"/>
          </w:tcPr>
          <w:p>
            <w:pPr>
              <w:jc w:val="right"/>
              <w:spacing w:after="0"/>
              <w:rPr>
                <w:sz w:val="20"/>
                <w:szCs w:val="20"/>
                <w:color w:val="auto"/>
              </w:rPr>
            </w:pPr>
            <w:r>
              <w:rPr>
                <w:rFonts w:ascii="Arial" w:cs="Arial" w:eastAsia="Arial" w:hAnsi="Arial"/>
                <w:sz w:val="17"/>
                <w:szCs w:val="17"/>
                <w:color w:val="auto"/>
              </w:rPr>
              <w:t>26.2 %</w:t>
            </w:r>
          </w:p>
        </w:tc>
        <w:tc>
          <w:tcPr>
            <w:tcW w:w="1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7"/>
                <w:szCs w:val="17"/>
                <w:color w:val="auto"/>
              </w:rPr>
              <w:t>39.1 %</w:t>
            </w:r>
          </w:p>
        </w:tc>
        <w:tc>
          <w:tcPr>
            <w:tcW w:w="1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24.1 %</w:t>
            </w:r>
          </w:p>
        </w:tc>
      </w:tr>
      <w:tr>
        <w:trPr>
          <w:trHeight w:val="20"/>
        </w:trPr>
        <w:tc>
          <w:tcPr>
            <w:tcW w:w="62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r>
    </w:tbl>
    <w:p>
      <w:pPr>
        <w:spacing w:after="0" w:line="331"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During 2025 and 2024, we had effective tax rates of 26.2% and 39.1%, respectively, resulting in an income tax provision of $57.6 million and $52.2 million, respectively. Our effective tax rate for 2025 was benefited by a $3.1 million return to provision adjustment related to our non-U.S. operations. Our effective tax rate for 2024 was negatively impacted by a $95.7 million non-taxable change to increase the fair value of the contingent consideration related to the RavenVolt Acquisition, partially offset by a $7.3 million tax benefit for return to provision adjustments related to our non-U.S. operations, and a $5.5 million benefit related to energy efficiency incentives.</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65" w:right="339" w:bottom="1440" w:gutter="0" w:footer="0" w:header="0"/>
        </w:sectPr>
      </w:pPr>
    </w:p>
    <w:bookmarkStart w:id="86" w:name="page87"/>
    <w:bookmarkEnd w:id="86"/>
    <w:p>
      <w:pPr>
        <w:spacing w:after="0"/>
        <w:rPr>
          <w:sz w:val="20"/>
          <w:szCs w:val="20"/>
          <w:color w:val="auto"/>
        </w:rPr>
      </w:pPr>
      <w:r>
        <w:rPr>
          <w:rFonts w:ascii="Arial" w:cs="Arial" w:eastAsia="Arial" w:hAnsi="Arial"/>
          <w:sz w:val="17"/>
          <w:szCs w:val="17"/>
          <w:b w:val="1"/>
          <w:bCs w:val="1"/>
          <w:color w:val="0046AD"/>
        </w:rPr>
        <w:t>Components of Deferred Tax Assets and Liabilities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78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2700" w:type="dxa"/>
            <w:vAlign w:val="bottom"/>
            <w:tcBorders>
              <w:bottom w:val="single" w:sz="8" w:color="auto"/>
            </w:tcBorders>
            <w:gridSpan w:val="3"/>
          </w:tcPr>
          <w:p>
            <w:pPr>
              <w:jc w:val="right"/>
              <w:ind w:right="54"/>
              <w:spacing w:after="0"/>
              <w:rPr>
                <w:sz w:val="20"/>
                <w:szCs w:val="20"/>
                <w:color w:val="auto"/>
              </w:rPr>
            </w:pPr>
            <w:r>
              <w:rPr>
                <w:rFonts w:ascii="Arial" w:cs="Arial" w:eastAsia="Arial" w:hAnsi="Arial"/>
                <w:sz w:val="17"/>
                <w:szCs w:val="17"/>
                <w:b w:val="1"/>
                <w:bCs w:val="1"/>
                <w:color w:val="auto"/>
              </w:rPr>
              <w:t>As of October 31,</w:t>
            </w:r>
          </w:p>
        </w:tc>
        <w:tc>
          <w:tcPr>
            <w:tcW w:w="1520" w:type="dxa"/>
            <w:vAlign w:val="bottom"/>
            <w:tcBorders>
              <w:bottom w:val="single" w:sz="8" w:color="auto"/>
            </w:tcBorders>
          </w:tcPr>
          <w:p>
            <w:pPr>
              <w:spacing w:after="0"/>
              <w:rPr>
                <w:sz w:val="19"/>
                <w:szCs w:val="19"/>
                <w:color w:val="auto"/>
              </w:rPr>
            </w:pPr>
          </w:p>
        </w:tc>
      </w:tr>
      <w:tr>
        <w:trPr>
          <w:trHeight w:val="160"/>
        </w:trPr>
        <w:tc>
          <w:tcPr>
            <w:tcW w:w="6480" w:type="dxa"/>
            <w:vAlign w:val="bottom"/>
            <w:gridSpan w:val="3"/>
          </w:tcPr>
          <w:p>
            <w:pPr>
              <w:ind w:left="20"/>
              <w:spacing w:after="0" w:line="148" w:lineRule="exact"/>
              <w:rPr>
                <w:sz w:val="20"/>
                <w:szCs w:val="20"/>
                <w:color w:val="auto"/>
              </w:rPr>
            </w:pPr>
            <w:r>
              <w:rPr>
                <w:rFonts w:ascii="Times New Roman" w:cs="Times New Roman" w:eastAsia="Times New Roman" w:hAnsi="Times New Roman"/>
                <w:sz w:val="14"/>
                <w:szCs w:val="14"/>
                <w:i w:val="1"/>
                <w:iCs w:val="1"/>
                <w:color w:val="auto"/>
              </w:rPr>
              <w:t>(in millions)</w:t>
            </w:r>
          </w:p>
        </w:tc>
        <w:tc>
          <w:tcPr>
            <w:tcW w:w="540" w:type="dxa"/>
            <w:vAlign w:val="bottom"/>
          </w:tcPr>
          <w:p>
            <w:pPr>
              <w:spacing w:after="0"/>
              <w:rPr>
                <w:sz w:val="13"/>
                <w:szCs w:val="13"/>
                <w:color w:val="auto"/>
              </w:rPr>
            </w:pPr>
          </w:p>
        </w:tc>
        <w:tc>
          <w:tcPr>
            <w:tcW w:w="1780" w:type="dxa"/>
            <w:vAlign w:val="bottom"/>
          </w:tcPr>
          <w:p>
            <w:pPr>
              <w:jc w:val="right"/>
              <w:ind w:right="874"/>
              <w:spacing w:after="0" w:line="148" w:lineRule="exact"/>
              <w:rPr>
                <w:sz w:val="20"/>
                <w:szCs w:val="20"/>
                <w:color w:val="auto"/>
              </w:rPr>
            </w:pPr>
            <w:r>
              <w:rPr>
                <w:rFonts w:ascii="Arial" w:cs="Arial" w:eastAsia="Arial" w:hAnsi="Arial"/>
                <w:sz w:val="17"/>
                <w:szCs w:val="17"/>
                <w:b w:val="1"/>
                <w:bCs w:val="1"/>
                <w:color w:val="auto"/>
              </w:rPr>
              <w:t>2025</w:t>
            </w: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520" w:type="dxa"/>
            <w:vAlign w:val="bottom"/>
          </w:tcPr>
          <w:p>
            <w:pPr>
              <w:jc w:val="right"/>
              <w:ind w:right="894"/>
              <w:spacing w:after="0" w:line="148" w:lineRule="exact"/>
              <w:rPr>
                <w:sz w:val="20"/>
                <w:szCs w:val="20"/>
                <w:color w:val="auto"/>
              </w:rPr>
            </w:pPr>
            <w:r>
              <w:rPr>
                <w:rFonts w:ascii="Arial" w:cs="Arial" w:eastAsia="Arial" w:hAnsi="Arial"/>
                <w:sz w:val="17"/>
                <w:szCs w:val="17"/>
                <w:b w:val="1"/>
                <w:bCs w:val="1"/>
                <w:color w:val="auto"/>
              </w:rPr>
              <w:t>2024</w:t>
            </w:r>
          </w:p>
        </w:tc>
      </w:tr>
      <w:tr>
        <w:trPr>
          <w:trHeight w:val="32"/>
        </w:trPr>
        <w:tc>
          <w:tcPr>
            <w:tcW w:w="20" w:type="dxa"/>
            <w:vAlign w:val="bottom"/>
            <w:tcBorders>
              <w:bottom w:val="single" w:sz="8" w:color="DCE2EF"/>
            </w:tcBorders>
          </w:tcPr>
          <w:p>
            <w:pPr>
              <w:spacing w:after="0"/>
              <w:rPr>
                <w:sz w:val="2"/>
                <w:szCs w:val="2"/>
                <w:color w:val="auto"/>
              </w:rPr>
            </w:pPr>
          </w:p>
        </w:tc>
        <w:tc>
          <w:tcPr>
            <w:tcW w:w="680" w:type="dxa"/>
            <w:vAlign w:val="bottom"/>
            <w:tcBorders>
              <w:top w:val="single" w:sz="8" w:color="auto"/>
              <w:bottom w:val="single" w:sz="8" w:color="DCE2EF"/>
            </w:tcBorders>
          </w:tcPr>
          <w:p>
            <w:pPr>
              <w:spacing w:after="0"/>
              <w:rPr>
                <w:sz w:val="2"/>
                <w:szCs w:val="2"/>
                <w:color w:val="auto"/>
              </w:rPr>
            </w:pPr>
          </w:p>
        </w:tc>
        <w:tc>
          <w:tcPr>
            <w:tcW w:w="5780" w:type="dxa"/>
            <w:vAlign w:val="bottom"/>
            <w:tcBorders>
              <w:bottom w:val="single" w:sz="8" w:color="DCE2E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20" w:type="dxa"/>
            <w:vAlign w:val="bottom"/>
            <w:tcBorders>
              <w:bottom w:val="single" w:sz="8" w:color="DCE2E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199"/>
        </w:trPr>
        <w:tc>
          <w:tcPr>
            <w:tcW w:w="6480" w:type="dxa"/>
            <w:vAlign w:val="bottom"/>
            <w:gridSpan w:val="3"/>
            <w:shd w:val="clear" w:color="auto" w:fill="DCE2EF"/>
          </w:tcPr>
          <w:p>
            <w:pPr>
              <w:ind w:left="20"/>
              <w:spacing w:after="0"/>
              <w:rPr>
                <w:sz w:val="20"/>
                <w:szCs w:val="20"/>
                <w:color w:val="auto"/>
              </w:rPr>
            </w:pPr>
            <w:r>
              <w:rPr>
                <w:rFonts w:ascii="Arial" w:cs="Arial" w:eastAsia="Arial" w:hAnsi="Arial"/>
                <w:sz w:val="17"/>
                <w:szCs w:val="17"/>
                <w:b w:val="1"/>
                <w:bCs w:val="1"/>
                <w:i w:val="1"/>
                <w:iCs w:val="1"/>
                <w:color w:val="auto"/>
              </w:rPr>
              <w:t>Deferred tax assets attributable to:</w:t>
            </w:r>
          </w:p>
        </w:tc>
        <w:tc>
          <w:tcPr>
            <w:tcW w:w="540" w:type="dxa"/>
            <w:vAlign w:val="bottom"/>
            <w:shd w:val="clear" w:color="auto" w:fill="DCE2EF"/>
          </w:tcPr>
          <w:p>
            <w:pPr>
              <w:spacing w:after="0"/>
              <w:rPr>
                <w:sz w:val="17"/>
                <w:szCs w:val="17"/>
                <w:color w:val="auto"/>
              </w:rPr>
            </w:pPr>
          </w:p>
        </w:tc>
        <w:tc>
          <w:tcPr>
            <w:tcW w:w="1780" w:type="dxa"/>
            <w:vAlign w:val="bottom"/>
            <w:shd w:val="clear" w:color="auto" w:fill="DCE2EF"/>
          </w:tcPr>
          <w:p>
            <w:pPr>
              <w:spacing w:after="0"/>
              <w:rPr>
                <w:sz w:val="17"/>
                <w:szCs w:val="17"/>
                <w:color w:val="auto"/>
              </w:rPr>
            </w:pPr>
          </w:p>
        </w:tc>
        <w:tc>
          <w:tcPr>
            <w:tcW w:w="120" w:type="dxa"/>
            <w:vAlign w:val="bottom"/>
            <w:shd w:val="clear" w:color="auto" w:fill="DCE2EF"/>
          </w:tcPr>
          <w:p>
            <w:pPr>
              <w:spacing w:after="0"/>
              <w:rPr>
                <w:sz w:val="17"/>
                <w:szCs w:val="17"/>
                <w:color w:val="auto"/>
              </w:rPr>
            </w:pPr>
          </w:p>
        </w:tc>
        <w:tc>
          <w:tcPr>
            <w:tcW w:w="800" w:type="dxa"/>
            <w:vAlign w:val="bottom"/>
            <w:shd w:val="clear" w:color="auto" w:fill="DCE2EF"/>
          </w:tcPr>
          <w:p>
            <w:pPr>
              <w:spacing w:after="0"/>
              <w:rPr>
                <w:sz w:val="17"/>
                <w:szCs w:val="17"/>
                <w:color w:val="auto"/>
              </w:rPr>
            </w:pPr>
          </w:p>
        </w:tc>
        <w:tc>
          <w:tcPr>
            <w:tcW w:w="1520" w:type="dxa"/>
            <w:vAlign w:val="bottom"/>
            <w:shd w:val="clear" w:color="auto" w:fill="DCE2EF"/>
          </w:tcPr>
          <w:p>
            <w:pPr>
              <w:spacing w:after="0"/>
              <w:rPr>
                <w:sz w:val="17"/>
                <w:szCs w:val="17"/>
                <w:color w:val="auto"/>
              </w:rPr>
            </w:pPr>
          </w:p>
        </w:tc>
      </w:tr>
      <w:tr>
        <w:trPr>
          <w:trHeight w:val="219"/>
        </w:trPr>
        <w:tc>
          <w:tcPr>
            <w:tcW w:w="20" w:type="dxa"/>
            <w:vAlign w:val="bottom"/>
          </w:tcPr>
          <w:p>
            <w:pPr>
              <w:spacing w:after="0"/>
              <w:rPr>
                <w:sz w:val="19"/>
                <w:szCs w:val="19"/>
                <w:color w:val="auto"/>
              </w:rPr>
            </w:pPr>
          </w:p>
        </w:tc>
        <w:tc>
          <w:tcPr>
            <w:tcW w:w="6460" w:type="dxa"/>
            <w:vAlign w:val="bottom"/>
            <w:gridSpan w:val="2"/>
          </w:tcPr>
          <w:p>
            <w:pPr>
              <w:ind w:left="120"/>
              <w:spacing w:after="0"/>
              <w:rPr>
                <w:sz w:val="20"/>
                <w:szCs w:val="20"/>
                <w:color w:val="auto"/>
              </w:rPr>
            </w:pPr>
            <w:r>
              <w:rPr>
                <w:rFonts w:ascii="Arial" w:cs="Arial" w:eastAsia="Arial" w:hAnsi="Arial"/>
                <w:sz w:val="17"/>
                <w:szCs w:val="17"/>
                <w:color w:val="auto"/>
              </w:rPr>
              <w:t>Self-insurance claims (net of recoverables)</w:t>
            </w:r>
          </w:p>
        </w:tc>
        <w:tc>
          <w:tcPr>
            <w:tcW w:w="540" w:type="dxa"/>
            <w:vAlign w:val="bottom"/>
          </w:tcPr>
          <w:p>
            <w:pPr>
              <w:jc w:val="right"/>
              <w:ind w:right="354"/>
              <w:spacing w:after="0"/>
              <w:rPr>
                <w:sz w:val="20"/>
                <w:szCs w:val="20"/>
                <w:color w:val="auto"/>
              </w:rPr>
            </w:pPr>
            <w:r>
              <w:rPr>
                <w:rFonts w:ascii="Arial" w:cs="Arial" w:eastAsia="Arial" w:hAnsi="Arial"/>
                <w:sz w:val="17"/>
                <w:szCs w:val="17"/>
                <w:color w:val="auto"/>
                <w:w w:val="84"/>
              </w:rPr>
              <w:t>$</w:t>
            </w:r>
          </w:p>
        </w:tc>
        <w:tc>
          <w:tcPr>
            <w:tcW w:w="1780" w:type="dxa"/>
            <w:vAlign w:val="bottom"/>
          </w:tcPr>
          <w:p>
            <w:pPr>
              <w:jc w:val="right"/>
              <w:spacing w:after="0"/>
              <w:rPr>
                <w:sz w:val="20"/>
                <w:szCs w:val="20"/>
                <w:color w:val="auto"/>
              </w:rPr>
            </w:pPr>
            <w:r>
              <w:rPr>
                <w:rFonts w:ascii="Arial" w:cs="Arial" w:eastAsia="Arial" w:hAnsi="Arial"/>
                <w:sz w:val="17"/>
                <w:szCs w:val="17"/>
                <w:color w:val="auto"/>
              </w:rPr>
              <w:t>116.3</w:t>
            </w:r>
          </w:p>
        </w:tc>
        <w:tc>
          <w:tcPr>
            <w:tcW w:w="120" w:type="dxa"/>
            <w:vAlign w:val="bottom"/>
          </w:tcPr>
          <w:p>
            <w:pPr>
              <w:spacing w:after="0"/>
              <w:rPr>
                <w:sz w:val="19"/>
                <w:szCs w:val="19"/>
                <w:color w:val="auto"/>
              </w:rPr>
            </w:pPr>
          </w:p>
        </w:tc>
        <w:tc>
          <w:tcPr>
            <w:tcW w:w="800" w:type="dxa"/>
            <w:vAlign w:val="bottom"/>
          </w:tcPr>
          <w:p>
            <w:pPr>
              <w:jc w:val="right"/>
              <w:ind w:right="614"/>
              <w:spacing w:after="0"/>
              <w:rPr>
                <w:sz w:val="20"/>
                <w:szCs w:val="20"/>
                <w:color w:val="auto"/>
              </w:rPr>
            </w:pPr>
            <w:r>
              <w:rPr>
                <w:rFonts w:ascii="Arial" w:cs="Arial" w:eastAsia="Arial" w:hAnsi="Arial"/>
                <w:sz w:val="17"/>
                <w:szCs w:val="17"/>
                <w:color w:val="auto"/>
                <w:w w:val="84"/>
              </w:rPr>
              <w:t>$</w:t>
            </w:r>
          </w:p>
        </w:tc>
        <w:tc>
          <w:tcPr>
            <w:tcW w:w="1520" w:type="dxa"/>
            <w:vAlign w:val="bottom"/>
          </w:tcPr>
          <w:p>
            <w:pPr>
              <w:jc w:val="right"/>
              <w:spacing w:after="0"/>
              <w:rPr>
                <w:sz w:val="20"/>
                <w:szCs w:val="20"/>
                <w:color w:val="auto"/>
              </w:rPr>
            </w:pPr>
            <w:r>
              <w:rPr>
                <w:rFonts w:ascii="Arial" w:cs="Arial" w:eastAsia="Arial" w:hAnsi="Arial"/>
                <w:sz w:val="17"/>
                <w:szCs w:val="17"/>
                <w:color w:val="auto"/>
              </w:rPr>
              <w:t>106.3</w:t>
            </w:r>
          </w:p>
        </w:tc>
      </w:tr>
      <w:tr>
        <w:trPr>
          <w:trHeight w:val="219"/>
        </w:trPr>
        <w:tc>
          <w:tcPr>
            <w:tcW w:w="20" w:type="dxa"/>
            <w:vAlign w:val="bottom"/>
            <w:shd w:val="clear" w:color="auto" w:fill="DCE2EF"/>
          </w:tcPr>
          <w:p>
            <w:pPr>
              <w:spacing w:after="0"/>
              <w:rPr>
                <w:sz w:val="19"/>
                <w:szCs w:val="19"/>
                <w:color w:val="auto"/>
              </w:rPr>
            </w:pPr>
          </w:p>
        </w:tc>
        <w:tc>
          <w:tcPr>
            <w:tcW w:w="6460" w:type="dxa"/>
            <w:vAlign w:val="bottom"/>
            <w:gridSpan w:val="2"/>
            <w:shd w:val="clear" w:color="auto" w:fill="DCE2EF"/>
          </w:tcPr>
          <w:p>
            <w:pPr>
              <w:ind w:left="120"/>
              <w:spacing w:after="0"/>
              <w:rPr>
                <w:sz w:val="20"/>
                <w:szCs w:val="20"/>
                <w:color w:val="auto"/>
              </w:rPr>
            </w:pPr>
            <w:r>
              <w:rPr>
                <w:rFonts w:ascii="Arial" w:cs="Arial" w:eastAsia="Arial" w:hAnsi="Arial"/>
                <w:sz w:val="17"/>
                <w:szCs w:val="17"/>
                <w:color w:val="auto"/>
              </w:rPr>
              <w:t>Deferred and other compensation</w:t>
            </w:r>
          </w:p>
        </w:tc>
        <w:tc>
          <w:tcPr>
            <w:tcW w:w="540" w:type="dxa"/>
            <w:vAlign w:val="bottom"/>
            <w:shd w:val="clear" w:color="auto" w:fill="DCE2EF"/>
          </w:tcPr>
          <w:p>
            <w:pPr>
              <w:spacing w:after="0"/>
              <w:rPr>
                <w:sz w:val="19"/>
                <w:szCs w:val="19"/>
                <w:color w:val="auto"/>
              </w:rPr>
            </w:pPr>
          </w:p>
        </w:tc>
        <w:tc>
          <w:tcPr>
            <w:tcW w:w="1780" w:type="dxa"/>
            <w:vAlign w:val="bottom"/>
            <w:shd w:val="clear" w:color="auto" w:fill="DCE2EF"/>
          </w:tcPr>
          <w:p>
            <w:pPr>
              <w:jc w:val="right"/>
              <w:spacing w:after="0"/>
              <w:rPr>
                <w:sz w:val="20"/>
                <w:szCs w:val="20"/>
                <w:color w:val="auto"/>
              </w:rPr>
            </w:pPr>
            <w:r>
              <w:rPr>
                <w:rFonts w:ascii="Arial" w:cs="Arial" w:eastAsia="Arial" w:hAnsi="Arial"/>
                <w:sz w:val="17"/>
                <w:szCs w:val="17"/>
                <w:color w:val="auto"/>
              </w:rPr>
              <w:t>35.3</w:t>
            </w:r>
          </w:p>
        </w:tc>
        <w:tc>
          <w:tcPr>
            <w:tcW w:w="120" w:type="dxa"/>
            <w:vAlign w:val="bottom"/>
            <w:shd w:val="clear" w:color="auto" w:fill="DCE2EF"/>
          </w:tcPr>
          <w:p>
            <w:pPr>
              <w:spacing w:after="0"/>
              <w:rPr>
                <w:sz w:val="19"/>
                <w:szCs w:val="19"/>
                <w:color w:val="auto"/>
              </w:rPr>
            </w:pPr>
          </w:p>
        </w:tc>
        <w:tc>
          <w:tcPr>
            <w:tcW w:w="800" w:type="dxa"/>
            <w:vAlign w:val="bottom"/>
            <w:shd w:val="clear" w:color="auto" w:fill="DCE2EF"/>
          </w:tcPr>
          <w:p>
            <w:pPr>
              <w:spacing w:after="0"/>
              <w:rPr>
                <w:sz w:val="19"/>
                <w:szCs w:val="19"/>
                <w:color w:val="auto"/>
              </w:rPr>
            </w:pPr>
          </w:p>
        </w:tc>
        <w:tc>
          <w:tcPr>
            <w:tcW w:w="1520" w:type="dxa"/>
            <w:vAlign w:val="bottom"/>
            <w:shd w:val="clear" w:color="auto" w:fill="DCE2EF"/>
          </w:tcPr>
          <w:p>
            <w:pPr>
              <w:jc w:val="right"/>
              <w:spacing w:after="0"/>
              <w:rPr>
                <w:sz w:val="20"/>
                <w:szCs w:val="20"/>
                <w:color w:val="auto"/>
              </w:rPr>
            </w:pPr>
            <w:r>
              <w:rPr>
                <w:rFonts w:ascii="Arial" w:cs="Arial" w:eastAsia="Arial" w:hAnsi="Arial"/>
                <w:sz w:val="17"/>
                <w:szCs w:val="17"/>
                <w:color w:val="auto"/>
              </w:rPr>
              <w:t>29.0</w:t>
            </w:r>
          </w:p>
        </w:tc>
      </w:tr>
      <w:tr>
        <w:trPr>
          <w:trHeight w:val="219"/>
        </w:trPr>
        <w:tc>
          <w:tcPr>
            <w:tcW w:w="20" w:type="dxa"/>
            <w:vAlign w:val="bottom"/>
          </w:tcPr>
          <w:p>
            <w:pPr>
              <w:spacing w:after="0"/>
              <w:rPr>
                <w:sz w:val="19"/>
                <w:szCs w:val="19"/>
                <w:color w:val="auto"/>
              </w:rPr>
            </w:pPr>
          </w:p>
        </w:tc>
        <w:tc>
          <w:tcPr>
            <w:tcW w:w="6460" w:type="dxa"/>
            <w:vAlign w:val="bottom"/>
            <w:gridSpan w:val="2"/>
          </w:tcPr>
          <w:p>
            <w:pPr>
              <w:ind w:left="120"/>
              <w:spacing w:after="0"/>
              <w:rPr>
                <w:sz w:val="20"/>
                <w:szCs w:val="20"/>
                <w:color w:val="auto"/>
              </w:rPr>
            </w:pPr>
            <w:r>
              <w:rPr>
                <w:rFonts w:ascii="Arial" w:cs="Arial" w:eastAsia="Arial" w:hAnsi="Arial"/>
                <w:sz w:val="17"/>
                <w:szCs w:val="17"/>
                <w:color w:val="auto"/>
              </w:rPr>
              <w:t>Accounts receivable allowances</w:t>
            </w:r>
          </w:p>
        </w:tc>
        <w:tc>
          <w:tcPr>
            <w:tcW w:w="54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7"/>
                <w:szCs w:val="17"/>
                <w:color w:val="auto"/>
              </w:rPr>
              <w:t>6.1</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5.6</w:t>
            </w:r>
          </w:p>
        </w:tc>
      </w:tr>
      <w:tr>
        <w:trPr>
          <w:trHeight w:val="219"/>
        </w:trPr>
        <w:tc>
          <w:tcPr>
            <w:tcW w:w="20" w:type="dxa"/>
            <w:vAlign w:val="bottom"/>
            <w:shd w:val="clear" w:color="auto" w:fill="DCE2EF"/>
          </w:tcPr>
          <w:p>
            <w:pPr>
              <w:spacing w:after="0"/>
              <w:rPr>
                <w:sz w:val="19"/>
                <w:szCs w:val="19"/>
                <w:color w:val="auto"/>
              </w:rPr>
            </w:pPr>
          </w:p>
        </w:tc>
        <w:tc>
          <w:tcPr>
            <w:tcW w:w="6460" w:type="dxa"/>
            <w:vAlign w:val="bottom"/>
            <w:gridSpan w:val="2"/>
            <w:shd w:val="clear" w:color="auto" w:fill="DCE2EF"/>
          </w:tcPr>
          <w:p>
            <w:pPr>
              <w:ind w:left="120"/>
              <w:spacing w:after="0"/>
              <w:rPr>
                <w:sz w:val="20"/>
                <w:szCs w:val="20"/>
                <w:color w:val="auto"/>
              </w:rPr>
            </w:pPr>
            <w:r>
              <w:rPr>
                <w:rFonts w:ascii="Arial" w:cs="Arial" w:eastAsia="Arial" w:hAnsi="Arial"/>
                <w:sz w:val="17"/>
                <w:szCs w:val="17"/>
                <w:color w:val="auto"/>
              </w:rPr>
              <w:t>Settlement liabilities</w:t>
            </w:r>
          </w:p>
        </w:tc>
        <w:tc>
          <w:tcPr>
            <w:tcW w:w="540" w:type="dxa"/>
            <w:vAlign w:val="bottom"/>
            <w:shd w:val="clear" w:color="auto" w:fill="DCE2EF"/>
          </w:tcPr>
          <w:p>
            <w:pPr>
              <w:spacing w:after="0"/>
              <w:rPr>
                <w:sz w:val="19"/>
                <w:szCs w:val="19"/>
                <w:color w:val="auto"/>
              </w:rPr>
            </w:pPr>
          </w:p>
        </w:tc>
        <w:tc>
          <w:tcPr>
            <w:tcW w:w="1780" w:type="dxa"/>
            <w:vAlign w:val="bottom"/>
            <w:shd w:val="clear" w:color="auto" w:fill="DCE2EF"/>
          </w:tcPr>
          <w:p>
            <w:pPr>
              <w:jc w:val="right"/>
              <w:spacing w:after="0"/>
              <w:rPr>
                <w:sz w:val="20"/>
                <w:szCs w:val="20"/>
                <w:color w:val="auto"/>
              </w:rPr>
            </w:pPr>
            <w:r>
              <w:rPr>
                <w:rFonts w:ascii="Arial" w:cs="Arial" w:eastAsia="Arial" w:hAnsi="Arial"/>
                <w:sz w:val="17"/>
                <w:szCs w:val="17"/>
                <w:color w:val="auto"/>
              </w:rPr>
              <w:t>2.6</w:t>
            </w:r>
          </w:p>
        </w:tc>
        <w:tc>
          <w:tcPr>
            <w:tcW w:w="120" w:type="dxa"/>
            <w:vAlign w:val="bottom"/>
            <w:shd w:val="clear" w:color="auto" w:fill="DCE2EF"/>
          </w:tcPr>
          <w:p>
            <w:pPr>
              <w:spacing w:after="0"/>
              <w:rPr>
                <w:sz w:val="19"/>
                <w:szCs w:val="19"/>
                <w:color w:val="auto"/>
              </w:rPr>
            </w:pPr>
          </w:p>
        </w:tc>
        <w:tc>
          <w:tcPr>
            <w:tcW w:w="800" w:type="dxa"/>
            <w:vAlign w:val="bottom"/>
            <w:shd w:val="clear" w:color="auto" w:fill="DCE2EF"/>
          </w:tcPr>
          <w:p>
            <w:pPr>
              <w:spacing w:after="0"/>
              <w:rPr>
                <w:sz w:val="19"/>
                <w:szCs w:val="19"/>
                <w:color w:val="auto"/>
              </w:rPr>
            </w:pPr>
          </w:p>
        </w:tc>
        <w:tc>
          <w:tcPr>
            <w:tcW w:w="1520" w:type="dxa"/>
            <w:vAlign w:val="bottom"/>
            <w:shd w:val="clear" w:color="auto" w:fill="DCE2EF"/>
          </w:tcPr>
          <w:p>
            <w:pPr>
              <w:jc w:val="right"/>
              <w:spacing w:after="0"/>
              <w:rPr>
                <w:sz w:val="20"/>
                <w:szCs w:val="20"/>
                <w:color w:val="auto"/>
              </w:rPr>
            </w:pPr>
            <w:r>
              <w:rPr>
                <w:rFonts w:ascii="Arial" w:cs="Arial" w:eastAsia="Arial" w:hAnsi="Arial"/>
                <w:sz w:val="17"/>
                <w:szCs w:val="17"/>
                <w:color w:val="auto"/>
              </w:rPr>
              <w:t>3.4</w:t>
            </w:r>
          </w:p>
        </w:tc>
      </w:tr>
      <w:tr>
        <w:trPr>
          <w:trHeight w:val="219"/>
        </w:trPr>
        <w:tc>
          <w:tcPr>
            <w:tcW w:w="20" w:type="dxa"/>
            <w:vAlign w:val="bottom"/>
          </w:tcPr>
          <w:p>
            <w:pPr>
              <w:spacing w:after="0"/>
              <w:rPr>
                <w:sz w:val="19"/>
                <w:szCs w:val="19"/>
                <w:color w:val="auto"/>
              </w:rPr>
            </w:pPr>
          </w:p>
        </w:tc>
        <w:tc>
          <w:tcPr>
            <w:tcW w:w="6460" w:type="dxa"/>
            <w:vAlign w:val="bottom"/>
            <w:gridSpan w:val="2"/>
          </w:tcPr>
          <w:p>
            <w:pPr>
              <w:ind w:left="120"/>
              <w:spacing w:after="0"/>
              <w:rPr>
                <w:sz w:val="20"/>
                <w:szCs w:val="20"/>
                <w:color w:val="auto"/>
              </w:rPr>
            </w:pPr>
            <w:r>
              <w:rPr>
                <w:rFonts w:ascii="Arial" w:cs="Arial" w:eastAsia="Arial" w:hAnsi="Arial"/>
                <w:sz w:val="17"/>
                <w:szCs w:val="17"/>
                <w:color w:val="auto"/>
              </w:rPr>
              <w:t>Other accruals</w:t>
            </w:r>
          </w:p>
        </w:tc>
        <w:tc>
          <w:tcPr>
            <w:tcW w:w="54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7"/>
                <w:szCs w:val="17"/>
                <w:color w:val="auto"/>
              </w:rPr>
              <w:t>0.2</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4.0</w:t>
            </w:r>
          </w:p>
        </w:tc>
      </w:tr>
      <w:tr>
        <w:trPr>
          <w:trHeight w:val="219"/>
        </w:trPr>
        <w:tc>
          <w:tcPr>
            <w:tcW w:w="20" w:type="dxa"/>
            <w:vAlign w:val="bottom"/>
            <w:shd w:val="clear" w:color="auto" w:fill="DCE2EF"/>
          </w:tcPr>
          <w:p>
            <w:pPr>
              <w:spacing w:after="0"/>
              <w:rPr>
                <w:sz w:val="19"/>
                <w:szCs w:val="19"/>
                <w:color w:val="auto"/>
              </w:rPr>
            </w:pPr>
          </w:p>
        </w:tc>
        <w:tc>
          <w:tcPr>
            <w:tcW w:w="6460" w:type="dxa"/>
            <w:vAlign w:val="bottom"/>
            <w:gridSpan w:val="2"/>
            <w:shd w:val="clear" w:color="auto" w:fill="DCE2EF"/>
          </w:tcPr>
          <w:p>
            <w:pPr>
              <w:ind w:left="120"/>
              <w:spacing w:after="0"/>
              <w:rPr>
                <w:sz w:val="20"/>
                <w:szCs w:val="20"/>
                <w:color w:val="auto"/>
              </w:rPr>
            </w:pPr>
            <w:r>
              <w:rPr>
                <w:rFonts w:ascii="Arial" w:cs="Arial" w:eastAsia="Arial" w:hAnsi="Arial"/>
                <w:sz w:val="17"/>
                <w:szCs w:val="17"/>
                <w:color w:val="auto"/>
              </w:rPr>
              <w:t>Other comprehensive income</w:t>
            </w:r>
          </w:p>
        </w:tc>
        <w:tc>
          <w:tcPr>
            <w:tcW w:w="540" w:type="dxa"/>
            <w:vAlign w:val="bottom"/>
            <w:shd w:val="clear" w:color="auto" w:fill="DCE2EF"/>
          </w:tcPr>
          <w:p>
            <w:pPr>
              <w:spacing w:after="0"/>
              <w:rPr>
                <w:sz w:val="19"/>
                <w:szCs w:val="19"/>
                <w:color w:val="auto"/>
              </w:rPr>
            </w:pPr>
          </w:p>
        </w:tc>
        <w:tc>
          <w:tcPr>
            <w:tcW w:w="1780" w:type="dxa"/>
            <w:vAlign w:val="bottom"/>
            <w:shd w:val="clear" w:color="auto" w:fill="DCE2EF"/>
          </w:tcPr>
          <w:p>
            <w:pPr>
              <w:jc w:val="right"/>
              <w:spacing w:after="0"/>
              <w:rPr>
                <w:sz w:val="20"/>
                <w:szCs w:val="20"/>
                <w:color w:val="auto"/>
              </w:rPr>
            </w:pPr>
            <w:r>
              <w:rPr>
                <w:rFonts w:ascii="Arial" w:cs="Arial" w:eastAsia="Arial" w:hAnsi="Arial"/>
                <w:sz w:val="17"/>
                <w:szCs w:val="17"/>
                <w:color w:val="auto"/>
              </w:rPr>
              <w:t>0.2</w:t>
            </w:r>
          </w:p>
        </w:tc>
        <w:tc>
          <w:tcPr>
            <w:tcW w:w="120" w:type="dxa"/>
            <w:vAlign w:val="bottom"/>
            <w:shd w:val="clear" w:color="auto" w:fill="DCE2EF"/>
          </w:tcPr>
          <w:p>
            <w:pPr>
              <w:spacing w:after="0"/>
              <w:rPr>
                <w:sz w:val="19"/>
                <w:szCs w:val="19"/>
                <w:color w:val="auto"/>
              </w:rPr>
            </w:pPr>
          </w:p>
        </w:tc>
        <w:tc>
          <w:tcPr>
            <w:tcW w:w="800" w:type="dxa"/>
            <w:vAlign w:val="bottom"/>
            <w:shd w:val="clear" w:color="auto" w:fill="DCE2EF"/>
          </w:tcPr>
          <w:p>
            <w:pPr>
              <w:spacing w:after="0"/>
              <w:rPr>
                <w:sz w:val="19"/>
                <w:szCs w:val="19"/>
                <w:color w:val="auto"/>
              </w:rPr>
            </w:pPr>
          </w:p>
        </w:tc>
        <w:tc>
          <w:tcPr>
            <w:tcW w:w="1520" w:type="dxa"/>
            <w:vAlign w:val="bottom"/>
            <w:shd w:val="clear" w:color="auto" w:fill="DCE2EF"/>
          </w:tcPr>
          <w:p>
            <w:pPr>
              <w:jc w:val="right"/>
              <w:spacing w:after="0"/>
              <w:rPr>
                <w:sz w:val="20"/>
                <w:szCs w:val="20"/>
                <w:color w:val="auto"/>
              </w:rPr>
            </w:pPr>
            <w:r>
              <w:rPr>
                <w:rFonts w:ascii="Arial" w:cs="Arial" w:eastAsia="Arial" w:hAnsi="Arial"/>
                <w:sz w:val="17"/>
                <w:szCs w:val="17"/>
                <w:color w:val="auto"/>
              </w:rPr>
              <w:t>—</w:t>
            </w:r>
          </w:p>
        </w:tc>
      </w:tr>
      <w:tr>
        <w:trPr>
          <w:trHeight w:val="219"/>
        </w:trPr>
        <w:tc>
          <w:tcPr>
            <w:tcW w:w="20" w:type="dxa"/>
            <w:vAlign w:val="bottom"/>
          </w:tcPr>
          <w:p>
            <w:pPr>
              <w:spacing w:after="0"/>
              <w:rPr>
                <w:sz w:val="19"/>
                <w:szCs w:val="19"/>
                <w:color w:val="auto"/>
              </w:rPr>
            </w:pPr>
          </w:p>
        </w:tc>
        <w:tc>
          <w:tcPr>
            <w:tcW w:w="6460" w:type="dxa"/>
            <w:vAlign w:val="bottom"/>
            <w:gridSpan w:val="2"/>
          </w:tcPr>
          <w:p>
            <w:pPr>
              <w:ind w:left="120"/>
              <w:spacing w:after="0"/>
              <w:rPr>
                <w:sz w:val="20"/>
                <w:szCs w:val="20"/>
                <w:color w:val="auto"/>
              </w:rPr>
            </w:pPr>
            <w:r>
              <w:rPr>
                <w:rFonts w:ascii="Arial" w:cs="Arial" w:eastAsia="Arial" w:hAnsi="Arial"/>
                <w:sz w:val="17"/>
                <w:szCs w:val="17"/>
                <w:color w:val="auto"/>
              </w:rPr>
              <w:t>State taxes</w:t>
            </w:r>
          </w:p>
        </w:tc>
        <w:tc>
          <w:tcPr>
            <w:tcW w:w="54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7"/>
                <w:szCs w:val="17"/>
                <w:color w:val="auto"/>
              </w:rPr>
              <w:t>0.7</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1.5</w:t>
            </w:r>
          </w:p>
        </w:tc>
      </w:tr>
      <w:tr>
        <w:trPr>
          <w:trHeight w:val="219"/>
        </w:trPr>
        <w:tc>
          <w:tcPr>
            <w:tcW w:w="20" w:type="dxa"/>
            <w:vAlign w:val="bottom"/>
            <w:shd w:val="clear" w:color="auto" w:fill="DCE2EF"/>
          </w:tcPr>
          <w:p>
            <w:pPr>
              <w:spacing w:after="0"/>
              <w:rPr>
                <w:sz w:val="19"/>
                <w:szCs w:val="19"/>
                <w:color w:val="auto"/>
              </w:rPr>
            </w:pPr>
          </w:p>
        </w:tc>
        <w:tc>
          <w:tcPr>
            <w:tcW w:w="6460" w:type="dxa"/>
            <w:vAlign w:val="bottom"/>
            <w:gridSpan w:val="2"/>
            <w:shd w:val="clear" w:color="auto" w:fill="DCE2EF"/>
          </w:tcPr>
          <w:p>
            <w:pPr>
              <w:ind w:left="120"/>
              <w:spacing w:after="0"/>
              <w:rPr>
                <w:sz w:val="20"/>
                <w:szCs w:val="20"/>
                <w:color w:val="auto"/>
              </w:rPr>
            </w:pPr>
            <w:r>
              <w:rPr>
                <w:rFonts w:ascii="Arial" w:cs="Arial" w:eastAsia="Arial" w:hAnsi="Arial"/>
                <w:sz w:val="17"/>
                <w:szCs w:val="17"/>
                <w:color w:val="auto"/>
              </w:rPr>
              <w:t>State net operating loss carryforwards</w:t>
            </w:r>
          </w:p>
        </w:tc>
        <w:tc>
          <w:tcPr>
            <w:tcW w:w="540" w:type="dxa"/>
            <w:vAlign w:val="bottom"/>
            <w:shd w:val="clear" w:color="auto" w:fill="DCE2EF"/>
          </w:tcPr>
          <w:p>
            <w:pPr>
              <w:spacing w:after="0"/>
              <w:rPr>
                <w:sz w:val="19"/>
                <w:szCs w:val="19"/>
                <w:color w:val="auto"/>
              </w:rPr>
            </w:pPr>
          </w:p>
        </w:tc>
        <w:tc>
          <w:tcPr>
            <w:tcW w:w="1780" w:type="dxa"/>
            <w:vAlign w:val="bottom"/>
            <w:shd w:val="clear" w:color="auto" w:fill="DCE2EF"/>
          </w:tcPr>
          <w:p>
            <w:pPr>
              <w:jc w:val="right"/>
              <w:spacing w:after="0"/>
              <w:rPr>
                <w:sz w:val="20"/>
                <w:szCs w:val="20"/>
                <w:color w:val="auto"/>
              </w:rPr>
            </w:pPr>
            <w:r>
              <w:rPr>
                <w:rFonts w:ascii="Arial" w:cs="Arial" w:eastAsia="Arial" w:hAnsi="Arial"/>
                <w:sz w:val="17"/>
                <w:szCs w:val="17"/>
                <w:color w:val="auto"/>
              </w:rPr>
              <w:t>2.9</w:t>
            </w:r>
          </w:p>
        </w:tc>
        <w:tc>
          <w:tcPr>
            <w:tcW w:w="120" w:type="dxa"/>
            <w:vAlign w:val="bottom"/>
            <w:shd w:val="clear" w:color="auto" w:fill="DCE2EF"/>
          </w:tcPr>
          <w:p>
            <w:pPr>
              <w:spacing w:after="0"/>
              <w:rPr>
                <w:sz w:val="19"/>
                <w:szCs w:val="19"/>
                <w:color w:val="auto"/>
              </w:rPr>
            </w:pPr>
          </w:p>
        </w:tc>
        <w:tc>
          <w:tcPr>
            <w:tcW w:w="800" w:type="dxa"/>
            <w:vAlign w:val="bottom"/>
            <w:shd w:val="clear" w:color="auto" w:fill="DCE2EF"/>
          </w:tcPr>
          <w:p>
            <w:pPr>
              <w:spacing w:after="0"/>
              <w:rPr>
                <w:sz w:val="19"/>
                <w:szCs w:val="19"/>
                <w:color w:val="auto"/>
              </w:rPr>
            </w:pPr>
          </w:p>
        </w:tc>
        <w:tc>
          <w:tcPr>
            <w:tcW w:w="1520" w:type="dxa"/>
            <w:vAlign w:val="bottom"/>
            <w:shd w:val="clear" w:color="auto" w:fill="DCE2EF"/>
          </w:tcPr>
          <w:p>
            <w:pPr>
              <w:jc w:val="right"/>
              <w:spacing w:after="0"/>
              <w:rPr>
                <w:sz w:val="20"/>
                <w:szCs w:val="20"/>
                <w:color w:val="auto"/>
              </w:rPr>
            </w:pPr>
            <w:r>
              <w:rPr>
                <w:rFonts w:ascii="Arial" w:cs="Arial" w:eastAsia="Arial" w:hAnsi="Arial"/>
                <w:sz w:val="17"/>
                <w:szCs w:val="17"/>
                <w:color w:val="auto"/>
              </w:rPr>
              <w:t>2.5</w:t>
            </w:r>
          </w:p>
        </w:tc>
      </w:tr>
      <w:tr>
        <w:trPr>
          <w:trHeight w:val="219"/>
        </w:trPr>
        <w:tc>
          <w:tcPr>
            <w:tcW w:w="20" w:type="dxa"/>
            <w:vAlign w:val="bottom"/>
          </w:tcPr>
          <w:p>
            <w:pPr>
              <w:spacing w:after="0"/>
              <w:rPr>
                <w:sz w:val="19"/>
                <w:szCs w:val="19"/>
                <w:color w:val="auto"/>
              </w:rPr>
            </w:pPr>
          </w:p>
        </w:tc>
        <w:tc>
          <w:tcPr>
            <w:tcW w:w="6460" w:type="dxa"/>
            <w:vAlign w:val="bottom"/>
            <w:gridSpan w:val="2"/>
          </w:tcPr>
          <w:p>
            <w:pPr>
              <w:ind w:left="120"/>
              <w:spacing w:after="0"/>
              <w:rPr>
                <w:sz w:val="20"/>
                <w:szCs w:val="20"/>
                <w:color w:val="auto"/>
              </w:rPr>
            </w:pPr>
            <w:r>
              <w:rPr>
                <w:rFonts w:ascii="Arial" w:cs="Arial" w:eastAsia="Arial" w:hAnsi="Arial"/>
                <w:sz w:val="17"/>
                <w:szCs w:val="17"/>
                <w:color w:val="auto"/>
              </w:rPr>
              <w:t>Tax credits</w:t>
            </w:r>
          </w:p>
        </w:tc>
        <w:tc>
          <w:tcPr>
            <w:tcW w:w="54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7"/>
                <w:szCs w:val="17"/>
                <w:color w:val="auto"/>
              </w:rPr>
              <w:t>3.2</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3.4</w:t>
            </w:r>
          </w:p>
        </w:tc>
      </w:tr>
      <w:tr>
        <w:trPr>
          <w:trHeight w:val="219"/>
        </w:trPr>
        <w:tc>
          <w:tcPr>
            <w:tcW w:w="20" w:type="dxa"/>
            <w:vAlign w:val="bottom"/>
            <w:shd w:val="clear" w:color="auto" w:fill="DCE2EF"/>
          </w:tcPr>
          <w:p>
            <w:pPr>
              <w:spacing w:after="0"/>
              <w:rPr>
                <w:sz w:val="19"/>
                <w:szCs w:val="19"/>
                <w:color w:val="auto"/>
              </w:rPr>
            </w:pPr>
          </w:p>
        </w:tc>
        <w:tc>
          <w:tcPr>
            <w:tcW w:w="6460" w:type="dxa"/>
            <w:vAlign w:val="bottom"/>
            <w:gridSpan w:val="2"/>
            <w:shd w:val="clear" w:color="auto" w:fill="DCE2EF"/>
          </w:tcPr>
          <w:p>
            <w:pPr>
              <w:ind w:left="120"/>
              <w:spacing w:after="0"/>
              <w:rPr>
                <w:sz w:val="20"/>
                <w:szCs w:val="20"/>
                <w:color w:val="auto"/>
              </w:rPr>
            </w:pPr>
            <w:r>
              <w:rPr>
                <w:rFonts w:ascii="Arial" w:cs="Arial" w:eastAsia="Arial" w:hAnsi="Arial"/>
                <w:sz w:val="17"/>
                <w:szCs w:val="17"/>
                <w:color w:val="auto"/>
              </w:rPr>
              <w:t>Unrecognized tax benefits</w:t>
            </w:r>
          </w:p>
        </w:tc>
        <w:tc>
          <w:tcPr>
            <w:tcW w:w="540" w:type="dxa"/>
            <w:vAlign w:val="bottom"/>
            <w:shd w:val="clear" w:color="auto" w:fill="DCE2EF"/>
          </w:tcPr>
          <w:p>
            <w:pPr>
              <w:spacing w:after="0"/>
              <w:rPr>
                <w:sz w:val="19"/>
                <w:szCs w:val="19"/>
                <w:color w:val="auto"/>
              </w:rPr>
            </w:pPr>
          </w:p>
        </w:tc>
        <w:tc>
          <w:tcPr>
            <w:tcW w:w="1780" w:type="dxa"/>
            <w:vAlign w:val="bottom"/>
            <w:shd w:val="clear" w:color="auto" w:fill="DCE2EF"/>
          </w:tcPr>
          <w:p>
            <w:pPr>
              <w:jc w:val="right"/>
              <w:spacing w:after="0"/>
              <w:rPr>
                <w:sz w:val="20"/>
                <w:szCs w:val="20"/>
                <w:color w:val="auto"/>
              </w:rPr>
            </w:pPr>
            <w:r>
              <w:rPr>
                <w:rFonts w:ascii="Arial" w:cs="Arial" w:eastAsia="Arial" w:hAnsi="Arial"/>
                <w:sz w:val="17"/>
                <w:szCs w:val="17"/>
                <w:color w:val="auto"/>
              </w:rPr>
              <w:t>3.3</w:t>
            </w:r>
          </w:p>
        </w:tc>
        <w:tc>
          <w:tcPr>
            <w:tcW w:w="120" w:type="dxa"/>
            <w:vAlign w:val="bottom"/>
            <w:shd w:val="clear" w:color="auto" w:fill="DCE2EF"/>
          </w:tcPr>
          <w:p>
            <w:pPr>
              <w:spacing w:after="0"/>
              <w:rPr>
                <w:sz w:val="19"/>
                <w:szCs w:val="19"/>
                <w:color w:val="auto"/>
              </w:rPr>
            </w:pPr>
          </w:p>
        </w:tc>
        <w:tc>
          <w:tcPr>
            <w:tcW w:w="800" w:type="dxa"/>
            <w:vAlign w:val="bottom"/>
            <w:shd w:val="clear" w:color="auto" w:fill="DCE2EF"/>
          </w:tcPr>
          <w:p>
            <w:pPr>
              <w:spacing w:after="0"/>
              <w:rPr>
                <w:sz w:val="19"/>
                <w:szCs w:val="19"/>
                <w:color w:val="auto"/>
              </w:rPr>
            </w:pPr>
          </w:p>
        </w:tc>
        <w:tc>
          <w:tcPr>
            <w:tcW w:w="1520" w:type="dxa"/>
            <w:vAlign w:val="bottom"/>
            <w:shd w:val="clear" w:color="auto" w:fill="DCE2EF"/>
          </w:tcPr>
          <w:p>
            <w:pPr>
              <w:jc w:val="right"/>
              <w:spacing w:after="0"/>
              <w:rPr>
                <w:sz w:val="20"/>
                <w:szCs w:val="20"/>
                <w:color w:val="auto"/>
              </w:rPr>
            </w:pPr>
            <w:r>
              <w:rPr>
                <w:rFonts w:ascii="Arial" w:cs="Arial" w:eastAsia="Arial" w:hAnsi="Arial"/>
                <w:sz w:val="17"/>
                <w:szCs w:val="17"/>
                <w:color w:val="auto"/>
              </w:rPr>
              <w:t>3.5</w:t>
            </w:r>
          </w:p>
        </w:tc>
      </w:tr>
      <w:tr>
        <w:trPr>
          <w:trHeight w:val="219"/>
        </w:trPr>
        <w:tc>
          <w:tcPr>
            <w:tcW w:w="20" w:type="dxa"/>
            <w:vAlign w:val="bottom"/>
            <w:tcBorders>
              <w:bottom w:val="single" w:sz="8" w:color="DCE2EF"/>
            </w:tcBorders>
          </w:tcPr>
          <w:p>
            <w:pPr>
              <w:spacing w:after="0"/>
              <w:rPr>
                <w:sz w:val="19"/>
                <w:szCs w:val="19"/>
                <w:color w:val="auto"/>
              </w:rPr>
            </w:pPr>
          </w:p>
        </w:tc>
        <w:tc>
          <w:tcPr>
            <w:tcW w:w="6460" w:type="dxa"/>
            <w:vAlign w:val="bottom"/>
            <w:tcBorders>
              <w:bottom w:val="single" w:sz="8" w:color="DCE2EF"/>
            </w:tcBorders>
            <w:gridSpan w:val="2"/>
          </w:tcPr>
          <w:p>
            <w:pPr>
              <w:ind w:left="100"/>
              <w:spacing w:after="0"/>
              <w:rPr>
                <w:sz w:val="20"/>
                <w:szCs w:val="20"/>
                <w:color w:val="auto"/>
              </w:rPr>
            </w:pPr>
            <w:r>
              <w:rPr>
                <w:rFonts w:ascii="Arial" w:cs="Arial" w:eastAsia="Arial" w:hAnsi="Arial"/>
                <w:sz w:val="17"/>
                <w:szCs w:val="17"/>
                <w:color w:val="auto"/>
              </w:rPr>
              <w:t>Operating lease liabilities</w:t>
            </w:r>
          </w:p>
        </w:tc>
        <w:tc>
          <w:tcPr>
            <w:tcW w:w="54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21.5</w:t>
            </w:r>
          </w:p>
        </w:tc>
        <w:tc>
          <w:tcPr>
            <w:tcW w:w="120" w:type="dxa"/>
            <w:vAlign w:val="bottom"/>
            <w:tcBorders>
              <w:bottom w:val="single" w:sz="8" w:color="DCE2EF"/>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23.5</w:t>
            </w:r>
          </w:p>
        </w:tc>
      </w:tr>
      <w:tr>
        <w:trPr>
          <w:trHeight w:val="212"/>
        </w:trPr>
        <w:tc>
          <w:tcPr>
            <w:tcW w:w="6480" w:type="dxa"/>
            <w:vAlign w:val="bottom"/>
            <w:gridSpan w:val="3"/>
            <w:shd w:val="clear" w:color="auto" w:fill="DCE2EF"/>
          </w:tcPr>
          <w:p>
            <w:pPr>
              <w:ind w:left="20"/>
              <w:spacing w:after="0"/>
              <w:rPr>
                <w:sz w:val="20"/>
                <w:szCs w:val="20"/>
                <w:color w:val="auto"/>
              </w:rPr>
            </w:pPr>
            <w:r>
              <w:rPr>
                <w:rFonts w:ascii="Arial" w:cs="Arial" w:eastAsia="Arial" w:hAnsi="Arial"/>
                <w:sz w:val="17"/>
                <w:szCs w:val="17"/>
                <w:b w:val="1"/>
                <w:bCs w:val="1"/>
                <w:color w:val="auto"/>
              </w:rPr>
              <w:t>Gross deferred tax assets</w:t>
            </w:r>
          </w:p>
        </w:tc>
        <w:tc>
          <w:tcPr>
            <w:tcW w:w="540" w:type="dxa"/>
            <w:vAlign w:val="bottom"/>
            <w:shd w:val="clear" w:color="auto" w:fill="DCE2EF"/>
          </w:tcPr>
          <w:p>
            <w:pPr>
              <w:spacing w:after="0"/>
              <w:rPr>
                <w:sz w:val="18"/>
                <w:szCs w:val="18"/>
                <w:color w:val="auto"/>
              </w:rPr>
            </w:pPr>
          </w:p>
        </w:tc>
        <w:tc>
          <w:tcPr>
            <w:tcW w:w="1780" w:type="dxa"/>
            <w:vAlign w:val="bottom"/>
            <w:shd w:val="clear" w:color="auto" w:fill="DCE2EF"/>
          </w:tcPr>
          <w:p>
            <w:pPr>
              <w:jc w:val="right"/>
              <w:spacing w:after="0"/>
              <w:rPr>
                <w:sz w:val="20"/>
                <w:szCs w:val="20"/>
                <w:color w:val="auto"/>
              </w:rPr>
            </w:pPr>
            <w:r>
              <w:rPr>
                <w:rFonts w:ascii="Arial" w:cs="Arial" w:eastAsia="Arial" w:hAnsi="Arial"/>
                <w:sz w:val="17"/>
                <w:szCs w:val="17"/>
                <w:color w:val="auto"/>
              </w:rPr>
              <w:t>192.3</w:t>
            </w:r>
          </w:p>
        </w:tc>
        <w:tc>
          <w:tcPr>
            <w:tcW w:w="120" w:type="dxa"/>
            <w:vAlign w:val="bottom"/>
            <w:shd w:val="clear" w:color="auto" w:fill="DCE2EF"/>
          </w:tcPr>
          <w:p>
            <w:pPr>
              <w:spacing w:after="0"/>
              <w:rPr>
                <w:sz w:val="18"/>
                <w:szCs w:val="18"/>
                <w:color w:val="auto"/>
              </w:rPr>
            </w:pPr>
          </w:p>
        </w:tc>
        <w:tc>
          <w:tcPr>
            <w:tcW w:w="800" w:type="dxa"/>
            <w:vAlign w:val="bottom"/>
            <w:shd w:val="clear" w:color="auto" w:fill="DCE2EF"/>
          </w:tcPr>
          <w:p>
            <w:pPr>
              <w:spacing w:after="0"/>
              <w:rPr>
                <w:sz w:val="18"/>
                <w:szCs w:val="18"/>
                <w:color w:val="auto"/>
              </w:rPr>
            </w:pPr>
          </w:p>
        </w:tc>
        <w:tc>
          <w:tcPr>
            <w:tcW w:w="1520" w:type="dxa"/>
            <w:vAlign w:val="bottom"/>
            <w:shd w:val="clear" w:color="auto" w:fill="DCE2EF"/>
          </w:tcPr>
          <w:p>
            <w:pPr>
              <w:jc w:val="right"/>
              <w:spacing w:after="0"/>
              <w:rPr>
                <w:sz w:val="20"/>
                <w:szCs w:val="20"/>
                <w:color w:val="auto"/>
              </w:rPr>
            </w:pPr>
            <w:r>
              <w:rPr>
                <w:rFonts w:ascii="Arial" w:cs="Arial" w:eastAsia="Arial" w:hAnsi="Arial"/>
                <w:sz w:val="17"/>
                <w:szCs w:val="17"/>
                <w:color w:val="auto"/>
              </w:rPr>
              <w:t>182.7</w:t>
            </w:r>
          </w:p>
        </w:tc>
      </w:tr>
      <w:tr>
        <w:trPr>
          <w:trHeight w:val="219"/>
        </w:trPr>
        <w:tc>
          <w:tcPr>
            <w:tcW w:w="6480" w:type="dxa"/>
            <w:vAlign w:val="bottom"/>
            <w:tcBorders>
              <w:bottom w:val="single" w:sz="8" w:color="DCE2EF"/>
            </w:tcBorders>
            <w:gridSpan w:val="3"/>
          </w:tcPr>
          <w:p>
            <w:pPr>
              <w:ind w:left="20"/>
              <w:spacing w:after="0"/>
              <w:rPr>
                <w:sz w:val="20"/>
                <w:szCs w:val="20"/>
                <w:color w:val="auto"/>
              </w:rPr>
            </w:pPr>
            <w:r>
              <w:rPr>
                <w:rFonts w:ascii="Arial" w:cs="Arial" w:eastAsia="Arial" w:hAnsi="Arial"/>
                <w:sz w:val="17"/>
                <w:szCs w:val="17"/>
                <w:b w:val="1"/>
                <w:bCs w:val="1"/>
                <w:color w:val="auto"/>
              </w:rPr>
              <w:t>Valuation allowance</w:t>
            </w:r>
          </w:p>
        </w:tc>
        <w:tc>
          <w:tcPr>
            <w:tcW w:w="54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w:t>
            </w:r>
          </w:p>
        </w:tc>
        <w:tc>
          <w:tcPr>
            <w:tcW w:w="120" w:type="dxa"/>
            <w:vAlign w:val="bottom"/>
            <w:tcBorders>
              <w:bottom w:val="single" w:sz="8" w:color="DCE2EF"/>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w:t>
            </w:r>
          </w:p>
        </w:tc>
      </w:tr>
      <w:tr>
        <w:trPr>
          <w:trHeight w:val="212"/>
        </w:trPr>
        <w:tc>
          <w:tcPr>
            <w:tcW w:w="6480" w:type="dxa"/>
            <w:vAlign w:val="bottom"/>
            <w:gridSpan w:val="3"/>
            <w:shd w:val="clear" w:color="auto" w:fill="DCE2EF"/>
          </w:tcPr>
          <w:p>
            <w:pPr>
              <w:ind w:left="20"/>
              <w:spacing w:after="0"/>
              <w:rPr>
                <w:sz w:val="20"/>
                <w:szCs w:val="20"/>
                <w:color w:val="auto"/>
              </w:rPr>
            </w:pPr>
            <w:r>
              <w:rPr>
                <w:rFonts w:ascii="Arial" w:cs="Arial" w:eastAsia="Arial" w:hAnsi="Arial"/>
                <w:sz w:val="17"/>
                <w:szCs w:val="17"/>
                <w:b w:val="1"/>
                <w:bCs w:val="1"/>
                <w:color w:val="auto"/>
              </w:rPr>
              <w:t>Total deferred tax assets</w:t>
            </w:r>
          </w:p>
        </w:tc>
        <w:tc>
          <w:tcPr>
            <w:tcW w:w="540" w:type="dxa"/>
            <w:vAlign w:val="bottom"/>
            <w:tcBorders>
              <w:bottom w:val="single" w:sz="8" w:color="auto"/>
            </w:tcBorders>
            <w:shd w:val="clear" w:color="auto" w:fill="DCE2EF"/>
          </w:tcPr>
          <w:p>
            <w:pPr>
              <w:spacing w:after="0"/>
              <w:rPr>
                <w:sz w:val="18"/>
                <w:szCs w:val="18"/>
                <w:color w:val="auto"/>
              </w:rPr>
            </w:pPr>
          </w:p>
        </w:tc>
        <w:tc>
          <w:tcPr>
            <w:tcW w:w="17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7"/>
                <w:szCs w:val="17"/>
                <w:color w:val="auto"/>
              </w:rPr>
              <w:t>191.1</w:t>
            </w:r>
          </w:p>
        </w:tc>
        <w:tc>
          <w:tcPr>
            <w:tcW w:w="120" w:type="dxa"/>
            <w:vAlign w:val="bottom"/>
            <w:shd w:val="clear" w:color="auto" w:fill="DCE2EF"/>
          </w:tcPr>
          <w:p>
            <w:pPr>
              <w:spacing w:after="0"/>
              <w:rPr>
                <w:sz w:val="18"/>
                <w:szCs w:val="18"/>
                <w:color w:val="auto"/>
              </w:rPr>
            </w:pPr>
          </w:p>
        </w:tc>
        <w:tc>
          <w:tcPr>
            <w:tcW w:w="800" w:type="dxa"/>
            <w:vAlign w:val="bottom"/>
            <w:tcBorders>
              <w:bottom w:val="single" w:sz="8" w:color="auto"/>
            </w:tcBorders>
            <w:shd w:val="clear" w:color="auto" w:fill="DCE2EF"/>
          </w:tcPr>
          <w:p>
            <w:pPr>
              <w:spacing w:after="0"/>
              <w:rPr>
                <w:sz w:val="18"/>
                <w:szCs w:val="18"/>
                <w:color w:val="auto"/>
              </w:rPr>
            </w:pPr>
          </w:p>
        </w:tc>
        <w:tc>
          <w:tcPr>
            <w:tcW w:w="152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7"/>
                <w:szCs w:val="17"/>
                <w:color w:val="auto"/>
              </w:rPr>
              <w:t>181.6</w:t>
            </w:r>
          </w:p>
        </w:tc>
      </w:tr>
      <w:tr>
        <w:trPr>
          <w:trHeight w:val="225"/>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7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19"/>
        </w:trPr>
        <w:tc>
          <w:tcPr>
            <w:tcW w:w="6480" w:type="dxa"/>
            <w:vAlign w:val="bottom"/>
            <w:gridSpan w:val="3"/>
            <w:shd w:val="clear" w:color="auto" w:fill="DCE2EF"/>
          </w:tcPr>
          <w:p>
            <w:pPr>
              <w:ind w:left="20"/>
              <w:spacing w:after="0"/>
              <w:rPr>
                <w:sz w:val="20"/>
                <w:szCs w:val="20"/>
                <w:color w:val="auto"/>
              </w:rPr>
            </w:pPr>
            <w:r>
              <w:rPr>
                <w:rFonts w:ascii="Arial" w:cs="Arial" w:eastAsia="Arial" w:hAnsi="Arial"/>
                <w:sz w:val="17"/>
                <w:szCs w:val="17"/>
                <w:b w:val="1"/>
                <w:bCs w:val="1"/>
                <w:i w:val="1"/>
                <w:iCs w:val="1"/>
                <w:color w:val="auto"/>
              </w:rPr>
              <w:t>Deferred tax liabilities attributable to:</w:t>
            </w:r>
          </w:p>
        </w:tc>
        <w:tc>
          <w:tcPr>
            <w:tcW w:w="540" w:type="dxa"/>
            <w:vAlign w:val="bottom"/>
            <w:shd w:val="clear" w:color="auto" w:fill="DCE2EF"/>
          </w:tcPr>
          <w:p>
            <w:pPr>
              <w:spacing w:after="0"/>
              <w:rPr>
                <w:sz w:val="19"/>
                <w:szCs w:val="19"/>
                <w:color w:val="auto"/>
              </w:rPr>
            </w:pPr>
          </w:p>
        </w:tc>
        <w:tc>
          <w:tcPr>
            <w:tcW w:w="1780" w:type="dxa"/>
            <w:vAlign w:val="bottom"/>
            <w:shd w:val="clear" w:color="auto" w:fill="DCE2EF"/>
          </w:tcPr>
          <w:p>
            <w:pPr>
              <w:spacing w:after="0"/>
              <w:rPr>
                <w:sz w:val="19"/>
                <w:szCs w:val="19"/>
                <w:color w:val="auto"/>
              </w:rPr>
            </w:pPr>
          </w:p>
        </w:tc>
        <w:tc>
          <w:tcPr>
            <w:tcW w:w="120" w:type="dxa"/>
            <w:vAlign w:val="bottom"/>
            <w:shd w:val="clear" w:color="auto" w:fill="DCE2EF"/>
          </w:tcPr>
          <w:p>
            <w:pPr>
              <w:spacing w:after="0"/>
              <w:rPr>
                <w:sz w:val="19"/>
                <w:szCs w:val="19"/>
                <w:color w:val="auto"/>
              </w:rPr>
            </w:pPr>
          </w:p>
        </w:tc>
        <w:tc>
          <w:tcPr>
            <w:tcW w:w="800" w:type="dxa"/>
            <w:vAlign w:val="bottom"/>
            <w:shd w:val="clear" w:color="auto" w:fill="DCE2EF"/>
          </w:tcPr>
          <w:p>
            <w:pPr>
              <w:spacing w:after="0"/>
              <w:rPr>
                <w:sz w:val="19"/>
                <w:szCs w:val="19"/>
                <w:color w:val="auto"/>
              </w:rPr>
            </w:pPr>
          </w:p>
        </w:tc>
        <w:tc>
          <w:tcPr>
            <w:tcW w:w="1520" w:type="dxa"/>
            <w:vAlign w:val="bottom"/>
            <w:shd w:val="clear" w:color="auto" w:fill="DCE2EF"/>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6460" w:type="dxa"/>
            <w:vAlign w:val="bottom"/>
            <w:gridSpan w:val="2"/>
          </w:tcPr>
          <w:p>
            <w:pPr>
              <w:ind w:left="120"/>
              <w:spacing w:after="0"/>
              <w:rPr>
                <w:sz w:val="20"/>
                <w:szCs w:val="20"/>
                <w:color w:val="auto"/>
              </w:rPr>
            </w:pPr>
            <w:r>
              <w:rPr>
                <w:rFonts w:ascii="Arial" w:cs="Arial" w:eastAsia="Arial" w:hAnsi="Arial"/>
                <w:sz w:val="17"/>
                <w:szCs w:val="17"/>
                <w:color w:val="auto"/>
              </w:rPr>
              <w:t>Property, plant and equipment</w:t>
            </w:r>
          </w:p>
        </w:tc>
        <w:tc>
          <w:tcPr>
            <w:tcW w:w="54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7"/>
                <w:szCs w:val="17"/>
                <w:color w:val="auto"/>
              </w:rPr>
              <w:t>(2.7)</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(1.0)</w:t>
            </w:r>
          </w:p>
        </w:tc>
      </w:tr>
      <w:tr>
        <w:trPr>
          <w:trHeight w:val="219"/>
        </w:trPr>
        <w:tc>
          <w:tcPr>
            <w:tcW w:w="20" w:type="dxa"/>
            <w:vAlign w:val="bottom"/>
            <w:shd w:val="clear" w:color="auto" w:fill="DCE2EF"/>
          </w:tcPr>
          <w:p>
            <w:pPr>
              <w:spacing w:after="0"/>
              <w:rPr>
                <w:sz w:val="19"/>
                <w:szCs w:val="19"/>
                <w:color w:val="auto"/>
              </w:rPr>
            </w:pPr>
          </w:p>
        </w:tc>
        <w:tc>
          <w:tcPr>
            <w:tcW w:w="6460" w:type="dxa"/>
            <w:vAlign w:val="bottom"/>
            <w:gridSpan w:val="2"/>
            <w:shd w:val="clear" w:color="auto" w:fill="DCE2EF"/>
          </w:tcPr>
          <w:p>
            <w:pPr>
              <w:ind w:left="120"/>
              <w:spacing w:after="0"/>
              <w:rPr>
                <w:sz w:val="20"/>
                <w:szCs w:val="20"/>
                <w:color w:val="auto"/>
              </w:rPr>
            </w:pPr>
            <w:r>
              <w:rPr>
                <w:rFonts w:ascii="Arial" w:cs="Arial" w:eastAsia="Arial" w:hAnsi="Arial"/>
                <w:sz w:val="17"/>
                <w:szCs w:val="17"/>
                <w:color w:val="auto"/>
              </w:rPr>
              <w:t>Goodwill and other acquired intangibles</w:t>
            </w:r>
          </w:p>
        </w:tc>
        <w:tc>
          <w:tcPr>
            <w:tcW w:w="540" w:type="dxa"/>
            <w:vAlign w:val="bottom"/>
            <w:shd w:val="clear" w:color="auto" w:fill="DCE2EF"/>
          </w:tcPr>
          <w:p>
            <w:pPr>
              <w:spacing w:after="0"/>
              <w:rPr>
                <w:sz w:val="19"/>
                <w:szCs w:val="19"/>
                <w:color w:val="auto"/>
              </w:rPr>
            </w:pPr>
          </w:p>
        </w:tc>
        <w:tc>
          <w:tcPr>
            <w:tcW w:w="1780" w:type="dxa"/>
            <w:vAlign w:val="bottom"/>
            <w:shd w:val="clear" w:color="auto" w:fill="DCE2EF"/>
          </w:tcPr>
          <w:p>
            <w:pPr>
              <w:jc w:val="right"/>
              <w:spacing w:after="0"/>
              <w:rPr>
                <w:sz w:val="20"/>
                <w:szCs w:val="20"/>
                <w:color w:val="auto"/>
              </w:rPr>
            </w:pPr>
            <w:r>
              <w:rPr>
                <w:rFonts w:ascii="Arial" w:cs="Arial" w:eastAsia="Arial" w:hAnsi="Arial"/>
                <w:sz w:val="17"/>
                <w:szCs w:val="17"/>
                <w:color w:val="auto"/>
              </w:rPr>
              <w:t>(191.8)</w:t>
            </w:r>
          </w:p>
        </w:tc>
        <w:tc>
          <w:tcPr>
            <w:tcW w:w="120" w:type="dxa"/>
            <w:vAlign w:val="bottom"/>
            <w:shd w:val="clear" w:color="auto" w:fill="DCE2EF"/>
          </w:tcPr>
          <w:p>
            <w:pPr>
              <w:spacing w:after="0"/>
              <w:rPr>
                <w:sz w:val="19"/>
                <w:szCs w:val="19"/>
                <w:color w:val="auto"/>
              </w:rPr>
            </w:pPr>
          </w:p>
        </w:tc>
        <w:tc>
          <w:tcPr>
            <w:tcW w:w="800" w:type="dxa"/>
            <w:vAlign w:val="bottom"/>
            <w:shd w:val="clear" w:color="auto" w:fill="DCE2EF"/>
          </w:tcPr>
          <w:p>
            <w:pPr>
              <w:spacing w:after="0"/>
              <w:rPr>
                <w:sz w:val="19"/>
                <w:szCs w:val="19"/>
                <w:color w:val="auto"/>
              </w:rPr>
            </w:pPr>
          </w:p>
        </w:tc>
        <w:tc>
          <w:tcPr>
            <w:tcW w:w="1520" w:type="dxa"/>
            <w:vAlign w:val="bottom"/>
            <w:shd w:val="clear" w:color="auto" w:fill="DCE2EF"/>
          </w:tcPr>
          <w:p>
            <w:pPr>
              <w:jc w:val="right"/>
              <w:spacing w:after="0"/>
              <w:rPr>
                <w:sz w:val="20"/>
                <w:szCs w:val="20"/>
                <w:color w:val="auto"/>
              </w:rPr>
            </w:pPr>
            <w:r>
              <w:rPr>
                <w:rFonts w:ascii="Arial" w:cs="Arial" w:eastAsia="Arial" w:hAnsi="Arial"/>
                <w:sz w:val="17"/>
                <w:szCs w:val="17"/>
                <w:color w:val="auto"/>
              </w:rPr>
              <w:t>(194.8)</w:t>
            </w:r>
          </w:p>
        </w:tc>
      </w:tr>
      <w:tr>
        <w:trPr>
          <w:trHeight w:val="219"/>
        </w:trPr>
        <w:tc>
          <w:tcPr>
            <w:tcW w:w="20" w:type="dxa"/>
            <w:vAlign w:val="bottom"/>
          </w:tcPr>
          <w:p>
            <w:pPr>
              <w:spacing w:after="0"/>
              <w:rPr>
                <w:sz w:val="19"/>
                <w:szCs w:val="19"/>
                <w:color w:val="auto"/>
              </w:rPr>
            </w:pPr>
          </w:p>
        </w:tc>
        <w:tc>
          <w:tcPr>
            <w:tcW w:w="6460" w:type="dxa"/>
            <w:vAlign w:val="bottom"/>
            <w:gridSpan w:val="2"/>
          </w:tcPr>
          <w:p>
            <w:pPr>
              <w:ind w:left="120"/>
              <w:spacing w:after="0"/>
              <w:rPr>
                <w:sz w:val="20"/>
                <w:szCs w:val="20"/>
                <w:color w:val="auto"/>
              </w:rPr>
            </w:pPr>
            <w:r>
              <w:rPr>
                <w:rFonts w:ascii="Arial" w:cs="Arial" w:eastAsia="Arial" w:hAnsi="Arial"/>
                <w:sz w:val="17"/>
                <w:szCs w:val="17"/>
                <w:color w:val="auto"/>
              </w:rPr>
              <w:t>Right-of-use assets</w:t>
            </w:r>
          </w:p>
        </w:tc>
        <w:tc>
          <w:tcPr>
            <w:tcW w:w="54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7"/>
                <w:szCs w:val="17"/>
                <w:color w:val="auto"/>
              </w:rPr>
              <w:t>(23.4)</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(25.1)</w:t>
            </w:r>
          </w:p>
        </w:tc>
      </w:tr>
      <w:tr>
        <w:trPr>
          <w:trHeight w:val="219"/>
        </w:trPr>
        <w:tc>
          <w:tcPr>
            <w:tcW w:w="20" w:type="dxa"/>
            <w:vAlign w:val="bottom"/>
            <w:shd w:val="clear" w:color="auto" w:fill="DCE2EF"/>
          </w:tcPr>
          <w:p>
            <w:pPr>
              <w:spacing w:after="0"/>
              <w:rPr>
                <w:sz w:val="19"/>
                <w:szCs w:val="19"/>
                <w:color w:val="auto"/>
              </w:rPr>
            </w:pPr>
          </w:p>
        </w:tc>
        <w:tc>
          <w:tcPr>
            <w:tcW w:w="6460" w:type="dxa"/>
            <w:vAlign w:val="bottom"/>
            <w:gridSpan w:val="2"/>
            <w:shd w:val="clear" w:color="auto" w:fill="DCE2EF"/>
          </w:tcPr>
          <w:p>
            <w:pPr>
              <w:ind w:left="120"/>
              <w:spacing w:after="0"/>
              <w:rPr>
                <w:sz w:val="20"/>
                <w:szCs w:val="20"/>
                <w:color w:val="auto"/>
              </w:rPr>
            </w:pPr>
            <w:r>
              <w:rPr>
                <w:rFonts w:ascii="Arial" w:cs="Arial" w:eastAsia="Arial" w:hAnsi="Arial"/>
                <w:sz w:val="17"/>
                <w:szCs w:val="17"/>
                <w:color w:val="auto"/>
              </w:rPr>
              <w:t>Tax accounting method change</w:t>
            </w:r>
          </w:p>
        </w:tc>
        <w:tc>
          <w:tcPr>
            <w:tcW w:w="540" w:type="dxa"/>
            <w:vAlign w:val="bottom"/>
            <w:shd w:val="clear" w:color="auto" w:fill="DCE2EF"/>
          </w:tcPr>
          <w:p>
            <w:pPr>
              <w:spacing w:after="0"/>
              <w:rPr>
                <w:sz w:val="19"/>
                <w:szCs w:val="19"/>
                <w:color w:val="auto"/>
              </w:rPr>
            </w:pPr>
          </w:p>
        </w:tc>
        <w:tc>
          <w:tcPr>
            <w:tcW w:w="1900" w:type="dxa"/>
            <w:vAlign w:val="bottom"/>
            <w:gridSpan w:val="2"/>
            <w:shd w:val="clear" w:color="auto" w:fill="DCE2EF"/>
          </w:tcPr>
          <w:p>
            <w:pPr>
              <w:jc w:val="right"/>
              <w:ind w:right="180"/>
              <w:spacing w:after="0"/>
              <w:rPr>
                <w:sz w:val="20"/>
                <w:szCs w:val="20"/>
                <w:color w:val="auto"/>
              </w:rPr>
            </w:pPr>
            <w:r>
              <w:rPr>
                <w:rFonts w:ascii="Arial" w:cs="Arial" w:eastAsia="Arial" w:hAnsi="Arial"/>
                <w:sz w:val="17"/>
                <w:szCs w:val="17"/>
                <w:color w:val="auto"/>
              </w:rPr>
              <w:t>—</w:t>
            </w:r>
          </w:p>
        </w:tc>
        <w:tc>
          <w:tcPr>
            <w:tcW w:w="800" w:type="dxa"/>
            <w:vAlign w:val="bottom"/>
            <w:shd w:val="clear" w:color="auto" w:fill="DCE2EF"/>
          </w:tcPr>
          <w:p>
            <w:pPr>
              <w:spacing w:after="0"/>
              <w:rPr>
                <w:sz w:val="19"/>
                <w:szCs w:val="19"/>
                <w:color w:val="auto"/>
              </w:rPr>
            </w:pPr>
          </w:p>
        </w:tc>
        <w:tc>
          <w:tcPr>
            <w:tcW w:w="1520" w:type="dxa"/>
            <w:vAlign w:val="bottom"/>
            <w:shd w:val="clear" w:color="auto" w:fill="DCE2EF"/>
          </w:tcPr>
          <w:p>
            <w:pPr>
              <w:jc w:val="right"/>
              <w:spacing w:after="0"/>
              <w:rPr>
                <w:sz w:val="20"/>
                <w:szCs w:val="20"/>
                <w:color w:val="auto"/>
              </w:rPr>
            </w:pPr>
            <w:r>
              <w:rPr>
                <w:rFonts w:ascii="Arial" w:cs="Arial" w:eastAsia="Arial" w:hAnsi="Arial"/>
                <w:sz w:val="17"/>
                <w:szCs w:val="17"/>
                <w:color w:val="auto"/>
              </w:rPr>
              <w:t>(6.3)</w:t>
            </w:r>
          </w:p>
        </w:tc>
      </w:tr>
      <w:tr>
        <w:trPr>
          <w:trHeight w:val="219"/>
        </w:trPr>
        <w:tc>
          <w:tcPr>
            <w:tcW w:w="20" w:type="dxa"/>
            <w:vAlign w:val="bottom"/>
          </w:tcPr>
          <w:p>
            <w:pPr>
              <w:spacing w:after="0"/>
              <w:rPr>
                <w:sz w:val="19"/>
                <w:szCs w:val="19"/>
                <w:color w:val="auto"/>
              </w:rPr>
            </w:pPr>
          </w:p>
        </w:tc>
        <w:tc>
          <w:tcPr>
            <w:tcW w:w="6460" w:type="dxa"/>
            <w:vAlign w:val="bottom"/>
            <w:gridSpan w:val="2"/>
          </w:tcPr>
          <w:p>
            <w:pPr>
              <w:ind w:left="120"/>
              <w:spacing w:after="0"/>
              <w:rPr>
                <w:sz w:val="20"/>
                <w:szCs w:val="20"/>
                <w:color w:val="auto"/>
              </w:rPr>
            </w:pPr>
            <w:r>
              <w:rPr>
                <w:rFonts w:ascii="Arial" w:cs="Arial" w:eastAsia="Arial" w:hAnsi="Arial"/>
                <w:sz w:val="17"/>
                <w:szCs w:val="17"/>
                <w:color w:val="auto"/>
              </w:rPr>
              <w:t>Other comprehensive income</w:t>
            </w:r>
          </w:p>
        </w:tc>
        <w:tc>
          <w:tcPr>
            <w:tcW w:w="540" w:type="dxa"/>
            <w:vAlign w:val="bottom"/>
          </w:tcPr>
          <w:p>
            <w:pPr>
              <w:spacing w:after="0"/>
              <w:rPr>
                <w:sz w:val="19"/>
                <w:szCs w:val="19"/>
                <w:color w:val="auto"/>
              </w:rPr>
            </w:pPr>
          </w:p>
        </w:tc>
        <w:tc>
          <w:tcPr>
            <w:tcW w:w="19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8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(2.3)</w:t>
            </w:r>
          </w:p>
        </w:tc>
      </w:tr>
      <w:tr>
        <w:trPr>
          <w:trHeight w:val="219"/>
        </w:trPr>
        <w:tc>
          <w:tcPr>
            <w:tcW w:w="20" w:type="dxa"/>
            <w:vAlign w:val="bottom"/>
            <w:shd w:val="clear" w:color="auto" w:fill="DCE2EF"/>
          </w:tcPr>
          <w:p>
            <w:pPr>
              <w:spacing w:after="0"/>
              <w:rPr>
                <w:sz w:val="19"/>
                <w:szCs w:val="19"/>
                <w:color w:val="auto"/>
              </w:rPr>
            </w:pPr>
          </w:p>
        </w:tc>
        <w:tc>
          <w:tcPr>
            <w:tcW w:w="6460" w:type="dxa"/>
            <w:vAlign w:val="bottom"/>
            <w:gridSpan w:val="2"/>
            <w:shd w:val="clear" w:color="auto" w:fill="DCE2EF"/>
          </w:tcPr>
          <w:p>
            <w:pPr>
              <w:ind w:left="120"/>
              <w:spacing w:after="0"/>
              <w:rPr>
                <w:sz w:val="20"/>
                <w:szCs w:val="20"/>
                <w:color w:val="auto"/>
              </w:rPr>
            </w:pPr>
            <w:r>
              <w:rPr>
                <w:rFonts w:ascii="Arial" w:cs="Arial" w:eastAsia="Arial" w:hAnsi="Arial"/>
                <w:sz w:val="17"/>
                <w:szCs w:val="17"/>
                <w:color w:val="auto"/>
              </w:rPr>
              <w:t>Other</w:t>
            </w:r>
          </w:p>
        </w:tc>
        <w:tc>
          <w:tcPr>
            <w:tcW w:w="540" w:type="dxa"/>
            <w:vAlign w:val="bottom"/>
            <w:tcBorders>
              <w:bottom w:val="single" w:sz="8" w:color="auto"/>
            </w:tcBorders>
            <w:shd w:val="clear" w:color="auto" w:fill="DCE2EF"/>
          </w:tcPr>
          <w:p>
            <w:pPr>
              <w:spacing w:after="0"/>
              <w:rPr>
                <w:sz w:val="19"/>
                <w:szCs w:val="19"/>
                <w:color w:val="auto"/>
              </w:rPr>
            </w:pPr>
          </w:p>
        </w:tc>
        <w:tc>
          <w:tcPr>
            <w:tcW w:w="17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7"/>
                <w:szCs w:val="17"/>
                <w:color w:val="auto"/>
              </w:rPr>
              <w:t>(13.1)</w:t>
            </w:r>
          </w:p>
        </w:tc>
        <w:tc>
          <w:tcPr>
            <w:tcW w:w="120" w:type="dxa"/>
            <w:vAlign w:val="bottom"/>
            <w:shd w:val="clear" w:color="auto" w:fill="DCE2EF"/>
          </w:tcPr>
          <w:p>
            <w:pPr>
              <w:spacing w:after="0"/>
              <w:rPr>
                <w:sz w:val="19"/>
                <w:szCs w:val="19"/>
                <w:color w:val="auto"/>
              </w:rPr>
            </w:pPr>
          </w:p>
        </w:tc>
        <w:tc>
          <w:tcPr>
            <w:tcW w:w="800" w:type="dxa"/>
            <w:vAlign w:val="bottom"/>
            <w:tcBorders>
              <w:bottom w:val="single" w:sz="8" w:color="auto"/>
            </w:tcBorders>
            <w:shd w:val="clear" w:color="auto" w:fill="DCE2EF"/>
          </w:tcPr>
          <w:p>
            <w:pPr>
              <w:spacing w:after="0"/>
              <w:rPr>
                <w:sz w:val="19"/>
                <w:szCs w:val="19"/>
                <w:color w:val="auto"/>
              </w:rPr>
            </w:pPr>
          </w:p>
        </w:tc>
        <w:tc>
          <w:tcPr>
            <w:tcW w:w="152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7"/>
                <w:szCs w:val="17"/>
                <w:color w:val="auto"/>
              </w:rPr>
              <w:t>(12.3)</w:t>
            </w:r>
          </w:p>
        </w:tc>
      </w:tr>
      <w:tr>
        <w:trPr>
          <w:trHeight w:val="212"/>
        </w:trPr>
        <w:tc>
          <w:tcPr>
            <w:tcW w:w="6480" w:type="dxa"/>
            <w:vAlign w:val="bottom"/>
            <w:tcBorders>
              <w:bottom w:val="single" w:sz="8" w:color="DCE2EF"/>
            </w:tcBorders>
            <w:gridSpan w:val="3"/>
          </w:tcPr>
          <w:p>
            <w:pPr>
              <w:ind w:left="20"/>
              <w:spacing w:after="0"/>
              <w:rPr>
                <w:sz w:val="20"/>
                <w:szCs w:val="20"/>
                <w:color w:val="auto"/>
              </w:rPr>
            </w:pPr>
            <w:r>
              <w:rPr>
                <w:rFonts w:ascii="Arial" w:cs="Arial" w:eastAsia="Arial" w:hAnsi="Arial"/>
                <w:sz w:val="17"/>
                <w:szCs w:val="17"/>
                <w:b w:val="1"/>
                <w:bCs w:val="1"/>
                <w:color w:val="auto"/>
              </w:rPr>
              <w:t>Total deferred tax liabilities</w:t>
            </w:r>
          </w:p>
        </w:tc>
        <w:tc>
          <w:tcPr>
            <w:tcW w:w="54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(231.0)</w:t>
            </w:r>
          </w:p>
        </w:tc>
        <w:tc>
          <w:tcPr>
            <w:tcW w:w="120" w:type="dxa"/>
            <w:vAlign w:val="bottom"/>
            <w:tcBorders>
              <w:bottom w:val="single" w:sz="8" w:color="DCE2EF"/>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(241.8)</w:t>
            </w:r>
          </w:p>
        </w:tc>
      </w:tr>
      <w:tr>
        <w:trPr>
          <w:trHeight w:val="225"/>
        </w:trPr>
        <w:tc>
          <w:tcPr>
            <w:tcW w:w="20" w:type="dxa"/>
            <w:vAlign w:val="bottom"/>
            <w:shd w:val="clear" w:color="auto" w:fill="DCE2EF"/>
          </w:tcPr>
          <w:p>
            <w:pPr>
              <w:spacing w:after="0"/>
              <w:rPr>
                <w:sz w:val="19"/>
                <w:szCs w:val="19"/>
                <w:color w:val="auto"/>
              </w:rPr>
            </w:pPr>
          </w:p>
        </w:tc>
        <w:tc>
          <w:tcPr>
            <w:tcW w:w="680" w:type="dxa"/>
            <w:vAlign w:val="bottom"/>
            <w:shd w:val="clear" w:color="auto" w:fill="DCE2EF"/>
          </w:tcPr>
          <w:p>
            <w:pPr>
              <w:spacing w:after="0"/>
              <w:rPr>
                <w:sz w:val="19"/>
                <w:szCs w:val="19"/>
                <w:color w:val="auto"/>
              </w:rPr>
            </w:pPr>
          </w:p>
        </w:tc>
        <w:tc>
          <w:tcPr>
            <w:tcW w:w="5780" w:type="dxa"/>
            <w:vAlign w:val="bottom"/>
            <w:shd w:val="clear" w:color="auto" w:fill="DCE2EF"/>
          </w:tcPr>
          <w:p>
            <w:pPr>
              <w:spacing w:after="0"/>
              <w:rPr>
                <w:sz w:val="19"/>
                <w:szCs w:val="19"/>
                <w:color w:val="auto"/>
              </w:rPr>
            </w:pPr>
          </w:p>
        </w:tc>
        <w:tc>
          <w:tcPr>
            <w:tcW w:w="540" w:type="dxa"/>
            <w:vAlign w:val="bottom"/>
            <w:shd w:val="clear" w:color="auto" w:fill="DCE2EF"/>
          </w:tcPr>
          <w:p>
            <w:pPr>
              <w:spacing w:after="0"/>
              <w:rPr>
                <w:sz w:val="19"/>
                <w:szCs w:val="19"/>
                <w:color w:val="auto"/>
              </w:rPr>
            </w:pPr>
          </w:p>
        </w:tc>
        <w:tc>
          <w:tcPr>
            <w:tcW w:w="1780" w:type="dxa"/>
            <w:vAlign w:val="bottom"/>
            <w:shd w:val="clear" w:color="auto" w:fill="DCE2EF"/>
          </w:tcPr>
          <w:p>
            <w:pPr>
              <w:spacing w:after="0"/>
              <w:rPr>
                <w:sz w:val="19"/>
                <w:szCs w:val="19"/>
                <w:color w:val="auto"/>
              </w:rPr>
            </w:pPr>
          </w:p>
        </w:tc>
        <w:tc>
          <w:tcPr>
            <w:tcW w:w="120" w:type="dxa"/>
            <w:vAlign w:val="bottom"/>
            <w:shd w:val="clear" w:color="auto" w:fill="DCE2EF"/>
          </w:tcPr>
          <w:p>
            <w:pPr>
              <w:spacing w:after="0"/>
              <w:rPr>
                <w:sz w:val="19"/>
                <w:szCs w:val="19"/>
                <w:color w:val="auto"/>
              </w:rPr>
            </w:pPr>
          </w:p>
        </w:tc>
        <w:tc>
          <w:tcPr>
            <w:tcW w:w="800" w:type="dxa"/>
            <w:vAlign w:val="bottom"/>
            <w:shd w:val="clear" w:color="auto" w:fill="DCE2EF"/>
          </w:tcPr>
          <w:p>
            <w:pPr>
              <w:spacing w:after="0"/>
              <w:rPr>
                <w:sz w:val="19"/>
                <w:szCs w:val="19"/>
                <w:color w:val="auto"/>
              </w:rPr>
            </w:pPr>
          </w:p>
        </w:tc>
        <w:tc>
          <w:tcPr>
            <w:tcW w:w="1520" w:type="dxa"/>
            <w:vAlign w:val="bottom"/>
            <w:shd w:val="clear" w:color="auto" w:fill="DCE2EF"/>
          </w:tcPr>
          <w:p>
            <w:pPr>
              <w:spacing w:after="0"/>
              <w:rPr>
                <w:sz w:val="19"/>
                <w:szCs w:val="19"/>
                <w:color w:val="auto"/>
              </w:rPr>
            </w:pPr>
          </w:p>
        </w:tc>
      </w:tr>
      <w:tr>
        <w:trPr>
          <w:trHeight w:val="219"/>
        </w:trPr>
        <w:tc>
          <w:tcPr>
            <w:tcW w:w="6480" w:type="dxa"/>
            <w:vAlign w:val="bottom"/>
            <w:gridSpan w:val="3"/>
          </w:tcPr>
          <w:p>
            <w:pPr>
              <w:ind w:left="20"/>
              <w:spacing w:after="0"/>
              <w:rPr>
                <w:sz w:val="20"/>
                <w:szCs w:val="20"/>
                <w:color w:val="auto"/>
              </w:rPr>
            </w:pPr>
            <w:r>
              <w:rPr>
                <w:rFonts w:ascii="Arial" w:cs="Arial" w:eastAsia="Arial" w:hAnsi="Arial"/>
                <w:sz w:val="17"/>
                <w:szCs w:val="17"/>
                <w:b w:val="1"/>
                <w:bCs w:val="1"/>
                <w:color w:val="auto"/>
              </w:rPr>
              <w:t>Net deferred tax liabilities</w:t>
            </w:r>
          </w:p>
        </w:tc>
        <w:tc>
          <w:tcPr>
            <w:tcW w:w="540" w:type="dxa"/>
            <w:vAlign w:val="bottom"/>
            <w:tcBorders>
              <w:bottom w:val="single" w:sz="8" w:color="auto"/>
            </w:tcBorders>
          </w:tcPr>
          <w:p>
            <w:pPr>
              <w:jc w:val="right"/>
              <w:ind w:right="354"/>
              <w:spacing w:after="0"/>
              <w:rPr>
                <w:sz w:val="20"/>
                <w:szCs w:val="20"/>
                <w:color w:val="auto"/>
              </w:rPr>
            </w:pPr>
            <w:r>
              <w:rPr>
                <w:rFonts w:ascii="Arial" w:cs="Arial" w:eastAsia="Arial" w:hAnsi="Arial"/>
                <w:sz w:val="17"/>
                <w:szCs w:val="17"/>
                <w:color w:val="auto"/>
                <w:w w:val="84"/>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(39.9)</w:t>
            </w:r>
          </w:p>
        </w:tc>
        <w:tc>
          <w:tcPr>
            <w:tcW w:w="120" w:type="dxa"/>
            <w:vAlign w:val="bottom"/>
          </w:tcPr>
          <w:p>
            <w:pPr>
              <w:spacing w:after="0"/>
              <w:rPr>
                <w:sz w:val="19"/>
                <w:szCs w:val="19"/>
                <w:color w:val="auto"/>
              </w:rPr>
            </w:pPr>
          </w:p>
        </w:tc>
        <w:tc>
          <w:tcPr>
            <w:tcW w:w="800" w:type="dxa"/>
            <w:vAlign w:val="bottom"/>
            <w:tcBorders>
              <w:bottom w:val="single" w:sz="8" w:color="auto"/>
            </w:tcBorders>
          </w:tcPr>
          <w:p>
            <w:pPr>
              <w:jc w:val="right"/>
              <w:ind w:right="614"/>
              <w:spacing w:after="0"/>
              <w:rPr>
                <w:sz w:val="20"/>
                <w:szCs w:val="20"/>
                <w:color w:val="auto"/>
              </w:rPr>
            </w:pPr>
            <w:r>
              <w:rPr>
                <w:rFonts w:ascii="Arial" w:cs="Arial" w:eastAsia="Arial" w:hAnsi="Arial"/>
                <w:sz w:val="17"/>
                <w:szCs w:val="17"/>
                <w:color w:val="auto"/>
                <w:w w:val="84"/>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(60.2)</w:t>
            </w:r>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329"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Net Operating Loss Carryforwards and Credits</w:t>
      </w:r>
    </w:p>
    <w:p>
      <w:pPr>
        <w:spacing w:after="0" w:line="167"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State net operating loss carryforwards totaling $ 56.9 million at October 31, 2025, are being carried forward in several state jurisdictions where we are permitted to use net operating losses from prior periods to reduce future taxable income. These losses will expire between 2026 and 2045. Federal net operating loss carryforwards were fully utilized during 2024. Federal and state tax credit carryforwards totaling $3.7 million are available to reduce future cash taxes and will expire between 2026 and 2045.</w:t>
      </w:r>
    </w:p>
    <w:p>
      <w:pPr>
        <w:spacing w:after="0" w:line="116"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17"/>
          <w:szCs w:val="17"/>
          <w:color w:val="auto"/>
        </w:rPr>
        <w:t>The valuation allowance represents the amount of tax benefits related to state net operating loss carryforwards that are not likely to be realized. We believe the remaining deferred tax assets are more likely than not to be realizable based on estimates of future taxable income.</w:t>
      </w:r>
    </w:p>
    <w:p>
      <w:pPr>
        <w:spacing w:after="0" w:line="9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46AD"/>
        </w:rPr>
        <w:t>Changes to the Valuation Allowance</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3300" w:type="dxa"/>
            <w:vAlign w:val="bottom"/>
            <w:tcBorders>
              <w:bottom w:val="single" w:sz="8" w:color="auto"/>
            </w:tcBorders>
            <w:gridSpan w:val="6"/>
          </w:tcPr>
          <w:p>
            <w:pPr>
              <w:jc w:val="center"/>
              <w:ind w:left="754"/>
              <w:spacing w:after="0"/>
              <w:rPr>
                <w:sz w:val="20"/>
                <w:szCs w:val="20"/>
                <w:color w:val="auto"/>
              </w:rPr>
            </w:pPr>
            <w:r>
              <w:rPr>
                <w:rFonts w:ascii="Arial" w:cs="Arial" w:eastAsia="Arial" w:hAnsi="Arial"/>
                <w:sz w:val="17"/>
                <w:szCs w:val="17"/>
                <w:b w:val="1"/>
                <w:bCs w:val="1"/>
                <w:color w:val="auto"/>
              </w:rPr>
              <w:t>Years Ended October 31,</w:t>
            </w:r>
          </w:p>
        </w:tc>
        <w:tc>
          <w:tcPr>
            <w:tcW w:w="11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0"/>
        </w:trPr>
        <w:tc>
          <w:tcPr>
            <w:tcW w:w="4440" w:type="dxa"/>
            <w:vAlign w:val="bottom"/>
            <w:gridSpan w:val="3"/>
          </w:tcPr>
          <w:p>
            <w:pPr>
              <w:ind w:left="20"/>
              <w:spacing w:after="0" w:line="148" w:lineRule="exact"/>
              <w:rPr>
                <w:sz w:val="20"/>
                <w:szCs w:val="20"/>
                <w:color w:val="auto"/>
              </w:rPr>
            </w:pPr>
            <w:r>
              <w:rPr>
                <w:rFonts w:ascii="Times New Roman" w:cs="Times New Roman" w:eastAsia="Times New Roman" w:hAnsi="Times New Roman"/>
                <w:sz w:val="14"/>
                <w:szCs w:val="14"/>
                <w:i w:val="1"/>
                <w:iCs w:val="1"/>
                <w:color w:val="auto"/>
              </w:rPr>
              <w:t>(in millions)</w:t>
            </w:r>
          </w:p>
        </w:tc>
        <w:tc>
          <w:tcPr>
            <w:tcW w:w="19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0" w:type="dxa"/>
            <w:vAlign w:val="bottom"/>
          </w:tcPr>
          <w:p>
            <w:pPr>
              <w:jc w:val="right"/>
              <w:ind w:right="494"/>
              <w:spacing w:after="0" w:line="148" w:lineRule="exact"/>
              <w:rPr>
                <w:sz w:val="20"/>
                <w:szCs w:val="20"/>
                <w:color w:val="auto"/>
              </w:rPr>
            </w:pPr>
            <w:r>
              <w:rPr>
                <w:rFonts w:ascii="Arial" w:cs="Arial" w:eastAsia="Arial" w:hAnsi="Arial"/>
                <w:sz w:val="17"/>
                <w:szCs w:val="17"/>
                <w:b w:val="1"/>
                <w:bCs w:val="1"/>
                <w:color w:val="auto"/>
              </w:rPr>
              <w:t>2025</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0" w:type="dxa"/>
            <w:vAlign w:val="bottom"/>
          </w:tcPr>
          <w:p>
            <w:pPr>
              <w:jc w:val="right"/>
              <w:ind w:right="494"/>
              <w:spacing w:after="0" w:line="148" w:lineRule="exact"/>
              <w:rPr>
                <w:sz w:val="20"/>
                <w:szCs w:val="20"/>
                <w:color w:val="auto"/>
              </w:rPr>
            </w:pPr>
            <w:r>
              <w:rPr>
                <w:rFonts w:ascii="Arial" w:cs="Arial" w:eastAsia="Arial" w:hAnsi="Arial"/>
                <w:sz w:val="17"/>
                <w:szCs w:val="17"/>
                <w:b w:val="1"/>
                <w:bCs w:val="1"/>
                <w:color w:val="auto"/>
              </w:rPr>
              <w:t>2024</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jc w:val="right"/>
              <w:ind w:right="494"/>
              <w:spacing w:after="0" w:line="148" w:lineRule="exact"/>
              <w:rPr>
                <w:sz w:val="20"/>
                <w:szCs w:val="20"/>
                <w:color w:val="auto"/>
              </w:rPr>
            </w:pPr>
            <w:r>
              <w:rPr>
                <w:rFonts w:ascii="Arial" w:cs="Arial" w:eastAsia="Arial" w:hAnsi="Arial"/>
                <w:sz w:val="17"/>
                <w:szCs w:val="17"/>
                <w:b w:val="1"/>
                <w:bCs w:val="1"/>
                <w:color w:val="auto"/>
              </w:rPr>
              <w:t>2023</w:t>
            </w:r>
          </w:p>
        </w:tc>
        <w:tc>
          <w:tcPr>
            <w:tcW w:w="0" w:type="dxa"/>
            <w:vAlign w:val="bottom"/>
          </w:tcPr>
          <w:p>
            <w:pPr>
              <w:spacing w:after="0"/>
              <w:rPr>
                <w:sz w:val="1"/>
                <w:szCs w:val="1"/>
                <w:color w:val="auto"/>
              </w:rPr>
            </w:pPr>
          </w:p>
        </w:tc>
      </w:tr>
      <w:tr>
        <w:trPr>
          <w:trHeight w:val="32"/>
        </w:trPr>
        <w:tc>
          <w:tcPr>
            <w:tcW w:w="20" w:type="dxa"/>
            <w:vAlign w:val="bottom"/>
            <w:tcBorders>
              <w:bottom w:val="single" w:sz="8" w:color="DCE2EF"/>
            </w:tcBorders>
          </w:tcPr>
          <w:p>
            <w:pPr>
              <w:spacing w:after="0"/>
              <w:rPr>
                <w:sz w:val="2"/>
                <w:szCs w:val="2"/>
                <w:color w:val="auto"/>
              </w:rPr>
            </w:pPr>
          </w:p>
        </w:tc>
        <w:tc>
          <w:tcPr>
            <w:tcW w:w="680" w:type="dxa"/>
            <w:vAlign w:val="bottom"/>
            <w:tcBorders>
              <w:top w:val="single" w:sz="8" w:color="auto"/>
              <w:bottom w:val="single" w:sz="8" w:color="DCE2EF"/>
            </w:tcBorders>
          </w:tcPr>
          <w:p>
            <w:pPr>
              <w:spacing w:after="0"/>
              <w:rPr>
                <w:sz w:val="2"/>
                <w:szCs w:val="2"/>
                <w:color w:val="auto"/>
              </w:rPr>
            </w:pPr>
          </w:p>
        </w:tc>
        <w:tc>
          <w:tcPr>
            <w:tcW w:w="3740" w:type="dxa"/>
            <w:vAlign w:val="bottom"/>
            <w:tcBorders>
              <w:bottom w:val="single" w:sz="8" w:color="DCE2EF"/>
            </w:tcBorders>
          </w:tcPr>
          <w:p>
            <w:pPr>
              <w:spacing w:after="0"/>
              <w:rPr>
                <w:sz w:val="2"/>
                <w:szCs w:val="2"/>
                <w:color w:val="auto"/>
              </w:rPr>
            </w:pPr>
          </w:p>
        </w:tc>
        <w:tc>
          <w:tcPr>
            <w:tcW w:w="1980" w:type="dxa"/>
            <w:vAlign w:val="bottom"/>
            <w:tcBorders>
              <w:bottom w:val="single" w:sz="8" w:color="DCE2E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4440" w:type="dxa"/>
            <w:vAlign w:val="bottom"/>
            <w:gridSpan w:val="3"/>
            <w:shd w:val="clear" w:color="auto" w:fill="DCE2EF"/>
          </w:tcPr>
          <w:p>
            <w:pPr>
              <w:ind w:left="20"/>
              <w:spacing w:after="0"/>
              <w:rPr>
                <w:sz w:val="20"/>
                <w:szCs w:val="20"/>
                <w:color w:val="auto"/>
              </w:rPr>
            </w:pPr>
            <w:r>
              <w:rPr>
                <w:rFonts w:ascii="Arial" w:cs="Arial" w:eastAsia="Arial" w:hAnsi="Arial"/>
                <w:sz w:val="17"/>
                <w:szCs w:val="17"/>
                <w:b w:val="1"/>
                <w:bCs w:val="1"/>
                <w:color w:val="auto"/>
              </w:rPr>
              <w:t>Valuation allowance at beginning of year</w:t>
            </w:r>
          </w:p>
        </w:tc>
        <w:tc>
          <w:tcPr>
            <w:tcW w:w="1980" w:type="dxa"/>
            <w:vAlign w:val="bottom"/>
            <w:shd w:val="clear" w:color="auto" w:fill="DCE2EF"/>
          </w:tcPr>
          <w:p>
            <w:pPr>
              <w:spacing w:after="0"/>
              <w:rPr>
                <w:sz w:val="18"/>
                <w:szCs w:val="18"/>
                <w:color w:val="auto"/>
              </w:rPr>
            </w:pPr>
          </w:p>
        </w:tc>
        <w:tc>
          <w:tcPr>
            <w:tcW w:w="340" w:type="dxa"/>
            <w:vAlign w:val="bottom"/>
            <w:shd w:val="clear" w:color="auto" w:fill="DCE2EF"/>
          </w:tcPr>
          <w:p>
            <w:pPr>
              <w:jc w:val="right"/>
              <w:ind w:right="134"/>
              <w:spacing w:after="0"/>
              <w:rPr>
                <w:sz w:val="20"/>
                <w:szCs w:val="20"/>
                <w:color w:val="auto"/>
              </w:rPr>
            </w:pPr>
            <w:r>
              <w:rPr>
                <w:rFonts w:ascii="Arial" w:cs="Arial" w:eastAsia="Arial" w:hAnsi="Arial"/>
                <w:sz w:val="17"/>
                <w:szCs w:val="17"/>
                <w:color w:val="auto"/>
              </w:rPr>
              <w:t>$</w:t>
            </w:r>
          </w:p>
        </w:tc>
        <w:tc>
          <w:tcPr>
            <w:tcW w:w="1200" w:type="dxa"/>
            <w:vAlign w:val="bottom"/>
            <w:shd w:val="clear" w:color="auto" w:fill="DCE2EF"/>
          </w:tcPr>
          <w:p>
            <w:pPr>
              <w:jc w:val="right"/>
              <w:spacing w:after="0"/>
              <w:rPr>
                <w:sz w:val="20"/>
                <w:szCs w:val="20"/>
                <w:color w:val="auto"/>
              </w:rPr>
            </w:pPr>
            <w:r>
              <w:rPr>
                <w:rFonts w:ascii="Arial" w:cs="Arial" w:eastAsia="Arial" w:hAnsi="Arial"/>
                <w:sz w:val="17"/>
                <w:szCs w:val="17"/>
                <w:color w:val="auto"/>
              </w:rPr>
              <w:t>1.1</w:t>
            </w:r>
          </w:p>
        </w:tc>
        <w:tc>
          <w:tcPr>
            <w:tcW w:w="100" w:type="dxa"/>
            <w:vAlign w:val="bottom"/>
            <w:shd w:val="clear" w:color="auto" w:fill="DCE2EF"/>
          </w:tcPr>
          <w:p>
            <w:pPr>
              <w:spacing w:after="0"/>
              <w:rPr>
                <w:sz w:val="18"/>
                <w:szCs w:val="18"/>
                <w:color w:val="auto"/>
              </w:rPr>
            </w:pPr>
          </w:p>
        </w:tc>
        <w:tc>
          <w:tcPr>
            <w:tcW w:w="340" w:type="dxa"/>
            <w:vAlign w:val="bottom"/>
            <w:shd w:val="clear" w:color="auto" w:fill="DCE2EF"/>
          </w:tcPr>
          <w:p>
            <w:pPr>
              <w:jc w:val="right"/>
              <w:ind w:right="134"/>
              <w:spacing w:after="0"/>
              <w:rPr>
                <w:sz w:val="20"/>
                <w:szCs w:val="20"/>
                <w:color w:val="auto"/>
              </w:rPr>
            </w:pPr>
            <w:r>
              <w:rPr>
                <w:rFonts w:ascii="Arial" w:cs="Arial" w:eastAsia="Arial" w:hAnsi="Arial"/>
                <w:sz w:val="17"/>
                <w:szCs w:val="17"/>
                <w:color w:val="auto"/>
              </w:rPr>
              <w:t>$</w:t>
            </w:r>
          </w:p>
        </w:tc>
        <w:tc>
          <w:tcPr>
            <w:tcW w:w="1200" w:type="dxa"/>
            <w:vAlign w:val="bottom"/>
            <w:shd w:val="clear" w:color="auto" w:fill="DCE2EF"/>
          </w:tcPr>
          <w:p>
            <w:pPr>
              <w:jc w:val="center"/>
              <w:ind w:left="714"/>
              <w:spacing w:after="0"/>
              <w:rPr>
                <w:sz w:val="20"/>
                <w:szCs w:val="20"/>
                <w:color w:val="auto"/>
              </w:rPr>
            </w:pPr>
            <w:r>
              <w:rPr>
                <w:rFonts w:ascii="Arial" w:cs="Arial" w:eastAsia="Arial" w:hAnsi="Arial"/>
                <w:sz w:val="17"/>
                <w:szCs w:val="17"/>
                <w:color w:val="auto"/>
              </w:rPr>
              <w:t>1.2</w:t>
            </w:r>
          </w:p>
        </w:tc>
        <w:tc>
          <w:tcPr>
            <w:tcW w:w="100" w:type="dxa"/>
            <w:vAlign w:val="bottom"/>
            <w:shd w:val="clear" w:color="auto" w:fill="DCE2EF"/>
          </w:tcPr>
          <w:p>
            <w:pPr>
              <w:spacing w:after="0"/>
              <w:rPr>
                <w:sz w:val="18"/>
                <w:szCs w:val="18"/>
                <w:color w:val="auto"/>
              </w:rPr>
            </w:pPr>
          </w:p>
        </w:tc>
        <w:tc>
          <w:tcPr>
            <w:tcW w:w="360" w:type="dxa"/>
            <w:vAlign w:val="bottom"/>
            <w:shd w:val="clear" w:color="auto" w:fill="DCE2EF"/>
          </w:tcPr>
          <w:p>
            <w:pPr>
              <w:jc w:val="right"/>
              <w:ind w:right="154"/>
              <w:spacing w:after="0"/>
              <w:rPr>
                <w:sz w:val="20"/>
                <w:szCs w:val="20"/>
                <w:color w:val="auto"/>
              </w:rPr>
            </w:pPr>
            <w:r>
              <w:rPr>
                <w:rFonts w:ascii="Arial" w:cs="Arial" w:eastAsia="Arial" w:hAnsi="Arial"/>
                <w:sz w:val="17"/>
                <w:szCs w:val="17"/>
                <w:color w:val="auto"/>
              </w:rPr>
              <w:t>$</w:t>
            </w:r>
          </w:p>
        </w:tc>
        <w:tc>
          <w:tcPr>
            <w:tcW w:w="1180" w:type="dxa"/>
            <w:vAlign w:val="bottom"/>
            <w:shd w:val="clear" w:color="auto" w:fill="DCE2EF"/>
          </w:tcPr>
          <w:p>
            <w:pPr>
              <w:jc w:val="center"/>
              <w:ind w:left="734"/>
              <w:spacing w:after="0"/>
              <w:rPr>
                <w:sz w:val="20"/>
                <w:szCs w:val="20"/>
                <w:color w:val="auto"/>
              </w:rPr>
            </w:pPr>
            <w:r>
              <w:rPr>
                <w:rFonts w:ascii="Arial" w:cs="Arial" w:eastAsia="Arial" w:hAnsi="Arial"/>
                <w:sz w:val="17"/>
                <w:szCs w:val="17"/>
                <w:color w:val="auto"/>
              </w:rPr>
              <w:t>1.6</w:t>
            </w:r>
          </w:p>
        </w:tc>
        <w:tc>
          <w:tcPr>
            <w:tcW w:w="0" w:type="dxa"/>
            <w:vAlign w:val="bottom"/>
          </w:tcPr>
          <w:p>
            <w:pPr>
              <w:spacing w:after="0"/>
              <w:rPr>
                <w:sz w:val="1"/>
                <w:szCs w:val="1"/>
                <w:color w:val="auto"/>
              </w:rPr>
            </w:pPr>
          </w:p>
        </w:tc>
      </w:tr>
      <w:tr>
        <w:trPr>
          <w:trHeight w:val="219"/>
        </w:trPr>
        <w:tc>
          <w:tcPr>
            <w:tcW w:w="20" w:type="dxa"/>
            <w:vAlign w:val="bottom"/>
            <w:tcBorders>
              <w:bottom w:val="single" w:sz="8" w:color="DCE2EF"/>
            </w:tcBorders>
          </w:tcPr>
          <w:p>
            <w:pPr>
              <w:spacing w:after="0"/>
              <w:rPr>
                <w:sz w:val="19"/>
                <w:szCs w:val="19"/>
                <w:color w:val="auto"/>
              </w:rPr>
            </w:pPr>
          </w:p>
        </w:tc>
        <w:tc>
          <w:tcPr>
            <w:tcW w:w="4420" w:type="dxa"/>
            <w:vAlign w:val="bottom"/>
            <w:tcBorders>
              <w:bottom w:val="single" w:sz="8" w:color="DCE2EF"/>
            </w:tcBorders>
            <w:gridSpan w:val="2"/>
          </w:tcPr>
          <w:p>
            <w:pPr>
              <w:ind w:left="120"/>
              <w:spacing w:after="0"/>
              <w:rPr>
                <w:sz w:val="20"/>
                <w:szCs w:val="20"/>
                <w:color w:val="auto"/>
              </w:rPr>
            </w:pPr>
            <w:r>
              <w:rPr>
                <w:rFonts w:ascii="Arial" w:cs="Arial" w:eastAsia="Arial" w:hAnsi="Arial"/>
                <w:sz w:val="17"/>
                <w:szCs w:val="17"/>
                <w:color w:val="auto"/>
              </w:rPr>
              <w:t>Other, net</w:t>
            </w:r>
          </w:p>
        </w:tc>
        <w:tc>
          <w:tcPr>
            <w:tcW w:w="1980" w:type="dxa"/>
            <w:vAlign w:val="bottom"/>
            <w:tcBorders>
              <w:bottom w:val="single" w:sz="8" w:color="DCE2E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0.1</w:t>
            </w:r>
          </w:p>
        </w:tc>
        <w:tc>
          <w:tcPr>
            <w:tcW w:w="100" w:type="dxa"/>
            <w:vAlign w:val="bottom"/>
            <w:tcBorders>
              <w:bottom w:val="single" w:sz="8" w:color="DCE2E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left="694"/>
              <w:spacing w:after="0"/>
              <w:rPr>
                <w:sz w:val="20"/>
                <w:szCs w:val="20"/>
                <w:color w:val="auto"/>
              </w:rPr>
            </w:pPr>
            <w:r>
              <w:rPr>
                <w:rFonts w:ascii="Arial" w:cs="Arial" w:eastAsia="Arial" w:hAnsi="Arial"/>
                <w:sz w:val="17"/>
                <w:szCs w:val="17"/>
                <w:color w:val="auto"/>
                <w:w w:val="97"/>
              </w:rPr>
              <w:t>(0.1)</w:t>
            </w:r>
          </w:p>
        </w:tc>
        <w:tc>
          <w:tcPr>
            <w:tcW w:w="100" w:type="dxa"/>
            <w:vAlign w:val="bottom"/>
            <w:tcBorders>
              <w:bottom w:val="single" w:sz="8" w:color="DCE2E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center"/>
              <w:ind w:left="694"/>
              <w:spacing w:after="0"/>
              <w:rPr>
                <w:sz w:val="20"/>
                <w:szCs w:val="20"/>
                <w:color w:val="auto"/>
              </w:rPr>
            </w:pPr>
            <w:r>
              <w:rPr>
                <w:rFonts w:ascii="Arial" w:cs="Arial" w:eastAsia="Arial" w:hAnsi="Arial"/>
                <w:sz w:val="17"/>
                <w:szCs w:val="17"/>
                <w:color w:val="auto"/>
              </w:rPr>
              <w:t>(0.4)</w:t>
            </w:r>
          </w:p>
        </w:tc>
        <w:tc>
          <w:tcPr>
            <w:tcW w:w="0" w:type="dxa"/>
            <w:vAlign w:val="bottom"/>
          </w:tcPr>
          <w:p>
            <w:pPr>
              <w:spacing w:after="0"/>
              <w:rPr>
                <w:sz w:val="1"/>
                <w:szCs w:val="1"/>
                <w:color w:val="auto"/>
              </w:rPr>
            </w:pPr>
          </w:p>
        </w:tc>
      </w:tr>
      <w:tr>
        <w:trPr>
          <w:trHeight w:val="237"/>
        </w:trPr>
        <w:tc>
          <w:tcPr>
            <w:tcW w:w="4440" w:type="dxa"/>
            <w:vAlign w:val="bottom"/>
            <w:tcBorders>
              <w:bottom w:val="single" w:sz="8" w:color="DCE2EF"/>
            </w:tcBorders>
            <w:gridSpan w:val="3"/>
            <w:shd w:val="clear" w:color="auto" w:fill="DCE2EF"/>
          </w:tcPr>
          <w:p>
            <w:pPr>
              <w:ind w:left="20"/>
              <w:spacing w:after="0"/>
              <w:rPr>
                <w:sz w:val="20"/>
                <w:szCs w:val="20"/>
                <w:color w:val="auto"/>
              </w:rPr>
            </w:pPr>
            <w:r>
              <w:rPr>
                <w:rFonts w:ascii="Arial" w:cs="Arial" w:eastAsia="Arial" w:hAnsi="Arial"/>
                <w:sz w:val="17"/>
                <w:szCs w:val="17"/>
                <w:b w:val="1"/>
                <w:bCs w:val="1"/>
                <w:color w:val="auto"/>
              </w:rPr>
              <w:t>Valuation allowance at end of year</w:t>
            </w:r>
          </w:p>
        </w:tc>
        <w:tc>
          <w:tcPr>
            <w:tcW w:w="1980" w:type="dxa"/>
            <w:vAlign w:val="bottom"/>
            <w:tcBorders>
              <w:bottom w:val="single" w:sz="8" w:color="DCE2EF"/>
            </w:tcBorders>
            <w:shd w:val="clear" w:color="auto" w:fill="DCE2EF"/>
          </w:tcPr>
          <w:p>
            <w:pPr>
              <w:spacing w:after="0"/>
              <w:rPr>
                <w:sz w:val="20"/>
                <w:szCs w:val="20"/>
                <w:color w:val="auto"/>
              </w:rPr>
            </w:pPr>
          </w:p>
        </w:tc>
        <w:tc>
          <w:tcPr>
            <w:tcW w:w="340" w:type="dxa"/>
            <w:vAlign w:val="bottom"/>
            <w:tcBorders>
              <w:bottom w:val="single" w:sz="8" w:color="auto"/>
            </w:tcBorders>
            <w:shd w:val="clear" w:color="auto" w:fill="DCE2EF"/>
          </w:tcPr>
          <w:p>
            <w:pPr>
              <w:jc w:val="right"/>
              <w:ind w:right="134"/>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7"/>
                <w:szCs w:val="17"/>
                <w:color w:val="auto"/>
              </w:rPr>
              <w:t>1.2</w:t>
            </w:r>
          </w:p>
        </w:tc>
        <w:tc>
          <w:tcPr>
            <w:tcW w:w="100" w:type="dxa"/>
            <w:vAlign w:val="bottom"/>
            <w:tcBorders>
              <w:bottom w:val="single" w:sz="8" w:color="DCE2EF"/>
            </w:tcBorders>
            <w:shd w:val="clear" w:color="auto" w:fill="DCE2EF"/>
          </w:tcPr>
          <w:p>
            <w:pPr>
              <w:spacing w:after="0"/>
              <w:rPr>
                <w:sz w:val="20"/>
                <w:szCs w:val="20"/>
                <w:color w:val="auto"/>
              </w:rPr>
            </w:pPr>
          </w:p>
        </w:tc>
        <w:tc>
          <w:tcPr>
            <w:tcW w:w="340" w:type="dxa"/>
            <w:vAlign w:val="bottom"/>
            <w:tcBorders>
              <w:bottom w:val="single" w:sz="8" w:color="auto"/>
            </w:tcBorders>
            <w:shd w:val="clear" w:color="auto" w:fill="DCE2EF"/>
          </w:tcPr>
          <w:p>
            <w:pPr>
              <w:jc w:val="right"/>
              <w:ind w:right="134"/>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auto"/>
            </w:tcBorders>
            <w:shd w:val="clear" w:color="auto" w:fill="DCE2EF"/>
          </w:tcPr>
          <w:p>
            <w:pPr>
              <w:jc w:val="center"/>
              <w:ind w:left="714"/>
              <w:spacing w:after="0"/>
              <w:rPr>
                <w:sz w:val="20"/>
                <w:szCs w:val="20"/>
                <w:color w:val="auto"/>
              </w:rPr>
            </w:pPr>
            <w:r>
              <w:rPr>
                <w:rFonts w:ascii="Arial" w:cs="Arial" w:eastAsia="Arial" w:hAnsi="Arial"/>
                <w:sz w:val="17"/>
                <w:szCs w:val="17"/>
                <w:color w:val="auto"/>
              </w:rPr>
              <w:t>1.1</w:t>
            </w:r>
          </w:p>
        </w:tc>
        <w:tc>
          <w:tcPr>
            <w:tcW w:w="100" w:type="dxa"/>
            <w:vAlign w:val="bottom"/>
            <w:tcBorders>
              <w:bottom w:val="single" w:sz="8" w:color="DCE2EF"/>
            </w:tcBorders>
            <w:shd w:val="clear" w:color="auto" w:fill="DCE2EF"/>
          </w:tcPr>
          <w:p>
            <w:pPr>
              <w:spacing w:after="0"/>
              <w:rPr>
                <w:sz w:val="20"/>
                <w:szCs w:val="20"/>
                <w:color w:val="auto"/>
              </w:rPr>
            </w:pPr>
          </w:p>
        </w:tc>
        <w:tc>
          <w:tcPr>
            <w:tcW w:w="360" w:type="dxa"/>
            <w:vAlign w:val="bottom"/>
            <w:tcBorders>
              <w:bottom w:val="single" w:sz="8" w:color="auto"/>
            </w:tcBorders>
            <w:shd w:val="clear" w:color="auto" w:fill="DCE2EF"/>
          </w:tcPr>
          <w:p>
            <w:pPr>
              <w:jc w:val="right"/>
              <w:ind w:right="154"/>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shd w:val="clear" w:color="auto" w:fill="DCE2EF"/>
          </w:tcPr>
          <w:p>
            <w:pPr>
              <w:jc w:val="center"/>
              <w:ind w:left="734"/>
              <w:spacing w:after="0"/>
              <w:rPr>
                <w:sz w:val="20"/>
                <w:szCs w:val="20"/>
                <w:color w:val="auto"/>
              </w:rPr>
            </w:pPr>
            <w:r>
              <w:rPr>
                <w:rFonts w:ascii="Arial" w:cs="Arial" w:eastAsia="Arial" w:hAnsi="Arial"/>
                <w:sz w:val="17"/>
                <w:szCs w:val="17"/>
                <w:color w:val="auto"/>
              </w:rPr>
              <w:t>1.2</w:t>
            </w:r>
          </w:p>
        </w:tc>
        <w:tc>
          <w:tcPr>
            <w:tcW w:w="0" w:type="dxa"/>
            <w:vAlign w:val="bottom"/>
          </w:tcPr>
          <w:p>
            <w:pPr>
              <w:spacing w:after="0"/>
              <w:rPr>
                <w:sz w:val="1"/>
                <w:szCs w:val="1"/>
                <w:color w:val="auto"/>
              </w:rPr>
            </w:pPr>
          </w:p>
        </w:tc>
      </w:tr>
      <w:tr>
        <w:trPr>
          <w:trHeight w:val="20"/>
        </w:trPr>
        <w:tc>
          <w:tcPr>
            <w:tcW w:w="20" w:type="dxa"/>
            <w:vAlign w:val="bottom"/>
            <w:tcBorders>
              <w:top w:val="single" w:sz="8" w:color="DCE2EF"/>
            </w:tcBorders>
          </w:tcPr>
          <w:p>
            <w:pPr>
              <w:spacing w:after="0" w:line="20" w:lineRule="exact"/>
              <w:rPr>
                <w:sz w:val="1"/>
                <w:szCs w:val="1"/>
                <w:color w:val="auto"/>
              </w:rPr>
            </w:pPr>
          </w:p>
        </w:tc>
        <w:tc>
          <w:tcPr>
            <w:tcW w:w="680" w:type="dxa"/>
            <w:vAlign w:val="bottom"/>
            <w:tcBorders>
              <w:top w:val="single" w:sz="8" w:color="DCE2EF"/>
            </w:tcBorders>
          </w:tcPr>
          <w:p>
            <w:pPr>
              <w:spacing w:after="0" w:line="20" w:lineRule="exact"/>
              <w:rPr>
                <w:sz w:val="1"/>
                <w:szCs w:val="1"/>
                <w:color w:val="auto"/>
              </w:rPr>
            </w:pPr>
          </w:p>
        </w:tc>
        <w:tc>
          <w:tcPr>
            <w:tcW w:w="3740" w:type="dxa"/>
            <w:vAlign w:val="bottom"/>
            <w:tcBorders>
              <w:top w:val="single" w:sz="8" w:color="DCE2EF"/>
            </w:tcBorders>
          </w:tcPr>
          <w:p>
            <w:pPr>
              <w:spacing w:after="0" w:line="20" w:lineRule="exact"/>
              <w:rPr>
                <w:sz w:val="1"/>
                <w:szCs w:val="1"/>
                <w:color w:val="auto"/>
              </w:rPr>
            </w:pPr>
          </w:p>
        </w:tc>
        <w:tc>
          <w:tcPr>
            <w:tcW w:w="1980" w:type="dxa"/>
            <w:vAlign w:val="bottom"/>
            <w:tcBorders>
              <w:top w:val="single" w:sz="8" w:color="DCE2EF"/>
              <w:bottom w:val="single" w:sz="8" w:color="DCE2EF"/>
            </w:tcBorders>
            <w:vMerge w:val="restart"/>
          </w:tcPr>
          <w:p>
            <w:pPr>
              <w:jc w:val="right"/>
              <w:ind w:right="614"/>
              <w:spacing w:after="0"/>
              <w:rPr>
                <w:sz w:val="20"/>
                <w:szCs w:val="20"/>
                <w:color w:val="auto"/>
              </w:rPr>
            </w:pPr>
            <w:r>
              <w:rPr>
                <w:rFonts w:ascii="Arial" w:cs="Arial" w:eastAsia="Arial" w:hAnsi="Arial"/>
                <w:sz w:val="17"/>
                <w:szCs w:val="17"/>
                <w:color w:val="auto"/>
              </w:rPr>
              <w:t>84</w:t>
            </w:r>
          </w:p>
        </w:tc>
        <w:tc>
          <w:tcPr>
            <w:tcW w:w="340" w:type="dxa"/>
            <w:vAlign w:val="bottom"/>
            <w:tcBorders>
              <w:top w:val="single" w:sz="8" w:color="DCE2EF"/>
              <w:bottom w:val="single" w:sz="8" w:color="auto"/>
            </w:tcBorders>
          </w:tcPr>
          <w:p>
            <w:pPr>
              <w:spacing w:after="0" w:line="20" w:lineRule="exact"/>
              <w:rPr>
                <w:sz w:val="1"/>
                <w:szCs w:val="1"/>
                <w:color w:val="auto"/>
              </w:rPr>
            </w:pPr>
          </w:p>
        </w:tc>
        <w:tc>
          <w:tcPr>
            <w:tcW w:w="1200" w:type="dxa"/>
            <w:vAlign w:val="bottom"/>
            <w:tcBorders>
              <w:top w:val="single" w:sz="8" w:color="DCE2EF"/>
              <w:bottom w:val="single" w:sz="8" w:color="auto"/>
            </w:tcBorders>
          </w:tcPr>
          <w:p>
            <w:pPr>
              <w:spacing w:after="0" w:line="20" w:lineRule="exact"/>
              <w:rPr>
                <w:sz w:val="1"/>
                <w:szCs w:val="1"/>
                <w:color w:val="auto"/>
              </w:rPr>
            </w:pPr>
          </w:p>
        </w:tc>
        <w:tc>
          <w:tcPr>
            <w:tcW w:w="100" w:type="dxa"/>
            <w:vAlign w:val="bottom"/>
            <w:tcBorders>
              <w:top w:val="single" w:sz="8" w:color="DCE2EF"/>
            </w:tcBorders>
          </w:tcPr>
          <w:p>
            <w:pPr>
              <w:spacing w:after="0" w:line="20" w:lineRule="exact"/>
              <w:rPr>
                <w:sz w:val="1"/>
                <w:szCs w:val="1"/>
                <w:color w:val="auto"/>
              </w:rPr>
            </w:pPr>
          </w:p>
        </w:tc>
        <w:tc>
          <w:tcPr>
            <w:tcW w:w="340" w:type="dxa"/>
            <w:vAlign w:val="bottom"/>
            <w:tcBorders>
              <w:top w:val="single" w:sz="8" w:color="DCE2EF"/>
              <w:bottom w:val="single" w:sz="8" w:color="auto"/>
            </w:tcBorders>
          </w:tcPr>
          <w:p>
            <w:pPr>
              <w:spacing w:after="0" w:line="20" w:lineRule="exact"/>
              <w:rPr>
                <w:sz w:val="1"/>
                <w:szCs w:val="1"/>
                <w:color w:val="auto"/>
              </w:rPr>
            </w:pPr>
          </w:p>
        </w:tc>
        <w:tc>
          <w:tcPr>
            <w:tcW w:w="1200" w:type="dxa"/>
            <w:vAlign w:val="bottom"/>
            <w:tcBorders>
              <w:top w:val="single" w:sz="8" w:color="DCE2EF"/>
              <w:bottom w:val="single" w:sz="8" w:color="auto"/>
            </w:tcBorders>
          </w:tcPr>
          <w:p>
            <w:pPr>
              <w:spacing w:after="0" w:line="20" w:lineRule="exact"/>
              <w:rPr>
                <w:sz w:val="1"/>
                <w:szCs w:val="1"/>
                <w:color w:val="auto"/>
              </w:rPr>
            </w:pPr>
          </w:p>
        </w:tc>
        <w:tc>
          <w:tcPr>
            <w:tcW w:w="100" w:type="dxa"/>
            <w:vAlign w:val="bottom"/>
            <w:tcBorders>
              <w:top w:val="single" w:sz="8" w:color="DCE2EF"/>
            </w:tcBorders>
          </w:tcPr>
          <w:p>
            <w:pPr>
              <w:spacing w:after="0" w:line="20" w:lineRule="exact"/>
              <w:rPr>
                <w:sz w:val="1"/>
                <w:szCs w:val="1"/>
                <w:color w:val="auto"/>
              </w:rPr>
            </w:pPr>
          </w:p>
        </w:tc>
        <w:tc>
          <w:tcPr>
            <w:tcW w:w="360" w:type="dxa"/>
            <w:vAlign w:val="bottom"/>
            <w:tcBorders>
              <w:top w:val="single" w:sz="8" w:color="DCE2EF"/>
              <w:bottom w:val="single" w:sz="8" w:color="auto"/>
            </w:tcBorders>
          </w:tcPr>
          <w:p>
            <w:pPr>
              <w:spacing w:after="0" w:line="20" w:lineRule="exact"/>
              <w:rPr>
                <w:sz w:val="1"/>
                <w:szCs w:val="1"/>
                <w:color w:val="auto"/>
              </w:rPr>
            </w:pPr>
          </w:p>
        </w:tc>
        <w:tc>
          <w:tcPr>
            <w:tcW w:w="1180" w:type="dxa"/>
            <w:vAlign w:val="bottom"/>
            <w:tcBorders>
              <w:top w:val="single" w:sz="8" w:color="DCE2E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6"/>
        </w:trPr>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198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6"/>
        </w:trPr>
        <w:tc>
          <w:tcPr>
            <w:tcW w:w="2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3740" w:type="dxa"/>
            <w:vAlign w:val="bottom"/>
            <w:tcBorders>
              <w:bottom w:val="single" w:sz="8" w:color="9A9A9A"/>
            </w:tcBorders>
          </w:tcPr>
          <w:p>
            <w:pPr>
              <w:spacing w:after="0"/>
              <w:rPr>
                <w:sz w:val="9"/>
                <w:szCs w:val="9"/>
                <w:color w:val="auto"/>
              </w:rPr>
            </w:pPr>
          </w:p>
        </w:tc>
        <w:tc>
          <w:tcPr>
            <w:tcW w:w="198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65" w:right="339" w:bottom="1440" w:gutter="0" w:footer="0" w:header="0"/>
        </w:sectPr>
      </w:pPr>
    </w:p>
    <w:bookmarkStart w:id="87" w:name="page88"/>
    <w:bookmarkEnd w:id="87"/>
    <w:p>
      <w:pPr>
        <w:spacing w:after="0"/>
        <w:rPr>
          <w:sz w:val="20"/>
          <w:szCs w:val="20"/>
          <w:color w:val="auto"/>
        </w:rPr>
      </w:pPr>
      <w:r>
        <w:rPr>
          <w:rFonts w:ascii="Arial" w:cs="Arial" w:eastAsia="Arial" w:hAnsi="Arial"/>
          <w:sz w:val="17"/>
          <w:szCs w:val="17"/>
          <w:b w:val="1"/>
          <w:bCs w:val="1"/>
          <w:color w:val="0046AD"/>
        </w:rPr>
        <w:t>Unrecognized Tax Benefits</w:t>
      </w:r>
    </w:p>
    <w:p>
      <w:pPr>
        <w:spacing w:after="0" w:line="168"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At October 31, 2025, 2024, and 2023, there were $13.5 million, $15.5 million, and $20.7 million, respectively, of unrecognized tax benefits that if recognized in the future would impact our effective tax rate. We estimate that a decrease in unrecognized tax benefits of up to approximately $3.3 million is reasonably possible over the next 12 months due to lapses of applicable statutes of limitations. At October 31, 2025 and 2024, accrued interest and penalties were $ 1.9 million and $1.3 million, respectively. For interest and penalties, we recognized a $0.6 million expense, a $0.1 million benefit, and a $0.7 million expense in 2025, 2024, and 2023, respectively.</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46AD"/>
        </w:rPr>
        <w:t>Reconciliation of Total Unrecognized Tax Benefits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7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3300" w:type="dxa"/>
            <w:vAlign w:val="bottom"/>
            <w:tcBorders>
              <w:bottom w:val="single" w:sz="8" w:color="auto"/>
            </w:tcBorders>
            <w:gridSpan w:val="6"/>
          </w:tcPr>
          <w:p>
            <w:pPr>
              <w:jc w:val="right"/>
              <w:ind w:right="134"/>
              <w:spacing w:after="0"/>
              <w:rPr>
                <w:sz w:val="20"/>
                <w:szCs w:val="20"/>
                <w:color w:val="auto"/>
              </w:rPr>
            </w:pPr>
            <w:r>
              <w:rPr>
                <w:rFonts w:ascii="Arial" w:cs="Arial" w:eastAsia="Arial" w:hAnsi="Arial"/>
                <w:sz w:val="17"/>
                <w:szCs w:val="17"/>
                <w:b w:val="1"/>
                <w:bCs w:val="1"/>
                <w:color w:val="auto"/>
              </w:rPr>
              <w:t>Years Ended October 31,</w:t>
            </w:r>
          </w:p>
        </w:tc>
        <w:tc>
          <w:tcPr>
            <w:tcW w:w="1180" w:type="dxa"/>
            <w:vAlign w:val="bottom"/>
            <w:tcBorders>
              <w:bottom w:val="single" w:sz="8" w:color="auto"/>
            </w:tcBorders>
          </w:tcPr>
          <w:p>
            <w:pPr>
              <w:spacing w:after="0"/>
              <w:rPr>
                <w:sz w:val="19"/>
                <w:szCs w:val="19"/>
                <w:color w:val="auto"/>
              </w:rPr>
            </w:pPr>
          </w:p>
        </w:tc>
      </w:tr>
      <w:tr>
        <w:trPr>
          <w:trHeight w:val="160"/>
        </w:trPr>
        <w:tc>
          <w:tcPr>
            <w:tcW w:w="6420" w:type="dxa"/>
            <w:vAlign w:val="bottom"/>
            <w:gridSpan w:val="3"/>
          </w:tcPr>
          <w:p>
            <w:pPr>
              <w:ind w:left="20"/>
              <w:spacing w:after="0" w:line="148" w:lineRule="exact"/>
              <w:rPr>
                <w:sz w:val="20"/>
                <w:szCs w:val="20"/>
                <w:color w:val="auto"/>
              </w:rPr>
            </w:pPr>
            <w:r>
              <w:rPr>
                <w:rFonts w:ascii="Times New Roman" w:cs="Times New Roman" w:eastAsia="Times New Roman" w:hAnsi="Times New Roman"/>
                <w:sz w:val="14"/>
                <w:szCs w:val="14"/>
                <w:i w:val="1"/>
                <w:iCs w:val="1"/>
                <w:color w:val="auto"/>
              </w:rPr>
              <w:t>(in millions)</w:t>
            </w:r>
          </w:p>
        </w:tc>
        <w:tc>
          <w:tcPr>
            <w:tcW w:w="340" w:type="dxa"/>
            <w:vAlign w:val="bottom"/>
          </w:tcPr>
          <w:p>
            <w:pPr>
              <w:spacing w:after="0"/>
              <w:rPr>
                <w:sz w:val="13"/>
                <w:szCs w:val="13"/>
                <w:color w:val="auto"/>
              </w:rPr>
            </w:pPr>
          </w:p>
        </w:tc>
        <w:tc>
          <w:tcPr>
            <w:tcW w:w="1200" w:type="dxa"/>
            <w:vAlign w:val="bottom"/>
          </w:tcPr>
          <w:p>
            <w:pPr>
              <w:jc w:val="right"/>
              <w:ind w:right="494"/>
              <w:spacing w:after="0" w:line="148" w:lineRule="exact"/>
              <w:rPr>
                <w:sz w:val="20"/>
                <w:szCs w:val="20"/>
                <w:color w:val="auto"/>
              </w:rPr>
            </w:pPr>
            <w:r>
              <w:rPr>
                <w:rFonts w:ascii="Arial" w:cs="Arial" w:eastAsia="Arial" w:hAnsi="Arial"/>
                <w:sz w:val="17"/>
                <w:szCs w:val="17"/>
                <w:b w:val="1"/>
                <w:bCs w:val="1"/>
                <w:color w:val="auto"/>
              </w:rPr>
              <w:t>2025</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0" w:type="dxa"/>
            <w:vAlign w:val="bottom"/>
          </w:tcPr>
          <w:p>
            <w:pPr>
              <w:jc w:val="right"/>
              <w:ind w:right="494"/>
              <w:spacing w:after="0" w:line="148" w:lineRule="exact"/>
              <w:rPr>
                <w:sz w:val="20"/>
                <w:szCs w:val="20"/>
                <w:color w:val="auto"/>
              </w:rPr>
            </w:pPr>
            <w:r>
              <w:rPr>
                <w:rFonts w:ascii="Arial" w:cs="Arial" w:eastAsia="Arial" w:hAnsi="Arial"/>
                <w:sz w:val="17"/>
                <w:szCs w:val="17"/>
                <w:b w:val="1"/>
                <w:bCs w:val="1"/>
                <w:color w:val="auto"/>
              </w:rPr>
              <w:t>2024</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jc w:val="right"/>
              <w:ind w:right="494"/>
              <w:spacing w:after="0" w:line="148" w:lineRule="exact"/>
              <w:rPr>
                <w:sz w:val="20"/>
                <w:szCs w:val="20"/>
                <w:color w:val="auto"/>
              </w:rPr>
            </w:pPr>
            <w:r>
              <w:rPr>
                <w:rFonts w:ascii="Arial" w:cs="Arial" w:eastAsia="Arial" w:hAnsi="Arial"/>
                <w:sz w:val="17"/>
                <w:szCs w:val="17"/>
                <w:b w:val="1"/>
                <w:bCs w:val="1"/>
                <w:color w:val="auto"/>
              </w:rPr>
              <w:t>2023</w:t>
            </w:r>
          </w:p>
        </w:tc>
      </w:tr>
      <w:tr>
        <w:trPr>
          <w:trHeight w:val="32"/>
        </w:trPr>
        <w:tc>
          <w:tcPr>
            <w:tcW w:w="20" w:type="dxa"/>
            <w:vAlign w:val="bottom"/>
            <w:tcBorders>
              <w:bottom w:val="single" w:sz="8" w:color="DCE2EF"/>
            </w:tcBorders>
          </w:tcPr>
          <w:p>
            <w:pPr>
              <w:spacing w:after="0"/>
              <w:rPr>
                <w:sz w:val="2"/>
                <w:szCs w:val="2"/>
                <w:color w:val="auto"/>
              </w:rPr>
            </w:pPr>
          </w:p>
        </w:tc>
        <w:tc>
          <w:tcPr>
            <w:tcW w:w="680" w:type="dxa"/>
            <w:vAlign w:val="bottom"/>
            <w:tcBorders>
              <w:top w:val="single" w:sz="8" w:color="auto"/>
              <w:bottom w:val="single" w:sz="8" w:color="DCE2EF"/>
            </w:tcBorders>
          </w:tcPr>
          <w:p>
            <w:pPr>
              <w:spacing w:after="0"/>
              <w:rPr>
                <w:sz w:val="2"/>
                <w:szCs w:val="2"/>
                <w:color w:val="auto"/>
              </w:rPr>
            </w:pPr>
          </w:p>
        </w:tc>
        <w:tc>
          <w:tcPr>
            <w:tcW w:w="5720" w:type="dxa"/>
            <w:vAlign w:val="bottom"/>
            <w:tcBorders>
              <w:bottom w:val="single" w:sz="8" w:color="DCE2E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12"/>
        </w:trPr>
        <w:tc>
          <w:tcPr>
            <w:tcW w:w="6420" w:type="dxa"/>
            <w:vAlign w:val="bottom"/>
            <w:gridSpan w:val="3"/>
            <w:shd w:val="clear" w:color="auto" w:fill="DCE2EF"/>
          </w:tcPr>
          <w:p>
            <w:pPr>
              <w:ind w:left="20"/>
              <w:spacing w:after="0"/>
              <w:rPr>
                <w:sz w:val="20"/>
                <w:szCs w:val="20"/>
                <w:color w:val="auto"/>
              </w:rPr>
            </w:pPr>
            <w:r>
              <w:rPr>
                <w:rFonts w:ascii="Arial" w:cs="Arial" w:eastAsia="Arial" w:hAnsi="Arial"/>
                <w:sz w:val="17"/>
                <w:szCs w:val="17"/>
                <w:b w:val="1"/>
                <w:bCs w:val="1"/>
                <w:color w:val="auto"/>
              </w:rPr>
              <w:t>Balance at beginning of year</w:t>
            </w:r>
          </w:p>
        </w:tc>
        <w:tc>
          <w:tcPr>
            <w:tcW w:w="340" w:type="dxa"/>
            <w:vAlign w:val="bottom"/>
            <w:shd w:val="clear" w:color="auto" w:fill="DCE2EF"/>
          </w:tcPr>
          <w:p>
            <w:pPr>
              <w:jc w:val="right"/>
              <w:ind w:right="134"/>
              <w:spacing w:after="0"/>
              <w:rPr>
                <w:sz w:val="20"/>
                <w:szCs w:val="20"/>
                <w:color w:val="auto"/>
              </w:rPr>
            </w:pPr>
            <w:r>
              <w:rPr>
                <w:rFonts w:ascii="Arial" w:cs="Arial" w:eastAsia="Arial" w:hAnsi="Arial"/>
                <w:sz w:val="17"/>
                <w:szCs w:val="17"/>
                <w:color w:val="auto"/>
              </w:rPr>
              <w:t>$</w:t>
            </w:r>
          </w:p>
        </w:tc>
        <w:tc>
          <w:tcPr>
            <w:tcW w:w="1200" w:type="dxa"/>
            <w:vAlign w:val="bottom"/>
            <w:shd w:val="clear" w:color="auto" w:fill="DCE2EF"/>
          </w:tcPr>
          <w:p>
            <w:pPr>
              <w:jc w:val="right"/>
              <w:spacing w:after="0"/>
              <w:rPr>
                <w:sz w:val="20"/>
                <w:szCs w:val="20"/>
                <w:color w:val="auto"/>
              </w:rPr>
            </w:pPr>
            <w:r>
              <w:rPr>
                <w:rFonts w:ascii="Arial" w:cs="Arial" w:eastAsia="Arial" w:hAnsi="Arial"/>
                <w:sz w:val="17"/>
                <w:szCs w:val="17"/>
                <w:color w:val="auto"/>
              </w:rPr>
              <w:t>15.5</w:t>
            </w:r>
          </w:p>
        </w:tc>
        <w:tc>
          <w:tcPr>
            <w:tcW w:w="100" w:type="dxa"/>
            <w:vAlign w:val="bottom"/>
            <w:shd w:val="clear" w:color="auto" w:fill="DCE2EF"/>
          </w:tcPr>
          <w:p>
            <w:pPr>
              <w:spacing w:after="0"/>
              <w:rPr>
                <w:sz w:val="18"/>
                <w:szCs w:val="18"/>
                <w:color w:val="auto"/>
              </w:rPr>
            </w:pPr>
          </w:p>
        </w:tc>
        <w:tc>
          <w:tcPr>
            <w:tcW w:w="340" w:type="dxa"/>
            <w:vAlign w:val="bottom"/>
            <w:shd w:val="clear" w:color="auto" w:fill="DCE2EF"/>
          </w:tcPr>
          <w:p>
            <w:pPr>
              <w:jc w:val="right"/>
              <w:ind w:right="134"/>
              <w:spacing w:after="0"/>
              <w:rPr>
                <w:sz w:val="20"/>
                <w:szCs w:val="20"/>
                <w:color w:val="auto"/>
              </w:rPr>
            </w:pPr>
            <w:r>
              <w:rPr>
                <w:rFonts w:ascii="Arial" w:cs="Arial" w:eastAsia="Arial" w:hAnsi="Arial"/>
                <w:sz w:val="17"/>
                <w:szCs w:val="17"/>
                <w:color w:val="auto"/>
              </w:rPr>
              <w:t>$</w:t>
            </w:r>
          </w:p>
        </w:tc>
        <w:tc>
          <w:tcPr>
            <w:tcW w:w="1200" w:type="dxa"/>
            <w:vAlign w:val="bottom"/>
            <w:shd w:val="clear" w:color="auto" w:fill="DCE2EF"/>
          </w:tcPr>
          <w:p>
            <w:pPr>
              <w:jc w:val="right"/>
              <w:spacing w:after="0"/>
              <w:rPr>
                <w:sz w:val="20"/>
                <w:szCs w:val="20"/>
                <w:color w:val="auto"/>
              </w:rPr>
            </w:pPr>
            <w:r>
              <w:rPr>
                <w:rFonts w:ascii="Arial" w:cs="Arial" w:eastAsia="Arial" w:hAnsi="Arial"/>
                <w:sz w:val="17"/>
                <w:szCs w:val="17"/>
                <w:color w:val="auto"/>
              </w:rPr>
              <w:t>20.7</w:t>
            </w:r>
          </w:p>
        </w:tc>
        <w:tc>
          <w:tcPr>
            <w:tcW w:w="100" w:type="dxa"/>
            <w:vAlign w:val="bottom"/>
            <w:shd w:val="clear" w:color="auto" w:fill="DCE2EF"/>
          </w:tcPr>
          <w:p>
            <w:pPr>
              <w:spacing w:after="0"/>
              <w:rPr>
                <w:sz w:val="18"/>
                <w:szCs w:val="18"/>
                <w:color w:val="auto"/>
              </w:rPr>
            </w:pPr>
          </w:p>
        </w:tc>
        <w:tc>
          <w:tcPr>
            <w:tcW w:w="360" w:type="dxa"/>
            <w:vAlign w:val="bottom"/>
            <w:shd w:val="clear" w:color="auto" w:fill="DCE2EF"/>
          </w:tcPr>
          <w:p>
            <w:pPr>
              <w:jc w:val="right"/>
              <w:ind w:right="154"/>
              <w:spacing w:after="0"/>
              <w:rPr>
                <w:sz w:val="20"/>
                <w:szCs w:val="20"/>
                <w:color w:val="auto"/>
              </w:rPr>
            </w:pPr>
            <w:r>
              <w:rPr>
                <w:rFonts w:ascii="Arial" w:cs="Arial" w:eastAsia="Arial" w:hAnsi="Arial"/>
                <w:sz w:val="17"/>
                <w:szCs w:val="17"/>
                <w:color w:val="auto"/>
              </w:rPr>
              <w:t>$</w:t>
            </w:r>
          </w:p>
        </w:tc>
        <w:tc>
          <w:tcPr>
            <w:tcW w:w="1180" w:type="dxa"/>
            <w:vAlign w:val="bottom"/>
            <w:shd w:val="clear" w:color="auto" w:fill="DCE2EF"/>
          </w:tcPr>
          <w:p>
            <w:pPr>
              <w:jc w:val="right"/>
              <w:spacing w:after="0"/>
              <w:rPr>
                <w:sz w:val="20"/>
                <w:szCs w:val="20"/>
                <w:color w:val="auto"/>
              </w:rPr>
            </w:pPr>
            <w:r>
              <w:rPr>
                <w:rFonts w:ascii="Arial" w:cs="Arial" w:eastAsia="Arial" w:hAnsi="Arial"/>
                <w:sz w:val="17"/>
                <w:szCs w:val="17"/>
                <w:color w:val="auto"/>
              </w:rPr>
              <w:t>22.0</w:t>
            </w:r>
          </w:p>
        </w:tc>
      </w:tr>
      <w:tr>
        <w:trPr>
          <w:trHeight w:val="219"/>
        </w:trPr>
        <w:tc>
          <w:tcPr>
            <w:tcW w:w="20" w:type="dxa"/>
            <w:vAlign w:val="bottom"/>
          </w:tcPr>
          <w:p>
            <w:pPr>
              <w:spacing w:after="0"/>
              <w:rPr>
                <w:sz w:val="19"/>
                <w:szCs w:val="19"/>
                <w:color w:val="auto"/>
              </w:rPr>
            </w:pPr>
          </w:p>
        </w:tc>
        <w:tc>
          <w:tcPr>
            <w:tcW w:w="6400" w:type="dxa"/>
            <w:vAlign w:val="bottom"/>
            <w:gridSpan w:val="2"/>
          </w:tcPr>
          <w:p>
            <w:pPr>
              <w:ind w:left="120"/>
              <w:spacing w:after="0"/>
              <w:rPr>
                <w:sz w:val="20"/>
                <w:szCs w:val="20"/>
                <w:color w:val="auto"/>
              </w:rPr>
            </w:pPr>
            <w:r>
              <w:rPr>
                <w:rFonts w:ascii="Arial" w:cs="Arial" w:eastAsia="Arial" w:hAnsi="Arial"/>
                <w:sz w:val="17"/>
                <w:szCs w:val="17"/>
                <w:color w:val="auto"/>
              </w:rPr>
              <w:t>Additions for tax positions related to prior years</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0.3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2.1</w:t>
            </w:r>
          </w:p>
        </w:tc>
      </w:tr>
      <w:tr>
        <w:trPr>
          <w:trHeight w:val="219"/>
        </w:trPr>
        <w:tc>
          <w:tcPr>
            <w:tcW w:w="20" w:type="dxa"/>
            <w:vAlign w:val="bottom"/>
            <w:shd w:val="clear" w:color="auto" w:fill="DCE2EF"/>
          </w:tcPr>
          <w:p>
            <w:pPr>
              <w:spacing w:after="0"/>
              <w:rPr>
                <w:sz w:val="19"/>
                <w:szCs w:val="19"/>
                <w:color w:val="auto"/>
              </w:rPr>
            </w:pPr>
          </w:p>
        </w:tc>
        <w:tc>
          <w:tcPr>
            <w:tcW w:w="6400" w:type="dxa"/>
            <w:vAlign w:val="bottom"/>
            <w:gridSpan w:val="2"/>
            <w:shd w:val="clear" w:color="auto" w:fill="DCE2EF"/>
          </w:tcPr>
          <w:p>
            <w:pPr>
              <w:ind w:left="120"/>
              <w:spacing w:after="0"/>
              <w:rPr>
                <w:sz w:val="20"/>
                <w:szCs w:val="20"/>
                <w:color w:val="auto"/>
              </w:rPr>
            </w:pPr>
            <w:r>
              <w:rPr>
                <w:rFonts w:ascii="Arial" w:cs="Arial" w:eastAsia="Arial" w:hAnsi="Arial"/>
                <w:sz w:val="17"/>
                <w:szCs w:val="17"/>
                <w:color w:val="auto"/>
              </w:rPr>
              <w:t>Reductions for tax positions related to prior years</w:t>
            </w:r>
          </w:p>
        </w:tc>
        <w:tc>
          <w:tcPr>
            <w:tcW w:w="340" w:type="dxa"/>
            <w:vAlign w:val="bottom"/>
            <w:shd w:val="clear" w:color="auto" w:fill="DCE2EF"/>
          </w:tcPr>
          <w:p>
            <w:pPr>
              <w:spacing w:after="0"/>
              <w:rPr>
                <w:sz w:val="19"/>
                <w:szCs w:val="19"/>
                <w:color w:val="auto"/>
              </w:rPr>
            </w:pPr>
          </w:p>
        </w:tc>
        <w:tc>
          <w:tcPr>
            <w:tcW w:w="1200" w:type="dxa"/>
            <w:vAlign w:val="bottom"/>
            <w:shd w:val="clear" w:color="auto" w:fill="DCE2EF"/>
          </w:tcPr>
          <w:p>
            <w:pPr>
              <w:jc w:val="right"/>
              <w:spacing w:after="0"/>
              <w:rPr>
                <w:sz w:val="20"/>
                <w:szCs w:val="20"/>
                <w:color w:val="auto"/>
              </w:rPr>
            </w:pPr>
            <w:r>
              <w:rPr>
                <w:rFonts w:ascii="Arial" w:cs="Arial" w:eastAsia="Arial" w:hAnsi="Arial"/>
                <w:sz w:val="17"/>
                <w:szCs w:val="17"/>
                <w:color w:val="auto"/>
              </w:rPr>
              <w:t>(2.2)</w:t>
            </w:r>
          </w:p>
        </w:tc>
        <w:tc>
          <w:tcPr>
            <w:tcW w:w="100" w:type="dxa"/>
            <w:vAlign w:val="bottom"/>
            <w:shd w:val="clear" w:color="auto" w:fill="DCE2EF"/>
          </w:tcPr>
          <w:p>
            <w:pPr>
              <w:spacing w:after="0"/>
              <w:rPr>
                <w:sz w:val="19"/>
                <w:szCs w:val="19"/>
                <w:color w:val="auto"/>
              </w:rPr>
            </w:pPr>
          </w:p>
        </w:tc>
        <w:tc>
          <w:tcPr>
            <w:tcW w:w="340" w:type="dxa"/>
            <w:vAlign w:val="bottom"/>
            <w:shd w:val="clear" w:color="auto" w:fill="DCE2EF"/>
          </w:tcPr>
          <w:p>
            <w:pPr>
              <w:spacing w:after="0"/>
              <w:rPr>
                <w:sz w:val="19"/>
                <w:szCs w:val="19"/>
                <w:color w:val="auto"/>
              </w:rPr>
            </w:pPr>
          </w:p>
        </w:tc>
        <w:tc>
          <w:tcPr>
            <w:tcW w:w="1200" w:type="dxa"/>
            <w:vAlign w:val="bottom"/>
            <w:shd w:val="clear" w:color="auto" w:fill="DCE2EF"/>
          </w:tcPr>
          <w:p>
            <w:pPr>
              <w:jc w:val="right"/>
              <w:spacing w:after="0"/>
              <w:rPr>
                <w:sz w:val="20"/>
                <w:szCs w:val="20"/>
                <w:color w:val="auto"/>
              </w:rPr>
            </w:pPr>
            <w:r>
              <w:rPr>
                <w:rFonts w:ascii="Arial" w:cs="Arial" w:eastAsia="Arial" w:hAnsi="Arial"/>
                <w:sz w:val="17"/>
                <w:szCs w:val="17"/>
                <w:color w:val="auto"/>
              </w:rPr>
              <w:t>(1.5)</w:t>
            </w:r>
          </w:p>
        </w:tc>
        <w:tc>
          <w:tcPr>
            <w:tcW w:w="100" w:type="dxa"/>
            <w:vAlign w:val="bottom"/>
            <w:shd w:val="clear" w:color="auto" w:fill="DCE2EF"/>
          </w:tcPr>
          <w:p>
            <w:pPr>
              <w:spacing w:after="0"/>
              <w:rPr>
                <w:sz w:val="19"/>
                <w:szCs w:val="19"/>
                <w:color w:val="auto"/>
              </w:rPr>
            </w:pPr>
          </w:p>
        </w:tc>
        <w:tc>
          <w:tcPr>
            <w:tcW w:w="360" w:type="dxa"/>
            <w:vAlign w:val="bottom"/>
            <w:shd w:val="clear" w:color="auto" w:fill="DCE2EF"/>
          </w:tcPr>
          <w:p>
            <w:pPr>
              <w:spacing w:after="0"/>
              <w:rPr>
                <w:sz w:val="19"/>
                <w:szCs w:val="19"/>
                <w:color w:val="auto"/>
              </w:rPr>
            </w:pPr>
          </w:p>
        </w:tc>
        <w:tc>
          <w:tcPr>
            <w:tcW w:w="1180" w:type="dxa"/>
            <w:vAlign w:val="bottom"/>
            <w:shd w:val="clear" w:color="auto" w:fill="DCE2EF"/>
          </w:tcPr>
          <w:p>
            <w:pPr>
              <w:jc w:val="right"/>
              <w:spacing w:after="0"/>
              <w:rPr>
                <w:sz w:val="20"/>
                <w:szCs w:val="20"/>
                <w:color w:val="auto"/>
              </w:rPr>
            </w:pPr>
            <w:r>
              <w:rPr>
                <w:rFonts w:ascii="Arial" w:cs="Arial" w:eastAsia="Arial" w:hAnsi="Arial"/>
                <w:sz w:val="17"/>
                <w:szCs w:val="17"/>
                <w:color w:val="auto"/>
              </w:rPr>
              <w:t>(1.5)</w:t>
            </w:r>
          </w:p>
        </w:tc>
      </w:tr>
      <w:tr>
        <w:trPr>
          <w:trHeight w:val="219"/>
        </w:trPr>
        <w:tc>
          <w:tcPr>
            <w:tcW w:w="20" w:type="dxa"/>
            <w:vAlign w:val="bottom"/>
          </w:tcPr>
          <w:p>
            <w:pPr>
              <w:spacing w:after="0"/>
              <w:rPr>
                <w:sz w:val="19"/>
                <w:szCs w:val="19"/>
                <w:color w:val="auto"/>
              </w:rPr>
            </w:pPr>
          </w:p>
        </w:tc>
        <w:tc>
          <w:tcPr>
            <w:tcW w:w="6400" w:type="dxa"/>
            <w:vAlign w:val="bottom"/>
            <w:gridSpan w:val="2"/>
          </w:tcPr>
          <w:p>
            <w:pPr>
              <w:ind w:left="120"/>
              <w:spacing w:after="0"/>
              <w:rPr>
                <w:sz w:val="20"/>
                <w:szCs w:val="20"/>
                <w:color w:val="auto"/>
              </w:rPr>
            </w:pPr>
            <w:r>
              <w:rPr>
                <w:rFonts w:ascii="Arial" w:cs="Arial" w:eastAsia="Arial" w:hAnsi="Arial"/>
                <w:sz w:val="17"/>
                <w:szCs w:val="17"/>
                <w:color w:val="auto"/>
              </w:rPr>
              <w:t>Reductions for lapse of statute of limitations</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(0.1)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(0.1)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(1.9)</w:t>
            </w:r>
          </w:p>
        </w:tc>
      </w:tr>
      <w:tr>
        <w:trPr>
          <w:trHeight w:val="219"/>
        </w:trPr>
        <w:tc>
          <w:tcPr>
            <w:tcW w:w="20" w:type="dxa"/>
            <w:vAlign w:val="bottom"/>
            <w:shd w:val="clear" w:color="auto" w:fill="DCE2EF"/>
          </w:tcPr>
          <w:p>
            <w:pPr>
              <w:spacing w:after="0"/>
              <w:rPr>
                <w:sz w:val="19"/>
                <w:szCs w:val="19"/>
                <w:color w:val="auto"/>
              </w:rPr>
            </w:pPr>
          </w:p>
        </w:tc>
        <w:tc>
          <w:tcPr>
            <w:tcW w:w="6400" w:type="dxa"/>
            <w:vAlign w:val="bottom"/>
            <w:gridSpan w:val="2"/>
            <w:shd w:val="clear" w:color="auto" w:fill="DCE2EF"/>
          </w:tcPr>
          <w:p>
            <w:pPr>
              <w:ind w:left="120"/>
              <w:spacing w:after="0"/>
              <w:rPr>
                <w:sz w:val="20"/>
                <w:szCs w:val="20"/>
                <w:color w:val="auto"/>
              </w:rPr>
            </w:pPr>
            <w:r>
              <w:rPr>
                <w:rFonts w:ascii="Arial" w:cs="Arial" w:eastAsia="Arial" w:hAnsi="Arial"/>
                <w:sz w:val="17"/>
                <w:szCs w:val="17"/>
                <w:color w:val="auto"/>
              </w:rPr>
              <w:t>Settlements</w:t>
            </w:r>
          </w:p>
        </w:tc>
        <w:tc>
          <w:tcPr>
            <w:tcW w:w="340" w:type="dxa"/>
            <w:vAlign w:val="bottom"/>
            <w:shd w:val="clear" w:color="auto" w:fill="DCE2EF"/>
          </w:tcPr>
          <w:p>
            <w:pPr>
              <w:spacing w:after="0"/>
              <w:rPr>
                <w:sz w:val="19"/>
                <w:szCs w:val="19"/>
                <w:color w:val="auto"/>
              </w:rPr>
            </w:pPr>
          </w:p>
        </w:tc>
        <w:tc>
          <w:tcPr>
            <w:tcW w:w="1300" w:type="dxa"/>
            <w:vAlign w:val="bottom"/>
            <w:gridSpan w:val="2"/>
            <w:shd w:val="clear" w:color="auto" w:fill="DCE2EF"/>
          </w:tcPr>
          <w:p>
            <w:pPr>
              <w:jc w:val="right"/>
              <w:ind w:right="180"/>
              <w:spacing w:after="0"/>
              <w:rPr>
                <w:sz w:val="20"/>
                <w:szCs w:val="20"/>
                <w:color w:val="auto"/>
              </w:rPr>
            </w:pPr>
            <w:r>
              <w:rPr>
                <w:rFonts w:ascii="Arial" w:cs="Arial" w:eastAsia="Arial" w:hAnsi="Arial"/>
                <w:sz w:val="17"/>
                <w:szCs w:val="17"/>
                <w:color w:val="auto"/>
              </w:rPr>
              <w:t>—</w:t>
            </w:r>
          </w:p>
        </w:tc>
        <w:tc>
          <w:tcPr>
            <w:tcW w:w="340" w:type="dxa"/>
            <w:vAlign w:val="bottom"/>
            <w:shd w:val="clear" w:color="auto" w:fill="DCE2EF"/>
          </w:tcPr>
          <w:p>
            <w:pPr>
              <w:spacing w:after="0"/>
              <w:rPr>
                <w:sz w:val="19"/>
                <w:szCs w:val="19"/>
                <w:color w:val="auto"/>
              </w:rPr>
            </w:pPr>
          </w:p>
        </w:tc>
        <w:tc>
          <w:tcPr>
            <w:tcW w:w="1200" w:type="dxa"/>
            <w:vAlign w:val="bottom"/>
            <w:shd w:val="clear" w:color="auto" w:fill="DCE2EF"/>
          </w:tcPr>
          <w:p>
            <w:pPr>
              <w:jc w:val="right"/>
              <w:spacing w:after="0"/>
              <w:rPr>
                <w:sz w:val="20"/>
                <w:szCs w:val="20"/>
                <w:color w:val="auto"/>
              </w:rPr>
            </w:pPr>
            <w:r>
              <w:rPr>
                <w:rFonts w:ascii="Arial" w:cs="Arial" w:eastAsia="Arial" w:hAnsi="Arial"/>
                <w:sz w:val="17"/>
                <w:szCs w:val="17"/>
                <w:color w:val="auto"/>
              </w:rPr>
              <w:t>(3.6)</w:t>
            </w:r>
          </w:p>
        </w:tc>
        <w:tc>
          <w:tcPr>
            <w:tcW w:w="100" w:type="dxa"/>
            <w:vAlign w:val="bottom"/>
            <w:shd w:val="clear" w:color="auto" w:fill="DCE2EF"/>
          </w:tcPr>
          <w:p>
            <w:pPr>
              <w:spacing w:after="0"/>
              <w:rPr>
                <w:sz w:val="19"/>
                <w:szCs w:val="19"/>
                <w:color w:val="auto"/>
              </w:rPr>
            </w:pPr>
          </w:p>
        </w:tc>
        <w:tc>
          <w:tcPr>
            <w:tcW w:w="360" w:type="dxa"/>
            <w:vAlign w:val="bottom"/>
            <w:shd w:val="clear" w:color="auto" w:fill="DCE2EF"/>
          </w:tcPr>
          <w:p>
            <w:pPr>
              <w:spacing w:after="0"/>
              <w:rPr>
                <w:sz w:val="19"/>
                <w:szCs w:val="19"/>
                <w:color w:val="auto"/>
              </w:rPr>
            </w:pPr>
          </w:p>
        </w:tc>
        <w:tc>
          <w:tcPr>
            <w:tcW w:w="1180" w:type="dxa"/>
            <w:vAlign w:val="bottom"/>
            <w:shd w:val="clear" w:color="auto" w:fill="DCE2EF"/>
          </w:tcPr>
          <w:p>
            <w:pPr>
              <w:jc w:val="right"/>
              <w:spacing w:after="0"/>
              <w:rPr>
                <w:sz w:val="20"/>
                <w:szCs w:val="20"/>
                <w:color w:val="auto"/>
              </w:rPr>
            </w:pPr>
            <w:r>
              <w:rPr>
                <w:rFonts w:ascii="Arial" w:cs="Arial" w:eastAsia="Arial" w:hAnsi="Arial"/>
                <w:sz w:val="17"/>
                <w:szCs w:val="17"/>
                <w:color w:val="auto"/>
              </w:rPr>
              <w:t>—</w:t>
            </w:r>
          </w:p>
        </w:tc>
      </w:tr>
      <w:tr>
        <w:trPr>
          <w:trHeight w:val="212"/>
        </w:trPr>
        <w:tc>
          <w:tcPr>
            <w:tcW w:w="6420" w:type="dxa"/>
            <w:vAlign w:val="bottom"/>
            <w:gridSpan w:val="3"/>
          </w:tcPr>
          <w:p>
            <w:pPr>
              <w:ind w:left="20"/>
              <w:spacing w:after="0"/>
              <w:rPr>
                <w:sz w:val="20"/>
                <w:szCs w:val="20"/>
                <w:color w:val="auto"/>
              </w:rPr>
            </w:pPr>
            <w:r>
              <w:rPr>
                <w:rFonts w:ascii="Arial" w:cs="Arial" w:eastAsia="Arial" w:hAnsi="Arial"/>
                <w:sz w:val="17"/>
                <w:szCs w:val="17"/>
                <w:b w:val="1"/>
                <w:bCs w:val="1"/>
                <w:color w:val="auto"/>
              </w:rPr>
              <w:t>Balance at end of year</w:t>
            </w:r>
          </w:p>
        </w:tc>
        <w:tc>
          <w:tcPr>
            <w:tcW w:w="340" w:type="dxa"/>
            <w:vAlign w:val="bottom"/>
            <w:tcBorders>
              <w:top w:val="single" w:sz="8" w:color="auto"/>
              <w:bottom w:val="single" w:sz="8" w:color="auto"/>
            </w:tcBorders>
          </w:tcPr>
          <w:p>
            <w:pPr>
              <w:jc w:val="right"/>
              <w:ind w:right="134"/>
              <w:spacing w:after="0"/>
              <w:rPr>
                <w:sz w:val="20"/>
                <w:szCs w:val="20"/>
                <w:color w:val="auto"/>
              </w:rPr>
            </w:pPr>
            <w:r>
              <w:rPr>
                <w:rFonts w:ascii="Arial" w:cs="Arial" w:eastAsia="Arial" w:hAnsi="Arial"/>
                <w:sz w:val="17"/>
                <w:szCs w:val="17"/>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13.5</w:t>
            </w:r>
          </w:p>
        </w:tc>
        <w:tc>
          <w:tcPr>
            <w:tcW w:w="1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34"/>
              <w:spacing w:after="0"/>
              <w:rPr>
                <w:sz w:val="20"/>
                <w:szCs w:val="20"/>
                <w:color w:val="auto"/>
              </w:rPr>
            </w:pPr>
            <w:r>
              <w:rPr>
                <w:rFonts w:ascii="Arial" w:cs="Arial" w:eastAsia="Arial" w:hAnsi="Arial"/>
                <w:sz w:val="17"/>
                <w:szCs w:val="17"/>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15.5</w:t>
            </w:r>
          </w:p>
        </w:tc>
        <w:tc>
          <w:tcPr>
            <w:tcW w:w="10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54"/>
              <w:spacing w:after="0"/>
              <w:rPr>
                <w:sz w:val="20"/>
                <w:szCs w:val="20"/>
                <w:color w:val="auto"/>
              </w:rPr>
            </w:pPr>
            <w:r>
              <w:rPr>
                <w:rFonts w:ascii="Arial" w:cs="Arial" w:eastAsia="Arial" w:hAnsi="Arial"/>
                <w:sz w:val="17"/>
                <w:szCs w:val="17"/>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20.7</w:t>
            </w:r>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0"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On July 4, 2025, the United States enacted the One Big Beautiful Bill Act (“OBBBA”), which contains a broad range of tax reform provisions affecting businesses. The impact of OBBBA has been reflected in our consolidated financial statements for the year ended October 31, 2025. While the provisions of the legislation are expected to primarily take effect for ABM in fiscal year 2026, we do not anticipate that their adoption will have a material impact on our financial position, results of operations, or cash flows for that period.</w:t>
      </w:r>
    </w:p>
    <w:p>
      <w:pPr>
        <w:spacing w:after="0" w:line="194" w:lineRule="exact"/>
        <w:rPr>
          <w:sz w:val="20"/>
          <w:szCs w:val="20"/>
          <w:color w:val="auto"/>
        </w:rPr>
      </w:pPr>
    </w:p>
    <w:p>
      <w:pPr>
        <w:jc w:val="both"/>
        <w:ind w:firstLine="619"/>
        <w:spacing w:after="0" w:line="261" w:lineRule="auto"/>
        <w:rPr>
          <w:sz w:val="20"/>
          <w:szCs w:val="20"/>
          <w:color w:val="auto"/>
        </w:rPr>
      </w:pPr>
      <w:r>
        <w:rPr>
          <w:rFonts w:ascii="Arial" w:cs="Arial" w:eastAsia="Arial" w:hAnsi="Arial"/>
          <w:sz w:val="17"/>
          <w:szCs w:val="17"/>
          <w:color w:val="auto"/>
        </w:rPr>
        <w:t>The Organisation for Economic Co-operation and Development (“OECD”) Pillar Two Model Rules established a minimum global effective tax rate of 15% on country-by-country profits of large multinational companies. European Union member states along with many other countries have adopted or expect to adopt the OECD Pillar Two Model effective January 1, 2024, or thereafter. The OECD and other countries continue to publish guidelines and legislation that include transition and safe harbor rules. We continue to monitor new legislative changes and assess the global impact of the Pillar Two Model Rules. Based on our initial assessment, Pillar Two does not have a material impact to the Company’s income tax provision.</w:t>
      </w:r>
    </w:p>
    <w:p>
      <w:pPr>
        <w:spacing w:after="0" w:line="379"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Jurisdictions</w:t>
      </w:r>
    </w:p>
    <w:p>
      <w:pPr>
        <w:spacing w:after="0" w:line="167"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We conduct business in all 50 states, significantly in California, Texas, and New York, as well as in various foreign jurisdictions. Our most significant income tax jurisdiction is the United States. Due to expired statutes and closed audits, our federal income tax returns for years prior to fiscal 2021 are no longer subject to examination by the U.S. Internal Revenue Service. Generally, for the majority of state and foreign jurisdictions where we do business, periods prior to fiscal 2021 are no longer subject to examination. We are currently being examined by Massachusetts and the city of New York City.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6" w:right="339" w:bottom="1440" w:gutter="0" w:footer="0" w:header="0"/>
        </w:sectPr>
      </w:pPr>
    </w:p>
    <w:bookmarkStart w:id="88" w:name="page89"/>
    <w:bookmarkEnd w:id="88"/>
    <w:p>
      <w:pPr>
        <w:spacing w:after="0"/>
        <w:rPr>
          <w:sz w:val="20"/>
          <w:szCs w:val="20"/>
          <w:color w:val="auto"/>
        </w:rPr>
      </w:pPr>
      <w:r>
        <w:rPr>
          <w:rFonts w:ascii="Arial" w:cs="Arial" w:eastAsia="Arial" w:hAnsi="Arial"/>
          <w:sz w:val="17"/>
          <w:szCs w:val="17"/>
          <w:b w:val="1"/>
          <w:bCs w:val="1"/>
          <w:color w:val="0046AD"/>
        </w:rPr>
        <w:t>18. SEGMENT AND GEOGRAPHIC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wp:posOffset>
            </wp:positionV>
            <wp:extent cx="712216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22160" cy="8255"/>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Segment Information</w:t>
      </w:r>
    </w:p>
    <w:p>
      <w:pPr>
        <w:spacing w:after="0" w:line="168" w:lineRule="exact"/>
        <w:rPr>
          <w:sz w:val="20"/>
          <w:szCs w:val="20"/>
          <w:color w:val="auto"/>
        </w:rPr>
      </w:pPr>
    </w:p>
    <w:p>
      <w:pPr>
        <w:ind w:left="620"/>
        <w:spacing w:after="0"/>
        <w:rPr>
          <w:sz w:val="20"/>
          <w:szCs w:val="20"/>
          <w:color w:val="auto"/>
        </w:rPr>
      </w:pPr>
      <w:r>
        <w:rPr>
          <w:rFonts w:ascii="Arial" w:cs="Arial" w:eastAsia="Arial" w:hAnsi="Arial"/>
          <w:sz w:val="17"/>
          <w:szCs w:val="17"/>
          <w:color w:val="auto"/>
        </w:rPr>
        <w:t>Our current reportable segments consist of B&amp;I, M&amp;D, Aviation, Education, and Technical Solutions, as further described below.</w:t>
      </w:r>
    </w:p>
    <w:p>
      <w:pPr>
        <w:spacing w:after="0" w:line="188" w:lineRule="exact"/>
        <w:rPr>
          <w:sz w:val="20"/>
          <w:szCs w:val="20"/>
          <w:color w:val="auto"/>
        </w:rPr>
      </w:pPr>
    </w:p>
    <w:tbl>
      <w:tblPr>
        <w:tblLayout w:type="fixed"/>
        <w:tblInd w:w="630" w:type="dxa"/>
        <w:tblCellMar>
          <w:top w:w="0" w:type="dxa"/>
          <w:left w:w="0" w:type="dxa"/>
          <w:bottom w:w="0" w:type="dxa"/>
          <w:right w:w="0" w:type="dxa"/>
        </w:tblCellMar>
      </w:tblPr>
      <w:tr>
        <w:trPr>
          <w:trHeight w:val="232"/>
        </w:trPr>
        <w:tc>
          <w:tcPr>
            <w:tcW w:w="3300" w:type="dxa"/>
            <w:vAlign w:val="bottom"/>
            <w:tcBorders>
              <w:top w:val="single" w:sz="8" w:color="auto"/>
              <w:left w:val="single" w:sz="8" w:color="auto"/>
              <w:bottom w:val="single" w:sz="8" w:color="auto"/>
              <w:right w:val="single" w:sz="8" w:color="DCE2EF"/>
            </w:tcBorders>
            <w:shd w:val="clear" w:color="auto" w:fill="DCE2EF"/>
          </w:tcPr>
          <w:p>
            <w:pPr>
              <w:spacing w:after="0"/>
              <w:rPr>
                <w:sz w:val="20"/>
                <w:szCs w:val="20"/>
                <w:color w:val="auto"/>
              </w:rPr>
            </w:pPr>
          </w:p>
        </w:tc>
        <w:tc>
          <w:tcPr>
            <w:tcW w:w="7420" w:type="dxa"/>
            <w:vAlign w:val="bottom"/>
            <w:tcBorders>
              <w:top w:val="single" w:sz="8" w:color="auto"/>
              <w:bottom w:val="single" w:sz="8" w:color="auto"/>
            </w:tcBorders>
            <w:shd w:val="clear" w:color="auto" w:fill="DCE2EF"/>
          </w:tcPr>
          <w:p>
            <w:pPr>
              <w:ind w:left="380"/>
              <w:spacing w:after="0"/>
              <w:rPr>
                <w:sz w:val="20"/>
                <w:szCs w:val="20"/>
                <w:color w:val="auto"/>
              </w:rPr>
            </w:pPr>
            <w:r>
              <w:rPr>
                <w:rFonts w:ascii="Arial" w:cs="Arial" w:eastAsia="Arial" w:hAnsi="Arial"/>
                <w:sz w:val="17"/>
                <w:szCs w:val="17"/>
                <w:b w:val="1"/>
                <w:bCs w:val="1"/>
                <w:color w:val="0046AD"/>
              </w:rPr>
              <w:t>REPORTABLE SEGMENTS AND DESCRIPTIONS</w:t>
            </w:r>
          </w:p>
        </w:tc>
        <w:tc>
          <w:tcPr>
            <w:tcW w:w="0" w:type="dxa"/>
            <w:vAlign w:val="bottom"/>
          </w:tcPr>
          <w:p>
            <w:pPr>
              <w:spacing w:after="0"/>
              <w:rPr>
                <w:sz w:val="1"/>
                <w:szCs w:val="1"/>
                <w:color w:val="auto"/>
              </w:rPr>
            </w:pPr>
          </w:p>
        </w:tc>
      </w:tr>
      <w:tr>
        <w:trPr>
          <w:trHeight w:val="264"/>
        </w:trPr>
        <w:tc>
          <w:tcPr>
            <w:tcW w:w="33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7"/>
                <w:szCs w:val="17"/>
                <w:color w:val="auto"/>
              </w:rPr>
              <w:t>B&amp;I</w:t>
            </w:r>
          </w:p>
        </w:tc>
        <w:tc>
          <w:tcPr>
            <w:tcW w:w="7420" w:type="dxa"/>
            <w:vAlign w:val="bottom"/>
          </w:tcPr>
          <w:p>
            <w:pPr>
              <w:ind w:left="20"/>
              <w:spacing w:after="0"/>
              <w:rPr>
                <w:sz w:val="20"/>
                <w:szCs w:val="20"/>
                <w:color w:val="auto"/>
              </w:rPr>
            </w:pPr>
            <w:r>
              <w:rPr>
                <w:rFonts w:ascii="Arial" w:cs="Arial" w:eastAsia="Arial" w:hAnsi="Arial"/>
                <w:sz w:val="17"/>
                <w:szCs w:val="17"/>
                <w:color w:val="auto"/>
              </w:rPr>
              <w:t>B&amp;I, our largest reportable segment, encompasses janitorial, facilities engineering, and par</w:t>
            </w:r>
          </w:p>
        </w:tc>
        <w:tc>
          <w:tcPr>
            <w:tcW w:w="0" w:type="dxa"/>
            <w:vAlign w:val="bottom"/>
          </w:tcPr>
          <w:p>
            <w:pPr>
              <w:spacing w:after="0"/>
              <w:rPr>
                <w:sz w:val="1"/>
                <w:szCs w:val="1"/>
                <w:color w:val="auto"/>
              </w:rPr>
            </w:pPr>
          </w:p>
        </w:tc>
      </w:tr>
      <w:tr>
        <w:trPr>
          <w:trHeight w:val="180"/>
        </w:trPr>
        <w:tc>
          <w:tcPr>
            <w:tcW w:w="3300" w:type="dxa"/>
            <w:vAlign w:val="bottom"/>
            <w:tcBorders>
              <w:left w:val="single" w:sz="8" w:color="auto"/>
              <w:right w:val="single" w:sz="8" w:color="auto"/>
            </w:tcBorders>
            <w:vMerge w:val="continue"/>
          </w:tcPr>
          <w:p>
            <w:pPr>
              <w:spacing w:after="0"/>
              <w:rPr>
                <w:sz w:val="15"/>
                <w:szCs w:val="15"/>
                <w:color w:val="auto"/>
              </w:rPr>
            </w:pPr>
          </w:p>
        </w:tc>
        <w:tc>
          <w:tcPr>
            <w:tcW w:w="7420" w:type="dxa"/>
            <w:vAlign w:val="bottom"/>
          </w:tcPr>
          <w:p>
            <w:pPr>
              <w:ind w:left="20"/>
              <w:spacing w:after="0" w:line="180" w:lineRule="exact"/>
              <w:rPr>
                <w:sz w:val="20"/>
                <w:szCs w:val="20"/>
                <w:color w:val="auto"/>
              </w:rPr>
            </w:pPr>
            <w:r>
              <w:rPr>
                <w:rFonts w:ascii="Arial" w:cs="Arial" w:eastAsia="Arial" w:hAnsi="Arial"/>
                <w:sz w:val="17"/>
                <w:szCs w:val="17"/>
                <w:color w:val="auto"/>
              </w:rPr>
              <w:t>services for commercial real estate properties (including corporate offices for high-tech clients), sp</w:t>
            </w:r>
          </w:p>
        </w:tc>
        <w:tc>
          <w:tcPr>
            <w:tcW w:w="0" w:type="dxa"/>
            <w:vAlign w:val="bottom"/>
          </w:tcPr>
          <w:p>
            <w:pPr>
              <w:spacing w:after="0"/>
              <w:rPr>
                <w:sz w:val="1"/>
                <w:szCs w:val="1"/>
                <w:color w:val="auto"/>
              </w:rPr>
            </w:pPr>
          </w:p>
        </w:tc>
      </w:tr>
      <w:tr>
        <w:trPr>
          <w:trHeight w:val="164"/>
        </w:trPr>
        <w:tc>
          <w:tcPr>
            <w:tcW w:w="3300" w:type="dxa"/>
            <w:vAlign w:val="bottom"/>
            <w:tcBorders>
              <w:left w:val="single" w:sz="8" w:color="auto"/>
              <w:right w:val="single" w:sz="8" w:color="auto"/>
            </w:tcBorders>
          </w:tcPr>
          <w:p>
            <w:pPr>
              <w:spacing w:after="0"/>
              <w:rPr>
                <w:sz w:val="14"/>
                <w:szCs w:val="14"/>
                <w:color w:val="auto"/>
              </w:rPr>
            </w:pPr>
          </w:p>
        </w:tc>
        <w:tc>
          <w:tcPr>
            <w:tcW w:w="7420" w:type="dxa"/>
            <w:vAlign w:val="bottom"/>
          </w:tcPr>
          <w:p>
            <w:pPr>
              <w:ind w:left="20"/>
              <w:spacing w:after="0" w:line="164" w:lineRule="exact"/>
              <w:rPr>
                <w:sz w:val="20"/>
                <w:szCs w:val="20"/>
                <w:color w:val="auto"/>
              </w:rPr>
            </w:pPr>
            <w:r>
              <w:rPr>
                <w:rFonts w:ascii="Arial" w:cs="Arial" w:eastAsia="Arial" w:hAnsi="Arial"/>
                <w:sz w:val="17"/>
                <w:szCs w:val="17"/>
                <w:color w:val="auto"/>
              </w:rPr>
              <w:t>and entertainment venues, and traditional hospitals and non-acute healthcare facilities. B&amp;I</w:t>
            </w:r>
          </w:p>
        </w:tc>
        <w:tc>
          <w:tcPr>
            <w:tcW w:w="0" w:type="dxa"/>
            <w:vAlign w:val="bottom"/>
          </w:tcPr>
          <w:p>
            <w:pPr>
              <w:spacing w:after="0"/>
              <w:rPr>
                <w:sz w:val="1"/>
                <w:szCs w:val="1"/>
                <w:color w:val="auto"/>
              </w:rPr>
            </w:pPr>
          </w:p>
        </w:tc>
      </w:tr>
      <w:tr>
        <w:trPr>
          <w:trHeight w:val="223"/>
        </w:trPr>
        <w:tc>
          <w:tcPr>
            <w:tcW w:w="3300" w:type="dxa"/>
            <w:vAlign w:val="bottom"/>
            <w:tcBorders>
              <w:left w:val="single" w:sz="8" w:color="auto"/>
              <w:bottom w:val="single" w:sz="8" w:color="auto"/>
              <w:right w:val="single" w:sz="8" w:color="auto"/>
            </w:tcBorders>
          </w:tcPr>
          <w:p>
            <w:pPr>
              <w:spacing w:after="0"/>
              <w:rPr>
                <w:sz w:val="19"/>
                <w:szCs w:val="19"/>
                <w:color w:val="auto"/>
              </w:rPr>
            </w:pPr>
          </w:p>
        </w:tc>
        <w:tc>
          <w:tcPr>
            <w:tcW w:w="74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provides vehicle maintenance and other services to rental car providers.</w:t>
            </w:r>
          </w:p>
        </w:tc>
        <w:tc>
          <w:tcPr>
            <w:tcW w:w="0" w:type="dxa"/>
            <w:vAlign w:val="bottom"/>
          </w:tcPr>
          <w:p>
            <w:pPr>
              <w:spacing w:after="0"/>
              <w:rPr>
                <w:sz w:val="1"/>
                <w:szCs w:val="1"/>
                <w:color w:val="auto"/>
              </w:rPr>
            </w:pPr>
          </w:p>
        </w:tc>
      </w:tr>
      <w:tr>
        <w:trPr>
          <w:trHeight w:val="264"/>
        </w:trPr>
        <w:tc>
          <w:tcPr>
            <w:tcW w:w="3300" w:type="dxa"/>
            <w:vAlign w:val="bottom"/>
            <w:tcBorders>
              <w:left w:val="single" w:sz="8" w:color="auto"/>
              <w:right w:val="single" w:sz="8" w:color="auto"/>
            </w:tcBorders>
          </w:tcPr>
          <w:p>
            <w:pPr>
              <w:spacing w:after="0"/>
              <w:rPr>
                <w:sz w:val="22"/>
                <w:szCs w:val="22"/>
                <w:color w:val="auto"/>
              </w:rPr>
            </w:pPr>
          </w:p>
        </w:tc>
        <w:tc>
          <w:tcPr>
            <w:tcW w:w="7420" w:type="dxa"/>
            <w:vAlign w:val="bottom"/>
          </w:tcPr>
          <w:p>
            <w:pPr>
              <w:ind w:left="20"/>
              <w:spacing w:after="0"/>
              <w:rPr>
                <w:sz w:val="20"/>
                <w:szCs w:val="20"/>
                <w:color w:val="auto"/>
              </w:rPr>
            </w:pPr>
            <w:r>
              <w:rPr>
                <w:rFonts w:ascii="Arial" w:cs="Arial" w:eastAsia="Arial" w:hAnsi="Arial"/>
                <w:sz w:val="17"/>
                <w:szCs w:val="17"/>
                <w:color w:val="auto"/>
              </w:rPr>
              <w:t>M&amp;D provides integrated facility services, engineering, janitorial, and other specialized servi</w:t>
            </w:r>
          </w:p>
        </w:tc>
        <w:tc>
          <w:tcPr>
            <w:tcW w:w="0" w:type="dxa"/>
            <w:vAlign w:val="bottom"/>
          </w:tcPr>
          <w:p>
            <w:pPr>
              <w:spacing w:after="0"/>
              <w:rPr>
                <w:sz w:val="1"/>
                <w:szCs w:val="1"/>
                <w:color w:val="auto"/>
              </w:rPr>
            </w:pPr>
          </w:p>
        </w:tc>
      </w:tr>
      <w:tr>
        <w:trPr>
          <w:trHeight w:val="168"/>
        </w:trPr>
        <w:tc>
          <w:tcPr>
            <w:tcW w:w="3300" w:type="dxa"/>
            <w:vAlign w:val="bottom"/>
            <w:tcBorders>
              <w:left w:val="single" w:sz="8" w:color="auto"/>
              <w:right w:val="single" w:sz="8" w:color="auto"/>
            </w:tcBorders>
          </w:tcPr>
          <w:p>
            <w:pPr>
              <w:spacing w:after="0"/>
              <w:rPr>
                <w:sz w:val="14"/>
                <w:szCs w:val="14"/>
                <w:color w:val="auto"/>
              </w:rPr>
            </w:pPr>
          </w:p>
        </w:tc>
        <w:tc>
          <w:tcPr>
            <w:tcW w:w="7420" w:type="dxa"/>
            <w:vAlign w:val="bottom"/>
          </w:tcPr>
          <w:p>
            <w:pPr>
              <w:ind w:left="20"/>
              <w:spacing w:after="0" w:line="167" w:lineRule="exact"/>
              <w:rPr>
                <w:sz w:val="20"/>
                <w:szCs w:val="20"/>
                <w:color w:val="auto"/>
              </w:rPr>
            </w:pPr>
            <w:r>
              <w:rPr>
                <w:rFonts w:ascii="Arial" w:cs="Arial" w:eastAsia="Arial" w:hAnsi="Arial"/>
                <w:sz w:val="17"/>
                <w:szCs w:val="17"/>
                <w:color w:val="auto"/>
              </w:rPr>
              <w:t>different types of manufacturing, distribution, and data center facilities. Manufacturing facilities i</w:t>
            </w:r>
          </w:p>
        </w:tc>
        <w:tc>
          <w:tcPr>
            <w:tcW w:w="0" w:type="dxa"/>
            <w:vAlign w:val="bottom"/>
          </w:tcPr>
          <w:p>
            <w:pPr>
              <w:spacing w:after="0"/>
              <w:rPr>
                <w:sz w:val="1"/>
                <w:szCs w:val="1"/>
                <w:color w:val="auto"/>
              </w:rPr>
            </w:pPr>
          </w:p>
        </w:tc>
      </w:tr>
      <w:tr>
        <w:trPr>
          <w:trHeight w:val="180"/>
        </w:trPr>
        <w:tc>
          <w:tcPr>
            <w:tcW w:w="3300" w:type="dxa"/>
            <w:vAlign w:val="bottom"/>
            <w:tcBorders>
              <w:left w:val="single" w:sz="8" w:color="auto"/>
              <w:right w:val="single" w:sz="8" w:color="auto"/>
            </w:tcBorders>
          </w:tcPr>
          <w:p>
            <w:pPr>
              <w:jc w:val="center"/>
              <w:spacing w:after="0" w:line="180" w:lineRule="exact"/>
              <w:rPr>
                <w:sz w:val="20"/>
                <w:szCs w:val="20"/>
                <w:color w:val="auto"/>
              </w:rPr>
            </w:pPr>
            <w:r>
              <w:rPr>
                <w:rFonts w:ascii="Arial" w:cs="Arial" w:eastAsia="Arial" w:hAnsi="Arial"/>
                <w:sz w:val="17"/>
                <w:szCs w:val="17"/>
                <w:color w:val="auto"/>
              </w:rPr>
              <w:t>M&amp;D</w:t>
            </w:r>
          </w:p>
        </w:tc>
        <w:tc>
          <w:tcPr>
            <w:tcW w:w="7420" w:type="dxa"/>
            <w:vAlign w:val="bottom"/>
          </w:tcPr>
          <w:p>
            <w:pPr>
              <w:ind w:left="20"/>
              <w:spacing w:after="0" w:line="180" w:lineRule="exact"/>
              <w:rPr>
                <w:sz w:val="20"/>
                <w:szCs w:val="20"/>
                <w:color w:val="auto"/>
              </w:rPr>
            </w:pPr>
            <w:r>
              <w:rPr>
                <w:rFonts w:ascii="Arial" w:cs="Arial" w:eastAsia="Arial" w:hAnsi="Arial"/>
                <w:sz w:val="17"/>
                <w:szCs w:val="17"/>
                <w:color w:val="auto"/>
              </w:rPr>
              <w:t>traditional  motor  vehicles,  electric  vehicles,  batteries,  pharmaceuticals,  steel,  semicond</w:t>
            </w:r>
          </w:p>
        </w:tc>
        <w:tc>
          <w:tcPr>
            <w:tcW w:w="0" w:type="dxa"/>
            <w:vAlign w:val="bottom"/>
          </w:tcPr>
          <w:p>
            <w:pPr>
              <w:spacing w:after="0"/>
              <w:rPr>
                <w:sz w:val="1"/>
                <w:szCs w:val="1"/>
                <w:color w:val="auto"/>
              </w:rPr>
            </w:pPr>
          </w:p>
        </w:tc>
      </w:tr>
      <w:tr>
        <w:trPr>
          <w:trHeight w:val="168"/>
        </w:trPr>
        <w:tc>
          <w:tcPr>
            <w:tcW w:w="3300" w:type="dxa"/>
            <w:vAlign w:val="bottom"/>
            <w:tcBorders>
              <w:left w:val="single" w:sz="8" w:color="auto"/>
              <w:right w:val="single" w:sz="8" w:color="auto"/>
            </w:tcBorders>
          </w:tcPr>
          <w:p>
            <w:pPr>
              <w:spacing w:after="0"/>
              <w:rPr>
                <w:sz w:val="14"/>
                <w:szCs w:val="14"/>
                <w:color w:val="auto"/>
              </w:rPr>
            </w:pPr>
          </w:p>
        </w:tc>
        <w:tc>
          <w:tcPr>
            <w:tcW w:w="7420" w:type="dxa"/>
            <w:vAlign w:val="bottom"/>
          </w:tcPr>
          <w:p>
            <w:pPr>
              <w:ind w:left="20"/>
              <w:spacing w:after="0" w:line="167" w:lineRule="exact"/>
              <w:rPr>
                <w:sz w:val="20"/>
                <w:szCs w:val="20"/>
                <w:color w:val="auto"/>
              </w:rPr>
            </w:pPr>
            <w:r>
              <w:rPr>
                <w:rFonts w:ascii="Arial" w:cs="Arial" w:eastAsia="Arial" w:hAnsi="Arial"/>
                <w:sz w:val="17"/>
                <w:szCs w:val="17"/>
                <w:color w:val="auto"/>
              </w:rPr>
              <w:t>chemicals, and many others. Distribution facilities include e-commerce, cold storage, logistics, g</w:t>
            </w:r>
          </w:p>
        </w:tc>
        <w:tc>
          <w:tcPr>
            <w:tcW w:w="0" w:type="dxa"/>
            <w:vAlign w:val="bottom"/>
          </w:tcPr>
          <w:p>
            <w:pPr>
              <w:spacing w:after="0"/>
              <w:rPr>
                <w:sz w:val="1"/>
                <w:szCs w:val="1"/>
                <w:color w:val="auto"/>
              </w:rPr>
            </w:pPr>
          </w:p>
        </w:tc>
      </w:tr>
      <w:tr>
        <w:trPr>
          <w:trHeight w:val="226"/>
        </w:trPr>
        <w:tc>
          <w:tcPr>
            <w:tcW w:w="3300" w:type="dxa"/>
            <w:vAlign w:val="bottom"/>
            <w:tcBorders>
              <w:left w:val="single" w:sz="8" w:color="auto"/>
              <w:right w:val="single" w:sz="8" w:color="auto"/>
            </w:tcBorders>
          </w:tcPr>
          <w:p>
            <w:pPr>
              <w:spacing w:after="0"/>
              <w:rPr>
                <w:sz w:val="19"/>
                <w:szCs w:val="19"/>
                <w:color w:val="auto"/>
              </w:rPr>
            </w:pPr>
          </w:p>
        </w:tc>
        <w:tc>
          <w:tcPr>
            <w:tcW w:w="7420" w:type="dxa"/>
            <w:vAlign w:val="bottom"/>
          </w:tcPr>
          <w:p>
            <w:pPr>
              <w:ind w:left="20"/>
              <w:spacing w:after="0"/>
              <w:rPr>
                <w:sz w:val="20"/>
                <w:szCs w:val="20"/>
                <w:color w:val="auto"/>
              </w:rPr>
            </w:pPr>
            <w:r>
              <w:rPr>
                <w:rFonts w:ascii="Arial" w:cs="Arial" w:eastAsia="Arial" w:hAnsi="Arial"/>
                <w:sz w:val="17"/>
                <w:szCs w:val="17"/>
                <w:color w:val="auto"/>
              </w:rPr>
              <w:t>warehousing, and others.</w:t>
            </w:r>
          </w:p>
        </w:tc>
        <w:tc>
          <w:tcPr>
            <w:tcW w:w="0" w:type="dxa"/>
            <w:vAlign w:val="bottom"/>
          </w:tcPr>
          <w:p>
            <w:pPr>
              <w:spacing w:after="0"/>
              <w:rPr>
                <w:sz w:val="1"/>
                <w:szCs w:val="1"/>
                <w:color w:val="auto"/>
              </w:rPr>
            </w:pPr>
          </w:p>
        </w:tc>
      </w:tr>
      <w:tr>
        <w:trPr>
          <w:trHeight w:val="110"/>
        </w:trPr>
        <w:tc>
          <w:tcPr>
            <w:tcW w:w="3300" w:type="dxa"/>
            <w:vAlign w:val="bottom"/>
            <w:tcBorders>
              <w:left w:val="single" w:sz="8" w:color="auto"/>
              <w:bottom w:val="single" w:sz="8" w:color="auto"/>
              <w:right w:val="single" w:sz="8" w:color="auto"/>
            </w:tcBorders>
          </w:tcPr>
          <w:p>
            <w:pPr>
              <w:spacing w:after="0"/>
              <w:rPr>
                <w:sz w:val="9"/>
                <w:szCs w:val="9"/>
                <w:color w:val="auto"/>
              </w:rPr>
            </w:pPr>
          </w:p>
        </w:tc>
        <w:tc>
          <w:tcPr>
            <w:tcW w:w="74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4"/>
        </w:trPr>
        <w:tc>
          <w:tcPr>
            <w:tcW w:w="33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7"/>
                <w:szCs w:val="17"/>
                <w:color w:val="auto"/>
              </w:rPr>
              <w:t>Aviation</w:t>
            </w:r>
          </w:p>
        </w:tc>
        <w:tc>
          <w:tcPr>
            <w:tcW w:w="7420" w:type="dxa"/>
            <w:vAlign w:val="bottom"/>
          </w:tcPr>
          <w:p>
            <w:pPr>
              <w:ind w:left="20"/>
              <w:spacing w:after="0"/>
              <w:rPr>
                <w:sz w:val="20"/>
                <w:szCs w:val="20"/>
                <w:color w:val="auto"/>
              </w:rPr>
            </w:pPr>
            <w:r>
              <w:rPr>
                <w:rFonts w:ascii="Arial" w:cs="Arial" w:eastAsia="Arial" w:hAnsi="Arial"/>
                <w:sz w:val="17"/>
                <w:szCs w:val="17"/>
                <w:color w:val="auto"/>
              </w:rPr>
              <w:t>Aviation supports airlines and airports with services ranging from parking and janitorial to pass</w:t>
            </w:r>
          </w:p>
        </w:tc>
        <w:tc>
          <w:tcPr>
            <w:tcW w:w="0" w:type="dxa"/>
            <w:vAlign w:val="bottom"/>
          </w:tcPr>
          <w:p>
            <w:pPr>
              <w:spacing w:after="0"/>
              <w:rPr>
                <w:sz w:val="1"/>
                <w:szCs w:val="1"/>
                <w:color w:val="auto"/>
              </w:rPr>
            </w:pPr>
          </w:p>
        </w:tc>
      </w:tr>
      <w:tr>
        <w:trPr>
          <w:trHeight w:val="144"/>
        </w:trPr>
        <w:tc>
          <w:tcPr>
            <w:tcW w:w="3300" w:type="dxa"/>
            <w:vAlign w:val="bottom"/>
            <w:tcBorders>
              <w:left w:val="single" w:sz="8" w:color="auto"/>
              <w:right w:val="single" w:sz="8" w:color="auto"/>
            </w:tcBorders>
            <w:vMerge w:val="continue"/>
          </w:tcPr>
          <w:p>
            <w:pPr>
              <w:spacing w:after="0"/>
              <w:rPr>
                <w:sz w:val="12"/>
                <w:szCs w:val="12"/>
                <w:color w:val="auto"/>
              </w:rPr>
            </w:pPr>
          </w:p>
        </w:tc>
        <w:tc>
          <w:tcPr>
            <w:tcW w:w="7420" w:type="dxa"/>
            <w:vAlign w:val="bottom"/>
            <w:vMerge w:val="restart"/>
          </w:tcPr>
          <w:p>
            <w:pPr>
              <w:ind w:left="20"/>
              <w:spacing w:after="0"/>
              <w:rPr>
                <w:sz w:val="20"/>
                <w:szCs w:val="20"/>
                <w:color w:val="auto"/>
              </w:rPr>
            </w:pPr>
            <w:r>
              <w:rPr>
                <w:rFonts w:ascii="Arial" w:cs="Arial" w:eastAsia="Arial" w:hAnsi="Arial"/>
                <w:sz w:val="17"/>
                <w:szCs w:val="17"/>
                <w:color w:val="auto"/>
              </w:rPr>
              <w:t>assistance, catering logistics, air cabin maintenance, and transportation.</w:t>
            </w:r>
          </w:p>
        </w:tc>
        <w:tc>
          <w:tcPr>
            <w:tcW w:w="0" w:type="dxa"/>
            <w:vAlign w:val="bottom"/>
          </w:tcPr>
          <w:p>
            <w:pPr>
              <w:spacing w:after="0"/>
              <w:rPr>
                <w:sz w:val="1"/>
                <w:szCs w:val="1"/>
                <w:color w:val="auto"/>
              </w:rPr>
            </w:pPr>
          </w:p>
        </w:tc>
      </w:tr>
      <w:tr>
        <w:trPr>
          <w:trHeight w:val="81"/>
        </w:trPr>
        <w:tc>
          <w:tcPr>
            <w:tcW w:w="3300" w:type="dxa"/>
            <w:vAlign w:val="bottom"/>
            <w:tcBorders>
              <w:left w:val="single" w:sz="8" w:color="auto"/>
              <w:right w:val="single" w:sz="8" w:color="auto"/>
            </w:tcBorders>
          </w:tcPr>
          <w:p>
            <w:pPr>
              <w:spacing w:after="0"/>
              <w:rPr>
                <w:sz w:val="7"/>
                <w:szCs w:val="7"/>
                <w:color w:val="auto"/>
              </w:rPr>
            </w:pPr>
          </w:p>
        </w:tc>
        <w:tc>
          <w:tcPr>
            <w:tcW w:w="74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0"/>
        </w:trPr>
        <w:tc>
          <w:tcPr>
            <w:tcW w:w="3300" w:type="dxa"/>
            <w:vAlign w:val="bottom"/>
            <w:tcBorders>
              <w:left w:val="single" w:sz="8" w:color="auto"/>
              <w:bottom w:val="single" w:sz="8" w:color="auto"/>
              <w:right w:val="single" w:sz="8" w:color="auto"/>
            </w:tcBorders>
          </w:tcPr>
          <w:p>
            <w:pPr>
              <w:spacing w:after="0"/>
              <w:rPr>
                <w:sz w:val="9"/>
                <w:szCs w:val="9"/>
                <w:color w:val="auto"/>
              </w:rPr>
            </w:pPr>
          </w:p>
        </w:tc>
        <w:tc>
          <w:tcPr>
            <w:tcW w:w="74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4"/>
        </w:trPr>
        <w:tc>
          <w:tcPr>
            <w:tcW w:w="33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7"/>
                <w:szCs w:val="17"/>
                <w:color w:val="auto"/>
              </w:rPr>
              <w:t>Education</w:t>
            </w:r>
          </w:p>
        </w:tc>
        <w:tc>
          <w:tcPr>
            <w:tcW w:w="7420" w:type="dxa"/>
            <w:vAlign w:val="bottom"/>
          </w:tcPr>
          <w:p>
            <w:pPr>
              <w:ind w:left="20"/>
              <w:spacing w:after="0"/>
              <w:rPr>
                <w:sz w:val="20"/>
                <w:szCs w:val="20"/>
                <w:color w:val="auto"/>
              </w:rPr>
            </w:pPr>
            <w:r>
              <w:rPr>
                <w:rFonts w:ascii="Arial" w:cs="Arial" w:eastAsia="Arial" w:hAnsi="Arial"/>
                <w:sz w:val="17"/>
                <w:szCs w:val="17"/>
                <w:color w:val="auto"/>
              </w:rPr>
              <w:t>Education delivers janitorial, custodial, landscaping and grounds, facilities engineering, and p</w:t>
            </w:r>
          </w:p>
        </w:tc>
        <w:tc>
          <w:tcPr>
            <w:tcW w:w="0" w:type="dxa"/>
            <w:vAlign w:val="bottom"/>
          </w:tcPr>
          <w:p>
            <w:pPr>
              <w:spacing w:after="0"/>
              <w:rPr>
                <w:sz w:val="1"/>
                <w:szCs w:val="1"/>
                <w:color w:val="auto"/>
              </w:rPr>
            </w:pPr>
          </w:p>
        </w:tc>
      </w:tr>
      <w:tr>
        <w:trPr>
          <w:trHeight w:val="144"/>
        </w:trPr>
        <w:tc>
          <w:tcPr>
            <w:tcW w:w="3300" w:type="dxa"/>
            <w:vAlign w:val="bottom"/>
            <w:tcBorders>
              <w:left w:val="single" w:sz="8" w:color="auto"/>
              <w:right w:val="single" w:sz="8" w:color="auto"/>
            </w:tcBorders>
            <w:vMerge w:val="continue"/>
          </w:tcPr>
          <w:p>
            <w:pPr>
              <w:spacing w:after="0"/>
              <w:rPr>
                <w:sz w:val="12"/>
                <w:szCs w:val="12"/>
                <w:color w:val="auto"/>
              </w:rPr>
            </w:pPr>
          </w:p>
        </w:tc>
        <w:tc>
          <w:tcPr>
            <w:tcW w:w="7420" w:type="dxa"/>
            <w:vAlign w:val="bottom"/>
            <w:vMerge w:val="restart"/>
          </w:tcPr>
          <w:p>
            <w:pPr>
              <w:ind w:left="20"/>
              <w:spacing w:after="0"/>
              <w:rPr>
                <w:sz w:val="20"/>
                <w:szCs w:val="20"/>
                <w:color w:val="auto"/>
              </w:rPr>
            </w:pPr>
            <w:r>
              <w:rPr>
                <w:rFonts w:ascii="Arial" w:cs="Arial" w:eastAsia="Arial" w:hAnsi="Arial"/>
                <w:sz w:val="17"/>
                <w:szCs w:val="17"/>
                <w:color w:val="auto"/>
              </w:rPr>
              <w:t>services for public school districts, private schools, colleges, and universities.</w:t>
            </w:r>
          </w:p>
        </w:tc>
        <w:tc>
          <w:tcPr>
            <w:tcW w:w="0" w:type="dxa"/>
            <w:vAlign w:val="bottom"/>
          </w:tcPr>
          <w:p>
            <w:pPr>
              <w:spacing w:after="0"/>
              <w:rPr>
                <w:sz w:val="1"/>
                <w:szCs w:val="1"/>
                <w:color w:val="auto"/>
              </w:rPr>
            </w:pPr>
          </w:p>
        </w:tc>
      </w:tr>
      <w:tr>
        <w:trPr>
          <w:trHeight w:val="81"/>
        </w:trPr>
        <w:tc>
          <w:tcPr>
            <w:tcW w:w="3300" w:type="dxa"/>
            <w:vAlign w:val="bottom"/>
            <w:tcBorders>
              <w:left w:val="single" w:sz="8" w:color="auto"/>
              <w:right w:val="single" w:sz="8" w:color="auto"/>
            </w:tcBorders>
          </w:tcPr>
          <w:p>
            <w:pPr>
              <w:spacing w:after="0"/>
              <w:rPr>
                <w:sz w:val="7"/>
                <w:szCs w:val="7"/>
                <w:color w:val="auto"/>
              </w:rPr>
            </w:pPr>
          </w:p>
        </w:tc>
        <w:tc>
          <w:tcPr>
            <w:tcW w:w="74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0"/>
        </w:trPr>
        <w:tc>
          <w:tcPr>
            <w:tcW w:w="3300" w:type="dxa"/>
            <w:vAlign w:val="bottom"/>
            <w:tcBorders>
              <w:left w:val="single" w:sz="8" w:color="auto"/>
              <w:bottom w:val="single" w:sz="8" w:color="auto"/>
              <w:right w:val="single" w:sz="8" w:color="auto"/>
            </w:tcBorders>
          </w:tcPr>
          <w:p>
            <w:pPr>
              <w:spacing w:after="0"/>
              <w:rPr>
                <w:sz w:val="9"/>
                <w:szCs w:val="9"/>
                <w:color w:val="auto"/>
              </w:rPr>
            </w:pPr>
          </w:p>
        </w:tc>
        <w:tc>
          <w:tcPr>
            <w:tcW w:w="74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4"/>
        </w:trPr>
        <w:tc>
          <w:tcPr>
            <w:tcW w:w="3300" w:type="dxa"/>
            <w:vAlign w:val="bottom"/>
            <w:tcBorders>
              <w:left w:val="single" w:sz="8" w:color="auto"/>
              <w:right w:val="single" w:sz="8" w:color="auto"/>
            </w:tcBorders>
          </w:tcPr>
          <w:p>
            <w:pPr>
              <w:spacing w:after="0"/>
              <w:rPr>
                <w:sz w:val="22"/>
                <w:szCs w:val="22"/>
                <w:color w:val="auto"/>
              </w:rPr>
            </w:pPr>
          </w:p>
        </w:tc>
        <w:tc>
          <w:tcPr>
            <w:tcW w:w="7420" w:type="dxa"/>
            <w:vAlign w:val="bottom"/>
          </w:tcPr>
          <w:p>
            <w:pPr>
              <w:ind w:left="20"/>
              <w:spacing w:after="0"/>
              <w:rPr>
                <w:sz w:val="20"/>
                <w:szCs w:val="20"/>
                <w:color w:val="auto"/>
              </w:rPr>
            </w:pPr>
            <w:r>
              <w:rPr>
                <w:rFonts w:ascii="Arial" w:cs="Arial" w:eastAsia="Arial" w:hAnsi="Arial"/>
                <w:sz w:val="17"/>
                <w:szCs w:val="17"/>
                <w:color w:val="auto"/>
              </w:rPr>
              <w:t>Technical Solutions specializes in facility infrastructure, mechanical and electrical services, includi</w:t>
            </w:r>
          </w:p>
        </w:tc>
        <w:tc>
          <w:tcPr>
            <w:tcW w:w="0" w:type="dxa"/>
            <w:vAlign w:val="bottom"/>
          </w:tcPr>
          <w:p>
            <w:pPr>
              <w:spacing w:after="0"/>
              <w:rPr>
                <w:sz w:val="1"/>
                <w:szCs w:val="1"/>
                <w:color w:val="auto"/>
              </w:rPr>
            </w:pPr>
          </w:p>
        </w:tc>
      </w:tr>
      <w:tr>
        <w:trPr>
          <w:trHeight w:val="168"/>
        </w:trPr>
        <w:tc>
          <w:tcPr>
            <w:tcW w:w="33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7"/>
                <w:szCs w:val="17"/>
                <w:color w:val="auto"/>
                <w:w w:val="99"/>
              </w:rPr>
              <w:t>Technical Solutions</w:t>
            </w:r>
          </w:p>
        </w:tc>
        <w:tc>
          <w:tcPr>
            <w:tcW w:w="7420" w:type="dxa"/>
            <w:vAlign w:val="bottom"/>
          </w:tcPr>
          <w:p>
            <w:pPr>
              <w:ind w:left="20"/>
              <w:spacing w:after="0" w:line="167" w:lineRule="exact"/>
              <w:rPr>
                <w:sz w:val="20"/>
                <w:szCs w:val="20"/>
                <w:color w:val="auto"/>
              </w:rPr>
            </w:pPr>
            <w:r>
              <w:rPr>
                <w:rFonts w:ascii="Arial" w:cs="Arial" w:eastAsia="Arial" w:hAnsi="Arial"/>
                <w:sz w:val="17"/>
                <w:szCs w:val="17"/>
                <w:color w:val="auto"/>
              </w:rPr>
              <w:t>power design, installation and maintenance, as well as microgrid systems installations and</w:t>
            </w:r>
          </w:p>
        </w:tc>
        <w:tc>
          <w:tcPr>
            <w:tcW w:w="0" w:type="dxa"/>
            <w:vAlign w:val="bottom"/>
          </w:tcPr>
          <w:p>
            <w:pPr>
              <w:spacing w:after="0"/>
              <w:rPr>
                <w:sz w:val="1"/>
                <w:szCs w:val="1"/>
                <w:color w:val="auto"/>
              </w:rPr>
            </w:pPr>
          </w:p>
        </w:tc>
      </w:tr>
      <w:tr>
        <w:trPr>
          <w:trHeight w:val="144"/>
        </w:trPr>
        <w:tc>
          <w:tcPr>
            <w:tcW w:w="3300" w:type="dxa"/>
            <w:vAlign w:val="bottom"/>
            <w:tcBorders>
              <w:left w:val="single" w:sz="8" w:color="auto"/>
              <w:right w:val="single" w:sz="8" w:color="auto"/>
            </w:tcBorders>
            <w:vMerge w:val="continue"/>
          </w:tcPr>
          <w:p>
            <w:pPr>
              <w:spacing w:after="0"/>
              <w:rPr>
                <w:sz w:val="12"/>
                <w:szCs w:val="12"/>
                <w:color w:val="auto"/>
              </w:rPr>
            </w:pPr>
          </w:p>
        </w:tc>
        <w:tc>
          <w:tcPr>
            <w:tcW w:w="7420" w:type="dxa"/>
            <w:vAlign w:val="bottom"/>
            <w:vMerge w:val="restart"/>
          </w:tcPr>
          <w:p>
            <w:pPr>
              <w:ind w:left="20"/>
              <w:spacing w:after="0" w:line="176" w:lineRule="exact"/>
              <w:rPr>
                <w:sz w:val="20"/>
                <w:szCs w:val="20"/>
                <w:color w:val="auto"/>
              </w:rPr>
            </w:pPr>
            <w:r>
              <w:rPr>
                <w:rFonts w:ascii="Arial" w:cs="Arial" w:eastAsia="Arial" w:hAnsi="Arial"/>
                <w:sz w:val="17"/>
                <w:szCs w:val="17"/>
                <w:color w:val="auto"/>
              </w:rPr>
              <w:t>uninterrupted power supply services. These services can also be leveraged for cross-selling acro</w:t>
            </w:r>
          </w:p>
        </w:tc>
        <w:tc>
          <w:tcPr>
            <w:tcW w:w="0" w:type="dxa"/>
            <w:vAlign w:val="bottom"/>
          </w:tcPr>
          <w:p>
            <w:pPr>
              <w:spacing w:after="0"/>
              <w:rPr>
                <w:sz w:val="1"/>
                <w:szCs w:val="1"/>
                <w:color w:val="auto"/>
              </w:rPr>
            </w:pPr>
          </w:p>
        </w:tc>
      </w:tr>
      <w:tr>
        <w:trPr>
          <w:trHeight w:val="32"/>
        </w:trPr>
        <w:tc>
          <w:tcPr>
            <w:tcW w:w="3300" w:type="dxa"/>
            <w:vAlign w:val="bottom"/>
            <w:tcBorders>
              <w:left w:val="single" w:sz="8" w:color="auto"/>
              <w:right w:val="single" w:sz="8" w:color="auto"/>
            </w:tcBorders>
          </w:tcPr>
          <w:p>
            <w:pPr>
              <w:spacing w:after="0"/>
              <w:rPr>
                <w:sz w:val="2"/>
                <w:szCs w:val="2"/>
                <w:color w:val="auto"/>
              </w:rPr>
            </w:pPr>
          </w:p>
        </w:tc>
        <w:tc>
          <w:tcPr>
            <w:tcW w:w="74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6"/>
        </w:trPr>
        <w:tc>
          <w:tcPr>
            <w:tcW w:w="3300" w:type="dxa"/>
            <w:vAlign w:val="bottom"/>
            <w:tcBorders>
              <w:left w:val="single" w:sz="8" w:color="auto"/>
              <w:right w:val="single" w:sz="8" w:color="auto"/>
            </w:tcBorders>
          </w:tcPr>
          <w:p>
            <w:pPr>
              <w:spacing w:after="0"/>
              <w:rPr>
                <w:sz w:val="19"/>
                <w:szCs w:val="19"/>
                <w:color w:val="auto"/>
              </w:rPr>
            </w:pPr>
          </w:p>
        </w:tc>
        <w:tc>
          <w:tcPr>
            <w:tcW w:w="7420" w:type="dxa"/>
            <w:vAlign w:val="bottom"/>
          </w:tcPr>
          <w:p>
            <w:pPr>
              <w:ind w:left="20"/>
              <w:spacing w:after="0"/>
              <w:rPr>
                <w:sz w:val="20"/>
                <w:szCs w:val="20"/>
                <w:color w:val="auto"/>
              </w:rPr>
            </w:pPr>
            <w:r>
              <w:rPr>
                <w:rFonts w:ascii="Arial" w:cs="Arial" w:eastAsia="Arial" w:hAnsi="Arial"/>
                <w:sz w:val="17"/>
                <w:szCs w:val="17"/>
                <w:color w:val="auto"/>
              </w:rPr>
              <w:t>of our industry groups, both domestically and internationally.</w:t>
            </w:r>
          </w:p>
        </w:tc>
        <w:tc>
          <w:tcPr>
            <w:tcW w:w="0" w:type="dxa"/>
            <w:vAlign w:val="bottom"/>
          </w:tcPr>
          <w:p>
            <w:pPr>
              <w:spacing w:after="0"/>
              <w:rPr>
                <w:sz w:val="1"/>
                <w:szCs w:val="1"/>
                <w:color w:val="auto"/>
              </w:rPr>
            </w:pPr>
          </w:p>
        </w:tc>
      </w:tr>
      <w:tr>
        <w:trPr>
          <w:trHeight w:val="101"/>
        </w:trPr>
        <w:tc>
          <w:tcPr>
            <w:tcW w:w="3300" w:type="dxa"/>
            <w:vAlign w:val="bottom"/>
            <w:tcBorders>
              <w:left w:val="single" w:sz="8" w:color="auto"/>
              <w:bottom w:val="single" w:sz="8" w:color="auto"/>
              <w:right w:val="single" w:sz="8" w:color="auto"/>
            </w:tcBorders>
          </w:tcPr>
          <w:p>
            <w:pPr>
              <w:spacing w:after="0"/>
              <w:rPr>
                <w:sz w:val="8"/>
                <w:szCs w:val="8"/>
                <w:color w:val="auto"/>
              </w:rPr>
            </w:pPr>
          </w:p>
        </w:tc>
        <w:tc>
          <w:tcPr>
            <w:tcW w:w="74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67" w:lineRule="exact"/>
        <w:rPr>
          <w:sz w:val="20"/>
          <w:szCs w:val="20"/>
          <w:color w:val="auto"/>
        </w:rPr>
      </w:pPr>
    </w:p>
    <w:p>
      <w:pPr>
        <w:jc w:val="both"/>
        <w:ind w:right="100" w:firstLine="619"/>
        <w:spacing w:after="0" w:line="261" w:lineRule="auto"/>
        <w:rPr>
          <w:sz w:val="20"/>
          <w:szCs w:val="20"/>
          <w:color w:val="auto"/>
        </w:rPr>
      </w:pPr>
      <w:r>
        <w:rPr>
          <w:rFonts w:ascii="Arial" w:cs="Arial" w:eastAsia="Arial" w:hAnsi="Arial"/>
          <w:sz w:val="17"/>
          <w:szCs w:val="17"/>
          <w:color w:val="auto"/>
        </w:rPr>
        <w:t>The accounting policies for our segments are the same as those disclosed within our significant accounting policies in Note 2, “Basis of Presentation and Significant Accounting Policies.” Our management evaluates the performance of each reportable segment based on its respective operating profit results, which include the allocation of certain centrally incurred costs. Corporate expenses not allocated to segments include certain CEO and other finance and human resource departmental expenses, certain information technology costs, share-based compensation, certain legal costs and settlements, restructuring and related costs, certain actuarial adjustments to self-insurance reserves, and direct acquisition costs.</w:t>
      </w:r>
    </w:p>
    <w:p>
      <w:pPr>
        <w:spacing w:after="0" w:line="381" w:lineRule="exact"/>
        <w:rPr>
          <w:sz w:val="20"/>
          <w:szCs w:val="20"/>
          <w:color w:val="auto"/>
        </w:rPr>
      </w:pPr>
    </w:p>
    <w:p>
      <w:pPr>
        <w:jc w:val="both"/>
        <w:ind w:right="100" w:firstLine="619"/>
        <w:spacing w:after="0" w:line="271" w:lineRule="auto"/>
        <w:rPr>
          <w:sz w:val="20"/>
          <w:szCs w:val="20"/>
          <w:color w:val="auto"/>
        </w:rPr>
      </w:pPr>
      <w:r>
        <w:rPr>
          <w:rFonts w:ascii="Arial" w:cs="Arial" w:eastAsia="Arial" w:hAnsi="Arial"/>
          <w:sz w:val="17"/>
          <w:szCs w:val="17"/>
          <w:color w:val="auto"/>
        </w:rPr>
        <w:t>As of October 31, 2025, the Company’s Chief Operating Decision Makers (the “CODMs”), consisting of the Chief Executive Officer and the Chief Operating Officer, evaluate the performance of ABM’s operating segments and allocate resources based on segment operating profit and revenue. These metrics are regularly reviewed as part of ABM’s internal reporting package.</w:t>
      </w:r>
    </w:p>
    <w:p>
      <w:pPr>
        <w:spacing w:after="0" w:line="163" w:lineRule="exact"/>
        <w:rPr>
          <w:sz w:val="20"/>
          <w:szCs w:val="20"/>
          <w:color w:val="auto"/>
        </w:rPr>
      </w:pPr>
    </w:p>
    <w:p>
      <w:pPr>
        <w:jc w:val="both"/>
        <w:ind w:right="100" w:firstLine="619"/>
        <w:spacing w:after="0" w:line="262" w:lineRule="auto"/>
        <w:rPr>
          <w:sz w:val="20"/>
          <w:szCs w:val="20"/>
          <w:color w:val="auto"/>
        </w:rPr>
      </w:pPr>
      <w:r>
        <w:rPr>
          <w:rFonts w:ascii="Arial" w:cs="Arial" w:eastAsia="Arial" w:hAnsi="Arial"/>
          <w:sz w:val="17"/>
          <w:szCs w:val="17"/>
          <w:color w:val="auto"/>
        </w:rPr>
        <w:t>Segment operating profits are used to allocate resources, including investment spending, primarily as part of the annual budget process. On a monthly basis, the CODMs review budget-to-actual variances to assess performance, monitor trends, and compare results across segments. Segment performance is also considered in the determination of incentive compensation for segment leadership. Segment asset information is not provided to the CODMs, nor is it used in evaluating segment performance or making resource allocation decisions. Accordingly, segment assets are not disclosed in this note.</w:t>
      </w:r>
    </w:p>
    <w:p>
      <w:pPr>
        <w:spacing w:after="0" w:line="171" w:lineRule="exact"/>
        <w:rPr>
          <w:sz w:val="20"/>
          <w:szCs w:val="20"/>
          <w:color w:val="auto"/>
        </w:rPr>
      </w:pPr>
    </w:p>
    <w:p>
      <w:pPr>
        <w:jc w:val="both"/>
        <w:ind w:right="100" w:firstLine="619"/>
        <w:spacing w:after="0" w:line="290" w:lineRule="auto"/>
        <w:rPr>
          <w:sz w:val="20"/>
          <w:szCs w:val="20"/>
          <w:color w:val="auto"/>
        </w:rPr>
      </w:pPr>
      <w:r>
        <w:rPr>
          <w:rFonts w:ascii="Arial" w:cs="Arial" w:eastAsia="Arial" w:hAnsi="Arial"/>
          <w:sz w:val="17"/>
          <w:szCs w:val="17"/>
          <w:color w:val="auto"/>
        </w:rPr>
        <w:t>In accordance with ASU 2023-07, Segment Reporting (Topic 280), we have disclosed the measure of profit or loss used by the CODMs, along with other significant segment items that are regularly provided and used in managing the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340"/>
          </w:cols>
          <w:pgMar w:left="320" w:top="1165" w:right="239" w:bottom="1440" w:gutter="0" w:footer="0" w:header="0"/>
        </w:sectPr>
      </w:pPr>
    </w:p>
    <w:bookmarkStart w:id="89" w:name="page90"/>
    <w:bookmarkEnd w:id="89"/>
    <w:p>
      <w:pPr>
        <w:spacing w:after="0"/>
        <w:rPr>
          <w:sz w:val="20"/>
          <w:szCs w:val="20"/>
          <w:color w:val="auto"/>
        </w:rPr>
      </w:pPr>
      <w:r>
        <w:rPr>
          <w:rFonts w:ascii="Arial" w:cs="Arial" w:eastAsia="Arial" w:hAnsi="Arial"/>
          <w:sz w:val="17"/>
          <w:szCs w:val="17"/>
          <w:b w:val="1"/>
          <w:bCs w:val="1"/>
          <w:i w:val="1"/>
          <w:iCs w:val="1"/>
          <w:color w:val="0046AD"/>
        </w:rPr>
        <w:t>Financial Information by Reportable Segment</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640" w:type="dxa"/>
            <w:vAlign w:val="bottom"/>
            <w:tcBorders>
              <w:bottom w:val="single" w:sz="8" w:color="auto"/>
            </w:tcBorders>
            <w:gridSpan w:val="5"/>
          </w:tcPr>
          <w:p>
            <w:pPr>
              <w:ind w:left="20"/>
              <w:spacing w:after="0"/>
              <w:rPr>
                <w:sz w:val="20"/>
                <w:szCs w:val="20"/>
                <w:color w:val="auto"/>
              </w:rPr>
            </w:pPr>
            <w:r>
              <w:rPr>
                <w:rFonts w:ascii="Arial" w:cs="Arial" w:eastAsia="Arial" w:hAnsi="Arial"/>
                <w:sz w:val="17"/>
                <w:szCs w:val="17"/>
                <w:b w:val="1"/>
                <w:bCs w:val="1"/>
                <w:color w:val="auto"/>
              </w:rPr>
              <w:t>Year Ended October 31, 2025</w:t>
            </w: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8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w w:val="95"/>
              </w:rPr>
              <w:t>(in millions)</w:t>
            </w:r>
          </w:p>
        </w:tc>
        <w:tc>
          <w:tcPr>
            <w:tcW w:w="2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80" w:type="dxa"/>
            <w:vAlign w:val="bottom"/>
            <w:gridSpan w:val="2"/>
            <w:vMerge w:val="restart"/>
          </w:tcPr>
          <w:p>
            <w:pPr>
              <w:ind w:left="200"/>
              <w:spacing w:after="0"/>
              <w:rPr>
                <w:sz w:val="20"/>
                <w:szCs w:val="20"/>
                <w:color w:val="auto"/>
              </w:rPr>
            </w:pPr>
            <w:r>
              <w:rPr>
                <w:rFonts w:ascii="Arial" w:cs="Arial" w:eastAsia="Arial" w:hAnsi="Arial"/>
                <w:sz w:val="15"/>
                <w:szCs w:val="15"/>
                <w:b w:val="1"/>
                <w:bCs w:val="1"/>
                <w:color w:val="auto"/>
              </w:rPr>
              <w:t>B&amp;I</w:t>
            </w:r>
          </w:p>
        </w:tc>
        <w:tc>
          <w:tcPr>
            <w:tcW w:w="380" w:type="dxa"/>
            <w:vAlign w:val="bottom"/>
          </w:tcPr>
          <w:p>
            <w:pPr>
              <w:spacing w:after="0"/>
              <w:rPr>
                <w:sz w:val="13"/>
                <w:szCs w:val="13"/>
                <w:color w:val="auto"/>
              </w:rPr>
            </w:pPr>
          </w:p>
        </w:tc>
        <w:tc>
          <w:tcPr>
            <w:tcW w:w="1000" w:type="dxa"/>
            <w:vAlign w:val="bottom"/>
            <w:gridSpan w:val="2"/>
            <w:vMerge w:val="restart"/>
          </w:tcPr>
          <w:p>
            <w:pPr>
              <w:ind w:left="100"/>
              <w:spacing w:after="0"/>
              <w:rPr>
                <w:sz w:val="20"/>
                <w:szCs w:val="20"/>
                <w:color w:val="auto"/>
              </w:rPr>
            </w:pPr>
            <w:r>
              <w:rPr>
                <w:rFonts w:ascii="Arial" w:cs="Arial" w:eastAsia="Arial" w:hAnsi="Arial"/>
                <w:sz w:val="15"/>
                <w:szCs w:val="15"/>
                <w:b w:val="1"/>
                <w:bCs w:val="1"/>
                <w:color w:val="auto"/>
              </w:rPr>
              <w:t>M&amp;D</w:t>
            </w:r>
          </w:p>
        </w:tc>
        <w:tc>
          <w:tcPr>
            <w:tcW w:w="140" w:type="dxa"/>
            <w:vAlign w:val="bottom"/>
          </w:tcPr>
          <w:p>
            <w:pPr>
              <w:spacing w:after="0"/>
              <w:rPr>
                <w:sz w:val="13"/>
                <w:szCs w:val="13"/>
                <w:color w:val="auto"/>
              </w:rPr>
            </w:pPr>
          </w:p>
        </w:tc>
        <w:tc>
          <w:tcPr>
            <w:tcW w:w="1240" w:type="dxa"/>
            <w:vAlign w:val="bottom"/>
            <w:gridSpan w:val="2"/>
            <w:vMerge w:val="restart"/>
          </w:tcPr>
          <w:p>
            <w:pPr>
              <w:ind w:left="220"/>
              <w:spacing w:after="0"/>
              <w:rPr>
                <w:sz w:val="20"/>
                <w:szCs w:val="20"/>
                <w:color w:val="auto"/>
              </w:rPr>
            </w:pPr>
            <w:r>
              <w:rPr>
                <w:rFonts w:ascii="Arial" w:cs="Arial" w:eastAsia="Arial" w:hAnsi="Arial"/>
                <w:sz w:val="15"/>
                <w:szCs w:val="15"/>
                <w:b w:val="1"/>
                <w:bCs w:val="1"/>
                <w:color w:val="auto"/>
              </w:rPr>
              <w:t>Aviation</w:t>
            </w:r>
          </w:p>
        </w:tc>
        <w:tc>
          <w:tcPr>
            <w:tcW w:w="260" w:type="dxa"/>
            <w:vAlign w:val="bottom"/>
          </w:tcPr>
          <w:p>
            <w:pPr>
              <w:spacing w:after="0"/>
              <w:rPr>
                <w:sz w:val="13"/>
                <w:szCs w:val="13"/>
                <w:color w:val="auto"/>
              </w:rPr>
            </w:pPr>
          </w:p>
        </w:tc>
        <w:tc>
          <w:tcPr>
            <w:tcW w:w="1140" w:type="dxa"/>
            <w:vAlign w:val="bottom"/>
            <w:gridSpan w:val="2"/>
            <w:vMerge w:val="restart"/>
          </w:tcPr>
          <w:p>
            <w:pPr>
              <w:ind w:left="20"/>
              <w:spacing w:after="0"/>
              <w:rPr>
                <w:sz w:val="20"/>
                <w:szCs w:val="20"/>
                <w:color w:val="auto"/>
              </w:rPr>
            </w:pPr>
            <w:r>
              <w:rPr>
                <w:rFonts w:ascii="Arial" w:cs="Arial" w:eastAsia="Arial" w:hAnsi="Arial"/>
                <w:sz w:val="15"/>
                <w:szCs w:val="15"/>
                <w:b w:val="1"/>
                <w:bCs w:val="1"/>
                <w:color w:val="auto"/>
              </w:rPr>
              <w:t>Education</w:t>
            </w:r>
          </w:p>
        </w:tc>
        <w:tc>
          <w:tcPr>
            <w:tcW w:w="200" w:type="dxa"/>
            <w:vAlign w:val="bottom"/>
          </w:tcPr>
          <w:p>
            <w:pPr>
              <w:spacing w:after="0"/>
              <w:rPr>
                <w:sz w:val="13"/>
                <w:szCs w:val="13"/>
                <w:color w:val="auto"/>
              </w:rPr>
            </w:pPr>
          </w:p>
        </w:tc>
        <w:tc>
          <w:tcPr>
            <w:tcW w:w="1180" w:type="dxa"/>
            <w:vAlign w:val="bottom"/>
            <w:gridSpan w:val="2"/>
          </w:tcPr>
          <w:p>
            <w:pPr>
              <w:ind w:left="100"/>
              <w:spacing w:after="0" w:line="151" w:lineRule="exact"/>
              <w:rPr>
                <w:sz w:val="20"/>
                <w:szCs w:val="20"/>
                <w:color w:val="auto"/>
              </w:rPr>
            </w:pPr>
            <w:r>
              <w:rPr>
                <w:rFonts w:ascii="Arial" w:cs="Arial" w:eastAsia="Arial" w:hAnsi="Arial"/>
                <w:sz w:val="15"/>
                <w:szCs w:val="15"/>
                <w:b w:val="1"/>
                <w:bCs w:val="1"/>
                <w:color w:val="auto"/>
              </w:rPr>
              <w:t>Technical</w:t>
            </w:r>
          </w:p>
        </w:tc>
        <w:tc>
          <w:tcPr>
            <w:tcW w:w="300" w:type="dxa"/>
            <w:vAlign w:val="bottom"/>
          </w:tcPr>
          <w:p>
            <w:pPr>
              <w:spacing w:after="0"/>
              <w:rPr>
                <w:sz w:val="13"/>
                <w:szCs w:val="13"/>
                <w:color w:val="auto"/>
              </w:rPr>
            </w:pPr>
          </w:p>
        </w:tc>
        <w:tc>
          <w:tcPr>
            <w:tcW w:w="980" w:type="dxa"/>
            <w:vAlign w:val="bottom"/>
            <w:vMerge w:val="restart"/>
          </w:tcPr>
          <w:p>
            <w:pPr>
              <w:jc w:val="right"/>
              <w:ind w:right="375"/>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1"/>
                <w:szCs w:val="11"/>
                <w:color w:val="auto"/>
              </w:rPr>
            </w:pPr>
          </w:p>
        </w:tc>
        <w:tc>
          <w:tcPr>
            <w:tcW w:w="680" w:type="dxa"/>
            <w:vAlign w:val="bottom"/>
            <w:tcBorders>
              <w:bottom w:val="single" w:sz="8" w:color="auto"/>
            </w:tcBorders>
            <w:vMerge w:val="continue"/>
          </w:tcPr>
          <w:p>
            <w:pPr>
              <w:spacing w:after="0"/>
              <w:rPr>
                <w:sz w:val="11"/>
                <w:szCs w:val="11"/>
                <w:color w:val="auto"/>
              </w:rPr>
            </w:pPr>
          </w:p>
        </w:tc>
        <w:tc>
          <w:tcPr>
            <w:tcW w:w="2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38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26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2"/>
          </w:tcPr>
          <w:p>
            <w:pPr>
              <w:ind w:left="100"/>
              <w:spacing w:after="0" w:line="131" w:lineRule="exact"/>
              <w:rPr>
                <w:sz w:val="20"/>
                <w:szCs w:val="20"/>
                <w:color w:val="auto"/>
              </w:rPr>
            </w:pPr>
            <w:r>
              <w:rPr>
                <w:rFonts w:ascii="Arial" w:cs="Arial" w:eastAsia="Arial" w:hAnsi="Arial"/>
                <w:sz w:val="15"/>
                <w:szCs w:val="15"/>
                <w:b w:val="1"/>
                <w:bCs w:val="1"/>
                <w:color w:val="auto"/>
              </w:rPr>
              <w:t>Solutions</w:t>
            </w:r>
          </w:p>
        </w:tc>
        <w:tc>
          <w:tcPr>
            <w:tcW w:w="300" w:type="dxa"/>
            <w:vAlign w:val="bottom"/>
          </w:tcPr>
          <w:p>
            <w:pPr>
              <w:spacing w:after="0"/>
              <w:rPr>
                <w:sz w:val="11"/>
                <w:szCs w:val="11"/>
                <w:color w:val="auto"/>
              </w:rPr>
            </w:pPr>
          </w:p>
        </w:tc>
        <w:tc>
          <w:tcPr>
            <w:tcW w:w="9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2"/>
        </w:trPr>
        <w:tc>
          <w:tcPr>
            <w:tcW w:w="20" w:type="dxa"/>
            <w:vAlign w:val="bottom"/>
            <w:tcBorders>
              <w:bottom w:val="single" w:sz="8" w:color="DCE2EF"/>
            </w:tcBorders>
          </w:tcPr>
          <w:p>
            <w:pPr>
              <w:spacing w:after="0"/>
              <w:rPr>
                <w:sz w:val="2"/>
                <w:szCs w:val="2"/>
                <w:color w:val="auto"/>
              </w:rPr>
            </w:pPr>
          </w:p>
        </w:tc>
        <w:tc>
          <w:tcPr>
            <w:tcW w:w="680" w:type="dxa"/>
            <w:vAlign w:val="bottom"/>
            <w:tcBorders>
              <w:bottom w:val="single" w:sz="8" w:color="DCE2EF"/>
            </w:tcBorders>
          </w:tcPr>
          <w:p>
            <w:pPr>
              <w:spacing w:after="0"/>
              <w:rPr>
                <w:sz w:val="2"/>
                <w:szCs w:val="2"/>
                <w:color w:val="auto"/>
              </w:rPr>
            </w:pPr>
          </w:p>
        </w:tc>
        <w:tc>
          <w:tcPr>
            <w:tcW w:w="2340" w:type="dxa"/>
            <w:vAlign w:val="bottom"/>
            <w:tcBorders>
              <w:bottom w:val="single" w:sz="8" w:color="DCE2E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DCE2E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DCE2E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DCE2E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3040" w:type="dxa"/>
            <w:vAlign w:val="bottom"/>
            <w:gridSpan w:val="3"/>
            <w:shd w:val="clear" w:color="auto" w:fill="DCE2EF"/>
          </w:tcPr>
          <w:p>
            <w:pPr>
              <w:ind w:left="20"/>
              <w:spacing w:after="0"/>
              <w:rPr>
                <w:sz w:val="20"/>
                <w:szCs w:val="20"/>
                <w:color w:val="auto"/>
              </w:rPr>
            </w:pPr>
            <w:r>
              <w:rPr>
                <w:rFonts w:ascii="Arial" w:cs="Arial" w:eastAsia="Arial" w:hAnsi="Arial"/>
                <w:sz w:val="17"/>
                <w:szCs w:val="17"/>
                <w:b w:val="1"/>
                <w:bCs w:val="1"/>
                <w:color w:val="auto"/>
              </w:rPr>
              <w:t>Revenues</w:t>
            </w:r>
          </w:p>
        </w:tc>
        <w:tc>
          <w:tcPr>
            <w:tcW w:w="300" w:type="dxa"/>
            <w:vAlign w:val="bottom"/>
            <w:shd w:val="clear" w:color="auto" w:fill="DCE2EF"/>
          </w:tcPr>
          <w:p>
            <w:pPr>
              <w:jc w:val="right"/>
              <w:ind w:right="114"/>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DCE2EF"/>
          </w:tcPr>
          <w:p>
            <w:pPr>
              <w:jc w:val="right"/>
              <w:spacing w:after="0"/>
              <w:rPr>
                <w:sz w:val="20"/>
                <w:szCs w:val="20"/>
                <w:color w:val="auto"/>
              </w:rPr>
            </w:pPr>
            <w:r>
              <w:rPr>
                <w:rFonts w:ascii="Arial" w:cs="Arial" w:eastAsia="Arial" w:hAnsi="Arial"/>
                <w:sz w:val="17"/>
                <w:szCs w:val="17"/>
                <w:color w:val="auto"/>
              </w:rPr>
              <w:t>4,126.0</w:t>
            </w:r>
          </w:p>
        </w:tc>
        <w:tc>
          <w:tcPr>
            <w:tcW w:w="100" w:type="dxa"/>
            <w:vAlign w:val="bottom"/>
            <w:shd w:val="clear" w:color="auto" w:fill="DCE2EF"/>
          </w:tcPr>
          <w:p>
            <w:pPr>
              <w:spacing w:after="0"/>
              <w:rPr>
                <w:sz w:val="18"/>
                <w:szCs w:val="18"/>
                <w:color w:val="auto"/>
              </w:rPr>
            </w:pPr>
          </w:p>
        </w:tc>
        <w:tc>
          <w:tcPr>
            <w:tcW w:w="380" w:type="dxa"/>
            <w:vAlign w:val="bottom"/>
            <w:shd w:val="clear" w:color="auto" w:fill="DCE2EF"/>
          </w:tcPr>
          <w:p>
            <w:pPr>
              <w:jc w:val="right"/>
              <w:ind w:right="194"/>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DCE2EF"/>
          </w:tcPr>
          <w:p>
            <w:pPr>
              <w:jc w:val="right"/>
              <w:spacing w:after="0"/>
              <w:rPr>
                <w:sz w:val="20"/>
                <w:szCs w:val="20"/>
                <w:color w:val="auto"/>
              </w:rPr>
            </w:pPr>
            <w:r>
              <w:rPr>
                <w:rFonts w:ascii="Arial" w:cs="Arial" w:eastAsia="Arial" w:hAnsi="Arial"/>
                <w:sz w:val="17"/>
                <w:szCs w:val="17"/>
                <w:color w:val="auto"/>
              </w:rPr>
              <w:t>1,618.6</w:t>
            </w:r>
          </w:p>
        </w:tc>
        <w:tc>
          <w:tcPr>
            <w:tcW w:w="80" w:type="dxa"/>
            <w:vAlign w:val="bottom"/>
            <w:shd w:val="clear" w:color="auto" w:fill="DCE2EF"/>
          </w:tcPr>
          <w:p>
            <w:pPr>
              <w:spacing w:after="0"/>
              <w:rPr>
                <w:sz w:val="18"/>
                <w:szCs w:val="18"/>
                <w:color w:val="auto"/>
              </w:rPr>
            </w:pPr>
          </w:p>
        </w:tc>
        <w:tc>
          <w:tcPr>
            <w:tcW w:w="140" w:type="dxa"/>
            <w:vAlign w:val="bottom"/>
            <w:shd w:val="clear" w:color="auto" w:fill="DCE2EF"/>
          </w:tcPr>
          <w:p>
            <w:pPr>
              <w:jc w:val="right"/>
              <w:spacing w:after="0"/>
              <w:rPr>
                <w:sz w:val="20"/>
                <w:szCs w:val="20"/>
                <w:color w:val="auto"/>
              </w:rPr>
            </w:pPr>
            <w:r>
              <w:rPr>
                <w:rFonts w:ascii="Arial" w:cs="Arial" w:eastAsia="Arial" w:hAnsi="Arial"/>
                <w:sz w:val="17"/>
                <w:szCs w:val="17"/>
                <w:color w:val="auto"/>
              </w:rPr>
              <w:t>$</w:t>
            </w:r>
          </w:p>
        </w:tc>
        <w:tc>
          <w:tcPr>
            <w:tcW w:w="1160" w:type="dxa"/>
            <w:vAlign w:val="bottom"/>
            <w:shd w:val="clear" w:color="auto" w:fill="DCE2EF"/>
          </w:tcPr>
          <w:p>
            <w:pPr>
              <w:jc w:val="right"/>
              <w:spacing w:after="0"/>
              <w:rPr>
                <w:sz w:val="20"/>
                <w:szCs w:val="20"/>
                <w:color w:val="auto"/>
              </w:rPr>
            </w:pPr>
            <w:r>
              <w:rPr>
                <w:rFonts w:ascii="Arial" w:cs="Arial" w:eastAsia="Arial" w:hAnsi="Arial"/>
                <w:sz w:val="17"/>
                <w:szCs w:val="17"/>
                <w:color w:val="auto"/>
              </w:rPr>
              <w:t>1,118.7</w:t>
            </w:r>
          </w:p>
        </w:tc>
        <w:tc>
          <w:tcPr>
            <w:tcW w:w="80" w:type="dxa"/>
            <w:vAlign w:val="bottom"/>
            <w:shd w:val="clear" w:color="auto" w:fill="DCE2EF"/>
          </w:tcPr>
          <w:p>
            <w:pPr>
              <w:spacing w:after="0"/>
              <w:rPr>
                <w:sz w:val="18"/>
                <w:szCs w:val="18"/>
                <w:color w:val="auto"/>
              </w:rPr>
            </w:pPr>
          </w:p>
        </w:tc>
        <w:tc>
          <w:tcPr>
            <w:tcW w:w="260" w:type="dxa"/>
            <w:vAlign w:val="bottom"/>
            <w:shd w:val="clear" w:color="auto" w:fill="DCE2EF"/>
          </w:tcPr>
          <w:p>
            <w:pPr>
              <w:jc w:val="right"/>
              <w:ind w:right="54"/>
              <w:spacing w:after="0"/>
              <w:rPr>
                <w:sz w:val="20"/>
                <w:szCs w:val="20"/>
                <w:color w:val="auto"/>
              </w:rPr>
            </w:pPr>
            <w:r>
              <w:rPr>
                <w:rFonts w:ascii="Arial" w:cs="Arial" w:eastAsia="Arial" w:hAnsi="Arial"/>
                <w:sz w:val="17"/>
                <w:szCs w:val="17"/>
                <w:color w:val="auto"/>
              </w:rPr>
              <w:t>$</w:t>
            </w:r>
          </w:p>
        </w:tc>
        <w:tc>
          <w:tcPr>
            <w:tcW w:w="1040" w:type="dxa"/>
            <w:vAlign w:val="bottom"/>
            <w:shd w:val="clear" w:color="auto" w:fill="DCE2EF"/>
          </w:tcPr>
          <w:p>
            <w:pPr>
              <w:jc w:val="right"/>
              <w:spacing w:after="0"/>
              <w:rPr>
                <w:sz w:val="20"/>
                <w:szCs w:val="20"/>
                <w:color w:val="auto"/>
              </w:rPr>
            </w:pPr>
            <w:r>
              <w:rPr>
                <w:rFonts w:ascii="Arial" w:cs="Arial" w:eastAsia="Arial" w:hAnsi="Arial"/>
                <w:sz w:val="17"/>
                <w:szCs w:val="17"/>
                <w:color w:val="auto"/>
              </w:rPr>
              <w:t>922.0</w:t>
            </w:r>
          </w:p>
        </w:tc>
        <w:tc>
          <w:tcPr>
            <w:tcW w:w="100" w:type="dxa"/>
            <w:vAlign w:val="bottom"/>
            <w:shd w:val="clear" w:color="auto" w:fill="DCE2EF"/>
          </w:tcPr>
          <w:p>
            <w:pPr>
              <w:spacing w:after="0"/>
              <w:rPr>
                <w:sz w:val="18"/>
                <w:szCs w:val="18"/>
                <w:color w:val="auto"/>
              </w:rPr>
            </w:pPr>
          </w:p>
        </w:tc>
        <w:tc>
          <w:tcPr>
            <w:tcW w:w="200" w:type="dxa"/>
            <w:vAlign w:val="bottom"/>
            <w:shd w:val="clear" w:color="auto" w:fill="DCE2EF"/>
          </w:tcPr>
          <w:p>
            <w:pPr>
              <w:jc w:val="right"/>
              <w:ind w:right="14"/>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DCE2EF"/>
          </w:tcPr>
          <w:p>
            <w:pPr>
              <w:jc w:val="right"/>
              <w:spacing w:after="0"/>
              <w:rPr>
                <w:sz w:val="20"/>
                <w:szCs w:val="20"/>
                <w:color w:val="auto"/>
              </w:rPr>
            </w:pPr>
            <w:r>
              <w:rPr>
                <w:rFonts w:ascii="Arial" w:cs="Arial" w:eastAsia="Arial" w:hAnsi="Arial"/>
                <w:sz w:val="17"/>
                <w:szCs w:val="17"/>
                <w:color w:val="auto"/>
              </w:rPr>
              <w:t>960.6</w:t>
            </w:r>
          </w:p>
        </w:tc>
        <w:tc>
          <w:tcPr>
            <w:tcW w:w="80" w:type="dxa"/>
            <w:vAlign w:val="bottom"/>
            <w:shd w:val="clear" w:color="auto" w:fill="DCE2EF"/>
          </w:tcPr>
          <w:p>
            <w:pPr>
              <w:spacing w:after="0"/>
              <w:rPr>
                <w:sz w:val="18"/>
                <w:szCs w:val="18"/>
                <w:color w:val="auto"/>
              </w:rPr>
            </w:pPr>
          </w:p>
        </w:tc>
        <w:tc>
          <w:tcPr>
            <w:tcW w:w="300" w:type="dxa"/>
            <w:vAlign w:val="bottom"/>
            <w:shd w:val="clear" w:color="auto" w:fill="DCE2EF"/>
          </w:tcPr>
          <w:p>
            <w:pPr>
              <w:jc w:val="right"/>
              <w:ind w:right="94"/>
              <w:spacing w:after="0"/>
              <w:rPr>
                <w:sz w:val="20"/>
                <w:szCs w:val="20"/>
                <w:color w:val="auto"/>
              </w:rPr>
            </w:pPr>
            <w:r>
              <w:rPr>
                <w:rFonts w:ascii="Arial" w:cs="Arial" w:eastAsia="Arial" w:hAnsi="Arial"/>
                <w:sz w:val="17"/>
                <w:szCs w:val="17"/>
                <w:color w:val="auto"/>
              </w:rPr>
              <w:t>$</w:t>
            </w:r>
          </w:p>
        </w:tc>
        <w:tc>
          <w:tcPr>
            <w:tcW w:w="980" w:type="dxa"/>
            <w:vAlign w:val="bottom"/>
            <w:shd w:val="clear" w:color="auto" w:fill="DCE2EF"/>
          </w:tcPr>
          <w:p>
            <w:pPr>
              <w:jc w:val="right"/>
              <w:spacing w:after="0"/>
              <w:rPr>
                <w:sz w:val="20"/>
                <w:szCs w:val="20"/>
                <w:color w:val="auto"/>
              </w:rPr>
            </w:pPr>
            <w:r>
              <w:rPr>
                <w:rFonts w:ascii="Arial" w:cs="Arial" w:eastAsia="Arial" w:hAnsi="Arial"/>
                <w:sz w:val="17"/>
                <w:szCs w:val="17"/>
                <w:color w:val="auto"/>
              </w:rPr>
              <w:t>8,745.9</w:t>
            </w:r>
          </w:p>
        </w:tc>
        <w:tc>
          <w:tcPr>
            <w:tcW w:w="0" w:type="dxa"/>
            <w:vAlign w:val="bottom"/>
          </w:tcPr>
          <w:p>
            <w:pPr>
              <w:spacing w:after="0"/>
              <w:rPr>
                <w:sz w:val="1"/>
                <w:szCs w:val="1"/>
                <w:color w:val="auto"/>
              </w:rPr>
            </w:pPr>
          </w:p>
        </w:tc>
      </w:tr>
      <w:tr>
        <w:trPr>
          <w:trHeight w:val="219"/>
        </w:trPr>
        <w:tc>
          <w:tcPr>
            <w:tcW w:w="3040" w:type="dxa"/>
            <w:vAlign w:val="bottom"/>
            <w:gridSpan w:val="3"/>
          </w:tcPr>
          <w:p>
            <w:pPr>
              <w:ind w:left="20"/>
              <w:spacing w:after="0"/>
              <w:rPr>
                <w:sz w:val="20"/>
                <w:szCs w:val="20"/>
                <w:color w:val="auto"/>
              </w:rPr>
            </w:pPr>
            <w:r>
              <w:rPr>
                <w:rFonts w:ascii="Arial" w:cs="Arial" w:eastAsia="Arial" w:hAnsi="Arial"/>
                <w:sz w:val="17"/>
                <w:szCs w:val="17"/>
                <w:b w:val="1"/>
                <w:bCs w:val="1"/>
                <w:color w:val="auto"/>
              </w:rPr>
              <w:t>Significant segment expenses</w:t>
            </w: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DCE2EF"/>
          </w:tcPr>
          <w:p>
            <w:pPr>
              <w:spacing w:after="0"/>
              <w:rPr>
                <w:sz w:val="19"/>
                <w:szCs w:val="19"/>
                <w:color w:val="auto"/>
              </w:rPr>
            </w:pPr>
          </w:p>
        </w:tc>
        <w:tc>
          <w:tcPr>
            <w:tcW w:w="3020" w:type="dxa"/>
            <w:vAlign w:val="bottom"/>
            <w:gridSpan w:val="2"/>
            <w:shd w:val="clear" w:color="auto" w:fill="DCE2EF"/>
          </w:tcPr>
          <w:p>
            <w:pPr>
              <w:ind w:left="100"/>
              <w:spacing w:after="0"/>
              <w:rPr>
                <w:sz w:val="20"/>
                <w:szCs w:val="20"/>
                <w:color w:val="auto"/>
              </w:rPr>
            </w:pPr>
            <w:r>
              <w:rPr>
                <w:rFonts w:ascii="Arial" w:cs="Arial" w:eastAsia="Arial" w:hAnsi="Arial"/>
                <w:sz w:val="17"/>
                <w:szCs w:val="17"/>
                <w:color w:val="auto"/>
              </w:rPr>
              <w:t>Direct labor</w:t>
            </w:r>
          </w:p>
        </w:tc>
        <w:tc>
          <w:tcPr>
            <w:tcW w:w="300" w:type="dxa"/>
            <w:vAlign w:val="bottom"/>
            <w:shd w:val="clear" w:color="auto" w:fill="DCE2EF"/>
          </w:tcPr>
          <w:p>
            <w:pPr>
              <w:spacing w:after="0"/>
              <w:rPr>
                <w:sz w:val="19"/>
                <w:szCs w:val="19"/>
                <w:color w:val="auto"/>
              </w:rPr>
            </w:pPr>
          </w:p>
        </w:tc>
        <w:tc>
          <w:tcPr>
            <w:tcW w:w="980" w:type="dxa"/>
            <w:vAlign w:val="bottom"/>
            <w:shd w:val="clear" w:color="auto" w:fill="DCE2EF"/>
          </w:tcPr>
          <w:p>
            <w:pPr>
              <w:jc w:val="right"/>
              <w:spacing w:after="0"/>
              <w:rPr>
                <w:sz w:val="20"/>
                <w:szCs w:val="20"/>
                <w:color w:val="auto"/>
              </w:rPr>
            </w:pPr>
            <w:r>
              <w:rPr>
                <w:rFonts w:ascii="Arial" w:cs="Arial" w:eastAsia="Arial" w:hAnsi="Arial"/>
                <w:sz w:val="17"/>
                <w:szCs w:val="17"/>
                <w:color w:val="auto"/>
              </w:rPr>
              <w:t>2,290.1</w:t>
            </w:r>
          </w:p>
        </w:tc>
        <w:tc>
          <w:tcPr>
            <w:tcW w:w="100" w:type="dxa"/>
            <w:vAlign w:val="bottom"/>
            <w:shd w:val="clear" w:color="auto" w:fill="DCE2EF"/>
          </w:tcPr>
          <w:p>
            <w:pPr>
              <w:spacing w:after="0"/>
              <w:rPr>
                <w:sz w:val="19"/>
                <w:szCs w:val="19"/>
                <w:color w:val="auto"/>
              </w:rPr>
            </w:pPr>
          </w:p>
        </w:tc>
        <w:tc>
          <w:tcPr>
            <w:tcW w:w="380" w:type="dxa"/>
            <w:vAlign w:val="bottom"/>
            <w:shd w:val="clear" w:color="auto" w:fill="DCE2EF"/>
          </w:tcPr>
          <w:p>
            <w:pPr>
              <w:spacing w:after="0"/>
              <w:rPr>
                <w:sz w:val="19"/>
                <w:szCs w:val="19"/>
                <w:color w:val="auto"/>
              </w:rPr>
            </w:pPr>
          </w:p>
        </w:tc>
        <w:tc>
          <w:tcPr>
            <w:tcW w:w="920" w:type="dxa"/>
            <w:vAlign w:val="bottom"/>
            <w:shd w:val="clear" w:color="auto" w:fill="DCE2EF"/>
          </w:tcPr>
          <w:p>
            <w:pPr>
              <w:jc w:val="right"/>
              <w:spacing w:after="0"/>
              <w:rPr>
                <w:sz w:val="20"/>
                <w:szCs w:val="20"/>
                <w:color w:val="auto"/>
              </w:rPr>
            </w:pPr>
            <w:r>
              <w:rPr>
                <w:rFonts w:ascii="Arial" w:cs="Arial" w:eastAsia="Arial" w:hAnsi="Arial"/>
                <w:sz w:val="17"/>
                <w:szCs w:val="17"/>
                <w:color w:val="auto"/>
              </w:rPr>
              <w:t>1,058.6</w:t>
            </w:r>
          </w:p>
        </w:tc>
        <w:tc>
          <w:tcPr>
            <w:tcW w:w="80" w:type="dxa"/>
            <w:vAlign w:val="bottom"/>
            <w:shd w:val="clear" w:color="auto" w:fill="DCE2EF"/>
          </w:tcPr>
          <w:p>
            <w:pPr>
              <w:spacing w:after="0"/>
              <w:rPr>
                <w:sz w:val="19"/>
                <w:szCs w:val="19"/>
                <w:color w:val="auto"/>
              </w:rPr>
            </w:pPr>
          </w:p>
        </w:tc>
        <w:tc>
          <w:tcPr>
            <w:tcW w:w="140" w:type="dxa"/>
            <w:vAlign w:val="bottom"/>
            <w:shd w:val="clear" w:color="auto" w:fill="DCE2EF"/>
          </w:tcPr>
          <w:p>
            <w:pPr>
              <w:spacing w:after="0"/>
              <w:rPr>
                <w:sz w:val="19"/>
                <w:szCs w:val="19"/>
                <w:color w:val="auto"/>
              </w:rPr>
            </w:pPr>
          </w:p>
        </w:tc>
        <w:tc>
          <w:tcPr>
            <w:tcW w:w="1160" w:type="dxa"/>
            <w:vAlign w:val="bottom"/>
            <w:shd w:val="clear" w:color="auto" w:fill="DCE2EF"/>
          </w:tcPr>
          <w:p>
            <w:pPr>
              <w:jc w:val="right"/>
              <w:spacing w:after="0"/>
              <w:rPr>
                <w:sz w:val="20"/>
                <w:szCs w:val="20"/>
                <w:color w:val="auto"/>
              </w:rPr>
            </w:pPr>
            <w:r>
              <w:rPr>
                <w:rFonts w:ascii="Arial" w:cs="Arial" w:eastAsia="Arial" w:hAnsi="Arial"/>
                <w:sz w:val="17"/>
                <w:szCs w:val="17"/>
                <w:color w:val="auto"/>
              </w:rPr>
              <w:t>657.2</w:t>
            </w:r>
          </w:p>
        </w:tc>
        <w:tc>
          <w:tcPr>
            <w:tcW w:w="80" w:type="dxa"/>
            <w:vAlign w:val="bottom"/>
            <w:shd w:val="clear" w:color="auto" w:fill="DCE2EF"/>
          </w:tcPr>
          <w:p>
            <w:pPr>
              <w:spacing w:after="0"/>
              <w:rPr>
                <w:sz w:val="19"/>
                <w:szCs w:val="19"/>
                <w:color w:val="auto"/>
              </w:rPr>
            </w:pPr>
          </w:p>
        </w:tc>
        <w:tc>
          <w:tcPr>
            <w:tcW w:w="260" w:type="dxa"/>
            <w:vAlign w:val="bottom"/>
            <w:shd w:val="clear" w:color="auto" w:fill="DCE2EF"/>
          </w:tcPr>
          <w:p>
            <w:pPr>
              <w:spacing w:after="0"/>
              <w:rPr>
                <w:sz w:val="19"/>
                <w:szCs w:val="19"/>
                <w:color w:val="auto"/>
              </w:rPr>
            </w:pPr>
          </w:p>
        </w:tc>
        <w:tc>
          <w:tcPr>
            <w:tcW w:w="1040" w:type="dxa"/>
            <w:vAlign w:val="bottom"/>
            <w:shd w:val="clear" w:color="auto" w:fill="DCE2EF"/>
          </w:tcPr>
          <w:p>
            <w:pPr>
              <w:jc w:val="right"/>
              <w:spacing w:after="0"/>
              <w:rPr>
                <w:sz w:val="20"/>
                <w:szCs w:val="20"/>
                <w:color w:val="auto"/>
              </w:rPr>
            </w:pPr>
            <w:r>
              <w:rPr>
                <w:rFonts w:ascii="Arial" w:cs="Arial" w:eastAsia="Arial" w:hAnsi="Arial"/>
                <w:sz w:val="17"/>
                <w:szCs w:val="17"/>
                <w:color w:val="auto"/>
              </w:rPr>
              <w:t>605.7</w:t>
            </w:r>
          </w:p>
        </w:tc>
        <w:tc>
          <w:tcPr>
            <w:tcW w:w="100" w:type="dxa"/>
            <w:vAlign w:val="bottom"/>
            <w:shd w:val="clear" w:color="auto" w:fill="DCE2EF"/>
          </w:tcPr>
          <w:p>
            <w:pPr>
              <w:spacing w:after="0"/>
              <w:rPr>
                <w:sz w:val="19"/>
                <w:szCs w:val="19"/>
                <w:color w:val="auto"/>
              </w:rPr>
            </w:pPr>
          </w:p>
        </w:tc>
        <w:tc>
          <w:tcPr>
            <w:tcW w:w="200" w:type="dxa"/>
            <w:vAlign w:val="bottom"/>
            <w:shd w:val="clear" w:color="auto" w:fill="DCE2EF"/>
          </w:tcPr>
          <w:p>
            <w:pPr>
              <w:spacing w:after="0"/>
              <w:rPr>
                <w:sz w:val="19"/>
                <w:szCs w:val="19"/>
                <w:color w:val="auto"/>
              </w:rPr>
            </w:pPr>
          </w:p>
        </w:tc>
        <w:tc>
          <w:tcPr>
            <w:tcW w:w="1100" w:type="dxa"/>
            <w:vAlign w:val="bottom"/>
            <w:shd w:val="clear" w:color="auto" w:fill="DCE2EF"/>
          </w:tcPr>
          <w:p>
            <w:pPr>
              <w:jc w:val="right"/>
              <w:spacing w:after="0"/>
              <w:rPr>
                <w:sz w:val="20"/>
                <w:szCs w:val="20"/>
                <w:color w:val="auto"/>
              </w:rPr>
            </w:pPr>
            <w:r>
              <w:rPr>
                <w:rFonts w:ascii="Arial" w:cs="Arial" w:eastAsia="Arial" w:hAnsi="Arial"/>
                <w:sz w:val="17"/>
                <w:szCs w:val="17"/>
                <w:color w:val="auto"/>
              </w:rPr>
              <w:t>306.2</w:t>
            </w:r>
          </w:p>
        </w:tc>
        <w:tc>
          <w:tcPr>
            <w:tcW w:w="80" w:type="dxa"/>
            <w:vAlign w:val="bottom"/>
            <w:shd w:val="clear" w:color="auto" w:fill="DCE2EF"/>
          </w:tcPr>
          <w:p>
            <w:pPr>
              <w:spacing w:after="0"/>
              <w:rPr>
                <w:sz w:val="19"/>
                <w:szCs w:val="19"/>
                <w:color w:val="auto"/>
              </w:rPr>
            </w:pPr>
          </w:p>
        </w:tc>
        <w:tc>
          <w:tcPr>
            <w:tcW w:w="300" w:type="dxa"/>
            <w:vAlign w:val="bottom"/>
            <w:shd w:val="clear" w:color="auto" w:fill="DCE2EF"/>
          </w:tcPr>
          <w:p>
            <w:pPr>
              <w:spacing w:after="0"/>
              <w:rPr>
                <w:sz w:val="19"/>
                <w:szCs w:val="19"/>
                <w:color w:val="auto"/>
              </w:rPr>
            </w:pPr>
          </w:p>
        </w:tc>
        <w:tc>
          <w:tcPr>
            <w:tcW w:w="980" w:type="dxa"/>
            <w:vAlign w:val="bottom"/>
            <w:shd w:val="clear" w:color="auto" w:fill="DCE2EF"/>
          </w:tcPr>
          <w:p>
            <w:pPr>
              <w:jc w:val="right"/>
              <w:spacing w:after="0"/>
              <w:rPr>
                <w:sz w:val="20"/>
                <w:szCs w:val="20"/>
                <w:color w:val="auto"/>
              </w:rPr>
            </w:pPr>
            <w:r>
              <w:rPr>
                <w:rFonts w:ascii="Arial" w:cs="Arial" w:eastAsia="Arial" w:hAnsi="Arial"/>
                <w:sz w:val="17"/>
                <w:szCs w:val="17"/>
                <w:color w:val="auto"/>
              </w:rPr>
              <w:t>4,917.9</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020" w:type="dxa"/>
            <w:vAlign w:val="bottom"/>
            <w:gridSpan w:val="2"/>
          </w:tcPr>
          <w:p>
            <w:pPr>
              <w:ind w:left="100"/>
              <w:spacing w:after="0"/>
              <w:rPr>
                <w:sz w:val="20"/>
                <w:szCs w:val="20"/>
                <w:color w:val="auto"/>
              </w:rPr>
            </w:pPr>
            <w:r>
              <w:rPr>
                <w:rFonts w:ascii="Arial" w:cs="Arial" w:eastAsia="Arial" w:hAnsi="Arial"/>
                <w:sz w:val="17"/>
                <w:szCs w:val="17"/>
                <w:color w:val="auto"/>
              </w:rPr>
              <w:t>Indirect costs</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119.8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31.0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12.9</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23.4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91.0</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278.0</w:t>
            </w:r>
          </w:p>
        </w:tc>
        <w:tc>
          <w:tcPr>
            <w:tcW w:w="0" w:type="dxa"/>
            <w:vAlign w:val="bottom"/>
          </w:tcPr>
          <w:p>
            <w:pPr>
              <w:spacing w:after="0"/>
              <w:rPr>
                <w:sz w:val="1"/>
                <w:szCs w:val="1"/>
                <w:color w:val="auto"/>
              </w:rPr>
            </w:pPr>
          </w:p>
        </w:tc>
      </w:tr>
      <w:tr>
        <w:trPr>
          <w:trHeight w:val="219"/>
        </w:trPr>
        <w:tc>
          <w:tcPr>
            <w:tcW w:w="20" w:type="dxa"/>
            <w:vAlign w:val="bottom"/>
            <w:shd w:val="clear" w:color="auto" w:fill="DCE2EF"/>
          </w:tcPr>
          <w:p>
            <w:pPr>
              <w:spacing w:after="0"/>
              <w:rPr>
                <w:sz w:val="19"/>
                <w:szCs w:val="19"/>
                <w:color w:val="auto"/>
              </w:rPr>
            </w:pPr>
          </w:p>
        </w:tc>
        <w:tc>
          <w:tcPr>
            <w:tcW w:w="3020" w:type="dxa"/>
            <w:vAlign w:val="bottom"/>
            <w:gridSpan w:val="2"/>
            <w:shd w:val="clear" w:color="auto" w:fill="DCE2EF"/>
          </w:tcPr>
          <w:p>
            <w:pPr>
              <w:ind w:left="100"/>
              <w:spacing w:after="0"/>
              <w:rPr>
                <w:sz w:val="20"/>
                <w:szCs w:val="20"/>
                <w:color w:val="auto"/>
              </w:rPr>
            </w:pPr>
            <w:r>
              <w:rPr>
                <w:rFonts w:ascii="Arial" w:cs="Arial" w:eastAsia="Arial" w:hAnsi="Arial"/>
                <w:sz w:val="17"/>
                <w:szCs w:val="17"/>
                <w:color w:val="auto"/>
              </w:rPr>
              <w:t>General and administrative</w:t>
            </w:r>
          </w:p>
        </w:tc>
        <w:tc>
          <w:tcPr>
            <w:tcW w:w="300" w:type="dxa"/>
            <w:vAlign w:val="bottom"/>
            <w:shd w:val="clear" w:color="auto" w:fill="DCE2EF"/>
          </w:tcPr>
          <w:p>
            <w:pPr>
              <w:spacing w:after="0"/>
              <w:rPr>
                <w:sz w:val="19"/>
                <w:szCs w:val="19"/>
                <w:color w:val="auto"/>
              </w:rPr>
            </w:pPr>
          </w:p>
        </w:tc>
        <w:tc>
          <w:tcPr>
            <w:tcW w:w="980" w:type="dxa"/>
            <w:vAlign w:val="bottom"/>
            <w:shd w:val="clear" w:color="auto" w:fill="DCE2EF"/>
          </w:tcPr>
          <w:p>
            <w:pPr>
              <w:jc w:val="right"/>
              <w:spacing w:after="0"/>
              <w:rPr>
                <w:sz w:val="20"/>
                <w:szCs w:val="20"/>
                <w:color w:val="auto"/>
              </w:rPr>
            </w:pPr>
            <w:r>
              <w:rPr>
                <w:rFonts w:ascii="Arial" w:cs="Arial" w:eastAsia="Arial" w:hAnsi="Arial"/>
                <w:sz w:val="17"/>
                <w:szCs w:val="17"/>
                <w:color w:val="auto"/>
              </w:rPr>
              <w:t>88.3</w:t>
            </w:r>
          </w:p>
        </w:tc>
        <w:tc>
          <w:tcPr>
            <w:tcW w:w="100" w:type="dxa"/>
            <w:vAlign w:val="bottom"/>
            <w:shd w:val="clear" w:color="auto" w:fill="DCE2EF"/>
          </w:tcPr>
          <w:p>
            <w:pPr>
              <w:spacing w:after="0"/>
              <w:rPr>
                <w:sz w:val="19"/>
                <w:szCs w:val="19"/>
                <w:color w:val="auto"/>
              </w:rPr>
            </w:pPr>
          </w:p>
        </w:tc>
        <w:tc>
          <w:tcPr>
            <w:tcW w:w="380" w:type="dxa"/>
            <w:vAlign w:val="bottom"/>
            <w:shd w:val="clear" w:color="auto" w:fill="DCE2EF"/>
          </w:tcPr>
          <w:p>
            <w:pPr>
              <w:spacing w:after="0"/>
              <w:rPr>
                <w:sz w:val="19"/>
                <w:szCs w:val="19"/>
                <w:color w:val="auto"/>
              </w:rPr>
            </w:pPr>
          </w:p>
        </w:tc>
        <w:tc>
          <w:tcPr>
            <w:tcW w:w="920" w:type="dxa"/>
            <w:vAlign w:val="bottom"/>
            <w:shd w:val="clear" w:color="auto" w:fill="DCE2EF"/>
          </w:tcPr>
          <w:p>
            <w:pPr>
              <w:jc w:val="right"/>
              <w:spacing w:after="0"/>
              <w:rPr>
                <w:sz w:val="20"/>
                <w:szCs w:val="20"/>
                <w:color w:val="auto"/>
              </w:rPr>
            </w:pPr>
            <w:r>
              <w:rPr>
                <w:rFonts w:ascii="Arial" w:cs="Arial" w:eastAsia="Arial" w:hAnsi="Arial"/>
                <w:sz w:val="17"/>
                <w:szCs w:val="17"/>
                <w:color w:val="auto"/>
              </w:rPr>
              <w:t>45.2</w:t>
            </w:r>
          </w:p>
        </w:tc>
        <w:tc>
          <w:tcPr>
            <w:tcW w:w="80" w:type="dxa"/>
            <w:vAlign w:val="bottom"/>
            <w:shd w:val="clear" w:color="auto" w:fill="DCE2EF"/>
          </w:tcPr>
          <w:p>
            <w:pPr>
              <w:spacing w:after="0"/>
              <w:rPr>
                <w:sz w:val="19"/>
                <w:szCs w:val="19"/>
                <w:color w:val="auto"/>
              </w:rPr>
            </w:pPr>
          </w:p>
        </w:tc>
        <w:tc>
          <w:tcPr>
            <w:tcW w:w="140" w:type="dxa"/>
            <w:vAlign w:val="bottom"/>
            <w:shd w:val="clear" w:color="auto" w:fill="DCE2EF"/>
          </w:tcPr>
          <w:p>
            <w:pPr>
              <w:spacing w:after="0"/>
              <w:rPr>
                <w:sz w:val="19"/>
                <w:szCs w:val="19"/>
                <w:color w:val="auto"/>
              </w:rPr>
            </w:pPr>
          </w:p>
        </w:tc>
        <w:tc>
          <w:tcPr>
            <w:tcW w:w="1160" w:type="dxa"/>
            <w:vAlign w:val="bottom"/>
            <w:shd w:val="clear" w:color="auto" w:fill="DCE2EF"/>
          </w:tcPr>
          <w:p>
            <w:pPr>
              <w:jc w:val="right"/>
              <w:spacing w:after="0"/>
              <w:rPr>
                <w:sz w:val="20"/>
                <w:szCs w:val="20"/>
                <w:color w:val="auto"/>
              </w:rPr>
            </w:pPr>
            <w:r>
              <w:rPr>
                <w:rFonts w:ascii="Arial" w:cs="Arial" w:eastAsia="Arial" w:hAnsi="Arial"/>
                <w:sz w:val="17"/>
                <w:szCs w:val="17"/>
                <w:color w:val="auto"/>
              </w:rPr>
              <w:t>41.4</w:t>
            </w:r>
          </w:p>
        </w:tc>
        <w:tc>
          <w:tcPr>
            <w:tcW w:w="80" w:type="dxa"/>
            <w:vAlign w:val="bottom"/>
            <w:shd w:val="clear" w:color="auto" w:fill="DCE2EF"/>
          </w:tcPr>
          <w:p>
            <w:pPr>
              <w:spacing w:after="0"/>
              <w:rPr>
                <w:sz w:val="19"/>
                <w:szCs w:val="19"/>
                <w:color w:val="auto"/>
              </w:rPr>
            </w:pPr>
          </w:p>
        </w:tc>
        <w:tc>
          <w:tcPr>
            <w:tcW w:w="260" w:type="dxa"/>
            <w:vAlign w:val="bottom"/>
            <w:shd w:val="clear" w:color="auto" w:fill="DCE2EF"/>
          </w:tcPr>
          <w:p>
            <w:pPr>
              <w:spacing w:after="0"/>
              <w:rPr>
                <w:sz w:val="19"/>
                <w:szCs w:val="19"/>
                <w:color w:val="auto"/>
              </w:rPr>
            </w:pPr>
          </w:p>
        </w:tc>
        <w:tc>
          <w:tcPr>
            <w:tcW w:w="1040" w:type="dxa"/>
            <w:vAlign w:val="bottom"/>
            <w:shd w:val="clear" w:color="auto" w:fill="DCE2EF"/>
          </w:tcPr>
          <w:p>
            <w:pPr>
              <w:jc w:val="right"/>
              <w:spacing w:after="0"/>
              <w:rPr>
                <w:sz w:val="20"/>
                <w:szCs w:val="20"/>
                <w:color w:val="auto"/>
              </w:rPr>
            </w:pPr>
            <w:r>
              <w:rPr>
                <w:rFonts w:ascii="Arial" w:cs="Arial" w:eastAsia="Arial" w:hAnsi="Arial"/>
                <w:sz w:val="17"/>
                <w:szCs w:val="17"/>
                <w:color w:val="auto"/>
              </w:rPr>
              <w:t>9.5</w:t>
            </w:r>
          </w:p>
        </w:tc>
        <w:tc>
          <w:tcPr>
            <w:tcW w:w="100" w:type="dxa"/>
            <w:vAlign w:val="bottom"/>
            <w:shd w:val="clear" w:color="auto" w:fill="DCE2EF"/>
          </w:tcPr>
          <w:p>
            <w:pPr>
              <w:spacing w:after="0"/>
              <w:rPr>
                <w:sz w:val="19"/>
                <w:szCs w:val="19"/>
                <w:color w:val="auto"/>
              </w:rPr>
            </w:pPr>
          </w:p>
        </w:tc>
        <w:tc>
          <w:tcPr>
            <w:tcW w:w="200" w:type="dxa"/>
            <w:vAlign w:val="bottom"/>
            <w:shd w:val="clear" w:color="auto" w:fill="DCE2EF"/>
          </w:tcPr>
          <w:p>
            <w:pPr>
              <w:spacing w:after="0"/>
              <w:rPr>
                <w:sz w:val="19"/>
                <w:szCs w:val="19"/>
                <w:color w:val="auto"/>
              </w:rPr>
            </w:pPr>
          </w:p>
        </w:tc>
        <w:tc>
          <w:tcPr>
            <w:tcW w:w="1100" w:type="dxa"/>
            <w:vAlign w:val="bottom"/>
            <w:shd w:val="clear" w:color="auto" w:fill="DCE2EF"/>
          </w:tcPr>
          <w:p>
            <w:pPr>
              <w:jc w:val="right"/>
              <w:spacing w:after="0"/>
              <w:rPr>
                <w:sz w:val="20"/>
                <w:szCs w:val="20"/>
                <w:color w:val="auto"/>
              </w:rPr>
            </w:pPr>
            <w:r>
              <w:rPr>
                <w:rFonts w:ascii="Arial" w:cs="Arial" w:eastAsia="Arial" w:hAnsi="Arial"/>
                <w:sz w:val="17"/>
                <w:szCs w:val="17"/>
                <w:color w:val="auto"/>
              </w:rPr>
              <w:t>77.1</w:t>
            </w:r>
          </w:p>
        </w:tc>
        <w:tc>
          <w:tcPr>
            <w:tcW w:w="80" w:type="dxa"/>
            <w:vAlign w:val="bottom"/>
            <w:shd w:val="clear" w:color="auto" w:fill="DCE2EF"/>
          </w:tcPr>
          <w:p>
            <w:pPr>
              <w:spacing w:after="0"/>
              <w:rPr>
                <w:sz w:val="19"/>
                <w:szCs w:val="19"/>
                <w:color w:val="auto"/>
              </w:rPr>
            </w:pPr>
          </w:p>
        </w:tc>
        <w:tc>
          <w:tcPr>
            <w:tcW w:w="300" w:type="dxa"/>
            <w:vAlign w:val="bottom"/>
            <w:shd w:val="clear" w:color="auto" w:fill="DCE2EF"/>
          </w:tcPr>
          <w:p>
            <w:pPr>
              <w:spacing w:after="0"/>
              <w:rPr>
                <w:sz w:val="19"/>
                <w:szCs w:val="19"/>
                <w:color w:val="auto"/>
              </w:rPr>
            </w:pPr>
          </w:p>
        </w:tc>
        <w:tc>
          <w:tcPr>
            <w:tcW w:w="980" w:type="dxa"/>
            <w:vAlign w:val="bottom"/>
            <w:shd w:val="clear" w:color="auto" w:fill="DCE2EF"/>
          </w:tcPr>
          <w:p>
            <w:pPr>
              <w:jc w:val="right"/>
              <w:spacing w:after="0"/>
              <w:rPr>
                <w:sz w:val="20"/>
                <w:szCs w:val="20"/>
                <w:color w:val="auto"/>
              </w:rPr>
            </w:pPr>
            <w:r>
              <w:rPr>
                <w:rFonts w:ascii="Arial" w:cs="Arial" w:eastAsia="Arial" w:hAnsi="Arial"/>
                <w:sz w:val="17"/>
                <w:szCs w:val="17"/>
                <w:color w:val="auto"/>
              </w:rPr>
              <w:t>261.5</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020" w:type="dxa"/>
            <w:vAlign w:val="bottom"/>
            <w:gridSpan w:val="2"/>
          </w:tcPr>
          <w:p>
            <w:pPr>
              <w:ind w:left="100"/>
              <w:spacing w:after="0"/>
              <w:rPr>
                <w:sz w:val="20"/>
                <w:szCs w:val="20"/>
                <w:color w:val="auto"/>
              </w:rPr>
            </w:pPr>
            <w:r>
              <w:rPr>
                <w:rFonts w:ascii="Arial" w:cs="Arial" w:eastAsia="Arial" w:hAnsi="Arial"/>
                <w:sz w:val="17"/>
                <w:szCs w:val="17"/>
                <w:color w:val="auto"/>
              </w:rPr>
              <w:t>Selling</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33.2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12.9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1.6</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52.1</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101.2</w:t>
            </w:r>
          </w:p>
        </w:tc>
        <w:tc>
          <w:tcPr>
            <w:tcW w:w="0" w:type="dxa"/>
            <w:vAlign w:val="bottom"/>
          </w:tcPr>
          <w:p>
            <w:pPr>
              <w:spacing w:after="0"/>
              <w:rPr>
                <w:sz w:val="1"/>
                <w:szCs w:val="1"/>
                <w:color w:val="auto"/>
              </w:rPr>
            </w:pPr>
          </w:p>
        </w:tc>
      </w:tr>
      <w:tr>
        <w:trPr>
          <w:trHeight w:val="219"/>
        </w:trPr>
        <w:tc>
          <w:tcPr>
            <w:tcW w:w="20" w:type="dxa"/>
            <w:vAlign w:val="bottom"/>
            <w:shd w:val="clear" w:color="auto" w:fill="DCE2EF"/>
          </w:tcPr>
          <w:p>
            <w:pPr>
              <w:spacing w:after="0"/>
              <w:rPr>
                <w:sz w:val="19"/>
                <w:szCs w:val="19"/>
                <w:color w:val="auto"/>
              </w:rPr>
            </w:pPr>
          </w:p>
        </w:tc>
        <w:tc>
          <w:tcPr>
            <w:tcW w:w="3020" w:type="dxa"/>
            <w:vAlign w:val="bottom"/>
            <w:gridSpan w:val="2"/>
            <w:shd w:val="clear" w:color="auto" w:fill="DCE2EF"/>
          </w:tcPr>
          <w:p>
            <w:pPr>
              <w:ind w:left="100"/>
              <w:spacing w:after="0" w:line="219" w:lineRule="exact"/>
              <w:rPr>
                <w:sz w:val="20"/>
                <w:szCs w:val="20"/>
                <w:color w:val="auto"/>
              </w:rPr>
            </w:pPr>
            <w:r>
              <w:rPr>
                <w:rFonts w:ascii="Arial" w:cs="Arial" w:eastAsia="Arial" w:hAnsi="Arial"/>
                <w:sz w:val="17"/>
                <w:szCs w:val="17"/>
                <w:color w:val="auto"/>
              </w:rPr>
              <w:t>Other segment items</w:t>
            </w:r>
            <w:r>
              <w:rPr>
                <w:rFonts w:ascii="Arial" w:cs="Arial" w:eastAsia="Arial" w:hAnsi="Arial"/>
                <w:sz w:val="22"/>
                <w:szCs w:val="22"/>
                <w:color w:val="auto"/>
                <w:vertAlign w:val="superscript"/>
              </w:rPr>
              <w:t>(1)</w:t>
            </w:r>
          </w:p>
        </w:tc>
        <w:tc>
          <w:tcPr>
            <w:tcW w:w="300" w:type="dxa"/>
            <w:vAlign w:val="bottom"/>
            <w:tcBorders>
              <w:bottom w:val="single" w:sz="8" w:color="auto"/>
            </w:tcBorders>
            <w:shd w:val="clear" w:color="auto" w:fill="DCE2EF"/>
          </w:tcPr>
          <w:p>
            <w:pPr>
              <w:spacing w:after="0"/>
              <w:rPr>
                <w:sz w:val="19"/>
                <w:szCs w:val="19"/>
                <w:color w:val="auto"/>
              </w:rPr>
            </w:pPr>
          </w:p>
        </w:tc>
        <w:tc>
          <w:tcPr>
            <w:tcW w:w="9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7"/>
                <w:szCs w:val="17"/>
                <w:color w:val="auto"/>
              </w:rPr>
              <w:t>1,277.6</w:t>
            </w:r>
          </w:p>
        </w:tc>
        <w:tc>
          <w:tcPr>
            <w:tcW w:w="100" w:type="dxa"/>
            <w:vAlign w:val="bottom"/>
            <w:tcBorders>
              <w:bottom w:val="single" w:sz="8" w:color="auto"/>
            </w:tcBorders>
            <w:shd w:val="clear" w:color="auto" w:fill="DCE2EF"/>
          </w:tcPr>
          <w:p>
            <w:pPr>
              <w:spacing w:after="0"/>
              <w:rPr>
                <w:sz w:val="19"/>
                <w:szCs w:val="19"/>
                <w:color w:val="auto"/>
              </w:rPr>
            </w:pPr>
          </w:p>
        </w:tc>
        <w:tc>
          <w:tcPr>
            <w:tcW w:w="380" w:type="dxa"/>
            <w:vAlign w:val="bottom"/>
            <w:tcBorders>
              <w:bottom w:val="single" w:sz="8" w:color="auto"/>
            </w:tcBorders>
            <w:shd w:val="clear" w:color="auto" w:fill="DCE2EF"/>
          </w:tcPr>
          <w:p>
            <w:pPr>
              <w:spacing w:after="0"/>
              <w:rPr>
                <w:sz w:val="19"/>
                <w:szCs w:val="19"/>
                <w:color w:val="auto"/>
              </w:rPr>
            </w:pPr>
          </w:p>
        </w:tc>
        <w:tc>
          <w:tcPr>
            <w:tcW w:w="92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7"/>
                <w:szCs w:val="17"/>
                <w:color w:val="auto"/>
              </w:rPr>
              <w:t>319.4</w:t>
            </w:r>
          </w:p>
        </w:tc>
        <w:tc>
          <w:tcPr>
            <w:tcW w:w="80" w:type="dxa"/>
            <w:vAlign w:val="bottom"/>
            <w:tcBorders>
              <w:bottom w:val="single" w:sz="8" w:color="auto"/>
            </w:tcBorders>
            <w:shd w:val="clear" w:color="auto" w:fill="DCE2EF"/>
          </w:tcPr>
          <w:p>
            <w:pPr>
              <w:spacing w:after="0"/>
              <w:rPr>
                <w:sz w:val="19"/>
                <w:szCs w:val="19"/>
                <w:color w:val="auto"/>
              </w:rPr>
            </w:pPr>
          </w:p>
        </w:tc>
        <w:tc>
          <w:tcPr>
            <w:tcW w:w="140" w:type="dxa"/>
            <w:vAlign w:val="bottom"/>
            <w:tcBorders>
              <w:bottom w:val="single" w:sz="8" w:color="auto"/>
            </w:tcBorders>
            <w:shd w:val="clear" w:color="auto" w:fill="DCE2EF"/>
          </w:tcPr>
          <w:p>
            <w:pPr>
              <w:spacing w:after="0"/>
              <w:rPr>
                <w:sz w:val="19"/>
                <w:szCs w:val="19"/>
                <w:color w:val="auto"/>
              </w:rPr>
            </w:pPr>
          </w:p>
        </w:tc>
        <w:tc>
          <w:tcPr>
            <w:tcW w:w="116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7"/>
                <w:szCs w:val="17"/>
                <w:color w:val="auto"/>
              </w:rPr>
              <w:t>340.5</w:t>
            </w:r>
          </w:p>
        </w:tc>
        <w:tc>
          <w:tcPr>
            <w:tcW w:w="80" w:type="dxa"/>
            <w:vAlign w:val="bottom"/>
            <w:tcBorders>
              <w:bottom w:val="single" w:sz="8" w:color="auto"/>
            </w:tcBorders>
            <w:shd w:val="clear" w:color="auto" w:fill="DCE2EF"/>
          </w:tcPr>
          <w:p>
            <w:pPr>
              <w:spacing w:after="0"/>
              <w:rPr>
                <w:sz w:val="19"/>
                <w:szCs w:val="19"/>
                <w:color w:val="auto"/>
              </w:rPr>
            </w:pPr>
          </w:p>
        </w:tc>
        <w:tc>
          <w:tcPr>
            <w:tcW w:w="260" w:type="dxa"/>
            <w:vAlign w:val="bottom"/>
            <w:tcBorders>
              <w:bottom w:val="single" w:sz="8" w:color="auto"/>
            </w:tcBorders>
            <w:shd w:val="clear" w:color="auto" w:fill="DCE2EF"/>
          </w:tcPr>
          <w:p>
            <w:pPr>
              <w:spacing w:after="0"/>
              <w:rPr>
                <w:sz w:val="19"/>
                <w:szCs w:val="19"/>
                <w:color w:val="auto"/>
              </w:rPr>
            </w:pPr>
          </w:p>
        </w:tc>
        <w:tc>
          <w:tcPr>
            <w:tcW w:w="104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7"/>
                <w:szCs w:val="17"/>
                <w:color w:val="auto"/>
              </w:rPr>
              <w:t>214.3</w:t>
            </w:r>
          </w:p>
        </w:tc>
        <w:tc>
          <w:tcPr>
            <w:tcW w:w="100" w:type="dxa"/>
            <w:vAlign w:val="bottom"/>
            <w:tcBorders>
              <w:bottom w:val="single" w:sz="8" w:color="auto"/>
            </w:tcBorders>
            <w:shd w:val="clear" w:color="auto" w:fill="DCE2EF"/>
          </w:tcPr>
          <w:p>
            <w:pPr>
              <w:spacing w:after="0"/>
              <w:rPr>
                <w:sz w:val="19"/>
                <w:szCs w:val="19"/>
                <w:color w:val="auto"/>
              </w:rPr>
            </w:pPr>
          </w:p>
        </w:tc>
        <w:tc>
          <w:tcPr>
            <w:tcW w:w="200" w:type="dxa"/>
            <w:vAlign w:val="bottom"/>
            <w:tcBorders>
              <w:bottom w:val="single" w:sz="8" w:color="auto"/>
            </w:tcBorders>
            <w:shd w:val="clear" w:color="auto" w:fill="DCE2EF"/>
          </w:tcPr>
          <w:p>
            <w:pPr>
              <w:spacing w:after="0"/>
              <w:rPr>
                <w:sz w:val="19"/>
                <w:szCs w:val="19"/>
                <w:color w:val="auto"/>
              </w:rPr>
            </w:pPr>
          </w:p>
        </w:tc>
        <w:tc>
          <w:tcPr>
            <w:tcW w:w="110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7"/>
                <w:szCs w:val="17"/>
                <w:color w:val="auto"/>
              </w:rPr>
              <w:t>347.9</w:t>
            </w:r>
          </w:p>
        </w:tc>
        <w:tc>
          <w:tcPr>
            <w:tcW w:w="80" w:type="dxa"/>
            <w:vAlign w:val="bottom"/>
            <w:tcBorders>
              <w:bottom w:val="single" w:sz="8" w:color="auto"/>
            </w:tcBorders>
            <w:shd w:val="clear" w:color="auto" w:fill="DCE2EF"/>
          </w:tcPr>
          <w:p>
            <w:pPr>
              <w:spacing w:after="0"/>
              <w:rPr>
                <w:sz w:val="19"/>
                <w:szCs w:val="19"/>
                <w:color w:val="auto"/>
              </w:rPr>
            </w:pPr>
          </w:p>
        </w:tc>
        <w:tc>
          <w:tcPr>
            <w:tcW w:w="300" w:type="dxa"/>
            <w:vAlign w:val="bottom"/>
            <w:tcBorders>
              <w:bottom w:val="single" w:sz="8" w:color="auto"/>
            </w:tcBorders>
            <w:shd w:val="clear" w:color="auto" w:fill="DCE2EF"/>
          </w:tcPr>
          <w:p>
            <w:pPr>
              <w:spacing w:after="0"/>
              <w:rPr>
                <w:sz w:val="19"/>
                <w:szCs w:val="19"/>
                <w:color w:val="auto"/>
              </w:rPr>
            </w:pPr>
          </w:p>
        </w:tc>
        <w:tc>
          <w:tcPr>
            <w:tcW w:w="9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7"/>
                <w:szCs w:val="17"/>
                <w:color w:val="auto"/>
              </w:rPr>
              <w:t>2,499.5</w:t>
            </w:r>
          </w:p>
        </w:tc>
        <w:tc>
          <w:tcPr>
            <w:tcW w:w="0" w:type="dxa"/>
            <w:vAlign w:val="bottom"/>
          </w:tcPr>
          <w:p>
            <w:pPr>
              <w:spacing w:after="0"/>
              <w:rPr>
                <w:sz w:val="1"/>
                <w:szCs w:val="1"/>
                <w:color w:val="auto"/>
              </w:rPr>
            </w:pPr>
          </w:p>
        </w:tc>
      </w:tr>
      <w:tr>
        <w:trPr>
          <w:trHeight w:val="212"/>
        </w:trPr>
        <w:tc>
          <w:tcPr>
            <w:tcW w:w="3040" w:type="dxa"/>
            <w:vAlign w:val="bottom"/>
            <w:gridSpan w:val="3"/>
          </w:tcPr>
          <w:p>
            <w:pPr>
              <w:ind w:left="20"/>
              <w:spacing w:after="0"/>
              <w:rPr>
                <w:sz w:val="20"/>
                <w:szCs w:val="20"/>
                <w:color w:val="auto"/>
              </w:rPr>
            </w:pPr>
            <w:r>
              <w:rPr>
                <w:rFonts w:ascii="Arial" w:cs="Arial" w:eastAsia="Arial" w:hAnsi="Arial"/>
                <w:sz w:val="17"/>
                <w:szCs w:val="17"/>
                <w:b w:val="1"/>
                <w:bCs w:val="1"/>
                <w:color w:val="auto"/>
              </w:rPr>
              <w:t>Segment operating profit</w:t>
            </w:r>
          </w:p>
        </w:tc>
        <w:tc>
          <w:tcPr>
            <w:tcW w:w="30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316.9</w:t>
            </w:r>
          </w:p>
        </w:tc>
        <w:tc>
          <w:tcPr>
            <w:tcW w:w="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ind w:right="194"/>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151.4</w:t>
            </w: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65.2</w:t>
            </w:r>
          </w:p>
        </w:tc>
        <w:tc>
          <w:tcPr>
            <w:tcW w:w="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67.7</w:t>
            </w: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86.5</w:t>
            </w:r>
          </w:p>
        </w:tc>
        <w:tc>
          <w:tcPr>
            <w:tcW w:w="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687.6</w:t>
            </w:r>
          </w:p>
        </w:tc>
        <w:tc>
          <w:tcPr>
            <w:tcW w:w="0" w:type="dxa"/>
            <w:vAlign w:val="bottom"/>
          </w:tcPr>
          <w:p>
            <w:pPr>
              <w:spacing w:after="0"/>
              <w:rPr>
                <w:sz w:val="1"/>
                <w:szCs w:val="1"/>
                <w:color w:val="auto"/>
              </w:rPr>
            </w:pPr>
          </w:p>
        </w:tc>
      </w:tr>
      <w:tr>
        <w:trPr>
          <w:trHeight w:val="20"/>
        </w:trPr>
        <w:tc>
          <w:tcPr>
            <w:tcW w:w="20" w:type="dxa"/>
            <w:vAlign w:val="bottom"/>
            <w:tcBorders>
              <w:bottom w:val="single" w:sz="8" w:color="DCE2EF"/>
            </w:tcBorders>
          </w:tcPr>
          <w:p>
            <w:pPr>
              <w:spacing w:after="0" w:line="20" w:lineRule="exact"/>
              <w:rPr>
                <w:sz w:val="1"/>
                <w:szCs w:val="1"/>
                <w:color w:val="auto"/>
              </w:rPr>
            </w:pPr>
          </w:p>
        </w:tc>
        <w:tc>
          <w:tcPr>
            <w:tcW w:w="680" w:type="dxa"/>
            <w:vAlign w:val="bottom"/>
            <w:tcBorders>
              <w:bottom w:val="single" w:sz="8" w:color="DCE2EF"/>
            </w:tcBorders>
          </w:tcPr>
          <w:p>
            <w:pPr>
              <w:spacing w:after="0" w:line="20" w:lineRule="exact"/>
              <w:rPr>
                <w:sz w:val="1"/>
                <w:szCs w:val="1"/>
                <w:color w:val="auto"/>
              </w:rPr>
            </w:pPr>
          </w:p>
        </w:tc>
        <w:tc>
          <w:tcPr>
            <w:tcW w:w="2340" w:type="dxa"/>
            <w:vAlign w:val="bottom"/>
            <w:tcBorders>
              <w:bottom w:val="single" w:sz="8" w:color="DCE2E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040" w:type="dxa"/>
            <w:vAlign w:val="bottom"/>
            <w:gridSpan w:val="3"/>
            <w:shd w:val="clear" w:color="auto" w:fill="DCE2EF"/>
          </w:tcPr>
          <w:p>
            <w:pPr>
              <w:ind w:left="20"/>
              <w:spacing w:after="0"/>
              <w:rPr>
                <w:sz w:val="20"/>
                <w:szCs w:val="20"/>
                <w:color w:val="auto"/>
              </w:rPr>
            </w:pPr>
            <w:r>
              <w:rPr>
                <w:rFonts w:ascii="Arial" w:cs="Arial" w:eastAsia="Arial" w:hAnsi="Arial"/>
                <w:sz w:val="17"/>
                <w:szCs w:val="17"/>
                <w:color w:val="auto"/>
              </w:rPr>
              <w:t>Corporate</w:t>
            </w:r>
          </w:p>
        </w:tc>
        <w:tc>
          <w:tcPr>
            <w:tcW w:w="300" w:type="dxa"/>
            <w:vAlign w:val="bottom"/>
            <w:shd w:val="clear" w:color="auto" w:fill="DCE2EF"/>
          </w:tcPr>
          <w:p>
            <w:pPr>
              <w:spacing w:after="0"/>
              <w:rPr>
                <w:sz w:val="18"/>
                <w:szCs w:val="18"/>
                <w:color w:val="auto"/>
              </w:rPr>
            </w:pPr>
          </w:p>
        </w:tc>
        <w:tc>
          <w:tcPr>
            <w:tcW w:w="980" w:type="dxa"/>
            <w:vAlign w:val="bottom"/>
            <w:shd w:val="clear" w:color="auto" w:fill="DCE2EF"/>
          </w:tcPr>
          <w:p>
            <w:pPr>
              <w:spacing w:after="0"/>
              <w:rPr>
                <w:sz w:val="18"/>
                <w:szCs w:val="18"/>
                <w:color w:val="auto"/>
              </w:rPr>
            </w:pPr>
          </w:p>
        </w:tc>
        <w:tc>
          <w:tcPr>
            <w:tcW w:w="100" w:type="dxa"/>
            <w:vAlign w:val="bottom"/>
            <w:shd w:val="clear" w:color="auto" w:fill="DCE2EF"/>
          </w:tcPr>
          <w:p>
            <w:pPr>
              <w:spacing w:after="0"/>
              <w:rPr>
                <w:sz w:val="18"/>
                <w:szCs w:val="18"/>
                <w:color w:val="auto"/>
              </w:rPr>
            </w:pPr>
          </w:p>
        </w:tc>
        <w:tc>
          <w:tcPr>
            <w:tcW w:w="380" w:type="dxa"/>
            <w:vAlign w:val="bottom"/>
            <w:shd w:val="clear" w:color="auto" w:fill="DCE2EF"/>
          </w:tcPr>
          <w:p>
            <w:pPr>
              <w:spacing w:after="0"/>
              <w:rPr>
                <w:sz w:val="18"/>
                <w:szCs w:val="18"/>
                <w:color w:val="auto"/>
              </w:rPr>
            </w:pPr>
          </w:p>
        </w:tc>
        <w:tc>
          <w:tcPr>
            <w:tcW w:w="920" w:type="dxa"/>
            <w:vAlign w:val="bottom"/>
            <w:shd w:val="clear" w:color="auto" w:fill="DCE2EF"/>
          </w:tcPr>
          <w:p>
            <w:pPr>
              <w:spacing w:after="0"/>
              <w:rPr>
                <w:sz w:val="18"/>
                <w:szCs w:val="18"/>
                <w:color w:val="auto"/>
              </w:rPr>
            </w:pPr>
          </w:p>
        </w:tc>
        <w:tc>
          <w:tcPr>
            <w:tcW w:w="80" w:type="dxa"/>
            <w:vAlign w:val="bottom"/>
            <w:shd w:val="clear" w:color="auto" w:fill="DCE2EF"/>
          </w:tcPr>
          <w:p>
            <w:pPr>
              <w:spacing w:after="0"/>
              <w:rPr>
                <w:sz w:val="18"/>
                <w:szCs w:val="18"/>
                <w:color w:val="auto"/>
              </w:rPr>
            </w:pPr>
          </w:p>
        </w:tc>
        <w:tc>
          <w:tcPr>
            <w:tcW w:w="140" w:type="dxa"/>
            <w:vAlign w:val="bottom"/>
            <w:shd w:val="clear" w:color="auto" w:fill="DCE2EF"/>
          </w:tcPr>
          <w:p>
            <w:pPr>
              <w:spacing w:after="0"/>
              <w:rPr>
                <w:sz w:val="18"/>
                <w:szCs w:val="18"/>
                <w:color w:val="auto"/>
              </w:rPr>
            </w:pPr>
          </w:p>
        </w:tc>
        <w:tc>
          <w:tcPr>
            <w:tcW w:w="1160" w:type="dxa"/>
            <w:vAlign w:val="bottom"/>
            <w:shd w:val="clear" w:color="auto" w:fill="DCE2EF"/>
          </w:tcPr>
          <w:p>
            <w:pPr>
              <w:spacing w:after="0"/>
              <w:rPr>
                <w:sz w:val="18"/>
                <w:szCs w:val="18"/>
                <w:color w:val="auto"/>
              </w:rPr>
            </w:pPr>
          </w:p>
        </w:tc>
        <w:tc>
          <w:tcPr>
            <w:tcW w:w="80" w:type="dxa"/>
            <w:vAlign w:val="bottom"/>
            <w:shd w:val="clear" w:color="auto" w:fill="DCE2EF"/>
          </w:tcPr>
          <w:p>
            <w:pPr>
              <w:spacing w:after="0"/>
              <w:rPr>
                <w:sz w:val="18"/>
                <w:szCs w:val="18"/>
                <w:color w:val="auto"/>
              </w:rPr>
            </w:pPr>
          </w:p>
        </w:tc>
        <w:tc>
          <w:tcPr>
            <w:tcW w:w="260" w:type="dxa"/>
            <w:vAlign w:val="bottom"/>
            <w:shd w:val="clear" w:color="auto" w:fill="DCE2EF"/>
          </w:tcPr>
          <w:p>
            <w:pPr>
              <w:spacing w:after="0"/>
              <w:rPr>
                <w:sz w:val="18"/>
                <w:szCs w:val="18"/>
                <w:color w:val="auto"/>
              </w:rPr>
            </w:pPr>
          </w:p>
        </w:tc>
        <w:tc>
          <w:tcPr>
            <w:tcW w:w="1040" w:type="dxa"/>
            <w:vAlign w:val="bottom"/>
            <w:shd w:val="clear" w:color="auto" w:fill="DCE2EF"/>
          </w:tcPr>
          <w:p>
            <w:pPr>
              <w:spacing w:after="0"/>
              <w:rPr>
                <w:sz w:val="18"/>
                <w:szCs w:val="18"/>
                <w:color w:val="auto"/>
              </w:rPr>
            </w:pPr>
          </w:p>
        </w:tc>
        <w:tc>
          <w:tcPr>
            <w:tcW w:w="100" w:type="dxa"/>
            <w:vAlign w:val="bottom"/>
            <w:shd w:val="clear" w:color="auto" w:fill="DCE2EF"/>
          </w:tcPr>
          <w:p>
            <w:pPr>
              <w:spacing w:after="0"/>
              <w:rPr>
                <w:sz w:val="18"/>
                <w:szCs w:val="18"/>
                <w:color w:val="auto"/>
              </w:rPr>
            </w:pPr>
          </w:p>
        </w:tc>
        <w:tc>
          <w:tcPr>
            <w:tcW w:w="200" w:type="dxa"/>
            <w:vAlign w:val="bottom"/>
            <w:shd w:val="clear" w:color="auto" w:fill="DCE2EF"/>
          </w:tcPr>
          <w:p>
            <w:pPr>
              <w:spacing w:after="0"/>
              <w:rPr>
                <w:sz w:val="18"/>
                <w:szCs w:val="18"/>
                <w:color w:val="auto"/>
              </w:rPr>
            </w:pPr>
          </w:p>
        </w:tc>
        <w:tc>
          <w:tcPr>
            <w:tcW w:w="1100" w:type="dxa"/>
            <w:vAlign w:val="bottom"/>
            <w:shd w:val="clear" w:color="auto" w:fill="DCE2EF"/>
          </w:tcPr>
          <w:p>
            <w:pPr>
              <w:spacing w:after="0"/>
              <w:rPr>
                <w:sz w:val="18"/>
                <w:szCs w:val="18"/>
                <w:color w:val="auto"/>
              </w:rPr>
            </w:pPr>
          </w:p>
        </w:tc>
        <w:tc>
          <w:tcPr>
            <w:tcW w:w="80" w:type="dxa"/>
            <w:vAlign w:val="bottom"/>
            <w:shd w:val="clear" w:color="auto" w:fill="DCE2EF"/>
          </w:tcPr>
          <w:p>
            <w:pPr>
              <w:spacing w:after="0"/>
              <w:rPr>
                <w:sz w:val="18"/>
                <w:szCs w:val="18"/>
                <w:color w:val="auto"/>
              </w:rPr>
            </w:pPr>
          </w:p>
        </w:tc>
        <w:tc>
          <w:tcPr>
            <w:tcW w:w="300" w:type="dxa"/>
            <w:vAlign w:val="bottom"/>
            <w:shd w:val="clear" w:color="auto" w:fill="DCE2EF"/>
          </w:tcPr>
          <w:p>
            <w:pPr>
              <w:spacing w:after="0"/>
              <w:rPr>
                <w:sz w:val="18"/>
                <w:szCs w:val="18"/>
                <w:color w:val="auto"/>
              </w:rPr>
            </w:pPr>
          </w:p>
        </w:tc>
        <w:tc>
          <w:tcPr>
            <w:tcW w:w="980" w:type="dxa"/>
            <w:vAlign w:val="bottom"/>
            <w:shd w:val="clear" w:color="auto" w:fill="DCE2EF"/>
          </w:tcPr>
          <w:p>
            <w:pPr>
              <w:jc w:val="right"/>
              <w:spacing w:after="0"/>
              <w:rPr>
                <w:sz w:val="20"/>
                <w:szCs w:val="20"/>
                <w:color w:val="auto"/>
              </w:rPr>
            </w:pPr>
            <w:r>
              <w:rPr>
                <w:rFonts w:ascii="Arial" w:cs="Arial" w:eastAsia="Arial" w:hAnsi="Arial"/>
                <w:sz w:val="17"/>
                <w:szCs w:val="17"/>
                <w:color w:val="auto"/>
              </w:rPr>
              <w:t>(370.5)</w:t>
            </w:r>
          </w:p>
        </w:tc>
        <w:tc>
          <w:tcPr>
            <w:tcW w:w="0" w:type="dxa"/>
            <w:vAlign w:val="bottom"/>
          </w:tcPr>
          <w:p>
            <w:pPr>
              <w:spacing w:after="0"/>
              <w:rPr>
                <w:sz w:val="1"/>
                <w:szCs w:val="1"/>
                <w:color w:val="auto"/>
              </w:rPr>
            </w:pPr>
          </w:p>
        </w:tc>
      </w:tr>
      <w:tr>
        <w:trPr>
          <w:trHeight w:val="219"/>
        </w:trPr>
        <w:tc>
          <w:tcPr>
            <w:tcW w:w="7440" w:type="dxa"/>
            <w:vAlign w:val="bottom"/>
            <w:gridSpan w:val="13"/>
          </w:tcPr>
          <w:p>
            <w:pPr>
              <w:ind w:left="20"/>
              <w:spacing w:after="0"/>
              <w:rPr>
                <w:sz w:val="20"/>
                <w:szCs w:val="20"/>
                <w:color w:val="auto"/>
              </w:rPr>
            </w:pPr>
            <w:r>
              <w:rPr>
                <w:rFonts w:ascii="Arial" w:cs="Arial" w:eastAsia="Arial" w:hAnsi="Arial"/>
                <w:sz w:val="17"/>
                <w:szCs w:val="17"/>
                <w:color w:val="auto"/>
              </w:rPr>
              <w:t>Adjustment for income from unconsolidated affiliates, included in Aviation and Technical Solutions</w:t>
            </w: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(4.6)</w:t>
            </w:r>
          </w:p>
        </w:tc>
        <w:tc>
          <w:tcPr>
            <w:tcW w:w="0" w:type="dxa"/>
            <w:vAlign w:val="bottom"/>
          </w:tcPr>
          <w:p>
            <w:pPr>
              <w:spacing w:after="0"/>
              <w:rPr>
                <w:sz w:val="1"/>
                <w:szCs w:val="1"/>
                <w:color w:val="auto"/>
              </w:rPr>
            </w:pPr>
          </w:p>
        </w:tc>
      </w:tr>
      <w:tr>
        <w:trPr>
          <w:trHeight w:val="168"/>
        </w:trPr>
        <w:tc>
          <w:tcPr>
            <w:tcW w:w="4800" w:type="dxa"/>
            <w:vAlign w:val="bottom"/>
            <w:gridSpan w:val="7"/>
            <w:shd w:val="clear" w:color="auto" w:fill="DCE2EF"/>
          </w:tcPr>
          <w:p>
            <w:pPr>
              <w:ind w:left="20"/>
              <w:spacing w:after="0" w:line="167" w:lineRule="exact"/>
              <w:rPr>
                <w:sz w:val="20"/>
                <w:szCs w:val="20"/>
                <w:color w:val="auto"/>
              </w:rPr>
            </w:pPr>
            <w:r>
              <w:rPr>
                <w:rFonts w:ascii="Arial" w:cs="Arial" w:eastAsia="Arial" w:hAnsi="Arial"/>
                <w:sz w:val="17"/>
                <w:szCs w:val="17"/>
                <w:color w:val="auto"/>
              </w:rPr>
              <w:t>Adjustment for tax deductions for energy efficient government</w:t>
            </w:r>
          </w:p>
        </w:tc>
        <w:tc>
          <w:tcPr>
            <w:tcW w:w="920" w:type="dxa"/>
            <w:vAlign w:val="bottom"/>
            <w:shd w:val="clear" w:color="auto" w:fill="DCE2EF"/>
          </w:tcPr>
          <w:p>
            <w:pPr>
              <w:spacing w:after="0"/>
              <w:rPr>
                <w:sz w:val="14"/>
                <w:szCs w:val="14"/>
                <w:color w:val="auto"/>
              </w:rPr>
            </w:pPr>
          </w:p>
        </w:tc>
        <w:tc>
          <w:tcPr>
            <w:tcW w:w="80" w:type="dxa"/>
            <w:vAlign w:val="bottom"/>
            <w:shd w:val="clear" w:color="auto" w:fill="DCE2EF"/>
          </w:tcPr>
          <w:p>
            <w:pPr>
              <w:spacing w:after="0"/>
              <w:rPr>
                <w:sz w:val="14"/>
                <w:szCs w:val="14"/>
                <w:color w:val="auto"/>
              </w:rPr>
            </w:pPr>
          </w:p>
        </w:tc>
        <w:tc>
          <w:tcPr>
            <w:tcW w:w="140" w:type="dxa"/>
            <w:vAlign w:val="bottom"/>
            <w:shd w:val="clear" w:color="auto" w:fill="DCE2EF"/>
          </w:tcPr>
          <w:p>
            <w:pPr>
              <w:spacing w:after="0"/>
              <w:rPr>
                <w:sz w:val="14"/>
                <w:szCs w:val="14"/>
                <w:color w:val="auto"/>
              </w:rPr>
            </w:pPr>
          </w:p>
        </w:tc>
        <w:tc>
          <w:tcPr>
            <w:tcW w:w="1160" w:type="dxa"/>
            <w:vAlign w:val="bottom"/>
            <w:shd w:val="clear" w:color="auto" w:fill="DCE2EF"/>
          </w:tcPr>
          <w:p>
            <w:pPr>
              <w:spacing w:after="0"/>
              <w:rPr>
                <w:sz w:val="14"/>
                <w:szCs w:val="14"/>
                <w:color w:val="auto"/>
              </w:rPr>
            </w:pPr>
          </w:p>
        </w:tc>
        <w:tc>
          <w:tcPr>
            <w:tcW w:w="80" w:type="dxa"/>
            <w:vAlign w:val="bottom"/>
            <w:shd w:val="clear" w:color="auto" w:fill="DCE2EF"/>
          </w:tcPr>
          <w:p>
            <w:pPr>
              <w:spacing w:after="0"/>
              <w:rPr>
                <w:sz w:val="14"/>
                <w:szCs w:val="14"/>
                <w:color w:val="auto"/>
              </w:rPr>
            </w:pPr>
          </w:p>
        </w:tc>
        <w:tc>
          <w:tcPr>
            <w:tcW w:w="260" w:type="dxa"/>
            <w:vAlign w:val="bottom"/>
            <w:shd w:val="clear" w:color="auto" w:fill="DCE2EF"/>
          </w:tcPr>
          <w:p>
            <w:pPr>
              <w:spacing w:after="0"/>
              <w:rPr>
                <w:sz w:val="14"/>
                <w:szCs w:val="14"/>
                <w:color w:val="auto"/>
              </w:rPr>
            </w:pPr>
          </w:p>
        </w:tc>
        <w:tc>
          <w:tcPr>
            <w:tcW w:w="1040" w:type="dxa"/>
            <w:vAlign w:val="bottom"/>
            <w:shd w:val="clear" w:color="auto" w:fill="DCE2EF"/>
          </w:tcPr>
          <w:p>
            <w:pPr>
              <w:spacing w:after="0"/>
              <w:rPr>
                <w:sz w:val="14"/>
                <w:szCs w:val="14"/>
                <w:color w:val="auto"/>
              </w:rPr>
            </w:pPr>
          </w:p>
        </w:tc>
        <w:tc>
          <w:tcPr>
            <w:tcW w:w="100" w:type="dxa"/>
            <w:vAlign w:val="bottom"/>
            <w:shd w:val="clear" w:color="auto" w:fill="DCE2EF"/>
          </w:tcPr>
          <w:p>
            <w:pPr>
              <w:spacing w:after="0"/>
              <w:rPr>
                <w:sz w:val="14"/>
                <w:szCs w:val="14"/>
                <w:color w:val="auto"/>
              </w:rPr>
            </w:pPr>
          </w:p>
        </w:tc>
        <w:tc>
          <w:tcPr>
            <w:tcW w:w="200" w:type="dxa"/>
            <w:vAlign w:val="bottom"/>
            <w:shd w:val="clear" w:color="auto" w:fill="DCE2EF"/>
          </w:tcPr>
          <w:p>
            <w:pPr>
              <w:spacing w:after="0"/>
              <w:rPr>
                <w:sz w:val="14"/>
                <w:szCs w:val="14"/>
                <w:color w:val="auto"/>
              </w:rPr>
            </w:pPr>
          </w:p>
        </w:tc>
        <w:tc>
          <w:tcPr>
            <w:tcW w:w="1100" w:type="dxa"/>
            <w:vAlign w:val="bottom"/>
            <w:shd w:val="clear" w:color="auto" w:fill="DCE2EF"/>
          </w:tcPr>
          <w:p>
            <w:pPr>
              <w:spacing w:after="0"/>
              <w:rPr>
                <w:sz w:val="14"/>
                <w:szCs w:val="14"/>
                <w:color w:val="auto"/>
              </w:rPr>
            </w:pPr>
          </w:p>
        </w:tc>
        <w:tc>
          <w:tcPr>
            <w:tcW w:w="80" w:type="dxa"/>
            <w:vAlign w:val="bottom"/>
            <w:shd w:val="clear" w:color="auto" w:fill="DCE2EF"/>
          </w:tcPr>
          <w:p>
            <w:pPr>
              <w:spacing w:after="0"/>
              <w:rPr>
                <w:sz w:val="14"/>
                <w:szCs w:val="14"/>
                <w:color w:val="auto"/>
              </w:rPr>
            </w:pPr>
          </w:p>
        </w:tc>
        <w:tc>
          <w:tcPr>
            <w:tcW w:w="300" w:type="dxa"/>
            <w:vAlign w:val="bottom"/>
            <w:shd w:val="clear" w:color="auto" w:fill="DCE2EF"/>
          </w:tcPr>
          <w:p>
            <w:pPr>
              <w:spacing w:after="0"/>
              <w:rPr>
                <w:sz w:val="14"/>
                <w:szCs w:val="14"/>
                <w:color w:val="auto"/>
              </w:rPr>
            </w:pPr>
          </w:p>
        </w:tc>
        <w:tc>
          <w:tcPr>
            <w:tcW w:w="980" w:type="dxa"/>
            <w:vAlign w:val="bottom"/>
            <w:shd w:val="clear" w:color="auto" w:fill="DCE2EF"/>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3340" w:type="dxa"/>
            <w:vAlign w:val="bottom"/>
            <w:gridSpan w:val="4"/>
            <w:shd w:val="clear" w:color="auto" w:fill="DCE2EF"/>
          </w:tcPr>
          <w:p>
            <w:pPr>
              <w:ind w:left="20"/>
              <w:spacing w:after="0"/>
              <w:rPr>
                <w:sz w:val="20"/>
                <w:szCs w:val="20"/>
                <w:color w:val="auto"/>
              </w:rPr>
            </w:pPr>
            <w:r>
              <w:rPr>
                <w:rFonts w:ascii="Arial" w:cs="Arial" w:eastAsia="Arial" w:hAnsi="Arial"/>
                <w:sz w:val="17"/>
                <w:szCs w:val="17"/>
                <w:color w:val="auto"/>
              </w:rPr>
              <w:t>buildings, included in Technical Solutions</w:t>
            </w:r>
          </w:p>
        </w:tc>
        <w:tc>
          <w:tcPr>
            <w:tcW w:w="980" w:type="dxa"/>
            <w:vAlign w:val="bottom"/>
            <w:shd w:val="clear" w:color="auto" w:fill="DCE2EF"/>
          </w:tcPr>
          <w:p>
            <w:pPr>
              <w:spacing w:after="0"/>
              <w:rPr>
                <w:sz w:val="20"/>
                <w:szCs w:val="20"/>
                <w:color w:val="auto"/>
              </w:rPr>
            </w:pPr>
          </w:p>
        </w:tc>
        <w:tc>
          <w:tcPr>
            <w:tcW w:w="100" w:type="dxa"/>
            <w:vAlign w:val="bottom"/>
            <w:shd w:val="clear" w:color="auto" w:fill="DCE2EF"/>
          </w:tcPr>
          <w:p>
            <w:pPr>
              <w:spacing w:after="0"/>
              <w:rPr>
                <w:sz w:val="20"/>
                <w:szCs w:val="20"/>
                <w:color w:val="auto"/>
              </w:rPr>
            </w:pPr>
          </w:p>
        </w:tc>
        <w:tc>
          <w:tcPr>
            <w:tcW w:w="380" w:type="dxa"/>
            <w:vAlign w:val="bottom"/>
            <w:shd w:val="clear" w:color="auto" w:fill="DCE2EF"/>
          </w:tcPr>
          <w:p>
            <w:pPr>
              <w:spacing w:after="0"/>
              <w:rPr>
                <w:sz w:val="20"/>
                <w:szCs w:val="20"/>
                <w:color w:val="auto"/>
              </w:rPr>
            </w:pPr>
          </w:p>
        </w:tc>
        <w:tc>
          <w:tcPr>
            <w:tcW w:w="920" w:type="dxa"/>
            <w:vAlign w:val="bottom"/>
            <w:shd w:val="clear" w:color="auto" w:fill="DCE2EF"/>
          </w:tcPr>
          <w:p>
            <w:pPr>
              <w:spacing w:after="0"/>
              <w:rPr>
                <w:sz w:val="20"/>
                <w:szCs w:val="20"/>
                <w:color w:val="auto"/>
              </w:rPr>
            </w:pPr>
          </w:p>
        </w:tc>
        <w:tc>
          <w:tcPr>
            <w:tcW w:w="80" w:type="dxa"/>
            <w:vAlign w:val="bottom"/>
            <w:shd w:val="clear" w:color="auto" w:fill="DCE2EF"/>
          </w:tcPr>
          <w:p>
            <w:pPr>
              <w:spacing w:after="0"/>
              <w:rPr>
                <w:sz w:val="20"/>
                <w:szCs w:val="20"/>
                <w:color w:val="auto"/>
              </w:rPr>
            </w:pPr>
          </w:p>
        </w:tc>
        <w:tc>
          <w:tcPr>
            <w:tcW w:w="140" w:type="dxa"/>
            <w:vAlign w:val="bottom"/>
            <w:shd w:val="clear" w:color="auto" w:fill="DCE2EF"/>
          </w:tcPr>
          <w:p>
            <w:pPr>
              <w:spacing w:after="0"/>
              <w:rPr>
                <w:sz w:val="20"/>
                <w:szCs w:val="20"/>
                <w:color w:val="auto"/>
              </w:rPr>
            </w:pPr>
          </w:p>
        </w:tc>
        <w:tc>
          <w:tcPr>
            <w:tcW w:w="1160" w:type="dxa"/>
            <w:vAlign w:val="bottom"/>
            <w:shd w:val="clear" w:color="auto" w:fill="DCE2EF"/>
          </w:tcPr>
          <w:p>
            <w:pPr>
              <w:spacing w:after="0"/>
              <w:rPr>
                <w:sz w:val="20"/>
                <w:szCs w:val="20"/>
                <w:color w:val="auto"/>
              </w:rPr>
            </w:pPr>
          </w:p>
        </w:tc>
        <w:tc>
          <w:tcPr>
            <w:tcW w:w="80" w:type="dxa"/>
            <w:vAlign w:val="bottom"/>
            <w:shd w:val="clear" w:color="auto" w:fill="DCE2EF"/>
          </w:tcPr>
          <w:p>
            <w:pPr>
              <w:spacing w:after="0"/>
              <w:rPr>
                <w:sz w:val="20"/>
                <w:szCs w:val="20"/>
                <w:color w:val="auto"/>
              </w:rPr>
            </w:pPr>
          </w:p>
        </w:tc>
        <w:tc>
          <w:tcPr>
            <w:tcW w:w="260" w:type="dxa"/>
            <w:vAlign w:val="bottom"/>
            <w:shd w:val="clear" w:color="auto" w:fill="DCE2EF"/>
          </w:tcPr>
          <w:p>
            <w:pPr>
              <w:spacing w:after="0"/>
              <w:rPr>
                <w:sz w:val="20"/>
                <w:szCs w:val="20"/>
                <w:color w:val="auto"/>
              </w:rPr>
            </w:pPr>
          </w:p>
        </w:tc>
        <w:tc>
          <w:tcPr>
            <w:tcW w:w="1040" w:type="dxa"/>
            <w:vAlign w:val="bottom"/>
            <w:shd w:val="clear" w:color="auto" w:fill="DCE2EF"/>
          </w:tcPr>
          <w:p>
            <w:pPr>
              <w:spacing w:after="0"/>
              <w:rPr>
                <w:sz w:val="20"/>
                <w:szCs w:val="20"/>
                <w:color w:val="auto"/>
              </w:rPr>
            </w:pPr>
          </w:p>
        </w:tc>
        <w:tc>
          <w:tcPr>
            <w:tcW w:w="100" w:type="dxa"/>
            <w:vAlign w:val="bottom"/>
            <w:shd w:val="clear" w:color="auto" w:fill="DCE2EF"/>
          </w:tcPr>
          <w:p>
            <w:pPr>
              <w:spacing w:after="0"/>
              <w:rPr>
                <w:sz w:val="20"/>
                <w:szCs w:val="20"/>
                <w:color w:val="auto"/>
              </w:rPr>
            </w:pPr>
          </w:p>
        </w:tc>
        <w:tc>
          <w:tcPr>
            <w:tcW w:w="200" w:type="dxa"/>
            <w:vAlign w:val="bottom"/>
            <w:shd w:val="clear" w:color="auto" w:fill="DCE2EF"/>
          </w:tcPr>
          <w:p>
            <w:pPr>
              <w:spacing w:after="0"/>
              <w:rPr>
                <w:sz w:val="20"/>
                <w:szCs w:val="20"/>
                <w:color w:val="auto"/>
              </w:rPr>
            </w:pPr>
          </w:p>
        </w:tc>
        <w:tc>
          <w:tcPr>
            <w:tcW w:w="1100" w:type="dxa"/>
            <w:vAlign w:val="bottom"/>
            <w:shd w:val="clear" w:color="auto" w:fill="DCE2EF"/>
          </w:tcPr>
          <w:p>
            <w:pPr>
              <w:spacing w:after="0"/>
              <w:rPr>
                <w:sz w:val="20"/>
                <w:szCs w:val="20"/>
                <w:color w:val="auto"/>
              </w:rPr>
            </w:pPr>
          </w:p>
        </w:tc>
        <w:tc>
          <w:tcPr>
            <w:tcW w:w="80" w:type="dxa"/>
            <w:vAlign w:val="bottom"/>
            <w:shd w:val="clear" w:color="auto" w:fill="DCE2EF"/>
          </w:tcPr>
          <w:p>
            <w:pPr>
              <w:spacing w:after="0"/>
              <w:rPr>
                <w:sz w:val="20"/>
                <w:szCs w:val="20"/>
                <w:color w:val="auto"/>
              </w:rPr>
            </w:pPr>
          </w:p>
        </w:tc>
        <w:tc>
          <w:tcPr>
            <w:tcW w:w="300" w:type="dxa"/>
            <w:vAlign w:val="bottom"/>
            <w:tcBorders>
              <w:bottom w:val="single" w:sz="8" w:color="auto"/>
            </w:tcBorders>
            <w:shd w:val="clear" w:color="auto" w:fill="DCE2EF"/>
          </w:tcPr>
          <w:p>
            <w:pPr>
              <w:spacing w:after="0"/>
              <w:rPr>
                <w:sz w:val="20"/>
                <w:szCs w:val="20"/>
                <w:color w:val="auto"/>
              </w:rPr>
            </w:pPr>
          </w:p>
        </w:tc>
        <w:tc>
          <w:tcPr>
            <w:tcW w:w="9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7"/>
                <w:szCs w:val="17"/>
                <w:color w:val="auto"/>
              </w:rPr>
              <w:t>(0.8)</w:t>
            </w:r>
          </w:p>
        </w:tc>
        <w:tc>
          <w:tcPr>
            <w:tcW w:w="0" w:type="dxa"/>
            <w:vAlign w:val="bottom"/>
          </w:tcPr>
          <w:p>
            <w:pPr>
              <w:spacing w:after="0"/>
              <w:rPr>
                <w:sz w:val="1"/>
                <w:szCs w:val="1"/>
                <w:color w:val="auto"/>
              </w:rPr>
            </w:pPr>
          </w:p>
        </w:tc>
      </w:tr>
      <w:tr>
        <w:trPr>
          <w:trHeight w:val="212"/>
        </w:trPr>
        <w:tc>
          <w:tcPr>
            <w:tcW w:w="3040" w:type="dxa"/>
            <w:vAlign w:val="bottom"/>
            <w:gridSpan w:val="3"/>
          </w:tcPr>
          <w:p>
            <w:pPr>
              <w:ind w:left="20"/>
              <w:spacing w:after="0"/>
              <w:rPr>
                <w:sz w:val="20"/>
                <w:szCs w:val="20"/>
                <w:color w:val="auto"/>
              </w:rPr>
            </w:pPr>
            <w:r>
              <w:rPr>
                <w:rFonts w:ascii="Arial" w:cs="Arial" w:eastAsia="Arial" w:hAnsi="Arial"/>
                <w:sz w:val="17"/>
                <w:szCs w:val="17"/>
                <w:b w:val="1"/>
                <w:bCs w:val="1"/>
                <w:color w:val="auto"/>
              </w:rPr>
              <w:t>Total operating profit</w:t>
            </w: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311.7</w:t>
            </w:r>
          </w:p>
        </w:tc>
        <w:tc>
          <w:tcPr>
            <w:tcW w:w="0" w:type="dxa"/>
            <w:vAlign w:val="bottom"/>
          </w:tcPr>
          <w:p>
            <w:pPr>
              <w:spacing w:after="0"/>
              <w:rPr>
                <w:sz w:val="1"/>
                <w:szCs w:val="1"/>
                <w:color w:val="auto"/>
              </w:rPr>
            </w:pPr>
          </w:p>
        </w:tc>
      </w:tr>
      <w:tr>
        <w:trPr>
          <w:trHeight w:val="20"/>
        </w:trPr>
        <w:tc>
          <w:tcPr>
            <w:tcW w:w="20" w:type="dxa"/>
            <w:vAlign w:val="bottom"/>
            <w:tcBorders>
              <w:bottom w:val="single" w:sz="8" w:color="DCE2EF"/>
            </w:tcBorders>
          </w:tcPr>
          <w:p>
            <w:pPr>
              <w:spacing w:after="0" w:line="20" w:lineRule="exact"/>
              <w:rPr>
                <w:sz w:val="1"/>
                <w:szCs w:val="1"/>
                <w:color w:val="auto"/>
              </w:rPr>
            </w:pPr>
          </w:p>
        </w:tc>
        <w:tc>
          <w:tcPr>
            <w:tcW w:w="680" w:type="dxa"/>
            <w:vAlign w:val="bottom"/>
            <w:tcBorders>
              <w:bottom w:val="single" w:sz="8" w:color="DCE2EF"/>
            </w:tcBorders>
          </w:tcPr>
          <w:p>
            <w:pPr>
              <w:spacing w:after="0" w:line="20" w:lineRule="exact"/>
              <w:rPr>
                <w:sz w:val="1"/>
                <w:szCs w:val="1"/>
                <w:color w:val="auto"/>
              </w:rPr>
            </w:pPr>
          </w:p>
        </w:tc>
        <w:tc>
          <w:tcPr>
            <w:tcW w:w="2340" w:type="dxa"/>
            <w:vAlign w:val="bottom"/>
            <w:tcBorders>
              <w:bottom w:val="single" w:sz="8" w:color="DCE2EF"/>
            </w:tcBorders>
          </w:tcPr>
          <w:p>
            <w:pPr>
              <w:spacing w:after="0" w:line="20" w:lineRule="exact"/>
              <w:rPr>
                <w:sz w:val="1"/>
                <w:szCs w:val="1"/>
                <w:color w:val="auto"/>
              </w:rPr>
            </w:pPr>
          </w:p>
        </w:tc>
        <w:tc>
          <w:tcPr>
            <w:tcW w:w="300" w:type="dxa"/>
            <w:vAlign w:val="bottom"/>
            <w:tcBorders>
              <w:bottom w:val="single" w:sz="8" w:color="DCE2EF"/>
            </w:tcBorders>
          </w:tcPr>
          <w:p>
            <w:pPr>
              <w:spacing w:after="0" w:line="20" w:lineRule="exact"/>
              <w:rPr>
                <w:sz w:val="1"/>
                <w:szCs w:val="1"/>
                <w:color w:val="auto"/>
              </w:rPr>
            </w:pPr>
          </w:p>
        </w:tc>
        <w:tc>
          <w:tcPr>
            <w:tcW w:w="980" w:type="dxa"/>
            <w:vAlign w:val="bottom"/>
            <w:tcBorders>
              <w:bottom w:val="single" w:sz="8" w:color="DCE2EF"/>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380" w:type="dxa"/>
            <w:vAlign w:val="bottom"/>
            <w:tcBorders>
              <w:bottom w:val="single" w:sz="8" w:color="DCE2EF"/>
            </w:tcBorders>
          </w:tcPr>
          <w:p>
            <w:pPr>
              <w:spacing w:after="0" w:line="20" w:lineRule="exact"/>
              <w:rPr>
                <w:sz w:val="1"/>
                <w:szCs w:val="1"/>
                <w:color w:val="auto"/>
              </w:rPr>
            </w:pPr>
          </w:p>
        </w:tc>
        <w:tc>
          <w:tcPr>
            <w:tcW w:w="920" w:type="dxa"/>
            <w:vAlign w:val="bottom"/>
            <w:tcBorders>
              <w:bottom w:val="single" w:sz="8" w:color="DCE2EF"/>
            </w:tcBorders>
          </w:tcPr>
          <w:p>
            <w:pPr>
              <w:spacing w:after="0" w:line="20" w:lineRule="exact"/>
              <w:rPr>
                <w:sz w:val="1"/>
                <w:szCs w:val="1"/>
                <w:color w:val="auto"/>
              </w:rPr>
            </w:pPr>
          </w:p>
        </w:tc>
        <w:tc>
          <w:tcPr>
            <w:tcW w:w="80" w:type="dxa"/>
            <w:vAlign w:val="bottom"/>
            <w:tcBorders>
              <w:bottom w:val="single" w:sz="8" w:color="DCE2EF"/>
            </w:tcBorders>
          </w:tcPr>
          <w:p>
            <w:pPr>
              <w:spacing w:after="0" w:line="20" w:lineRule="exact"/>
              <w:rPr>
                <w:sz w:val="1"/>
                <w:szCs w:val="1"/>
                <w:color w:val="auto"/>
              </w:rPr>
            </w:pPr>
          </w:p>
        </w:tc>
        <w:tc>
          <w:tcPr>
            <w:tcW w:w="140" w:type="dxa"/>
            <w:vAlign w:val="bottom"/>
            <w:tcBorders>
              <w:bottom w:val="single" w:sz="8" w:color="DCE2EF"/>
            </w:tcBorders>
          </w:tcPr>
          <w:p>
            <w:pPr>
              <w:spacing w:after="0" w:line="20" w:lineRule="exact"/>
              <w:rPr>
                <w:sz w:val="1"/>
                <w:szCs w:val="1"/>
                <w:color w:val="auto"/>
              </w:rPr>
            </w:pPr>
          </w:p>
        </w:tc>
        <w:tc>
          <w:tcPr>
            <w:tcW w:w="1160" w:type="dxa"/>
            <w:vAlign w:val="bottom"/>
            <w:tcBorders>
              <w:bottom w:val="single" w:sz="8" w:color="DCE2EF"/>
            </w:tcBorders>
          </w:tcPr>
          <w:p>
            <w:pPr>
              <w:spacing w:after="0" w:line="20" w:lineRule="exact"/>
              <w:rPr>
                <w:sz w:val="1"/>
                <w:szCs w:val="1"/>
                <w:color w:val="auto"/>
              </w:rPr>
            </w:pPr>
          </w:p>
        </w:tc>
        <w:tc>
          <w:tcPr>
            <w:tcW w:w="80" w:type="dxa"/>
            <w:vAlign w:val="bottom"/>
            <w:tcBorders>
              <w:bottom w:val="single" w:sz="8" w:color="DCE2EF"/>
            </w:tcBorders>
          </w:tcPr>
          <w:p>
            <w:pPr>
              <w:spacing w:after="0" w:line="20" w:lineRule="exact"/>
              <w:rPr>
                <w:sz w:val="1"/>
                <w:szCs w:val="1"/>
                <w:color w:val="auto"/>
              </w:rPr>
            </w:pPr>
          </w:p>
        </w:tc>
        <w:tc>
          <w:tcPr>
            <w:tcW w:w="260" w:type="dxa"/>
            <w:vAlign w:val="bottom"/>
            <w:tcBorders>
              <w:bottom w:val="single" w:sz="8" w:color="DCE2EF"/>
            </w:tcBorders>
          </w:tcPr>
          <w:p>
            <w:pPr>
              <w:spacing w:after="0" w:line="20" w:lineRule="exact"/>
              <w:rPr>
                <w:sz w:val="1"/>
                <w:szCs w:val="1"/>
                <w:color w:val="auto"/>
              </w:rPr>
            </w:pPr>
          </w:p>
        </w:tc>
        <w:tc>
          <w:tcPr>
            <w:tcW w:w="1040" w:type="dxa"/>
            <w:vAlign w:val="bottom"/>
            <w:tcBorders>
              <w:bottom w:val="single" w:sz="8" w:color="DCE2EF"/>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200" w:type="dxa"/>
            <w:vAlign w:val="bottom"/>
            <w:tcBorders>
              <w:bottom w:val="single" w:sz="8" w:color="DCE2EF"/>
            </w:tcBorders>
          </w:tcPr>
          <w:p>
            <w:pPr>
              <w:spacing w:after="0" w:line="20" w:lineRule="exact"/>
              <w:rPr>
                <w:sz w:val="1"/>
                <w:szCs w:val="1"/>
                <w:color w:val="auto"/>
              </w:rPr>
            </w:pPr>
          </w:p>
        </w:tc>
        <w:tc>
          <w:tcPr>
            <w:tcW w:w="1100" w:type="dxa"/>
            <w:vAlign w:val="bottom"/>
            <w:tcBorders>
              <w:bottom w:val="single" w:sz="8" w:color="DCE2EF"/>
            </w:tcBorders>
          </w:tcPr>
          <w:p>
            <w:pPr>
              <w:spacing w:after="0" w:line="20" w:lineRule="exact"/>
              <w:rPr>
                <w:sz w:val="1"/>
                <w:szCs w:val="1"/>
                <w:color w:val="auto"/>
              </w:rPr>
            </w:pPr>
          </w:p>
        </w:tc>
        <w:tc>
          <w:tcPr>
            <w:tcW w:w="80" w:type="dxa"/>
            <w:vAlign w:val="bottom"/>
            <w:tcBorders>
              <w:bottom w:val="single" w:sz="8" w:color="DCE2E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040" w:type="dxa"/>
            <w:vAlign w:val="bottom"/>
            <w:gridSpan w:val="3"/>
            <w:shd w:val="clear" w:color="auto" w:fill="DCE2EF"/>
          </w:tcPr>
          <w:p>
            <w:pPr>
              <w:ind w:left="20"/>
              <w:spacing w:after="0"/>
              <w:rPr>
                <w:sz w:val="20"/>
                <w:szCs w:val="20"/>
                <w:color w:val="auto"/>
              </w:rPr>
            </w:pPr>
            <w:r>
              <w:rPr>
                <w:rFonts w:ascii="Arial" w:cs="Arial" w:eastAsia="Arial" w:hAnsi="Arial"/>
                <w:sz w:val="17"/>
                <w:szCs w:val="17"/>
                <w:color w:val="auto"/>
              </w:rPr>
              <w:t>Income from unconsolidated affiliates</w:t>
            </w:r>
          </w:p>
        </w:tc>
        <w:tc>
          <w:tcPr>
            <w:tcW w:w="300" w:type="dxa"/>
            <w:vAlign w:val="bottom"/>
            <w:shd w:val="clear" w:color="auto" w:fill="DCE2EF"/>
          </w:tcPr>
          <w:p>
            <w:pPr>
              <w:spacing w:after="0"/>
              <w:rPr>
                <w:sz w:val="18"/>
                <w:szCs w:val="18"/>
                <w:color w:val="auto"/>
              </w:rPr>
            </w:pPr>
          </w:p>
        </w:tc>
        <w:tc>
          <w:tcPr>
            <w:tcW w:w="980" w:type="dxa"/>
            <w:vAlign w:val="bottom"/>
            <w:shd w:val="clear" w:color="auto" w:fill="DCE2EF"/>
          </w:tcPr>
          <w:p>
            <w:pPr>
              <w:spacing w:after="0"/>
              <w:rPr>
                <w:sz w:val="18"/>
                <w:szCs w:val="18"/>
                <w:color w:val="auto"/>
              </w:rPr>
            </w:pPr>
          </w:p>
        </w:tc>
        <w:tc>
          <w:tcPr>
            <w:tcW w:w="100" w:type="dxa"/>
            <w:vAlign w:val="bottom"/>
            <w:shd w:val="clear" w:color="auto" w:fill="DCE2EF"/>
          </w:tcPr>
          <w:p>
            <w:pPr>
              <w:spacing w:after="0"/>
              <w:rPr>
                <w:sz w:val="18"/>
                <w:szCs w:val="18"/>
                <w:color w:val="auto"/>
              </w:rPr>
            </w:pPr>
          </w:p>
        </w:tc>
        <w:tc>
          <w:tcPr>
            <w:tcW w:w="380" w:type="dxa"/>
            <w:vAlign w:val="bottom"/>
            <w:shd w:val="clear" w:color="auto" w:fill="DCE2EF"/>
          </w:tcPr>
          <w:p>
            <w:pPr>
              <w:spacing w:after="0"/>
              <w:rPr>
                <w:sz w:val="18"/>
                <w:szCs w:val="18"/>
                <w:color w:val="auto"/>
              </w:rPr>
            </w:pPr>
          </w:p>
        </w:tc>
        <w:tc>
          <w:tcPr>
            <w:tcW w:w="920" w:type="dxa"/>
            <w:vAlign w:val="bottom"/>
            <w:shd w:val="clear" w:color="auto" w:fill="DCE2EF"/>
          </w:tcPr>
          <w:p>
            <w:pPr>
              <w:spacing w:after="0"/>
              <w:rPr>
                <w:sz w:val="18"/>
                <w:szCs w:val="18"/>
                <w:color w:val="auto"/>
              </w:rPr>
            </w:pPr>
          </w:p>
        </w:tc>
        <w:tc>
          <w:tcPr>
            <w:tcW w:w="80" w:type="dxa"/>
            <w:vAlign w:val="bottom"/>
            <w:shd w:val="clear" w:color="auto" w:fill="DCE2EF"/>
          </w:tcPr>
          <w:p>
            <w:pPr>
              <w:spacing w:after="0"/>
              <w:rPr>
                <w:sz w:val="18"/>
                <w:szCs w:val="18"/>
                <w:color w:val="auto"/>
              </w:rPr>
            </w:pPr>
          </w:p>
        </w:tc>
        <w:tc>
          <w:tcPr>
            <w:tcW w:w="140" w:type="dxa"/>
            <w:vAlign w:val="bottom"/>
            <w:shd w:val="clear" w:color="auto" w:fill="DCE2EF"/>
          </w:tcPr>
          <w:p>
            <w:pPr>
              <w:spacing w:after="0"/>
              <w:rPr>
                <w:sz w:val="18"/>
                <w:szCs w:val="18"/>
                <w:color w:val="auto"/>
              </w:rPr>
            </w:pPr>
          </w:p>
        </w:tc>
        <w:tc>
          <w:tcPr>
            <w:tcW w:w="1160" w:type="dxa"/>
            <w:vAlign w:val="bottom"/>
            <w:shd w:val="clear" w:color="auto" w:fill="DCE2EF"/>
          </w:tcPr>
          <w:p>
            <w:pPr>
              <w:spacing w:after="0"/>
              <w:rPr>
                <w:sz w:val="18"/>
                <w:szCs w:val="18"/>
                <w:color w:val="auto"/>
              </w:rPr>
            </w:pPr>
          </w:p>
        </w:tc>
        <w:tc>
          <w:tcPr>
            <w:tcW w:w="80" w:type="dxa"/>
            <w:vAlign w:val="bottom"/>
            <w:shd w:val="clear" w:color="auto" w:fill="DCE2EF"/>
          </w:tcPr>
          <w:p>
            <w:pPr>
              <w:spacing w:after="0"/>
              <w:rPr>
                <w:sz w:val="18"/>
                <w:szCs w:val="18"/>
                <w:color w:val="auto"/>
              </w:rPr>
            </w:pPr>
          </w:p>
        </w:tc>
        <w:tc>
          <w:tcPr>
            <w:tcW w:w="260" w:type="dxa"/>
            <w:vAlign w:val="bottom"/>
            <w:shd w:val="clear" w:color="auto" w:fill="DCE2EF"/>
          </w:tcPr>
          <w:p>
            <w:pPr>
              <w:spacing w:after="0"/>
              <w:rPr>
                <w:sz w:val="18"/>
                <w:szCs w:val="18"/>
                <w:color w:val="auto"/>
              </w:rPr>
            </w:pPr>
          </w:p>
        </w:tc>
        <w:tc>
          <w:tcPr>
            <w:tcW w:w="1040" w:type="dxa"/>
            <w:vAlign w:val="bottom"/>
            <w:shd w:val="clear" w:color="auto" w:fill="DCE2EF"/>
          </w:tcPr>
          <w:p>
            <w:pPr>
              <w:spacing w:after="0"/>
              <w:rPr>
                <w:sz w:val="18"/>
                <w:szCs w:val="18"/>
                <w:color w:val="auto"/>
              </w:rPr>
            </w:pPr>
          </w:p>
        </w:tc>
        <w:tc>
          <w:tcPr>
            <w:tcW w:w="100" w:type="dxa"/>
            <w:vAlign w:val="bottom"/>
            <w:shd w:val="clear" w:color="auto" w:fill="DCE2EF"/>
          </w:tcPr>
          <w:p>
            <w:pPr>
              <w:spacing w:after="0"/>
              <w:rPr>
                <w:sz w:val="18"/>
                <w:szCs w:val="18"/>
                <w:color w:val="auto"/>
              </w:rPr>
            </w:pPr>
          </w:p>
        </w:tc>
        <w:tc>
          <w:tcPr>
            <w:tcW w:w="200" w:type="dxa"/>
            <w:vAlign w:val="bottom"/>
            <w:shd w:val="clear" w:color="auto" w:fill="DCE2EF"/>
          </w:tcPr>
          <w:p>
            <w:pPr>
              <w:spacing w:after="0"/>
              <w:rPr>
                <w:sz w:val="18"/>
                <w:szCs w:val="18"/>
                <w:color w:val="auto"/>
              </w:rPr>
            </w:pPr>
          </w:p>
        </w:tc>
        <w:tc>
          <w:tcPr>
            <w:tcW w:w="1100" w:type="dxa"/>
            <w:vAlign w:val="bottom"/>
            <w:shd w:val="clear" w:color="auto" w:fill="DCE2EF"/>
          </w:tcPr>
          <w:p>
            <w:pPr>
              <w:spacing w:after="0"/>
              <w:rPr>
                <w:sz w:val="18"/>
                <w:szCs w:val="18"/>
                <w:color w:val="auto"/>
              </w:rPr>
            </w:pPr>
          </w:p>
        </w:tc>
        <w:tc>
          <w:tcPr>
            <w:tcW w:w="80" w:type="dxa"/>
            <w:vAlign w:val="bottom"/>
            <w:shd w:val="clear" w:color="auto" w:fill="DCE2EF"/>
          </w:tcPr>
          <w:p>
            <w:pPr>
              <w:spacing w:after="0"/>
              <w:rPr>
                <w:sz w:val="18"/>
                <w:szCs w:val="18"/>
                <w:color w:val="auto"/>
              </w:rPr>
            </w:pPr>
          </w:p>
        </w:tc>
        <w:tc>
          <w:tcPr>
            <w:tcW w:w="300" w:type="dxa"/>
            <w:vAlign w:val="bottom"/>
            <w:shd w:val="clear" w:color="auto" w:fill="DCE2EF"/>
          </w:tcPr>
          <w:p>
            <w:pPr>
              <w:spacing w:after="0"/>
              <w:rPr>
                <w:sz w:val="18"/>
                <w:szCs w:val="18"/>
                <w:color w:val="auto"/>
              </w:rPr>
            </w:pPr>
          </w:p>
        </w:tc>
        <w:tc>
          <w:tcPr>
            <w:tcW w:w="980" w:type="dxa"/>
            <w:vAlign w:val="bottom"/>
            <w:shd w:val="clear" w:color="auto" w:fill="DCE2EF"/>
          </w:tcPr>
          <w:p>
            <w:pPr>
              <w:jc w:val="right"/>
              <w:spacing w:after="0"/>
              <w:rPr>
                <w:sz w:val="20"/>
                <w:szCs w:val="20"/>
                <w:color w:val="auto"/>
              </w:rPr>
            </w:pPr>
            <w:r>
              <w:rPr>
                <w:rFonts w:ascii="Arial" w:cs="Arial" w:eastAsia="Arial" w:hAnsi="Arial"/>
                <w:sz w:val="17"/>
                <w:szCs w:val="17"/>
                <w:color w:val="auto"/>
              </w:rPr>
              <w:t>4.6</w:t>
            </w:r>
          </w:p>
        </w:tc>
        <w:tc>
          <w:tcPr>
            <w:tcW w:w="0" w:type="dxa"/>
            <w:vAlign w:val="bottom"/>
          </w:tcPr>
          <w:p>
            <w:pPr>
              <w:spacing w:after="0"/>
              <w:rPr>
                <w:sz w:val="1"/>
                <w:szCs w:val="1"/>
                <w:color w:val="auto"/>
              </w:rPr>
            </w:pPr>
          </w:p>
        </w:tc>
      </w:tr>
      <w:tr>
        <w:trPr>
          <w:trHeight w:val="219"/>
        </w:trPr>
        <w:tc>
          <w:tcPr>
            <w:tcW w:w="3040" w:type="dxa"/>
            <w:vAlign w:val="bottom"/>
            <w:tcBorders>
              <w:bottom w:val="single" w:sz="8" w:color="DCE2EF"/>
            </w:tcBorders>
            <w:gridSpan w:val="3"/>
          </w:tcPr>
          <w:p>
            <w:pPr>
              <w:ind w:left="20"/>
              <w:spacing w:after="0"/>
              <w:rPr>
                <w:sz w:val="20"/>
                <w:szCs w:val="20"/>
                <w:color w:val="auto"/>
              </w:rPr>
            </w:pPr>
            <w:r>
              <w:rPr>
                <w:rFonts w:ascii="Arial" w:cs="Arial" w:eastAsia="Arial" w:hAnsi="Arial"/>
                <w:sz w:val="17"/>
                <w:szCs w:val="17"/>
                <w:color w:val="auto"/>
              </w:rPr>
              <w:t>Interest expense</w:t>
            </w:r>
          </w:p>
        </w:tc>
        <w:tc>
          <w:tcPr>
            <w:tcW w:w="300" w:type="dxa"/>
            <w:vAlign w:val="bottom"/>
            <w:tcBorders>
              <w:bottom w:val="single" w:sz="8" w:color="DCE2EF"/>
            </w:tcBorders>
          </w:tcPr>
          <w:p>
            <w:pPr>
              <w:spacing w:after="0"/>
              <w:rPr>
                <w:sz w:val="19"/>
                <w:szCs w:val="19"/>
                <w:color w:val="auto"/>
              </w:rPr>
            </w:pPr>
          </w:p>
        </w:tc>
        <w:tc>
          <w:tcPr>
            <w:tcW w:w="980" w:type="dxa"/>
            <w:vAlign w:val="bottom"/>
            <w:tcBorders>
              <w:bottom w:val="single" w:sz="8" w:color="DCE2EF"/>
            </w:tcBorders>
          </w:tcPr>
          <w:p>
            <w:pPr>
              <w:spacing w:after="0"/>
              <w:rPr>
                <w:sz w:val="19"/>
                <w:szCs w:val="19"/>
                <w:color w:val="auto"/>
              </w:rPr>
            </w:pPr>
          </w:p>
        </w:tc>
        <w:tc>
          <w:tcPr>
            <w:tcW w:w="100" w:type="dxa"/>
            <w:vAlign w:val="bottom"/>
            <w:tcBorders>
              <w:bottom w:val="single" w:sz="8" w:color="DCE2EF"/>
            </w:tcBorders>
          </w:tcPr>
          <w:p>
            <w:pPr>
              <w:spacing w:after="0"/>
              <w:rPr>
                <w:sz w:val="19"/>
                <w:szCs w:val="19"/>
                <w:color w:val="auto"/>
              </w:rPr>
            </w:pPr>
          </w:p>
        </w:tc>
        <w:tc>
          <w:tcPr>
            <w:tcW w:w="380" w:type="dxa"/>
            <w:vAlign w:val="bottom"/>
            <w:tcBorders>
              <w:bottom w:val="single" w:sz="8" w:color="DCE2EF"/>
            </w:tcBorders>
          </w:tcPr>
          <w:p>
            <w:pPr>
              <w:spacing w:after="0"/>
              <w:rPr>
                <w:sz w:val="19"/>
                <w:szCs w:val="19"/>
                <w:color w:val="auto"/>
              </w:rPr>
            </w:pPr>
          </w:p>
        </w:tc>
        <w:tc>
          <w:tcPr>
            <w:tcW w:w="920" w:type="dxa"/>
            <w:vAlign w:val="bottom"/>
            <w:tcBorders>
              <w:bottom w:val="single" w:sz="8" w:color="DCE2EF"/>
            </w:tcBorders>
          </w:tcPr>
          <w:p>
            <w:pPr>
              <w:spacing w:after="0"/>
              <w:rPr>
                <w:sz w:val="19"/>
                <w:szCs w:val="19"/>
                <w:color w:val="auto"/>
              </w:rPr>
            </w:pPr>
          </w:p>
        </w:tc>
        <w:tc>
          <w:tcPr>
            <w:tcW w:w="80" w:type="dxa"/>
            <w:vAlign w:val="bottom"/>
            <w:tcBorders>
              <w:bottom w:val="single" w:sz="8" w:color="DCE2EF"/>
            </w:tcBorders>
          </w:tcPr>
          <w:p>
            <w:pPr>
              <w:spacing w:after="0"/>
              <w:rPr>
                <w:sz w:val="19"/>
                <w:szCs w:val="19"/>
                <w:color w:val="auto"/>
              </w:rPr>
            </w:pPr>
          </w:p>
        </w:tc>
        <w:tc>
          <w:tcPr>
            <w:tcW w:w="140" w:type="dxa"/>
            <w:vAlign w:val="bottom"/>
            <w:tcBorders>
              <w:bottom w:val="single" w:sz="8" w:color="DCE2EF"/>
            </w:tcBorders>
          </w:tcPr>
          <w:p>
            <w:pPr>
              <w:spacing w:after="0"/>
              <w:rPr>
                <w:sz w:val="19"/>
                <w:szCs w:val="19"/>
                <w:color w:val="auto"/>
              </w:rPr>
            </w:pPr>
          </w:p>
        </w:tc>
        <w:tc>
          <w:tcPr>
            <w:tcW w:w="1160" w:type="dxa"/>
            <w:vAlign w:val="bottom"/>
            <w:tcBorders>
              <w:bottom w:val="single" w:sz="8" w:color="DCE2EF"/>
            </w:tcBorders>
          </w:tcPr>
          <w:p>
            <w:pPr>
              <w:spacing w:after="0"/>
              <w:rPr>
                <w:sz w:val="19"/>
                <w:szCs w:val="19"/>
                <w:color w:val="auto"/>
              </w:rPr>
            </w:pPr>
          </w:p>
        </w:tc>
        <w:tc>
          <w:tcPr>
            <w:tcW w:w="80" w:type="dxa"/>
            <w:vAlign w:val="bottom"/>
            <w:tcBorders>
              <w:bottom w:val="single" w:sz="8" w:color="DCE2EF"/>
            </w:tcBorders>
          </w:tcPr>
          <w:p>
            <w:pPr>
              <w:spacing w:after="0"/>
              <w:rPr>
                <w:sz w:val="19"/>
                <w:szCs w:val="19"/>
                <w:color w:val="auto"/>
              </w:rPr>
            </w:pPr>
          </w:p>
        </w:tc>
        <w:tc>
          <w:tcPr>
            <w:tcW w:w="260" w:type="dxa"/>
            <w:vAlign w:val="bottom"/>
            <w:tcBorders>
              <w:bottom w:val="single" w:sz="8" w:color="DCE2EF"/>
            </w:tcBorders>
          </w:tcPr>
          <w:p>
            <w:pPr>
              <w:spacing w:after="0"/>
              <w:rPr>
                <w:sz w:val="19"/>
                <w:szCs w:val="19"/>
                <w:color w:val="auto"/>
              </w:rPr>
            </w:pPr>
          </w:p>
        </w:tc>
        <w:tc>
          <w:tcPr>
            <w:tcW w:w="1040" w:type="dxa"/>
            <w:vAlign w:val="bottom"/>
            <w:tcBorders>
              <w:bottom w:val="single" w:sz="8" w:color="DCE2EF"/>
            </w:tcBorders>
          </w:tcPr>
          <w:p>
            <w:pPr>
              <w:spacing w:after="0"/>
              <w:rPr>
                <w:sz w:val="19"/>
                <w:szCs w:val="19"/>
                <w:color w:val="auto"/>
              </w:rPr>
            </w:pPr>
          </w:p>
        </w:tc>
        <w:tc>
          <w:tcPr>
            <w:tcW w:w="100" w:type="dxa"/>
            <w:vAlign w:val="bottom"/>
            <w:tcBorders>
              <w:bottom w:val="single" w:sz="8" w:color="DCE2EF"/>
            </w:tcBorders>
          </w:tcPr>
          <w:p>
            <w:pPr>
              <w:spacing w:after="0"/>
              <w:rPr>
                <w:sz w:val="19"/>
                <w:szCs w:val="19"/>
                <w:color w:val="auto"/>
              </w:rPr>
            </w:pPr>
          </w:p>
        </w:tc>
        <w:tc>
          <w:tcPr>
            <w:tcW w:w="200" w:type="dxa"/>
            <w:vAlign w:val="bottom"/>
            <w:tcBorders>
              <w:bottom w:val="single" w:sz="8" w:color="DCE2EF"/>
            </w:tcBorders>
          </w:tcPr>
          <w:p>
            <w:pPr>
              <w:spacing w:after="0"/>
              <w:rPr>
                <w:sz w:val="19"/>
                <w:szCs w:val="19"/>
                <w:color w:val="auto"/>
              </w:rPr>
            </w:pPr>
          </w:p>
        </w:tc>
        <w:tc>
          <w:tcPr>
            <w:tcW w:w="1100" w:type="dxa"/>
            <w:vAlign w:val="bottom"/>
            <w:tcBorders>
              <w:bottom w:val="single" w:sz="8" w:color="DCE2EF"/>
            </w:tcBorders>
          </w:tcPr>
          <w:p>
            <w:pPr>
              <w:spacing w:after="0"/>
              <w:rPr>
                <w:sz w:val="19"/>
                <w:szCs w:val="19"/>
                <w:color w:val="auto"/>
              </w:rPr>
            </w:pPr>
          </w:p>
        </w:tc>
        <w:tc>
          <w:tcPr>
            <w:tcW w:w="80" w:type="dxa"/>
            <w:vAlign w:val="bottom"/>
            <w:tcBorders>
              <w:bottom w:val="single" w:sz="8" w:color="DCE2E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(96.4)</w:t>
            </w:r>
          </w:p>
        </w:tc>
        <w:tc>
          <w:tcPr>
            <w:tcW w:w="0" w:type="dxa"/>
            <w:vAlign w:val="bottom"/>
          </w:tcPr>
          <w:p>
            <w:pPr>
              <w:spacing w:after="0"/>
              <w:rPr>
                <w:sz w:val="1"/>
                <w:szCs w:val="1"/>
                <w:color w:val="auto"/>
              </w:rPr>
            </w:pPr>
          </w:p>
        </w:tc>
      </w:tr>
      <w:tr>
        <w:trPr>
          <w:trHeight w:val="237"/>
        </w:trPr>
        <w:tc>
          <w:tcPr>
            <w:tcW w:w="3040" w:type="dxa"/>
            <w:vAlign w:val="bottom"/>
            <w:tcBorders>
              <w:bottom w:val="single" w:sz="8" w:color="DCE2EF"/>
            </w:tcBorders>
            <w:gridSpan w:val="3"/>
            <w:shd w:val="clear" w:color="auto" w:fill="DCE2EF"/>
          </w:tcPr>
          <w:p>
            <w:pPr>
              <w:ind w:left="20"/>
              <w:spacing w:after="0"/>
              <w:rPr>
                <w:sz w:val="20"/>
                <w:szCs w:val="20"/>
                <w:color w:val="auto"/>
              </w:rPr>
            </w:pPr>
            <w:r>
              <w:rPr>
                <w:rFonts w:ascii="Arial" w:cs="Arial" w:eastAsia="Arial" w:hAnsi="Arial"/>
                <w:sz w:val="17"/>
                <w:szCs w:val="17"/>
                <w:b w:val="1"/>
                <w:bCs w:val="1"/>
                <w:color w:val="auto"/>
              </w:rPr>
              <w:t>Income before income taxes</w:t>
            </w:r>
          </w:p>
        </w:tc>
        <w:tc>
          <w:tcPr>
            <w:tcW w:w="300" w:type="dxa"/>
            <w:vAlign w:val="bottom"/>
            <w:tcBorders>
              <w:bottom w:val="single" w:sz="8" w:color="DCE2EF"/>
            </w:tcBorders>
            <w:shd w:val="clear" w:color="auto" w:fill="DCE2EF"/>
          </w:tcPr>
          <w:p>
            <w:pPr>
              <w:spacing w:after="0"/>
              <w:rPr>
                <w:sz w:val="20"/>
                <w:szCs w:val="20"/>
                <w:color w:val="auto"/>
              </w:rPr>
            </w:pPr>
          </w:p>
        </w:tc>
        <w:tc>
          <w:tcPr>
            <w:tcW w:w="980" w:type="dxa"/>
            <w:vAlign w:val="bottom"/>
            <w:tcBorders>
              <w:bottom w:val="single" w:sz="8" w:color="DCE2EF"/>
            </w:tcBorders>
            <w:shd w:val="clear" w:color="auto" w:fill="DCE2EF"/>
          </w:tcPr>
          <w:p>
            <w:pPr>
              <w:spacing w:after="0"/>
              <w:rPr>
                <w:sz w:val="20"/>
                <w:szCs w:val="20"/>
                <w:color w:val="auto"/>
              </w:rPr>
            </w:pPr>
          </w:p>
        </w:tc>
        <w:tc>
          <w:tcPr>
            <w:tcW w:w="100" w:type="dxa"/>
            <w:vAlign w:val="bottom"/>
            <w:tcBorders>
              <w:bottom w:val="single" w:sz="8" w:color="DCE2EF"/>
            </w:tcBorders>
            <w:shd w:val="clear" w:color="auto" w:fill="DCE2EF"/>
          </w:tcPr>
          <w:p>
            <w:pPr>
              <w:spacing w:after="0"/>
              <w:rPr>
                <w:sz w:val="20"/>
                <w:szCs w:val="20"/>
                <w:color w:val="auto"/>
              </w:rPr>
            </w:pPr>
          </w:p>
        </w:tc>
        <w:tc>
          <w:tcPr>
            <w:tcW w:w="380" w:type="dxa"/>
            <w:vAlign w:val="bottom"/>
            <w:tcBorders>
              <w:bottom w:val="single" w:sz="8" w:color="DCE2EF"/>
            </w:tcBorders>
            <w:shd w:val="clear" w:color="auto" w:fill="DCE2EF"/>
          </w:tcPr>
          <w:p>
            <w:pPr>
              <w:spacing w:after="0"/>
              <w:rPr>
                <w:sz w:val="20"/>
                <w:szCs w:val="20"/>
                <w:color w:val="auto"/>
              </w:rPr>
            </w:pPr>
          </w:p>
        </w:tc>
        <w:tc>
          <w:tcPr>
            <w:tcW w:w="920" w:type="dxa"/>
            <w:vAlign w:val="bottom"/>
            <w:tcBorders>
              <w:bottom w:val="single" w:sz="8" w:color="DCE2EF"/>
            </w:tcBorders>
            <w:shd w:val="clear" w:color="auto" w:fill="DCE2EF"/>
          </w:tcPr>
          <w:p>
            <w:pPr>
              <w:spacing w:after="0"/>
              <w:rPr>
                <w:sz w:val="20"/>
                <w:szCs w:val="20"/>
                <w:color w:val="auto"/>
              </w:rPr>
            </w:pPr>
          </w:p>
        </w:tc>
        <w:tc>
          <w:tcPr>
            <w:tcW w:w="80" w:type="dxa"/>
            <w:vAlign w:val="bottom"/>
            <w:tcBorders>
              <w:bottom w:val="single" w:sz="8" w:color="DCE2EF"/>
            </w:tcBorders>
            <w:shd w:val="clear" w:color="auto" w:fill="DCE2EF"/>
          </w:tcPr>
          <w:p>
            <w:pPr>
              <w:spacing w:after="0"/>
              <w:rPr>
                <w:sz w:val="20"/>
                <w:szCs w:val="20"/>
                <w:color w:val="auto"/>
              </w:rPr>
            </w:pPr>
          </w:p>
        </w:tc>
        <w:tc>
          <w:tcPr>
            <w:tcW w:w="140" w:type="dxa"/>
            <w:vAlign w:val="bottom"/>
            <w:tcBorders>
              <w:bottom w:val="single" w:sz="8" w:color="DCE2EF"/>
            </w:tcBorders>
            <w:shd w:val="clear" w:color="auto" w:fill="DCE2EF"/>
          </w:tcPr>
          <w:p>
            <w:pPr>
              <w:spacing w:after="0"/>
              <w:rPr>
                <w:sz w:val="20"/>
                <w:szCs w:val="20"/>
                <w:color w:val="auto"/>
              </w:rPr>
            </w:pPr>
          </w:p>
        </w:tc>
        <w:tc>
          <w:tcPr>
            <w:tcW w:w="1160" w:type="dxa"/>
            <w:vAlign w:val="bottom"/>
            <w:tcBorders>
              <w:bottom w:val="single" w:sz="8" w:color="DCE2EF"/>
            </w:tcBorders>
            <w:shd w:val="clear" w:color="auto" w:fill="DCE2EF"/>
          </w:tcPr>
          <w:p>
            <w:pPr>
              <w:spacing w:after="0"/>
              <w:rPr>
                <w:sz w:val="20"/>
                <w:szCs w:val="20"/>
                <w:color w:val="auto"/>
              </w:rPr>
            </w:pPr>
          </w:p>
        </w:tc>
        <w:tc>
          <w:tcPr>
            <w:tcW w:w="80" w:type="dxa"/>
            <w:vAlign w:val="bottom"/>
            <w:tcBorders>
              <w:bottom w:val="single" w:sz="8" w:color="DCE2EF"/>
            </w:tcBorders>
            <w:shd w:val="clear" w:color="auto" w:fill="DCE2EF"/>
          </w:tcPr>
          <w:p>
            <w:pPr>
              <w:spacing w:after="0"/>
              <w:rPr>
                <w:sz w:val="20"/>
                <w:szCs w:val="20"/>
                <w:color w:val="auto"/>
              </w:rPr>
            </w:pPr>
          </w:p>
        </w:tc>
        <w:tc>
          <w:tcPr>
            <w:tcW w:w="260" w:type="dxa"/>
            <w:vAlign w:val="bottom"/>
            <w:tcBorders>
              <w:bottom w:val="single" w:sz="8" w:color="DCE2EF"/>
            </w:tcBorders>
            <w:shd w:val="clear" w:color="auto" w:fill="DCE2EF"/>
          </w:tcPr>
          <w:p>
            <w:pPr>
              <w:spacing w:after="0"/>
              <w:rPr>
                <w:sz w:val="20"/>
                <w:szCs w:val="20"/>
                <w:color w:val="auto"/>
              </w:rPr>
            </w:pPr>
          </w:p>
        </w:tc>
        <w:tc>
          <w:tcPr>
            <w:tcW w:w="1040" w:type="dxa"/>
            <w:vAlign w:val="bottom"/>
            <w:tcBorders>
              <w:bottom w:val="single" w:sz="8" w:color="DCE2EF"/>
            </w:tcBorders>
            <w:shd w:val="clear" w:color="auto" w:fill="DCE2EF"/>
          </w:tcPr>
          <w:p>
            <w:pPr>
              <w:spacing w:after="0"/>
              <w:rPr>
                <w:sz w:val="20"/>
                <w:szCs w:val="20"/>
                <w:color w:val="auto"/>
              </w:rPr>
            </w:pPr>
          </w:p>
        </w:tc>
        <w:tc>
          <w:tcPr>
            <w:tcW w:w="100" w:type="dxa"/>
            <w:vAlign w:val="bottom"/>
            <w:tcBorders>
              <w:bottom w:val="single" w:sz="8" w:color="DCE2EF"/>
            </w:tcBorders>
            <w:shd w:val="clear" w:color="auto" w:fill="DCE2EF"/>
          </w:tcPr>
          <w:p>
            <w:pPr>
              <w:spacing w:after="0"/>
              <w:rPr>
                <w:sz w:val="20"/>
                <w:szCs w:val="20"/>
                <w:color w:val="auto"/>
              </w:rPr>
            </w:pPr>
          </w:p>
        </w:tc>
        <w:tc>
          <w:tcPr>
            <w:tcW w:w="200" w:type="dxa"/>
            <w:vAlign w:val="bottom"/>
            <w:tcBorders>
              <w:bottom w:val="single" w:sz="8" w:color="DCE2EF"/>
            </w:tcBorders>
            <w:shd w:val="clear" w:color="auto" w:fill="DCE2EF"/>
          </w:tcPr>
          <w:p>
            <w:pPr>
              <w:spacing w:after="0"/>
              <w:rPr>
                <w:sz w:val="20"/>
                <w:szCs w:val="20"/>
                <w:color w:val="auto"/>
              </w:rPr>
            </w:pPr>
          </w:p>
        </w:tc>
        <w:tc>
          <w:tcPr>
            <w:tcW w:w="1100" w:type="dxa"/>
            <w:vAlign w:val="bottom"/>
            <w:tcBorders>
              <w:bottom w:val="single" w:sz="8" w:color="DCE2EF"/>
            </w:tcBorders>
            <w:shd w:val="clear" w:color="auto" w:fill="DCE2EF"/>
          </w:tcPr>
          <w:p>
            <w:pPr>
              <w:spacing w:after="0"/>
              <w:rPr>
                <w:sz w:val="20"/>
                <w:szCs w:val="20"/>
                <w:color w:val="auto"/>
              </w:rPr>
            </w:pPr>
          </w:p>
        </w:tc>
        <w:tc>
          <w:tcPr>
            <w:tcW w:w="80" w:type="dxa"/>
            <w:vAlign w:val="bottom"/>
            <w:tcBorders>
              <w:bottom w:val="single" w:sz="8" w:color="DCE2EF"/>
            </w:tcBorders>
            <w:shd w:val="clear" w:color="auto" w:fill="DCE2EF"/>
          </w:tcPr>
          <w:p>
            <w:pPr>
              <w:spacing w:after="0"/>
              <w:rPr>
                <w:sz w:val="20"/>
                <w:szCs w:val="20"/>
                <w:color w:val="auto"/>
              </w:rPr>
            </w:pPr>
          </w:p>
        </w:tc>
        <w:tc>
          <w:tcPr>
            <w:tcW w:w="300" w:type="dxa"/>
            <w:vAlign w:val="bottom"/>
            <w:tcBorders>
              <w:bottom w:val="single" w:sz="8" w:color="auto"/>
            </w:tcBorders>
            <w:shd w:val="clear" w:color="auto" w:fill="DCE2EF"/>
          </w:tcPr>
          <w:p>
            <w:pPr>
              <w:jc w:val="right"/>
              <w:ind w:right="94"/>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7"/>
                <w:szCs w:val="17"/>
                <w:color w:val="auto"/>
              </w:rPr>
              <w:t>219.9</w:t>
            </w:r>
          </w:p>
        </w:tc>
        <w:tc>
          <w:tcPr>
            <w:tcW w:w="0" w:type="dxa"/>
            <w:vAlign w:val="bottom"/>
          </w:tcPr>
          <w:p>
            <w:pPr>
              <w:spacing w:after="0"/>
              <w:rPr>
                <w:sz w:val="1"/>
                <w:szCs w:val="1"/>
                <w:color w:val="auto"/>
              </w:rPr>
            </w:pPr>
          </w:p>
        </w:tc>
      </w:tr>
      <w:tr>
        <w:trPr>
          <w:trHeight w:val="20"/>
        </w:trPr>
        <w:tc>
          <w:tcPr>
            <w:tcW w:w="20" w:type="dxa"/>
            <w:vAlign w:val="bottom"/>
            <w:tcBorders>
              <w:top w:val="single" w:sz="8" w:color="DCE2EF"/>
            </w:tcBorders>
          </w:tcPr>
          <w:p>
            <w:pPr>
              <w:spacing w:after="0" w:line="20" w:lineRule="exact"/>
              <w:rPr>
                <w:sz w:val="1"/>
                <w:szCs w:val="1"/>
                <w:color w:val="auto"/>
              </w:rPr>
            </w:pPr>
          </w:p>
        </w:tc>
        <w:tc>
          <w:tcPr>
            <w:tcW w:w="680" w:type="dxa"/>
            <w:vAlign w:val="bottom"/>
            <w:tcBorders>
              <w:top w:val="single" w:sz="8" w:color="DCE2EF"/>
            </w:tcBorders>
          </w:tcPr>
          <w:p>
            <w:pPr>
              <w:spacing w:after="0" w:line="20" w:lineRule="exact"/>
              <w:rPr>
                <w:sz w:val="1"/>
                <w:szCs w:val="1"/>
                <w:color w:val="auto"/>
              </w:rPr>
            </w:pPr>
          </w:p>
        </w:tc>
        <w:tc>
          <w:tcPr>
            <w:tcW w:w="2340" w:type="dxa"/>
            <w:vAlign w:val="bottom"/>
            <w:tcBorders>
              <w:top w:val="single" w:sz="8" w:color="DCE2EF"/>
            </w:tcBorders>
          </w:tcPr>
          <w:p>
            <w:pPr>
              <w:spacing w:after="0" w:line="20" w:lineRule="exact"/>
              <w:rPr>
                <w:sz w:val="1"/>
                <w:szCs w:val="1"/>
                <w:color w:val="auto"/>
              </w:rPr>
            </w:pPr>
          </w:p>
        </w:tc>
        <w:tc>
          <w:tcPr>
            <w:tcW w:w="300" w:type="dxa"/>
            <w:vAlign w:val="bottom"/>
            <w:tcBorders>
              <w:top w:val="single" w:sz="8" w:color="DCE2EF"/>
            </w:tcBorders>
          </w:tcPr>
          <w:p>
            <w:pPr>
              <w:spacing w:after="0" w:line="20" w:lineRule="exact"/>
              <w:rPr>
                <w:sz w:val="1"/>
                <w:szCs w:val="1"/>
                <w:color w:val="auto"/>
              </w:rPr>
            </w:pPr>
          </w:p>
        </w:tc>
        <w:tc>
          <w:tcPr>
            <w:tcW w:w="980" w:type="dxa"/>
            <w:vAlign w:val="bottom"/>
            <w:tcBorders>
              <w:top w:val="single" w:sz="8" w:color="DCE2EF"/>
            </w:tcBorders>
          </w:tcPr>
          <w:p>
            <w:pPr>
              <w:spacing w:after="0" w:line="20" w:lineRule="exact"/>
              <w:rPr>
                <w:sz w:val="1"/>
                <w:szCs w:val="1"/>
                <w:color w:val="auto"/>
              </w:rPr>
            </w:pPr>
          </w:p>
        </w:tc>
        <w:tc>
          <w:tcPr>
            <w:tcW w:w="100" w:type="dxa"/>
            <w:vAlign w:val="bottom"/>
            <w:tcBorders>
              <w:top w:val="single" w:sz="8" w:color="DCE2EF"/>
            </w:tcBorders>
          </w:tcPr>
          <w:p>
            <w:pPr>
              <w:spacing w:after="0" w:line="20" w:lineRule="exact"/>
              <w:rPr>
                <w:sz w:val="1"/>
                <w:szCs w:val="1"/>
                <w:color w:val="auto"/>
              </w:rPr>
            </w:pPr>
          </w:p>
        </w:tc>
        <w:tc>
          <w:tcPr>
            <w:tcW w:w="380" w:type="dxa"/>
            <w:vAlign w:val="bottom"/>
            <w:tcBorders>
              <w:top w:val="single" w:sz="8" w:color="DCE2EF"/>
            </w:tcBorders>
          </w:tcPr>
          <w:p>
            <w:pPr>
              <w:spacing w:after="0" w:line="20" w:lineRule="exact"/>
              <w:rPr>
                <w:sz w:val="1"/>
                <w:szCs w:val="1"/>
                <w:color w:val="auto"/>
              </w:rPr>
            </w:pPr>
          </w:p>
        </w:tc>
        <w:tc>
          <w:tcPr>
            <w:tcW w:w="920" w:type="dxa"/>
            <w:vAlign w:val="bottom"/>
            <w:tcBorders>
              <w:top w:val="single" w:sz="8" w:color="DCE2EF"/>
            </w:tcBorders>
          </w:tcPr>
          <w:p>
            <w:pPr>
              <w:spacing w:after="0" w:line="20" w:lineRule="exact"/>
              <w:rPr>
                <w:sz w:val="1"/>
                <w:szCs w:val="1"/>
                <w:color w:val="auto"/>
              </w:rPr>
            </w:pPr>
          </w:p>
        </w:tc>
        <w:tc>
          <w:tcPr>
            <w:tcW w:w="80" w:type="dxa"/>
            <w:vAlign w:val="bottom"/>
            <w:tcBorders>
              <w:top w:val="single" w:sz="8" w:color="DCE2EF"/>
            </w:tcBorders>
          </w:tcPr>
          <w:p>
            <w:pPr>
              <w:spacing w:after="0" w:line="20" w:lineRule="exact"/>
              <w:rPr>
                <w:sz w:val="1"/>
                <w:szCs w:val="1"/>
                <w:color w:val="auto"/>
              </w:rPr>
            </w:pPr>
          </w:p>
        </w:tc>
        <w:tc>
          <w:tcPr>
            <w:tcW w:w="140" w:type="dxa"/>
            <w:vAlign w:val="bottom"/>
            <w:tcBorders>
              <w:top w:val="single" w:sz="8" w:color="DCE2EF"/>
            </w:tcBorders>
          </w:tcPr>
          <w:p>
            <w:pPr>
              <w:spacing w:after="0" w:line="20" w:lineRule="exact"/>
              <w:rPr>
                <w:sz w:val="1"/>
                <w:szCs w:val="1"/>
                <w:color w:val="auto"/>
              </w:rPr>
            </w:pPr>
          </w:p>
        </w:tc>
        <w:tc>
          <w:tcPr>
            <w:tcW w:w="1160" w:type="dxa"/>
            <w:vAlign w:val="bottom"/>
            <w:tcBorders>
              <w:top w:val="single" w:sz="8" w:color="DCE2EF"/>
            </w:tcBorders>
          </w:tcPr>
          <w:p>
            <w:pPr>
              <w:spacing w:after="0" w:line="20" w:lineRule="exact"/>
              <w:rPr>
                <w:sz w:val="1"/>
                <w:szCs w:val="1"/>
                <w:color w:val="auto"/>
              </w:rPr>
            </w:pPr>
          </w:p>
        </w:tc>
        <w:tc>
          <w:tcPr>
            <w:tcW w:w="80" w:type="dxa"/>
            <w:vAlign w:val="bottom"/>
            <w:tcBorders>
              <w:top w:val="single" w:sz="8" w:color="DCE2EF"/>
            </w:tcBorders>
          </w:tcPr>
          <w:p>
            <w:pPr>
              <w:spacing w:after="0" w:line="20" w:lineRule="exact"/>
              <w:rPr>
                <w:sz w:val="1"/>
                <w:szCs w:val="1"/>
                <w:color w:val="auto"/>
              </w:rPr>
            </w:pPr>
          </w:p>
        </w:tc>
        <w:tc>
          <w:tcPr>
            <w:tcW w:w="260" w:type="dxa"/>
            <w:vAlign w:val="bottom"/>
            <w:tcBorders>
              <w:top w:val="single" w:sz="8" w:color="DCE2EF"/>
            </w:tcBorders>
          </w:tcPr>
          <w:p>
            <w:pPr>
              <w:spacing w:after="0" w:line="20" w:lineRule="exact"/>
              <w:rPr>
                <w:sz w:val="1"/>
                <w:szCs w:val="1"/>
                <w:color w:val="auto"/>
              </w:rPr>
            </w:pPr>
          </w:p>
        </w:tc>
        <w:tc>
          <w:tcPr>
            <w:tcW w:w="1040" w:type="dxa"/>
            <w:vAlign w:val="bottom"/>
            <w:tcBorders>
              <w:top w:val="single" w:sz="8" w:color="DCE2EF"/>
            </w:tcBorders>
          </w:tcPr>
          <w:p>
            <w:pPr>
              <w:spacing w:after="0" w:line="20" w:lineRule="exact"/>
              <w:rPr>
                <w:sz w:val="1"/>
                <w:szCs w:val="1"/>
                <w:color w:val="auto"/>
              </w:rPr>
            </w:pPr>
          </w:p>
        </w:tc>
        <w:tc>
          <w:tcPr>
            <w:tcW w:w="100" w:type="dxa"/>
            <w:vAlign w:val="bottom"/>
            <w:tcBorders>
              <w:top w:val="single" w:sz="8" w:color="DCE2EF"/>
            </w:tcBorders>
          </w:tcPr>
          <w:p>
            <w:pPr>
              <w:spacing w:after="0" w:line="20" w:lineRule="exact"/>
              <w:rPr>
                <w:sz w:val="1"/>
                <w:szCs w:val="1"/>
                <w:color w:val="auto"/>
              </w:rPr>
            </w:pPr>
          </w:p>
        </w:tc>
        <w:tc>
          <w:tcPr>
            <w:tcW w:w="200" w:type="dxa"/>
            <w:vAlign w:val="bottom"/>
            <w:tcBorders>
              <w:top w:val="single" w:sz="8" w:color="DCE2EF"/>
            </w:tcBorders>
          </w:tcPr>
          <w:p>
            <w:pPr>
              <w:spacing w:after="0" w:line="20" w:lineRule="exact"/>
              <w:rPr>
                <w:sz w:val="1"/>
                <w:szCs w:val="1"/>
                <w:color w:val="auto"/>
              </w:rPr>
            </w:pPr>
          </w:p>
        </w:tc>
        <w:tc>
          <w:tcPr>
            <w:tcW w:w="1100" w:type="dxa"/>
            <w:vAlign w:val="bottom"/>
            <w:tcBorders>
              <w:top w:val="single" w:sz="8" w:color="DCE2EF"/>
            </w:tcBorders>
          </w:tcPr>
          <w:p>
            <w:pPr>
              <w:spacing w:after="0" w:line="20" w:lineRule="exact"/>
              <w:rPr>
                <w:sz w:val="1"/>
                <w:szCs w:val="1"/>
                <w:color w:val="auto"/>
              </w:rPr>
            </w:pPr>
          </w:p>
        </w:tc>
        <w:tc>
          <w:tcPr>
            <w:tcW w:w="80" w:type="dxa"/>
            <w:vAlign w:val="bottom"/>
            <w:tcBorders>
              <w:top w:val="single" w:sz="8" w:color="DCE2EF"/>
            </w:tcBorders>
          </w:tcPr>
          <w:p>
            <w:pPr>
              <w:spacing w:after="0" w:line="20" w:lineRule="exact"/>
              <w:rPr>
                <w:sz w:val="1"/>
                <w:szCs w:val="1"/>
                <w:color w:val="auto"/>
              </w:rPr>
            </w:pPr>
          </w:p>
        </w:tc>
        <w:tc>
          <w:tcPr>
            <w:tcW w:w="300" w:type="dxa"/>
            <w:vAlign w:val="bottom"/>
            <w:tcBorders>
              <w:top w:val="single" w:sz="8" w:color="DCE2EF"/>
              <w:bottom w:val="single" w:sz="8" w:color="auto"/>
            </w:tcBorders>
          </w:tcPr>
          <w:p>
            <w:pPr>
              <w:spacing w:after="0" w:line="20" w:lineRule="exact"/>
              <w:rPr>
                <w:sz w:val="1"/>
                <w:szCs w:val="1"/>
                <w:color w:val="auto"/>
              </w:rPr>
            </w:pPr>
          </w:p>
        </w:tc>
        <w:tc>
          <w:tcPr>
            <w:tcW w:w="980" w:type="dxa"/>
            <w:vAlign w:val="bottom"/>
            <w:tcBorders>
              <w:top w:val="single" w:sz="8" w:color="DCE2E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2340" w:type="dxa"/>
            <w:vAlign w:val="bottom"/>
          </w:tcPr>
          <w:p>
            <w:pPr>
              <w:spacing w:after="0"/>
              <w:rPr>
                <w:sz w:val="4"/>
                <w:szCs w:val="4"/>
                <w:color w:val="auto"/>
              </w:rPr>
            </w:pPr>
          </w:p>
        </w:tc>
        <w:tc>
          <w:tcPr>
            <w:tcW w:w="3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9"/>
        </w:trPr>
        <w:tc>
          <w:tcPr>
            <w:tcW w:w="3040" w:type="dxa"/>
            <w:vAlign w:val="bottom"/>
            <w:gridSpan w:val="3"/>
            <w:shd w:val="clear" w:color="auto" w:fill="DCE2EF"/>
          </w:tcPr>
          <w:p>
            <w:pPr>
              <w:ind w:left="20"/>
              <w:spacing w:after="0" w:line="219" w:lineRule="exact"/>
              <w:rPr>
                <w:sz w:val="20"/>
                <w:szCs w:val="20"/>
                <w:color w:val="auto"/>
              </w:rPr>
            </w:pPr>
            <w:r>
              <w:rPr>
                <w:rFonts w:ascii="Arial" w:cs="Arial" w:eastAsia="Arial" w:hAnsi="Arial"/>
                <w:sz w:val="17"/>
                <w:szCs w:val="17"/>
                <w:b w:val="1"/>
                <w:bCs w:val="1"/>
                <w:color w:val="auto"/>
              </w:rPr>
              <w:t>Other significant segment items</w:t>
            </w:r>
            <w:r>
              <w:rPr>
                <w:rFonts w:ascii="Arial" w:cs="Arial" w:eastAsia="Arial" w:hAnsi="Arial"/>
                <w:sz w:val="22"/>
                <w:szCs w:val="22"/>
                <w:b w:val="1"/>
                <w:bCs w:val="1"/>
                <w:color w:val="auto"/>
                <w:vertAlign w:val="superscript"/>
              </w:rPr>
              <w:t>(3)</w:t>
            </w:r>
          </w:p>
        </w:tc>
        <w:tc>
          <w:tcPr>
            <w:tcW w:w="300" w:type="dxa"/>
            <w:vAlign w:val="bottom"/>
            <w:shd w:val="clear" w:color="auto" w:fill="DCE2EF"/>
          </w:tcPr>
          <w:p>
            <w:pPr>
              <w:spacing w:after="0"/>
              <w:rPr>
                <w:sz w:val="19"/>
                <w:szCs w:val="19"/>
                <w:color w:val="auto"/>
              </w:rPr>
            </w:pPr>
          </w:p>
        </w:tc>
        <w:tc>
          <w:tcPr>
            <w:tcW w:w="980" w:type="dxa"/>
            <w:vAlign w:val="bottom"/>
            <w:shd w:val="clear" w:color="auto" w:fill="DCE2EF"/>
          </w:tcPr>
          <w:p>
            <w:pPr>
              <w:spacing w:after="0"/>
              <w:rPr>
                <w:sz w:val="19"/>
                <w:szCs w:val="19"/>
                <w:color w:val="auto"/>
              </w:rPr>
            </w:pPr>
          </w:p>
        </w:tc>
        <w:tc>
          <w:tcPr>
            <w:tcW w:w="100" w:type="dxa"/>
            <w:vAlign w:val="bottom"/>
            <w:shd w:val="clear" w:color="auto" w:fill="DCE2EF"/>
          </w:tcPr>
          <w:p>
            <w:pPr>
              <w:spacing w:after="0"/>
              <w:rPr>
                <w:sz w:val="19"/>
                <w:szCs w:val="19"/>
                <w:color w:val="auto"/>
              </w:rPr>
            </w:pPr>
          </w:p>
        </w:tc>
        <w:tc>
          <w:tcPr>
            <w:tcW w:w="380" w:type="dxa"/>
            <w:vAlign w:val="bottom"/>
            <w:shd w:val="clear" w:color="auto" w:fill="DCE2EF"/>
          </w:tcPr>
          <w:p>
            <w:pPr>
              <w:spacing w:after="0"/>
              <w:rPr>
                <w:sz w:val="19"/>
                <w:szCs w:val="19"/>
                <w:color w:val="auto"/>
              </w:rPr>
            </w:pPr>
          </w:p>
        </w:tc>
        <w:tc>
          <w:tcPr>
            <w:tcW w:w="920" w:type="dxa"/>
            <w:vAlign w:val="bottom"/>
            <w:shd w:val="clear" w:color="auto" w:fill="DCE2EF"/>
          </w:tcPr>
          <w:p>
            <w:pPr>
              <w:spacing w:after="0"/>
              <w:rPr>
                <w:sz w:val="19"/>
                <w:szCs w:val="19"/>
                <w:color w:val="auto"/>
              </w:rPr>
            </w:pPr>
          </w:p>
        </w:tc>
        <w:tc>
          <w:tcPr>
            <w:tcW w:w="80" w:type="dxa"/>
            <w:vAlign w:val="bottom"/>
            <w:shd w:val="clear" w:color="auto" w:fill="DCE2EF"/>
          </w:tcPr>
          <w:p>
            <w:pPr>
              <w:spacing w:after="0"/>
              <w:rPr>
                <w:sz w:val="19"/>
                <w:szCs w:val="19"/>
                <w:color w:val="auto"/>
              </w:rPr>
            </w:pPr>
          </w:p>
        </w:tc>
        <w:tc>
          <w:tcPr>
            <w:tcW w:w="140" w:type="dxa"/>
            <w:vAlign w:val="bottom"/>
            <w:shd w:val="clear" w:color="auto" w:fill="DCE2EF"/>
          </w:tcPr>
          <w:p>
            <w:pPr>
              <w:spacing w:after="0"/>
              <w:rPr>
                <w:sz w:val="19"/>
                <w:szCs w:val="19"/>
                <w:color w:val="auto"/>
              </w:rPr>
            </w:pPr>
          </w:p>
        </w:tc>
        <w:tc>
          <w:tcPr>
            <w:tcW w:w="1160" w:type="dxa"/>
            <w:vAlign w:val="bottom"/>
            <w:shd w:val="clear" w:color="auto" w:fill="DCE2EF"/>
          </w:tcPr>
          <w:p>
            <w:pPr>
              <w:spacing w:after="0"/>
              <w:rPr>
                <w:sz w:val="19"/>
                <w:szCs w:val="19"/>
                <w:color w:val="auto"/>
              </w:rPr>
            </w:pPr>
          </w:p>
        </w:tc>
        <w:tc>
          <w:tcPr>
            <w:tcW w:w="80" w:type="dxa"/>
            <w:vAlign w:val="bottom"/>
            <w:shd w:val="clear" w:color="auto" w:fill="DCE2EF"/>
          </w:tcPr>
          <w:p>
            <w:pPr>
              <w:spacing w:after="0"/>
              <w:rPr>
                <w:sz w:val="19"/>
                <w:szCs w:val="19"/>
                <w:color w:val="auto"/>
              </w:rPr>
            </w:pPr>
          </w:p>
        </w:tc>
        <w:tc>
          <w:tcPr>
            <w:tcW w:w="260" w:type="dxa"/>
            <w:vAlign w:val="bottom"/>
            <w:shd w:val="clear" w:color="auto" w:fill="DCE2EF"/>
          </w:tcPr>
          <w:p>
            <w:pPr>
              <w:spacing w:after="0"/>
              <w:rPr>
                <w:sz w:val="19"/>
                <w:szCs w:val="19"/>
                <w:color w:val="auto"/>
              </w:rPr>
            </w:pPr>
          </w:p>
        </w:tc>
        <w:tc>
          <w:tcPr>
            <w:tcW w:w="1040" w:type="dxa"/>
            <w:vAlign w:val="bottom"/>
            <w:shd w:val="clear" w:color="auto" w:fill="DCE2EF"/>
          </w:tcPr>
          <w:p>
            <w:pPr>
              <w:spacing w:after="0"/>
              <w:rPr>
                <w:sz w:val="19"/>
                <w:szCs w:val="19"/>
                <w:color w:val="auto"/>
              </w:rPr>
            </w:pPr>
          </w:p>
        </w:tc>
        <w:tc>
          <w:tcPr>
            <w:tcW w:w="100" w:type="dxa"/>
            <w:vAlign w:val="bottom"/>
            <w:shd w:val="clear" w:color="auto" w:fill="DCE2EF"/>
          </w:tcPr>
          <w:p>
            <w:pPr>
              <w:spacing w:after="0"/>
              <w:rPr>
                <w:sz w:val="19"/>
                <w:szCs w:val="19"/>
                <w:color w:val="auto"/>
              </w:rPr>
            </w:pPr>
          </w:p>
        </w:tc>
        <w:tc>
          <w:tcPr>
            <w:tcW w:w="200" w:type="dxa"/>
            <w:vAlign w:val="bottom"/>
            <w:shd w:val="clear" w:color="auto" w:fill="DCE2EF"/>
          </w:tcPr>
          <w:p>
            <w:pPr>
              <w:spacing w:after="0"/>
              <w:rPr>
                <w:sz w:val="19"/>
                <w:szCs w:val="19"/>
                <w:color w:val="auto"/>
              </w:rPr>
            </w:pPr>
          </w:p>
        </w:tc>
        <w:tc>
          <w:tcPr>
            <w:tcW w:w="1100" w:type="dxa"/>
            <w:vAlign w:val="bottom"/>
            <w:shd w:val="clear" w:color="auto" w:fill="DCE2EF"/>
          </w:tcPr>
          <w:p>
            <w:pPr>
              <w:spacing w:after="0"/>
              <w:rPr>
                <w:sz w:val="19"/>
                <w:szCs w:val="19"/>
                <w:color w:val="auto"/>
              </w:rPr>
            </w:pPr>
          </w:p>
        </w:tc>
        <w:tc>
          <w:tcPr>
            <w:tcW w:w="80" w:type="dxa"/>
            <w:vAlign w:val="bottom"/>
            <w:shd w:val="clear" w:color="auto" w:fill="DCE2EF"/>
          </w:tcPr>
          <w:p>
            <w:pPr>
              <w:spacing w:after="0"/>
              <w:rPr>
                <w:sz w:val="19"/>
                <w:szCs w:val="19"/>
                <w:color w:val="auto"/>
              </w:rPr>
            </w:pPr>
          </w:p>
        </w:tc>
        <w:tc>
          <w:tcPr>
            <w:tcW w:w="300" w:type="dxa"/>
            <w:vAlign w:val="bottom"/>
            <w:shd w:val="clear" w:color="auto" w:fill="DCE2EF"/>
          </w:tcPr>
          <w:p>
            <w:pPr>
              <w:spacing w:after="0"/>
              <w:rPr>
                <w:sz w:val="19"/>
                <w:szCs w:val="19"/>
                <w:color w:val="auto"/>
              </w:rPr>
            </w:pPr>
          </w:p>
        </w:tc>
        <w:tc>
          <w:tcPr>
            <w:tcW w:w="980" w:type="dxa"/>
            <w:vAlign w:val="bottom"/>
            <w:shd w:val="clear" w:color="auto" w:fill="DCE2E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020" w:type="dxa"/>
            <w:vAlign w:val="bottom"/>
            <w:gridSpan w:val="2"/>
          </w:tcPr>
          <w:p>
            <w:pPr>
              <w:ind w:left="100"/>
              <w:spacing w:after="0"/>
              <w:rPr>
                <w:sz w:val="20"/>
                <w:szCs w:val="20"/>
                <w:color w:val="auto"/>
              </w:rPr>
            </w:pPr>
            <w:r>
              <w:rPr>
                <w:rFonts w:ascii="Arial" w:cs="Arial" w:eastAsia="Arial" w:hAnsi="Arial"/>
                <w:sz w:val="17"/>
                <w:szCs w:val="17"/>
                <w:color w:val="auto"/>
              </w:rPr>
              <w:t>Materials and supplies</w:t>
            </w:r>
          </w:p>
        </w:tc>
        <w:tc>
          <w:tcPr>
            <w:tcW w:w="300" w:type="dxa"/>
            <w:vAlign w:val="bottom"/>
          </w:tcPr>
          <w:p>
            <w:pPr>
              <w:jc w:val="right"/>
              <w:ind w:right="114"/>
              <w:spacing w:after="0"/>
              <w:rPr>
                <w:sz w:val="20"/>
                <w:szCs w:val="20"/>
                <w:color w:val="auto"/>
              </w:rPr>
            </w:pPr>
            <w:r>
              <w:rPr>
                <w:rFonts w:ascii="Arial" w:cs="Arial" w:eastAsia="Arial" w:hAnsi="Arial"/>
                <w:sz w:val="17"/>
                <w:szCs w:val="17"/>
                <w:color w:val="auto"/>
                <w:w w:val="84"/>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109.2</w:t>
            </w:r>
          </w:p>
        </w:tc>
        <w:tc>
          <w:tcPr>
            <w:tcW w:w="100" w:type="dxa"/>
            <w:vAlign w:val="bottom"/>
          </w:tcPr>
          <w:p>
            <w:pPr>
              <w:spacing w:after="0"/>
              <w:rPr>
                <w:sz w:val="19"/>
                <w:szCs w:val="19"/>
                <w:color w:val="auto"/>
              </w:rPr>
            </w:pPr>
          </w:p>
        </w:tc>
        <w:tc>
          <w:tcPr>
            <w:tcW w:w="380" w:type="dxa"/>
            <w:vAlign w:val="bottom"/>
          </w:tcPr>
          <w:p>
            <w:pPr>
              <w:jc w:val="right"/>
              <w:ind w:right="194"/>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58.5</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22.3</w:t>
            </w:r>
          </w:p>
        </w:tc>
        <w:tc>
          <w:tcPr>
            <w:tcW w:w="80" w:type="dxa"/>
            <w:vAlign w:val="bottom"/>
          </w:tcPr>
          <w:p>
            <w:pPr>
              <w:spacing w:after="0"/>
              <w:rPr>
                <w:sz w:val="19"/>
                <w:szCs w:val="19"/>
                <w:color w:val="auto"/>
              </w:rPr>
            </w:pPr>
          </w:p>
        </w:tc>
        <w:tc>
          <w:tcPr>
            <w:tcW w:w="260" w:type="dxa"/>
            <w:vAlign w:val="bottom"/>
          </w:tcPr>
          <w:p>
            <w:pPr>
              <w:jc w:val="right"/>
              <w:ind w:right="54"/>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47.5</w:t>
            </w:r>
          </w:p>
        </w:tc>
        <w:tc>
          <w:tcPr>
            <w:tcW w:w="100" w:type="dxa"/>
            <w:vAlign w:val="bottom"/>
          </w:tcPr>
          <w:p>
            <w:pPr>
              <w:spacing w:after="0"/>
              <w:rPr>
                <w:sz w:val="19"/>
                <w:szCs w:val="19"/>
                <w:color w:val="auto"/>
              </w:rPr>
            </w:pP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280.8</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20" w:type="dxa"/>
            <w:vAlign w:val="bottom"/>
            <w:shd w:val="clear" w:color="auto" w:fill="DCE2EF"/>
          </w:tcPr>
          <w:p>
            <w:pPr>
              <w:spacing w:after="0"/>
              <w:rPr>
                <w:sz w:val="14"/>
                <w:szCs w:val="14"/>
                <w:color w:val="auto"/>
              </w:rPr>
            </w:pPr>
          </w:p>
        </w:tc>
        <w:tc>
          <w:tcPr>
            <w:tcW w:w="3020" w:type="dxa"/>
            <w:vAlign w:val="bottom"/>
            <w:gridSpan w:val="2"/>
            <w:shd w:val="clear" w:color="auto" w:fill="DCE2EF"/>
          </w:tcPr>
          <w:p>
            <w:pPr>
              <w:ind w:left="100"/>
              <w:spacing w:after="0" w:line="167" w:lineRule="exact"/>
              <w:rPr>
                <w:sz w:val="20"/>
                <w:szCs w:val="20"/>
                <w:color w:val="auto"/>
              </w:rPr>
            </w:pPr>
            <w:r>
              <w:rPr>
                <w:rFonts w:ascii="Arial" w:cs="Arial" w:eastAsia="Arial" w:hAnsi="Arial"/>
                <w:sz w:val="17"/>
                <w:szCs w:val="17"/>
                <w:color w:val="auto"/>
              </w:rPr>
              <w:t>Salaries and wages (other than</w:t>
            </w:r>
          </w:p>
        </w:tc>
        <w:tc>
          <w:tcPr>
            <w:tcW w:w="300" w:type="dxa"/>
            <w:vAlign w:val="bottom"/>
            <w:shd w:val="clear" w:color="auto" w:fill="DCE2EF"/>
          </w:tcPr>
          <w:p>
            <w:pPr>
              <w:spacing w:after="0"/>
              <w:rPr>
                <w:sz w:val="14"/>
                <w:szCs w:val="14"/>
                <w:color w:val="auto"/>
              </w:rPr>
            </w:pPr>
          </w:p>
        </w:tc>
        <w:tc>
          <w:tcPr>
            <w:tcW w:w="980" w:type="dxa"/>
            <w:vAlign w:val="bottom"/>
            <w:shd w:val="clear" w:color="auto" w:fill="DCE2EF"/>
          </w:tcPr>
          <w:p>
            <w:pPr>
              <w:spacing w:after="0"/>
              <w:rPr>
                <w:sz w:val="14"/>
                <w:szCs w:val="14"/>
                <w:color w:val="auto"/>
              </w:rPr>
            </w:pPr>
          </w:p>
        </w:tc>
        <w:tc>
          <w:tcPr>
            <w:tcW w:w="100" w:type="dxa"/>
            <w:vAlign w:val="bottom"/>
            <w:shd w:val="clear" w:color="auto" w:fill="DCE2EF"/>
          </w:tcPr>
          <w:p>
            <w:pPr>
              <w:spacing w:after="0"/>
              <w:rPr>
                <w:sz w:val="14"/>
                <w:szCs w:val="14"/>
                <w:color w:val="auto"/>
              </w:rPr>
            </w:pPr>
          </w:p>
        </w:tc>
        <w:tc>
          <w:tcPr>
            <w:tcW w:w="380" w:type="dxa"/>
            <w:vAlign w:val="bottom"/>
            <w:shd w:val="clear" w:color="auto" w:fill="DCE2EF"/>
          </w:tcPr>
          <w:p>
            <w:pPr>
              <w:spacing w:after="0"/>
              <w:rPr>
                <w:sz w:val="14"/>
                <w:szCs w:val="14"/>
                <w:color w:val="auto"/>
              </w:rPr>
            </w:pPr>
          </w:p>
        </w:tc>
        <w:tc>
          <w:tcPr>
            <w:tcW w:w="920" w:type="dxa"/>
            <w:vAlign w:val="bottom"/>
            <w:shd w:val="clear" w:color="auto" w:fill="DCE2EF"/>
          </w:tcPr>
          <w:p>
            <w:pPr>
              <w:spacing w:after="0"/>
              <w:rPr>
                <w:sz w:val="14"/>
                <w:szCs w:val="14"/>
                <w:color w:val="auto"/>
              </w:rPr>
            </w:pPr>
          </w:p>
        </w:tc>
        <w:tc>
          <w:tcPr>
            <w:tcW w:w="80" w:type="dxa"/>
            <w:vAlign w:val="bottom"/>
            <w:shd w:val="clear" w:color="auto" w:fill="DCE2EF"/>
          </w:tcPr>
          <w:p>
            <w:pPr>
              <w:spacing w:after="0"/>
              <w:rPr>
                <w:sz w:val="14"/>
                <w:szCs w:val="14"/>
                <w:color w:val="auto"/>
              </w:rPr>
            </w:pPr>
          </w:p>
        </w:tc>
        <w:tc>
          <w:tcPr>
            <w:tcW w:w="140" w:type="dxa"/>
            <w:vAlign w:val="bottom"/>
            <w:shd w:val="clear" w:color="auto" w:fill="DCE2EF"/>
          </w:tcPr>
          <w:p>
            <w:pPr>
              <w:spacing w:after="0"/>
              <w:rPr>
                <w:sz w:val="14"/>
                <w:szCs w:val="14"/>
                <w:color w:val="auto"/>
              </w:rPr>
            </w:pPr>
          </w:p>
        </w:tc>
        <w:tc>
          <w:tcPr>
            <w:tcW w:w="1160" w:type="dxa"/>
            <w:vAlign w:val="bottom"/>
            <w:shd w:val="clear" w:color="auto" w:fill="DCE2EF"/>
          </w:tcPr>
          <w:p>
            <w:pPr>
              <w:spacing w:after="0"/>
              <w:rPr>
                <w:sz w:val="14"/>
                <w:szCs w:val="14"/>
                <w:color w:val="auto"/>
              </w:rPr>
            </w:pPr>
          </w:p>
        </w:tc>
        <w:tc>
          <w:tcPr>
            <w:tcW w:w="80" w:type="dxa"/>
            <w:vAlign w:val="bottom"/>
            <w:shd w:val="clear" w:color="auto" w:fill="DCE2EF"/>
          </w:tcPr>
          <w:p>
            <w:pPr>
              <w:spacing w:after="0"/>
              <w:rPr>
                <w:sz w:val="14"/>
                <w:szCs w:val="14"/>
                <w:color w:val="auto"/>
              </w:rPr>
            </w:pPr>
          </w:p>
        </w:tc>
        <w:tc>
          <w:tcPr>
            <w:tcW w:w="260" w:type="dxa"/>
            <w:vAlign w:val="bottom"/>
            <w:shd w:val="clear" w:color="auto" w:fill="DCE2EF"/>
          </w:tcPr>
          <w:p>
            <w:pPr>
              <w:spacing w:after="0"/>
              <w:rPr>
                <w:sz w:val="14"/>
                <w:szCs w:val="14"/>
                <w:color w:val="auto"/>
              </w:rPr>
            </w:pPr>
          </w:p>
        </w:tc>
        <w:tc>
          <w:tcPr>
            <w:tcW w:w="1040" w:type="dxa"/>
            <w:vAlign w:val="bottom"/>
            <w:shd w:val="clear" w:color="auto" w:fill="DCE2EF"/>
          </w:tcPr>
          <w:p>
            <w:pPr>
              <w:spacing w:after="0"/>
              <w:rPr>
                <w:sz w:val="14"/>
                <w:szCs w:val="14"/>
                <w:color w:val="auto"/>
              </w:rPr>
            </w:pPr>
          </w:p>
        </w:tc>
        <w:tc>
          <w:tcPr>
            <w:tcW w:w="100" w:type="dxa"/>
            <w:vAlign w:val="bottom"/>
            <w:shd w:val="clear" w:color="auto" w:fill="DCE2EF"/>
          </w:tcPr>
          <w:p>
            <w:pPr>
              <w:spacing w:after="0"/>
              <w:rPr>
                <w:sz w:val="14"/>
                <w:szCs w:val="14"/>
                <w:color w:val="auto"/>
              </w:rPr>
            </w:pPr>
          </w:p>
        </w:tc>
        <w:tc>
          <w:tcPr>
            <w:tcW w:w="200" w:type="dxa"/>
            <w:vAlign w:val="bottom"/>
            <w:shd w:val="clear" w:color="auto" w:fill="DCE2EF"/>
          </w:tcPr>
          <w:p>
            <w:pPr>
              <w:spacing w:after="0"/>
              <w:rPr>
                <w:sz w:val="14"/>
                <w:szCs w:val="14"/>
                <w:color w:val="auto"/>
              </w:rPr>
            </w:pPr>
          </w:p>
        </w:tc>
        <w:tc>
          <w:tcPr>
            <w:tcW w:w="1100" w:type="dxa"/>
            <w:vAlign w:val="bottom"/>
            <w:shd w:val="clear" w:color="auto" w:fill="DCE2EF"/>
          </w:tcPr>
          <w:p>
            <w:pPr>
              <w:spacing w:after="0"/>
              <w:rPr>
                <w:sz w:val="14"/>
                <w:szCs w:val="14"/>
                <w:color w:val="auto"/>
              </w:rPr>
            </w:pPr>
          </w:p>
        </w:tc>
        <w:tc>
          <w:tcPr>
            <w:tcW w:w="80" w:type="dxa"/>
            <w:vAlign w:val="bottom"/>
            <w:shd w:val="clear" w:color="auto" w:fill="DCE2EF"/>
          </w:tcPr>
          <w:p>
            <w:pPr>
              <w:spacing w:after="0"/>
              <w:rPr>
                <w:sz w:val="14"/>
                <w:szCs w:val="14"/>
                <w:color w:val="auto"/>
              </w:rPr>
            </w:pPr>
          </w:p>
        </w:tc>
        <w:tc>
          <w:tcPr>
            <w:tcW w:w="300" w:type="dxa"/>
            <w:vAlign w:val="bottom"/>
            <w:shd w:val="clear" w:color="auto" w:fill="DCE2EF"/>
          </w:tcPr>
          <w:p>
            <w:pPr>
              <w:spacing w:after="0"/>
              <w:rPr>
                <w:sz w:val="14"/>
                <w:szCs w:val="14"/>
                <w:color w:val="auto"/>
              </w:rPr>
            </w:pPr>
          </w:p>
        </w:tc>
        <w:tc>
          <w:tcPr>
            <w:tcW w:w="980" w:type="dxa"/>
            <w:vAlign w:val="bottom"/>
            <w:shd w:val="clear" w:color="auto" w:fill="DCE2EF"/>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20" w:type="dxa"/>
            <w:vAlign w:val="bottom"/>
            <w:shd w:val="clear" w:color="auto" w:fill="DCE2EF"/>
          </w:tcPr>
          <w:p>
            <w:pPr>
              <w:spacing w:after="0"/>
              <w:rPr>
                <w:sz w:val="20"/>
                <w:szCs w:val="20"/>
                <w:color w:val="auto"/>
              </w:rPr>
            </w:pPr>
          </w:p>
        </w:tc>
        <w:tc>
          <w:tcPr>
            <w:tcW w:w="3020" w:type="dxa"/>
            <w:vAlign w:val="bottom"/>
            <w:gridSpan w:val="2"/>
            <w:shd w:val="clear" w:color="auto" w:fill="DCE2EF"/>
          </w:tcPr>
          <w:p>
            <w:pPr>
              <w:ind w:left="100"/>
              <w:spacing w:after="0"/>
              <w:rPr>
                <w:sz w:val="20"/>
                <w:szCs w:val="20"/>
                <w:color w:val="auto"/>
              </w:rPr>
            </w:pPr>
            <w:r>
              <w:rPr>
                <w:rFonts w:ascii="Arial" w:cs="Arial" w:eastAsia="Arial" w:hAnsi="Arial"/>
                <w:sz w:val="17"/>
                <w:szCs w:val="17"/>
                <w:color w:val="auto"/>
              </w:rPr>
              <w:t>direct)</w:t>
            </w:r>
          </w:p>
        </w:tc>
        <w:tc>
          <w:tcPr>
            <w:tcW w:w="300" w:type="dxa"/>
            <w:vAlign w:val="bottom"/>
            <w:shd w:val="clear" w:color="auto" w:fill="DCE2EF"/>
          </w:tcPr>
          <w:p>
            <w:pPr>
              <w:spacing w:after="0"/>
              <w:rPr>
                <w:sz w:val="20"/>
                <w:szCs w:val="20"/>
                <w:color w:val="auto"/>
              </w:rPr>
            </w:pPr>
          </w:p>
        </w:tc>
        <w:tc>
          <w:tcPr>
            <w:tcW w:w="980" w:type="dxa"/>
            <w:vAlign w:val="bottom"/>
            <w:shd w:val="clear" w:color="auto" w:fill="DCE2EF"/>
          </w:tcPr>
          <w:p>
            <w:pPr>
              <w:jc w:val="right"/>
              <w:spacing w:after="0"/>
              <w:rPr>
                <w:sz w:val="20"/>
                <w:szCs w:val="20"/>
                <w:color w:val="auto"/>
              </w:rPr>
            </w:pPr>
            <w:r>
              <w:rPr>
                <w:rFonts w:ascii="Arial" w:cs="Arial" w:eastAsia="Arial" w:hAnsi="Arial"/>
                <w:sz w:val="17"/>
                <w:szCs w:val="17"/>
                <w:color w:val="auto"/>
              </w:rPr>
              <w:t>126.7</w:t>
            </w:r>
          </w:p>
        </w:tc>
        <w:tc>
          <w:tcPr>
            <w:tcW w:w="100" w:type="dxa"/>
            <w:vAlign w:val="bottom"/>
            <w:shd w:val="clear" w:color="auto" w:fill="DCE2EF"/>
          </w:tcPr>
          <w:p>
            <w:pPr>
              <w:spacing w:after="0"/>
              <w:rPr>
                <w:sz w:val="20"/>
                <w:szCs w:val="20"/>
                <w:color w:val="auto"/>
              </w:rPr>
            </w:pPr>
          </w:p>
        </w:tc>
        <w:tc>
          <w:tcPr>
            <w:tcW w:w="380" w:type="dxa"/>
            <w:vAlign w:val="bottom"/>
            <w:shd w:val="clear" w:color="auto" w:fill="DCE2EF"/>
          </w:tcPr>
          <w:p>
            <w:pPr>
              <w:spacing w:after="0"/>
              <w:rPr>
                <w:sz w:val="20"/>
                <w:szCs w:val="20"/>
                <w:color w:val="auto"/>
              </w:rPr>
            </w:pPr>
          </w:p>
        </w:tc>
        <w:tc>
          <w:tcPr>
            <w:tcW w:w="920" w:type="dxa"/>
            <w:vAlign w:val="bottom"/>
            <w:shd w:val="clear" w:color="auto" w:fill="DCE2EF"/>
          </w:tcPr>
          <w:p>
            <w:pPr>
              <w:jc w:val="right"/>
              <w:spacing w:after="0"/>
              <w:rPr>
                <w:sz w:val="20"/>
                <w:szCs w:val="20"/>
                <w:color w:val="auto"/>
              </w:rPr>
            </w:pPr>
            <w:r>
              <w:rPr>
                <w:rFonts w:ascii="Arial" w:cs="Arial" w:eastAsia="Arial" w:hAnsi="Arial"/>
                <w:sz w:val="17"/>
                <w:szCs w:val="17"/>
                <w:color w:val="auto"/>
              </w:rPr>
              <w:t>32.1</w:t>
            </w:r>
          </w:p>
        </w:tc>
        <w:tc>
          <w:tcPr>
            <w:tcW w:w="80" w:type="dxa"/>
            <w:vAlign w:val="bottom"/>
            <w:shd w:val="clear" w:color="auto" w:fill="DCE2EF"/>
          </w:tcPr>
          <w:p>
            <w:pPr>
              <w:spacing w:after="0"/>
              <w:rPr>
                <w:sz w:val="20"/>
                <w:szCs w:val="20"/>
                <w:color w:val="auto"/>
              </w:rPr>
            </w:pPr>
          </w:p>
        </w:tc>
        <w:tc>
          <w:tcPr>
            <w:tcW w:w="140" w:type="dxa"/>
            <w:vAlign w:val="bottom"/>
            <w:shd w:val="clear" w:color="auto" w:fill="DCE2EF"/>
          </w:tcPr>
          <w:p>
            <w:pPr>
              <w:spacing w:after="0"/>
              <w:rPr>
                <w:sz w:val="20"/>
                <w:szCs w:val="20"/>
                <w:color w:val="auto"/>
              </w:rPr>
            </w:pPr>
          </w:p>
        </w:tc>
        <w:tc>
          <w:tcPr>
            <w:tcW w:w="1160" w:type="dxa"/>
            <w:vAlign w:val="bottom"/>
            <w:shd w:val="clear" w:color="auto" w:fill="DCE2EF"/>
          </w:tcPr>
          <w:p>
            <w:pPr>
              <w:jc w:val="right"/>
              <w:spacing w:after="0"/>
              <w:rPr>
                <w:sz w:val="20"/>
                <w:szCs w:val="20"/>
                <w:color w:val="auto"/>
              </w:rPr>
            </w:pPr>
            <w:r>
              <w:rPr>
                <w:rFonts w:ascii="Arial" w:cs="Arial" w:eastAsia="Arial" w:hAnsi="Arial"/>
                <w:sz w:val="17"/>
                <w:szCs w:val="17"/>
                <w:color w:val="auto"/>
              </w:rPr>
              <w:t>16.2</w:t>
            </w:r>
          </w:p>
        </w:tc>
        <w:tc>
          <w:tcPr>
            <w:tcW w:w="80" w:type="dxa"/>
            <w:vAlign w:val="bottom"/>
            <w:shd w:val="clear" w:color="auto" w:fill="DCE2EF"/>
          </w:tcPr>
          <w:p>
            <w:pPr>
              <w:spacing w:after="0"/>
              <w:rPr>
                <w:sz w:val="20"/>
                <w:szCs w:val="20"/>
                <w:color w:val="auto"/>
              </w:rPr>
            </w:pPr>
          </w:p>
        </w:tc>
        <w:tc>
          <w:tcPr>
            <w:tcW w:w="260" w:type="dxa"/>
            <w:vAlign w:val="bottom"/>
            <w:shd w:val="clear" w:color="auto" w:fill="DCE2EF"/>
          </w:tcPr>
          <w:p>
            <w:pPr>
              <w:spacing w:after="0"/>
              <w:rPr>
                <w:sz w:val="20"/>
                <w:szCs w:val="20"/>
                <w:color w:val="auto"/>
              </w:rPr>
            </w:pPr>
          </w:p>
        </w:tc>
        <w:tc>
          <w:tcPr>
            <w:tcW w:w="1040" w:type="dxa"/>
            <w:vAlign w:val="bottom"/>
            <w:shd w:val="clear" w:color="auto" w:fill="DCE2EF"/>
          </w:tcPr>
          <w:p>
            <w:pPr>
              <w:jc w:val="right"/>
              <w:spacing w:after="0"/>
              <w:rPr>
                <w:sz w:val="20"/>
                <w:szCs w:val="20"/>
                <w:color w:val="auto"/>
              </w:rPr>
            </w:pPr>
            <w:r>
              <w:rPr>
                <w:rFonts w:ascii="Arial" w:cs="Arial" w:eastAsia="Arial" w:hAnsi="Arial"/>
                <w:sz w:val="17"/>
                <w:szCs w:val="17"/>
                <w:color w:val="auto"/>
              </w:rPr>
              <w:t>16.3</w:t>
            </w:r>
          </w:p>
        </w:tc>
        <w:tc>
          <w:tcPr>
            <w:tcW w:w="100" w:type="dxa"/>
            <w:vAlign w:val="bottom"/>
            <w:shd w:val="clear" w:color="auto" w:fill="DCE2EF"/>
          </w:tcPr>
          <w:p>
            <w:pPr>
              <w:spacing w:after="0"/>
              <w:rPr>
                <w:sz w:val="20"/>
                <w:szCs w:val="20"/>
                <w:color w:val="auto"/>
              </w:rPr>
            </w:pPr>
          </w:p>
        </w:tc>
        <w:tc>
          <w:tcPr>
            <w:tcW w:w="200" w:type="dxa"/>
            <w:vAlign w:val="bottom"/>
            <w:shd w:val="clear" w:color="auto" w:fill="DCE2EF"/>
          </w:tcPr>
          <w:p>
            <w:pPr>
              <w:spacing w:after="0"/>
              <w:rPr>
                <w:sz w:val="20"/>
                <w:szCs w:val="20"/>
                <w:color w:val="auto"/>
              </w:rPr>
            </w:pPr>
          </w:p>
        </w:tc>
        <w:tc>
          <w:tcPr>
            <w:tcW w:w="1100" w:type="dxa"/>
            <w:vAlign w:val="bottom"/>
            <w:shd w:val="clear" w:color="auto" w:fill="DCE2EF"/>
          </w:tcPr>
          <w:p>
            <w:pPr>
              <w:jc w:val="right"/>
              <w:spacing w:after="0"/>
              <w:rPr>
                <w:sz w:val="20"/>
                <w:szCs w:val="20"/>
                <w:color w:val="auto"/>
              </w:rPr>
            </w:pPr>
            <w:r>
              <w:rPr>
                <w:rFonts w:ascii="Arial" w:cs="Arial" w:eastAsia="Arial" w:hAnsi="Arial"/>
                <w:sz w:val="17"/>
                <w:szCs w:val="17"/>
                <w:color w:val="auto"/>
              </w:rPr>
              <w:t>130.4</w:t>
            </w:r>
          </w:p>
        </w:tc>
        <w:tc>
          <w:tcPr>
            <w:tcW w:w="80" w:type="dxa"/>
            <w:vAlign w:val="bottom"/>
            <w:shd w:val="clear" w:color="auto" w:fill="DCE2EF"/>
          </w:tcPr>
          <w:p>
            <w:pPr>
              <w:spacing w:after="0"/>
              <w:rPr>
                <w:sz w:val="20"/>
                <w:szCs w:val="20"/>
                <w:color w:val="auto"/>
              </w:rPr>
            </w:pPr>
          </w:p>
        </w:tc>
        <w:tc>
          <w:tcPr>
            <w:tcW w:w="300" w:type="dxa"/>
            <w:vAlign w:val="bottom"/>
            <w:shd w:val="clear" w:color="auto" w:fill="DCE2EF"/>
          </w:tcPr>
          <w:p>
            <w:pPr>
              <w:spacing w:after="0"/>
              <w:rPr>
                <w:sz w:val="20"/>
                <w:szCs w:val="20"/>
                <w:color w:val="auto"/>
              </w:rPr>
            </w:pPr>
          </w:p>
        </w:tc>
        <w:tc>
          <w:tcPr>
            <w:tcW w:w="980" w:type="dxa"/>
            <w:vAlign w:val="bottom"/>
            <w:shd w:val="clear" w:color="auto" w:fill="DCE2EF"/>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020" w:type="dxa"/>
            <w:vAlign w:val="bottom"/>
            <w:gridSpan w:val="2"/>
          </w:tcPr>
          <w:p>
            <w:pPr>
              <w:ind w:left="100"/>
              <w:spacing w:after="0"/>
              <w:rPr>
                <w:sz w:val="20"/>
                <w:szCs w:val="20"/>
                <w:color w:val="auto"/>
              </w:rPr>
            </w:pPr>
            <w:r>
              <w:rPr>
                <w:rFonts w:ascii="Arial" w:cs="Arial" w:eastAsia="Arial" w:hAnsi="Arial"/>
                <w:sz w:val="17"/>
                <w:szCs w:val="17"/>
                <w:color w:val="auto"/>
              </w:rPr>
              <w:t>Consulting and professional services</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11.8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5.3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46.0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4.0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9.2</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20" w:type="dxa"/>
            <w:vAlign w:val="bottom"/>
            <w:shd w:val="clear" w:color="auto" w:fill="DCE2EF"/>
          </w:tcPr>
          <w:p>
            <w:pPr>
              <w:spacing w:after="0"/>
              <w:rPr>
                <w:sz w:val="14"/>
                <w:szCs w:val="14"/>
                <w:color w:val="auto"/>
              </w:rPr>
            </w:pPr>
          </w:p>
        </w:tc>
        <w:tc>
          <w:tcPr>
            <w:tcW w:w="3020" w:type="dxa"/>
            <w:vAlign w:val="bottom"/>
            <w:gridSpan w:val="2"/>
            <w:shd w:val="clear" w:color="auto" w:fill="DCE2EF"/>
          </w:tcPr>
          <w:p>
            <w:pPr>
              <w:ind w:left="100"/>
              <w:spacing w:after="0" w:line="167" w:lineRule="exact"/>
              <w:rPr>
                <w:sz w:val="20"/>
                <w:szCs w:val="20"/>
                <w:color w:val="auto"/>
              </w:rPr>
            </w:pPr>
            <w:r>
              <w:rPr>
                <w:rFonts w:ascii="Arial" w:cs="Arial" w:eastAsia="Arial" w:hAnsi="Arial"/>
                <w:sz w:val="17"/>
                <w:szCs w:val="17"/>
                <w:color w:val="auto"/>
              </w:rPr>
              <w:t>Travel and entertainment (other than</w:t>
            </w:r>
          </w:p>
        </w:tc>
        <w:tc>
          <w:tcPr>
            <w:tcW w:w="300" w:type="dxa"/>
            <w:vAlign w:val="bottom"/>
            <w:shd w:val="clear" w:color="auto" w:fill="DCE2EF"/>
          </w:tcPr>
          <w:p>
            <w:pPr>
              <w:spacing w:after="0"/>
              <w:rPr>
                <w:sz w:val="14"/>
                <w:szCs w:val="14"/>
                <w:color w:val="auto"/>
              </w:rPr>
            </w:pPr>
          </w:p>
        </w:tc>
        <w:tc>
          <w:tcPr>
            <w:tcW w:w="980" w:type="dxa"/>
            <w:vAlign w:val="bottom"/>
            <w:shd w:val="clear" w:color="auto" w:fill="DCE2EF"/>
          </w:tcPr>
          <w:p>
            <w:pPr>
              <w:spacing w:after="0"/>
              <w:rPr>
                <w:sz w:val="14"/>
                <w:szCs w:val="14"/>
                <w:color w:val="auto"/>
              </w:rPr>
            </w:pPr>
          </w:p>
        </w:tc>
        <w:tc>
          <w:tcPr>
            <w:tcW w:w="100" w:type="dxa"/>
            <w:vAlign w:val="bottom"/>
            <w:shd w:val="clear" w:color="auto" w:fill="DCE2EF"/>
          </w:tcPr>
          <w:p>
            <w:pPr>
              <w:spacing w:after="0"/>
              <w:rPr>
                <w:sz w:val="14"/>
                <w:szCs w:val="14"/>
                <w:color w:val="auto"/>
              </w:rPr>
            </w:pPr>
          </w:p>
        </w:tc>
        <w:tc>
          <w:tcPr>
            <w:tcW w:w="380" w:type="dxa"/>
            <w:vAlign w:val="bottom"/>
            <w:shd w:val="clear" w:color="auto" w:fill="DCE2EF"/>
          </w:tcPr>
          <w:p>
            <w:pPr>
              <w:spacing w:after="0"/>
              <w:rPr>
                <w:sz w:val="14"/>
                <w:szCs w:val="14"/>
                <w:color w:val="auto"/>
              </w:rPr>
            </w:pPr>
          </w:p>
        </w:tc>
        <w:tc>
          <w:tcPr>
            <w:tcW w:w="920" w:type="dxa"/>
            <w:vAlign w:val="bottom"/>
            <w:shd w:val="clear" w:color="auto" w:fill="DCE2EF"/>
          </w:tcPr>
          <w:p>
            <w:pPr>
              <w:spacing w:after="0"/>
              <w:rPr>
                <w:sz w:val="14"/>
                <w:szCs w:val="14"/>
                <w:color w:val="auto"/>
              </w:rPr>
            </w:pPr>
          </w:p>
        </w:tc>
        <w:tc>
          <w:tcPr>
            <w:tcW w:w="80" w:type="dxa"/>
            <w:vAlign w:val="bottom"/>
            <w:shd w:val="clear" w:color="auto" w:fill="DCE2EF"/>
          </w:tcPr>
          <w:p>
            <w:pPr>
              <w:spacing w:after="0"/>
              <w:rPr>
                <w:sz w:val="14"/>
                <w:szCs w:val="14"/>
                <w:color w:val="auto"/>
              </w:rPr>
            </w:pPr>
          </w:p>
        </w:tc>
        <w:tc>
          <w:tcPr>
            <w:tcW w:w="140" w:type="dxa"/>
            <w:vAlign w:val="bottom"/>
            <w:shd w:val="clear" w:color="auto" w:fill="DCE2EF"/>
          </w:tcPr>
          <w:p>
            <w:pPr>
              <w:spacing w:after="0"/>
              <w:rPr>
                <w:sz w:val="14"/>
                <w:szCs w:val="14"/>
                <w:color w:val="auto"/>
              </w:rPr>
            </w:pPr>
          </w:p>
        </w:tc>
        <w:tc>
          <w:tcPr>
            <w:tcW w:w="1160" w:type="dxa"/>
            <w:vAlign w:val="bottom"/>
            <w:shd w:val="clear" w:color="auto" w:fill="DCE2EF"/>
          </w:tcPr>
          <w:p>
            <w:pPr>
              <w:spacing w:after="0"/>
              <w:rPr>
                <w:sz w:val="14"/>
                <w:szCs w:val="14"/>
                <w:color w:val="auto"/>
              </w:rPr>
            </w:pPr>
          </w:p>
        </w:tc>
        <w:tc>
          <w:tcPr>
            <w:tcW w:w="80" w:type="dxa"/>
            <w:vAlign w:val="bottom"/>
            <w:shd w:val="clear" w:color="auto" w:fill="DCE2EF"/>
          </w:tcPr>
          <w:p>
            <w:pPr>
              <w:spacing w:after="0"/>
              <w:rPr>
                <w:sz w:val="14"/>
                <w:szCs w:val="14"/>
                <w:color w:val="auto"/>
              </w:rPr>
            </w:pPr>
          </w:p>
        </w:tc>
        <w:tc>
          <w:tcPr>
            <w:tcW w:w="260" w:type="dxa"/>
            <w:vAlign w:val="bottom"/>
            <w:shd w:val="clear" w:color="auto" w:fill="DCE2EF"/>
          </w:tcPr>
          <w:p>
            <w:pPr>
              <w:spacing w:after="0"/>
              <w:rPr>
                <w:sz w:val="14"/>
                <w:szCs w:val="14"/>
                <w:color w:val="auto"/>
              </w:rPr>
            </w:pPr>
          </w:p>
        </w:tc>
        <w:tc>
          <w:tcPr>
            <w:tcW w:w="1040" w:type="dxa"/>
            <w:vAlign w:val="bottom"/>
            <w:shd w:val="clear" w:color="auto" w:fill="DCE2EF"/>
          </w:tcPr>
          <w:p>
            <w:pPr>
              <w:spacing w:after="0"/>
              <w:rPr>
                <w:sz w:val="14"/>
                <w:szCs w:val="14"/>
                <w:color w:val="auto"/>
              </w:rPr>
            </w:pPr>
          </w:p>
        </w:tc>
        <w:tc>
          <w:tcPr>
            <w:tcW w:w="100" w:type="dxa"/>
            <w:vAlign w:val="bottom"/>
            <w:shd w:val="clear" w:color="auto" w:fill="DCE2EF"/>
          </w:tcPr>
          <w:p>
            <w:pPr>
              <w:spacing w:after="0"/>
              <w:rPr>
                <w:sz w:val="14"/>
                <w:szCs w:val="14"/>
                <w:color w:val="auto"/>
              </w:rPr>
            </w:pPr>
          </w:p>
        </w:tc>
        <w:tc>
          <w:tcPr>
            <w:tcW w:w="200" w:type="dxa"/>
            <w:vAlign w:val="bottom"/>
            <w:shd w:val="clear" w:color="auto" w:fill="DCE2EF"/>
          </w:tcPr>
          <w:p>
            <w:pPr>
              <w:spacing w:after="0"/>
              <w:rPr>
                <w:sz w:val="14"/>
                <w:szCs w:val="14"/>
                <w:color w:val="auto"/>
              </w:rPr>
            </w:pPr>
          </w:p>
        </w:tc>
        <w:tc>
          <w:tcPr>
            <w:tcW w:w="1100" w:type="dxa"/>
            <w:vAlign w:val="bottom"/>
            <w:shd w:val="clear" w:color="auto" w:fill="DCE2EF"/>
          </w:tcPr>
          <w:p>
            <w:pPr>
              <w:spacing w:after="0"/>
              <w:rPr>
                <w:sz w:val="14"/>
                <w:szCs w:val="14"/>
                <w:color w:val="auto"/>
              </w:rPr>
            </w:pPr>
          </w:p>
        </w:tc>
        <w:tc>
          <w:tcPr>
            <w:tcW w:w="80" w:type="dxa"/>
            <w:vAlign w:val="bottom"/>
            <w:shd w:val="clear" w:color="auto" w:fill="DCE2EF"/>
          </w:tcPr>
          <w:p>
            <w:pPr>
              <w:spacing w:after="0"/>
              <w:rPr>
                <w:sz w:val="14"/>
                <w:szCs w:val="14"/>
                <w:color w:val="auto"/>
              </w:rPr>
            </w:pPr>
          </w:p>
        </w:tc>
        <w:tc>
          <w:tcPr>
            <w:tcW w:w="300" w:type="dxa"/>
            <w:vAlign w:val="bottom"/>
            <w:shd w:val="clear" w:color="auto" w:fill="DCE2EF"/>
          </w:tcPr>
          <w:p>
            <w:pPr>
              <w:spacing w:after="0"/>
              <w:rPr>
                <w:sz w:val="14"/>
                <w:szCs w:val="14"/>
                <w:color w:val="auto"/>
              </w:rPr>
            </w:pPr>
          </w:p>
        </w:tc>
        <w:tc>
          <w:tcPr>
            <w:tcW w:w="980" w:type="dxa"/>
            <w:vAlign w:val="bottom"/>
            <w:shd w:val="clear" w:color="auto" w:fill="DCE2EF"/>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20" w:type="dxa"/>
            <w:vAlign w:val="bottom"/>
            <w:shd w:val="clear" w:color="auto" w:fill="DCE2EF"/>
          </w:tcPr>
          <w:p>
            <w:pPr>
              <w:spacing w:after="0"/>
              <w:rPr>
                <w:sz w:val="20"/>
                <w:szCs w:val="20"/>
                <w:color w:val="auto"/>
              </w:rPr>
            </w:pPr>
          </w:p>
        </w:tc>
        <w:tc>
          <w:tcPr>
            <w:tcW w:w="3020" w:type="dxa"/>
            <w:vAlign w:val="bottom"/>
            <w:gridSpan w:val="2"/>
            <w:shd w:val="clear" w:color="auto" w:fill="DCE2EF"/>
          </w:tcPr>
          <w:p>
            <w:pPr>
              <w:ind w:left="100"/>
              <w:spacing w:after="0"/>
              <w:rPr>
                <w:sz w:val="20"/>
                <w:szCs w:val="20"/>
                <w:color w:val="auto"/>
              </w:rPr>
            </w:pPr>
            <w:r>
              <w:rPr>
                <w:rFonts w:ascii="Arial" w:cs="Arial" w:eastAsia="Arial" w:hAnsi="Arial"/>
                <w:sz w:val="17"/>
                <w:szCs w:val="17"/>
                <w:color w:val="auto"/>
              </w:rPr>
              <w:t>direct)</w:t>
            </w:r>
          </w:p>
        </w:tc>
        <w:tc>
          <w:tcPr>
            <w:tcW w:w="300" w:type="dxa"/>
            <w:vAlign w:val="bottom"/>
            <w:shd w:val="clear" w:color="auto" w:fill="DCE2EF"/>
          </w:tcPr>
          <w:p>
            <w:pPr>
              <w:spacing w:after="0"/>
              <w:rPr>
                <w:sz w:val="20"/>
                <w:szCs w:val="20"/>
                <w:color w:val="auto"/>
              </w:rPr>
            </w:pPr>
          </w:p>
        </w:tc>
        <w:tc>
          <w:tcPr>
            <w:tcW w:w="980" w:type="dxa"/>
            <w:vAlign w:val="bottom"/>
            <w:shd w:val="clear" w:color="auto" w:fill="DCE2EF"/>
          </w:tcPr>
          <w:p>
            <w:pPr>
              <w:jc w:val="right"/>
              <w:spacing w:after="0"/>
              <w:rPr>
                <w:sz w:val="20"/>
                <w:szCs w:val="20"/>
                <w:color w:val="auto"/>
              </w:rPr>
            </w:pPr>
            <w:r>
              <w:rPr>
                <w:rFonts w:ascii="Arial" w:cs="Arial" w:eastAsia="Arial" w:hAnsi="Arial"/>
                <w:sz w:val="17"/>
                <w:szCs w:val="17"/>
                <w:color w:val="auto"/>
              </w:rPr>
              <w:t>8.6</w:t>
            </w:r>
          </w:p>
        </w:tc>
        <w:tc>
          <w:tcPr>
            <w:tcW w:w="100" w:type="dxa"/>
            <w:vAlign w:val="bottom"/>
            <w:shd w:val="clear" w:color="auto" w:fill="DCE2EF"/>
          </w:tcPr>
          <w:p>
            <w:pPr>
              <w:spacing w:after="0"/>
              <w:rPr>
                <w:sz w:val="20"/>
                <w:szCs w:val="20"/>
                <w:color w:val="auto"/>
              </w:rPr>
            </w:pPr>
          </w:p>
        </w:tc>
        <w:tc>
          <w:tcPr>
            <w:tcW w:w="380" w:type="dxa"/>
            <w:vAlign w:val="bottom"/>
            <w:shd w:val="clear" w:color="auto" w:fill="DCE2EF"/>
          </w:tcPr>
          <w:p>
            <w:pPr>
              <w:spacing w:after="0"/>
              <w:rPr>
                <w:sz w:val="20"/>
                <w:szCs w:val="20"/>
                <w:color w:val="auto"/>
              </w:rPr>
            </w:pPr>
          </w:p>
        </w:tc>
        <w:tc>
          <w:tcPr>
            <w:tcW w:w="920" w:type="dxa"/>
            <w:vAlign w:val="bottom"/>
            <w:shd w:val="clear" w:color="auto" w:fill="DCE2EF"/>
          </w:tcPr>
          <w:p>
            <w:pPr>
              <w:jc w:val="right"/>
              <w:spacing w:after="0"/>
              <w:rPr>
                <w:sz w:val="20"/>
                <w:szCs w:val="20"/>
                <w:color w:val="auto"/>
              </w:rPr>
            </w:pPr>
            <w:r>
              <w:rPr>
                <w:rFonts w:ascii="Arial" w:cs="Arial" w:eastAsia="Arial" w:hAnsi="Arial"/>
                <w:sz w:val="17"/>
                <w:szCs w:val="17"/>
                <w:color w:val="auto"/>
              </w:rPr>
              <w:t>3.4</w:t>
            </w:r>
          </w:p>
        </w:tc>
        <w:tc>
          <w:tcPr>
            <w:tcW w:w="80" w:type="dxa"/>
            <w:vAlign w:val="bottom"/>
            <w:shd w:val="clear" w:color="auto" w:fill="DCE2EF"/>
          </w:tcPr>
          <w:p>
            <w:pPr>
              <w:spacing w:after="0"/>
              <w:rPr>
                <w:sz w:val="20"/>
                <w:szCs w:val="20"/>
                <w:color w:val="auto"/>
              </w:rPr>
            </w:pPr>
          </w:p>
        </w:tc>
        <w:tc>
          <w:tcPr>
            <w:tcW w:w="140" w:type="dxa"/>
            <w:vAlign w:val="bottom"/>
            <w:shd w:val="clear" w:color="auto" w:fill="DCE2EF"/>
          </w:tcPr>
          <w:p>
            <w:pPr>
              <w:spacing w:after="0"/>
              <w:rPr>
                <w:sz w:val="20"/>
                <w:szCs w:val="20"/>
                <w:color w:val="auto"/>
              </w:rPr>
            </w:pPr>
          </w:p>
        </w:tc>
        <w:tc>
          <w:tcPr>
            <w:tcW w:w="1160" w:type="dxa"/>
            <w:vAlign w:val="bottom"/>
            <w:shd w:val="clear" w:color="auto" w:fill="DCE2EF"/>
          </w:tcPr>
          <w:p>
            <w:pPr>
              <w:jc w:val="right"/>
              <w:spacing w:after="0"/>
              <w:rPr>
                <w:sz w:val="20"/>
                <w:szCs w:val="20"/>
                <w:color w:val="auto"/>
              </w:rPr>
            </w:pPr>
            <w:r>
              <w:rPr>
                <w:rFonts w:ascii="Arial" w:cs="Arial" w:eastAsia="Arial" w:hAnsi="Arial"/>
                <w:sz w:val="17"/>
                <w:szCs w:val="17"/>
                <w:color w:val="auto"/>
              </w:rPr>
              <w:t>2.1</w:t>
            </w:r>
          </w:p>
        </w:tc>
        <w:tc>
          <w:tcPr>
            <w:tcW w:w="80" w:type="dxa"/>
            <w:vAlign w:val="bottom"/>
            <w:shd w:val="clear" w:color="auto" w:fill="DCE2EF"/>
          </w:tcPr>
          <w:p>
            <w:pPr>
              <w:spacing w:after="0"/>
              <w:rPr>
                <w:sz w:val="20"/>
                <w:szCs w:val="20"/>
                <w:color w:val="auto"/>
              </w:rPr>
            </w:pPr>
          </w:p>
        </w:tc>
        <w:tc>
          <w:tcPr>
            <w:tcW w:w="260" w:type="dxa"/>
            <w:vAlign w:val="bottom"/>
            <w:shd w:val="clear" w:color="auto" w:fill="DCE2EF"/>
          </w:tcPr>
          <w:p>
            <w:pPr>
              <w:spacing w:after="0"/>
              <w:rPr>
                <w:sz w:val="20"/>
                <w:szCs w:val="20"/>
                <w:color w:val="auto"/>
              </w:rPr>
            </w:pPr>
          </w:p>
        </w:tc>
        <w:tc>
          <w:tcPr>
            <w:tcW w:w="1040" w:type="dxa"/>
            <w:vAlign w:val="bottom"/>
            <w:shd w:val="clear" w:color="auto" w:fill="DCE2EF"/>
          </w:tcPr>
          <w:p>
            <w:pPr>
              <w:jc w:val="right"/>
              <w:spacing w:after="0"/>
              <w:rPr>
                <w:sz w:val="20"/>
                <w:szCs w:val="20"/>
                <w:color w:val="auto"/>
              </w:rPr>
            </w:pPr>
            <w:r>
              <w:rPr>
                <w:rFonts w:ascii="Arial" w:cs="Arial" w:eastAsia="Arial" w:hAnsi="Arial"/>
                <w:sz w:val="17"/>
                <w:szCs w:val="17"/>
                <w:color w:val="auto"/>
              </w:rPr>
              <w:t>1.5</w:t>
            </w:r>
          </w:p>
        </w:tc>
        <w:tc>
          <w:tcPr>
            <w:tcW w:w="100" w:type="dxa"/>
            <w:vAlign w:val="bottom"/>
            <w:shd w:val="clear" w:color="auto" w:fill="DCE2EF"/>
          </w:tcPr>
          <w:p>
            <w:pPr>
              <w:spacing w:after="0"/>
              <w:rPr>
                <w:sz w:val="20"/>
                <w:szCs w:val="20"/>
                <w:color w:val="auto"/>
              </w:rPr>
            </w:pPr>
          </w:p>
        </w:tc>
        <w:tc>
          <w:tcPr>
            <w:tcW w:w="200" w:type="dxa"/>
            <w:vAlign w:val="bottom"/>
            <w:shd w:val="clear" w:color="auto" w:fill="DCE2EF"/>
          </w:tcPr>
          <w:p>
            <w:pPr>
              <w:spacing w:after="0"/>
              <w:rPr>
                <w:sz w:val="20"/>
                <w:szCs w:val="20"/>
                <w:color w:val="auto"/>
              </w:rPr>
            </w:pPr>
          </w:p>
        </w:tc>
        <w:tc>
          <w:tcPr>
            <w:tcW w:w="1100" w:type="dxa"/>
            <w:vAlign w:val="bottom"/>
            <w:shd w:val="clear" w:color="auto" w:fill="DCE2EF"/>
          </w:tcPr>
          <w:p>
            <w:pPr>
              <w:jc w:val="right"/>
              <w:spacing w:after="0"/>
              <w:rPr>
                <w:sz w:val="20"/>
                <w:szCs w:val="20"/>
                <w:color w:val="auto"/>
              </w:rPr>
            </w:pPr>
            <w:r>
              <w:rPr>
                <w:rFonts w:ascii="Arial" w:cs="Arial" w:eastAsia="Arial" w:hAnsi="Arial"/>
                <w:sz w:val="17"/>
                <w:szCs w:val="17"/>
                <w:color w:val="auto"/>
              </w:rPr>
              <w:t>6.5</w:t>
            </w:r>
          </w:p>
        </w:tc>
        <w:tc>
          <w:tcPr>
            <w:tcW w:w="80" w:type="dxa"/>
            <w:vAlign w:val="bottom"/>
            <w:shd w:val="clear" w:color="auto" w:fill="DCE2EF"/>
          </w:tcPr>
          <w:p>
            <w:pPr>
              <w:spacing w:after="0"/>
              <w:rPr>
                <w:sz w:val="20"/>
                <w:szCs w:val="20"/>
                <w:color w:val="auto"/>
              </w:rPr>
            </w:pPr>
          </w:p>
        </w:tc>
        <w:tc>
          <w:tcPr>
            <w:tcW w:w="300" w:type="dxa"/>
            <w:vAlign w:val="bottom"/>
            <w:shd w:val="clear" w:color="auto" w:fill="DCE2EF"/>
          </w:tcPr>
          <w:p>
            <w:pPr>
              <w:spacing w:after="0"/>
              <w:rPr>
                <w:sz w:val="20"/>
                <w:szCs w:val="20"/>
                <w:color w:val="auto"/>
              </w:rPr>
            </w:pPr>
          </w:p>
        </w:tc>
        <w:tc>
          <w:tcPr>
            <w:tcW w:w="980" w:type="dxa"/>
            <w:vAlign w:val="bottom"/>
            <w:shd w:val="clear" w:color="auto" w:fill="DCE2EF"/>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020" w:type="dxa"/>
            <w:vAlign w:val="bottom"/>
            <w:gridSpan w:val="2"/>
          </w:tcPr>
          <w:p>
            <w:pPr>
              <w:ind w:left="100"/>
              <w:spacing w:after="0"/>
              <w:rPr>
                <w:sz w:val="20"/>
                <w:szCs w:val="20"/>
                <w:color w:val="auto"/>
              </w:rPr>
            </w:pPr>
            <w:r>
              <w:rPr>
                <w:rFonts w:ascii="Arial" w:cs="Arial" w:eastAsia="Arial" w:hAnsi="Arial"/>
                <w:sz w:val="17"/>
                <w:szCs w:val="17"/>
                <w:color w:val="auto"/>
              </w:rPr>
              <w:t>Legal</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7.2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2.5</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1.2</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67" w:right="339" w:bottom="1440" w:gutter="0" w:footer="0" w:header="0"/>
        </w:sectPr>
      </w:pPr>
    </w:p>
    <w:bookmarkStart w:id="90" w:name="page91"/>
    <w:bookmarkEnd w:id="90"/>
    <w:tbl>
      <w:tblPr>
        <w:tblLayout w:type="fixed"/>
        <w:tblInd w:w="0" w:type="dxa"/>
        <w:tblCellMar>
          <w:top w:w="0" w:type="dxa"/>
          <w:left w:w="0" w:type="dxa"/>
          <w:bottom w:w="0" w:type="dxa"/>
          <w:right w:w="0" w:type="dxa"/>
        </w:tblCellMar>
      </w:tblPr>
      <w:tr>
        <w:trPr>
          <w:trHeight w:val="225"/>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560" w:type="dxa"/>
            <w:vAlign w:val="bottom"/>
            <w:tcBorders>
              <w:bottom w:val="single" w:sz="8" w:color="auto"/>
            </w:tcBorders>
            <w:gridSpan w:val="3"/>
          </w:tcPr>
          <w:p>
            <w:pPr>
              <w:jc w:val="right"/>
              <w:ind w:right="95"/>
              <w:spacing w:after="0"/>
              <w:rPr>
                <w:sz w:val="20"/>
                <w:szCs w:val="20"/>
                <w:color w:val="auto"/>
              </w:rPr>
            </w:pPr>
            <w:r>
              <w:rPr>
                <w:rFonts w:ascii="Arial" w:cs="Arial" w:eastAsia="Arial" w:hAnsi="Arial"/>
                <w:sz w:val="17"/>
                <w:szCs w:val="17"/>
                <w:b w:val="1"/>
                <w:bCs w:val="1"/>
                <w:color w:val="auto"/>
              </w:rPr>
              <w:t>Year Ended October 31, 2024</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8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w w:val="95"/>
              </w:rPr>
              <w:t>(in millions)</w:t>
            </w:r>
          </w:p>
        </w:tc>
        <w:tc>
          <w:tcPr>
            <w:tcW w:w="23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80" w:type="dxa"/>
            <w:vAlign w:val="bottom"/>
            <w:vMerge w:val="restart"/>
          </w:tcPr>
          <w:p>
            <w:pPr>
              <w:jc w:val="right"/>
              <w:ind w:right="435"/>
              <w:spacing w:after="0"/>
              <w:rPr>
                <w:sz w:val="20"/>
                <w:szCs w:val="20"/>
                <w:color w:val="auto"/>
              </w:rPr>
            </w:pPr>
            <w:r>
              <w:rPr>
                <w:rFonts w:ascii="Arial" w:cs="Arial" w:eastAsia="Arial" w:hAnsi="Arial"/>
                <w:sz w:val="15"/>
                <w:szCs w:val="15"/>
                <w:b w:val="1"/>
                <w:bCs w:val="1"/>
                <w:color w:val="auto"/>
              </w:rPr>
              <w:t>B&amp;I</w:t>
            </w:r>
          </w:p>
        </w:tc>
        <w:tc>
          <w:tcPr>
            <w:tcW w:w="440" w:type="dxa"/>
            <w:vAlign w:val="bottom"/>
          </w:tcPr>
          <w:p>
            <w:pPr>
              <w:spacing w:after="0"/>
              <w:rPr>
                <w:sz w:val="13"/>
                <w:szCs w:val="13"/>
                <w:color w:val="auto"/>
              </w:rPr>
            </w:pPr>
          </w:p>
        </w:tc>
        <w:tc>
          <w:tcPr>
            <w:tcW w:w="960" w:type="dxa"/>
            <w:vAlign w:val="bottom"/>
            <w:vMerge w:val="restart"/>
          </w:tcPr>
          <w:p>
            <w:pPr>
              <w:jc w:val="right"/>
              <w:ind w:right="435"/>
              <w:spacing w:after="0"/>
              <w:rPr>
                <w:sz w:val="20"/>
                <w:szCs w:val="20"/>
                <w:color w:val="auto"/>
              </w:rPr>
            </w:pPr>
            <w:r>
              <w:rPr>
                <w:rFonts w:ascii="Arial" w:cs="Arial" w:eastAsia="Arial" w:hAnsi="Arial"/>
                <w:sz w:val="15"/>
                <w:szCs w:val="15"/>
                <w:b w:val="1"/>
                <w:bCs w:val="1"/>
                <w:color w:val="auto"/>
              </w:rPr>
              <w:t>M&amp;D</w:t>
            </w:r>
          </w:p>
        </w:tc>
        <w:tc>
          <w:tcPr>
            <w:tcW w:w="180" w:type="dxa"/>
            <w:vAlign w:val="bottom"/>
          </w:tcPr>
          <w:p>
            <w:pPr>
              <w:spacing w:after="0"/>
              <w:rPr>
                <w:sz w:val="13"/>
                <w:szCs w:val="13"/>
                <w:color w:val="auto"/>
              </w:rPr>
            </w:pPr>
          </w:p>
        </w:tc>
        <w:tc>
          <w:tcPr>
            <w:tcW w:w="1180" w:type="dxa"/>
            <w:vAlign w:val="bottom"/>
            <w:vMerge w:val="restart"/>
          </w:tcPr>
          <w:p>
            <w:pPr>
              <w:jc w:val="right"/>
              <w:ind w:right="275"/>
              <w:spacing w:after="0"/>
              <w:rPr>
                <w:sz w:val="20"/>
                <w:szCs w:val="20"/>
                <w:color w:val="auto"/>
              </w:rPr>
            </w:pPr>
            <w:r>
              <w:rPr>
                <w:rFonts w:ascii="Arial" w:cs="Arial" w:eastAsia="Arial" w:hAnsi="Arial"/>
                <w:sz w:val="15"/>
                <w:szCs w:val="15"/>
                <w:b w:val="1"/>
                <w:bCs w:val="1"/>
                <w:color w:val="auto"/>
              </w:rPr>
              <w:t>Aviation</w:t>
            </w:r>
          </w:p>
        </w:tc>
        <w:tc>
          <w:tcPr>
            <w:tcW w:w="320" w:type="dxa"/>
            <w:vAlign w:val="bottom"/>
          </w:tcPr>
          <w:p>
            <w:pPr>
              <w:spacing w:after="0"/>
              <w:rPr>
                <w:sz w:val="13"/>
                <w:szCs w:val="13"/>
                <w:color w:val="auto"/>
              </w:rPr>
            </w:pPr>
          </w:p>
        </w:tc>
        <w:tc>
          <w:tcPr>
            <w:tcW w:w="1060" w:type="dxa"/>
            <w:vAlign w:val="bottom"/>
            <w:vMerge w:val="restart"/>
          </w:tcPr>
          <w:p>
            <w:pPr>
              <w:jc w:val="right"/>
              <w:ind w:right="215"/>
              <w:spacing w:after="0"/>
              <w:rPr>
                <w:sz w:val="20"/>
                <w:szCs w:val="20"/>
                <w:color w:val="auto"/>
              </w:rPr>
            </w:pPr>
            <w:r>
              <w:rPr>
                <w:rFonts w:ascii="Arial" w:cs="Arial" w:eastAsia="Arial" w:hAnsi="Arial"/>
                <w:sz w:val="15"/>
                <w:szCs w:val="15"/>
                <w:b w:val="1"/>
                <w:bCs w:val="1"/>
                <w:color w:val="auto"/>
              </w:rPr>
              <w:t>Education</w:t>
            </w:r>
          </w:p>
        </w:tc>
        <w:tc>
          <w:tcPr>
            <w:tcW w:w="280" w:type="dxa"/>
            <w:vAlign w:val="bottom"/>
          </w:tcPr>
          <w:p>
            <w:pPr>
              <w:spacing w:after="0"/>
              <w:rPr>
                <w:sz w:val="13"/>
                <w:szCs w:val="13"/>
                <w:color w:val="auto"/>
              </w:rPr>
            </w:pPr>
          </w:p>
        </w:tc>
        <w:tc>
          <w:tcPr>
            <w:tcW w:w="1160" w:type="dxa"/>
            <w:vAlign w:val="bottom"/>
          </w:tcPr>
          <w:p>
            <w:pPr>
              <w:jc w:val="right"/>
              <w:ind w:right="296"/>
              <w:spacing w:after="0" w:line="151" w:lineRule="exact"/>
              <w:rPr>
                <w:sz w:val="20"/>
                <w:szCs w:val="20"/>
                <w:color w:val="auto"/>
              </w:rPr>
            </w:pPr>
            <w:r>
              <w:rPr>
                <w:rFonts w:ascii="Arial" w:cs="Arial" w:eastAsia="Arial" w:hAnsi="Arial"/>
                <w:sz w:val="15"/>
                <w:szCs w:val="15"/>
                <w:b w:val="1"/>
                <w:bCs w:val="1"/>
                <w:color w:val="auto"/>
              </w:rPr>
              <w:t>Technical</w:t>
            </w:r>
          </w:p>
        </w:tc>
        <w:tc>
          <w:tcPr>
            <w:tcW w:w="300" w:type="dxa"/>
            <w:vAlign w:val="bottom"/>
          </w:tcPr>
          <w:p>
            <w:pPr>
              <w:spacing w:after="0"/>
              <w:rPr>
                <w:sz w:val="13"/>
                <w:szCs w:val="13"/>
                <w:color w:val="auto"/>
              </w:rPr>
            </w:pPr>
          </w:p>
        </w:tc>
        <w:tc>
          <w:tcPr>
            <w:tcW w:w="980" w:type="dxa"/>
            <w:vAlign w:val="bottom"/>
            <w:vMerge w:val="restart"/>
          </w:tcPr>
          <w:p>
            <w:pPr>
              <w:jc w:val="right"/>
              <w:ind w:right="375"/>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1"/>
                <w:szCs w:val="11"/>
                <w:color w:val="auto"/>
              </w:rPr>
            </w:pPr>
          </w:p>
        </w:tc>
        <w:tc>
          <w:tcPr>
            <w:tcW w:w="680" w:type="dxa"/>
            <w:vAlign w:val="bottom"/>
            <w:tcBorders>
              <w:bottom w:val="single" w:sz="8" w:color="auto"/>
            </w:tcBorders>
            <w:vMerge w:val="continue"/>
          </w:tcPr>
          <w:p>
            <w:pPr>
              <w:spacing w:after="0"/>
              <w:rPr>
                <w:sz w:val="11"/>
                <w:szCs w:val="11"/>
                <w:color w:val="auto"/>
              </w:rPr>
            </w:pPr>
          </w:p>
        </w:tc>
        <w:tc>
          <w:tcPr>
            <w:tcW w:w="2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80" w:type="dxa"/>
            <w:vAlign w:val="bottom"/>
            <w:vMerge w:val="continue"/>
          </w:tcPr>
          <w:p>
            <w:pPr>
              <w:spacing w:after="0"/>
              <w:rPr>
                <w:sz w:val="11"/>
                <w:szCs w:val="11"/>
                <w:color w:val="auto"/>
              </w:rPr>
            </w:pPr>
          </w:p>
        </w:tc>
        <w:tc>
          <w:tcPr>
            <w:tcW w:w="440" w:type="dxa"/>
            <w:vAlign w:val="bottom"/>
          </w:tcPr>
          <w:p>
            <w:pPr>
              <w:spacing w:after="0"/>
              <w:rPr>
                <w:sz w:val="11"/>
                <w:szCs w:val="11"/>
                <w:color w:val="auto"/>
              </w:rPr>
            </w:pPr>
          </w:p>
        </w:tc>
        <w:tc>
          <w:tcPr>
            <w:tcW w:w="96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106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1160" w:type="dxa"/>
            <w:vAlign w:val="bottom"/>
          </w:tcPr>
          <w:p>
            <w:pPr>
              <w:jc w:val="right"/>
              <w:ind w:right="296"/>
              <w:spacing w:after="0" w:line="131" w:lineRule="exact"/>
              <w:rPr>
                <w:sz w:val="20"/>
                <w:szCs w:val="20"/>
                <w:color w:val="auto"/>
              </w:rPr>
            </w:pPr>
            <w:r>
              <w:rPr>
                <w:rFonts w:ascii="Arial" w:cs="Arial" w:eastAsia="Arial" w:hAnsi="Arial"/>
                <w:sz w:val="15"/>
                <w:szCs w:val="15"/>
                <w:b w:val="1"/>
                <w:bCs w:val="1"/>
                <w:color w:val="auto"/>
              </w:rPr>
              <w:t>Solutions</w:t>
            </w:r>
          </w:p>
        </w:tc>
        <w:tc>
          <w:tcPr>
            <w:tcW w:w="300" w:type="dxa"/>
            <w:vAlign w:val="bottom"/>
          </w:tcPr>
          <w:p>
            <w:pPr>
              <w:spacing w:after="0"/>
              <w:rPr>
                <w:sz w:val="11"/>
                <w:szCs w:val="11"/>
                <w:color w:val="auto"/>
              </w:rPr>
            </w:pPr>
          </w:p>
        </w:tc>
        <w:tc>
          <w:tcPr>
            <w:tcW w:w="9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3080" w:type="dxa"/>
            <w:vAlign w:val="bottom"/>
            <w:gridSpan w:val="3"/>
            <w:shd w:val="clear" w:color="auto" w:fill="DCDFED"/>
          </w:tcPr>
          <w:p>
            <w:pPr>
              <w:ind w:left="20"/>
              <w:spacing w:after="0"/>
              <w:rPr>
                <w:sz w:val="20"/>
                <w:szCs w:val="20"/>
                <w:color w:val="auto"/>
              </w:rPr>
            </w:pPr>
            <w:r>
              <w:rPr>
                <w:rFonts w:ascii="Arial" w:cs="Arial" w:eastAsia="Arial" w:hAnsi="Arial"/>
                <w:sz w:val="17"/>
                <w:szCs w:val="17"/>
                <w:b w:val="1"/>
                <w:bCs w:val="1"/>
                <w:color w:val="auto"/>
              </w:rPr>
              <w:t>Revenues</w:t>
            </w:r>
          </w:p>
        </w:tc>
        <w:tc>
          <w:tcPr>
            <w:tcW w:w="320" w:type="dxa"/>
            <w:vAlign w:val="bottom"/>
            <w:shd w:val="clear" w:color="auto" w:fill="DCDFED"/>
          </w:tcPr>
          <w:p>
            <w:pPr>
              <w:jc w:val="right"/>
              <w:ind w:right="114"/>
              <w:spacing w:after="0"/>
              <w:rPr>
                <w:sz w:val="20"/>
                <w:szCs w:val="20"/>
                <w:color w:val="auto"/>
              </w:rPr>
            </w:pPr>
            <w:r>
              <w:rPr>
                <w:rFonts w:ascii="Arial" w:cs="Arial" w:eastAsia="Arial" w:hAnsi="Arial"/>
                <w:sz w:val="17"/>
                <w:szCs w:val="17"/>
                <w:color w:val="auto"/>
              </w:rPr>
              <w:t>$</w:t>
            </w:r>
          </w:p>
        </w:tc>
        <w:tc>
          <w:tcPr>
            <w:tcW w:w="980" w:type="dxa"/>
            <w:vAlign w:val="bottom"/>
            <w:shd w:val="clear" w:color="auto" w:fill="DCDFED"/>
          </w:tcPr>
          <w:p>
            <w:pPr>
              <w:jc w:val="right"/>
              <w:ind w:right="15"/>
              <w:spacing w:after="0"/>
              <w:rPr>
                <w:sz w:val="20"/>
                <w:szCs w:val="20"/>
                <w:color w:val="auto"/>
              </w:rPr>
            </w:pPr>
            <w:r>
              <w:rPr>
                <w:rFonts w:ascii="Arial" w:cs="Arial" w:eastAsia="Arial" w:hAnsi="Arial"/>
                <w:sz w:val="17"/>
                <w:szCs w:val="17"/>
                <w:color w:val="auto"/>
              </w:rPr>
              <w:t>4,059.1</w:t>
            </w:r>
          </w:p>
        </w:tc>
        <w:tc>
          <w:tcPr>
            <w:tcW w:w="440" w:type="dxa"/>
            <w:vAlign w:val="bottom"/>
            <w:shd w:val="clear" w:color="auto" w:fill="DCDFED"/>
          </w:tcPr>
          <w:p>
            <w:pPr>
              <w:jc w:val="right"/>
              <w:ind w:right="174"/>
              <w:spacing w:after="0"/>
              <w:rPr>
                <w:sz w:val="20"/>
                <w:szCs w:val="20"/>
                <w:color w:val="auto"/>
              </w:rPr>
            </w:pPr>
            <w:r>
              <w:rPr>
                <w:rFonts w:ascii="Arial" w:cs="Arial" w:eastAsia="Arial" w:hAnsi="Arial"/>
                <w:sz w:val="17"/>
                <w:szCs w:val="17"/>
                <w:color w:val="auto"/>
              </w:rPr>
              <w:t>$</w:t>
            </w:r>
          </w:p>
        </w:tc>
        <w:tc>
          <w:tcPr>
            <w:tcW w:w="960" w:type="dxa"/>
            <w:vAlign w:val="bottom"/>
            <w:shd w:val="clear" w:color="auto" w:fill="DCDFED"/>
          </w:tcPr>
          <w:p>
            <w:pPr>
              <w:jc w:val="right"/>
              <w:ind w:right="35"/>
              <w:spacing w:after="0"/>
              <w:rPr>
                <w:sz w:val="20"/>
                <w:szCs w:val="20"/>
                <w:color w:val="auto"/>
              </w:rPr>
            </w:pPr>
            <w:r>
              <w:rPr>
                <w:rFonts w:ascii="Arial" w:cs="Arial" w:eastAsia="Arial" w:hAnsi="Arial"/>
                <w:sz w:val="17"/>
                <w:szCs w:val="17"/>
                <w:color w:val="auto"/>
              </w:rPr>
              <w:t>1,554.3</w:t>
            </w:r>
          </w:p>
        </w:tc>
        <w:tc>
          <w:tcPr>
            <w:tcW w:w="180" w:type="dxa"/>
            <w:vAlign w:val="bottom"/>
            <w:shd w:val="clear" w:color="auto" w:fill="DCDFED"/>
          </w:tcPr>
          <w:p>
            <w:pPr>
              <w:jc w:val="right"/>
              <w:spacing w:after="0"/>
              <w:rPr>
                <w:sz w:val="20"/>
                <w:szCs w:val="20"/>
                <w:color w:val="auto"/>
              </w:rPr>
            </w:pPr>
            <w:r>
              <w:rPr>
                <w:rFonts w:ascii="Arial" w:cs="Arial" w:eastAsia="Arial" w:hAnsi="Arial"/>
                <w:sz w:val="17"/>
                <w:szCs w:val="17"/>
                <w:color w:val="auto"/>
              </w:rPr>
              <w:t>$</w:t>
            </w:r>
          </w:p>
        </w:tc>
        <w:tc>
          <w:tcPr>
            <w:tcW w:w="1180" w:type="dxa"/>
            <w:vAlign w:val="bottom"/>
            <w:shd w:val="clear" w:color="auto" w:fill="DCDFED"/>
          </w:tcPr>
          <w:p>
            <w:pPr>
              <w:jc w:val="right"/>
              <w:ind w:right="15"/>
              <w:spacing w:after="0"/>
              <w:rPr>
                <w:sz w:val="20"/>
                <w:szCs w:val="20"/>
                <w:color w:val="auto"/>
              </w:rPr>
            </w:pPr>
            <w:r>
              <w:rPr>
                <w:rFonts w:ascii="Arial" w:cs="Arial" w:eastAsia="Arial" w:hAnsi="Arial"/>
                <w:sz w:val="17"/>
                <w:szCs w:val="17"/>
                <w:color w:val="auto"/>
              </w:rPr>
              <w:t>1,032.6</w:t>
            </w:r>
          </w:p>
        </w:tc>
        <w:tc>
          <w:tcPr>
            <w:tcW w:w="320" w:type="dxa"/>
            <w:vAlign w:val="bottom"/>
            <w:shd w:val="clear" w:color="auto" w:fill="DCDFED"/>
          </w:tcPr>
          <w:p>
            <w:pPr>
              <w:jc w:val="right"/>
              <w:ind w:right="54"/>
              <w:spacing w:after="0"/>
              <w:rPr>
                <w:sz w:val="20"/>
                <w:szCs w:val="20"/>
                <w:color w:val="auto"/>
              </w:rPr>
            </w:pPr>
            <w:r>
              <w:rPr>
                <w:rFonts w:ascii="Arial" w:cs="Arial" w:eastAsia="Arial" w:hAnsi="Arial"/>
                <w:sz w:val="17"/>
                <w:szCs w:val="17"/>
                <w:color w:val="auto"/>
              </w:rPr>
              <w:t>$</w:t>
            </w:r>
          </w:p>
        </w:tc>
        <w:tc>
          <w:tcPr>
            <w:tcW w:w="1060" w:type="dxa"/>
            <w:vAlign w:val="bottom"/>
            <w:shd w:val="clear" w:color="auto" w:fill="DCDFED"/>
          </w:tcPr>
          <w:p>
            <w:pPr>
              <w:jc w:val="right"/>
              <w:ind w:right="15"/>
              <w:spacing w:after="0"/>
              <w:rPr>
                <w:sz w:val="20"/>
                <w:szCs w:val="20"/>
                <w:color w:val="auto"/>
              </w:rPr>
            </w:pPr>
            <w:r>
              <w:rPr>
                <w:rFonts w:ascii="Arial" w:cs="Arial" w:eastAsia="Arial" w:hAnsi="Arial"/>
                <w:sz w:val="17"/>
                <w:szCs w:val="17"/>
                <w:color w:val="auto"/>
              </w:rPr>
              <w:t>904.0</w:t>
            </w:r>
          </w:p>
        </w:tc>
        <w:tc>
          <w:tcPr>
            <w:tcW w:w="280" w:type="dxa"/>
            <w:vAlign w:val="bottom"/>
            <w:shd w:val="clear" w:color="auto" w:fill="DCDFED"/>
          </w:tcPr>
          <w:p>
            <w:pPr>
              <w:jc w:val="right"/>
              <w:ind w:right="14"/>
              <w:spacing w:after="0"/>
              <w:rPr>
                <w:sz w:val="20"/>
                <w:szCs w:val="20"/>
                <w:color w:val="auto"/>
              </w:rPr>
            </w:pPr>
            <w:r>
              <w:rPr>
                <w:rFonts w:ascii="Arial" w:cs="Arial" w:eastAsia="Arial" w:hAnsi="Arial"/>
                <w:sz w:val="17"/>
                <w:szCs w:val="17"/>
                <w:color w:val="auto"/>
              </w:rPr>
              <w:t>$</w:t>
            </w:r>
          </w:p>
        </w:tc>
        <w:tc>
          <w:tcPr>
            <w:tcW w:w="1160" w:type="dxa"/>
            <w:vAlign w:val="bottom"/>
            <w:shd w:val="clear" w:color="auto" w:fill="DCDFED"/>
          </w:tcPr>
          <w:p>
            <w:pPr>
              <w:jc w:val="right"/>
              <w:ind w:right="76"/>
              <w:spacing w:after="0"/>
              <w:rPr>
                <w:sz w:val="20"/>
                <w:szCs w:val="20"/>
                <w:color w:val="auto"/>
              </w:rPr>
            </w:pPr>
            <w:r>
              <w:rPr>
                <w:rFonts w:ascii="Arial" w:cs="Arial" w:eastAsia="Arial" w:hAnsi="Arial"/>
                <w:sz w:val="17"/>
                <w:szCs w:val="17"/>
                <w:color w:val="auto"/>
              </w:rPr>
              <w:t>809.3</w:t>
            </w:r>
          </w:p>
        </w:tc>
        <w:tc>
          <w:tcPr>
            <w:tcW w:w="300" w:type="dxa"/>
            <w:vAlign w:val="bottom"/>
            <w:shd w:val="clear" w:color="auto" w:fill="DCDFED"/>
          </w:tcPr>
          <w:p>
            <w:pPr>
              <w:jc w:val="right"/>
              <w:ind w:right="94"/>
              <w:spacing w:after="0"/>
              <w:rPr>
                <w:sz w:val="20"/>
                <w:szCs w:val="20"/>
                <w:color w:val="auto"/>
              </w:rPr>
            </w:pPr>
            <w:r>
              <w:rPr>
                <w:rFonts w:ascii="Arial" w:cs="Arial" w:eastAsia="Arial" w:hAnsi="Arial"/>
                <w:sz w:val="17"/>
                <w:szCs w:val="17"/>
                <w:color w:val="auto"/>
              </w:rPr>
              <w:t>$</w:t>
            </w:r>
          </w:p>
        </w:tc>
        <w:tc>
          <w:tcPr>
            <w:tcW w:w="980" w:type="dxa"/>
            <w:vAlign w:val="bottom"/>
            <w:shd w:val="clear" w:color="auto" w:fill="DCDFED"/>
          </w:tcPr>
          <w:p>
            <w:pPr>
              <w:jc w:val="right"/>
              <w:spacing w:after="0"/>
              <w:rPr>
                <w:sz w:val="20"/>
                <w:szCs w:val="20"/>
                <w:color w:val="auto"/>
              </w:rPr>
            </w:pPr>
            <w:r>
              <w:rPr>
                <w:rFonts w:ascii="Arial" w:cs="Arial" w:eastAsia="Arial" w:hAnsi="Arial"/>
                <w:sz w:val="17"/>
                <w:szCs w:val="17"/>
                <w:color w:val="auto"/>
              </w:rPr>
              <w:t>8,359.4</w:t>
            </w:r>
          </w:p>
        </w:tc>
        <w:tc>
          <w:tcPr>
            <w:tcW w:w="0" w:type="dxa"/>
            <w:vAlign w:val="bottom"/>
          </w:tcPr>
          <w:p>
            <w:pPr>
              <w:spacing w:after="0"/>
              <w:rPr>
                <w:sz w:val="1"/>
                <w:szCs w:val="1"/>
                <w:color w:val="auto"/>
              </w:rPr>
            </w:pPr>
          </w:p>
        </w:tc>
      </w:tr>
      <w:tr>
        <w:trPr>
          <w:trHeight w:val="219"/>
        </w:trPr>
        <w:tc>
          <w:tcPr>
            <w:tcW w:w="3080" w:type="dxa"/>
            <w:vAlign w:val="bottom"/>
            <w:gridSpan w:val="3"/>
          </w:tcPr>
          <w:p>
            <w:pPr>
              <w:ind w:left="20"/>
              <w:spacing w:after="0"/>
              <w:rPr>
                <w:sz w:val="20"/>
                <w:szCs w:val="20"/>
                <w:color w:val="auto"/>
              </w:rPr>
            </w:pPr>
            <w:r>
              <w:rPr>
                <w:rFonts w:ascii="Arial" w:cs="Arial" w:eastAsia="Arial" w:hAnsi="Arial"/>
                <w:sz w:val="17"/>
                <w:szCs w:val="17"/>
                <w:b w:val="1"/>
                <w:bCs w:val="1"/>
                <w:color w:val="auto"/>
              </w:rPr>
              <w:t>Significant segment expenses</w:t>
            </w: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DCDFED"/>
          </w:tcPr>
          <w:p>
            <w:pPr>
              <w:spacing w:after="0"/>
              <w:rPr>
                <w:sz w:val="19"/>
                <w:szCs w:val="19"/>
                <w:color w:val="auto"/>
              </w:rPr>
            </w:pPr>
          </w:p>
        </w:tc>
        <w:tc>
          <w:tcPr>
            <w:tcW w:w="3060" w:type="dxa"/>
            <w:vAlign w:val="bottom"/>
            <w:gridSpan w:val="2"/>
            <w:shd w:val="clear" w:color="auto" w:fill="DCDFED"/>
          </w:tcPr>
          <w:p>
            <w:pPr>
              <w:ind w:left="100"/>
              <w:spacing w:after="0"/>
              <w:rPr>
                <w:sz w:val="20"/>
                <w:szCs w:val="20"/>
                <w:color w:val="auto"/>
              </w:rPr>
            </w:pPr>
            <w:r>
              <w:rPr>
                <w:rFonts w:ascii="Arial" w:cs="Arial" w:eastAsia="Arial" w:hAnsi="Arial"/>
                <w:sz w:val="17"/>
                <w:szCs w:val="17"/>
                <w:color w:val="auto"/>
              </w:rPr>
              <w:t>Direct labor</w:t>
            </w:r>
          </w:p>
        </w:tc>
        <w:tc>
          <w:tcPr>
            <w:tcW w:w="320" w:type="dxa"/>
            <w:vAlign w:val="bottom"/>
            <w:shd w:val="clear" w:color="auto" w:fill="DCDFED"/>
          </w:tcPr>
          <w:p>
            <w:pPr>
              <w:spacing w:after="0"/>
              <w:rPr>
                <w:sz w:val="19"/>
                <w:szCs w:val="19"/>
                <w:color w:val="auto"/>
              </w:rPr>
            </w:pPr>
          </w:p>
        </w:tc>
        <w:tc>
          <w:tcPr>
            <w:tcW w:w="980" w:type="dxa"/>
            <w:vAlign w:val="bottom"/>
            <w:shd w:val="clear" w:color="auto" w:fill="DCDFED"/>
          </w:tcPr>
          <w:p>
            <w:pPr>
              <w:jc w:val="right"/>
              <w:ind w:right="15"/>
              <w:spacing w:after="0"/>
              <w:rPr>
                <w:sz w:val="20"/>
                <w:szCs w:val="20"/>
                <w:color w:val="auto"/>
              </w:rPr>
            </w:pPr>
            <w:r>
              <w:rPr>
                <w:rFonts w:ascii="Arial" w:cs="Arial" w:eastAsia="Arial" w:hAnsi="Arial"/>
                <w:sz w:val="17"/>
                <w:szCs w:val="17"/>
                <w:color w:val="auto"/>
              </w:rPr>
              <w:t>2,239.9</w:t>
            </w:r>
          </w:p>
        </w:tc>
        <w:tc>
          <w:tcPr>
            <w:tcW w:w="440" w:type="dxa"/>
            <w:vAlign w:val="bottom"/>
            <w:shd w:val="clear" w:color="auto" w:fill="DCDFED"/>
          </w:tcPr>
          <w:p>
            <w:pPr>
              <w:spacing w:after="0"/>
              <w:rPr>
                <w:sz w:val="19"/>
                <w:szCs w:val="19"/>
                <w:color w:val="auto"/>
              </w:rPr>
            </w:pPr>
          </w:p>
        </w:tc>
        <w:tc>
          <w:tcPr>
            <w:tcW w:w="960" w:type="dxa"/>
            <w:vAlign w:val="bottom"/>
            <w:shd w:val="clear" w:color="auto" w:fill="DCDFED"/>
          </w:tcPr>
          <w:p>
            <w:pPr>
              <w:jc w:val="right"/>
              <w:ind w:right="35"/>
              <w:spacing w:after="0"/>
              <w:rPr>
                <w:sz w:val="20"/>
                <w:szCs w:val="20"/>
                <w:color w:val="auto"/>
              </w:rPr>
            </w:pPr>
            <w:r>
              <w:rPr>
                <w:rFonts w:ascii="Arial" w:cs="Arial" w:eastAsia="Arial" w:hAnsi="Arial"/>
                <w:sz w:val="17"/>
                <w:szCs w:val="17"/>
                <w:color w:val="auto"/>
              </w:rPr>
              <w:t>996.5</w:t>
            </w:r>
          </w:p>
        </w:tc>
        <w:tc>
          <w:tcPr>
            <w:tcW w:w="180" w:type="dxa"/>
            <w:vAlign w:val="bottom"/>
            <w:shd w:val="clear" w:color="auto" w:fill="DCDFED"/>
          </w:tcPr>
          <w:p>
            <w:pPr>
              <w:spacing w:after="0"/>
              <w:rPr>
                <w:sz w:val="19"/>
                <w:szCs w:val="19"/>
                <w:color w:val="auto"/>
              </w:rPr>
            </w:pPr>
          </w:p>
        </w:tc>
        <w:tc>
          <w:tcPr>
            <w:tcW w:w="1180" w:type="dxa"/>
            <w:vAlign w:val="bottom"/>
            <w:shd w:val="clear" w:color="auto" w:fill="DCDFED"/>
          </w:tcPr>
          <w:p>
            <w:pPr>
              <w:jc w:val="right"/>
              <w:ind w:right="15"/>
              <w:spacing w:after="0"/>
              <w:rPr>
                <w:sz w:val="20"/>
                <w:szCs w:val="20"/>
                <w:color w:val="auto"/>
              </w:rPr>
            </w:pPr>
            <w:r>
              <w:rPr>
                <w:rFonts w:ascii="Arial" w:cs="Arial" w:eastAsia="Arial" w:hAnsi="Arial"/>
                <w:sz w:val="17"/>
                <w:szCs w:val="17"/>
                <w:color w:val="auto"/>
              </w:rPr>
              <w:t>596.7</w:t>
            </w:r>
          </w:p>
        </w:tc>
        <w:tc>
          <w:tcPr>
            <w:tcW w:w="320" w:type="dxa"/>
            <w:vAlign w:val="bottom"/>
            <w:shd w:val="clear" w:color="auto" w:fill="DCDFED"/>
          </w:tcPr>
          <w:p>
            <w:pPr>
              <w:spacing w:after="0"/>
              <w:rPr>
                <w:sz w:val="19"/>
                <w:szCs w:val="19"/>
                <w:color w:val="auto"/>
              </w:rPr>
            </w:pPr>
          </w:p>
        </w:tc>
        <w:tc>
          <w:tcPr>
            <w:tcW w:w="1060" w:type="dxa"/>
            <w:vAlign w:val="bottom"/>
            <w:shd w:val="clear" w:color="auto" w:fill="DCDFED"/>
          </w:tcPr>
          <w:p>
            <w:pPr>
              <w:jc w:val="right"/>
              <w:ind w:right="15"/>
              <w:spacing w:after="0"/>
              <w:rPr>
                <w:sz w:val="20"/>
                <w:szCs w:val="20"/>
                <w:color w:val="auto"/>
              </w:rPr>
            </w:pPr>
            <w:r>
              <w:rPr>
                <w:rFonts w:ascii="Arial" w:cs="Arial" w:eastAsia="Arial" w:hAnsi="Arial"/>
                <w:sz w:val="17"/>
                <w:szCs w:val="17"/>
                <w:color w:val="auto"/>
              </w:rPr>
              <w:t>598.4</w:t>
            </w:r>
          </w:p>
        </w:tc>
        <w:tc>
          <w:tcPr>
            <w:tcW w:w="280" w:type="dxa"/>
            <w:vAlign w:val="bottom"/>
            <w:shd w:val="clear" w:color="auto" w:fill="DCDFED"/>
          </w:tcPr>
          <w:p>
            <w:pPr>
              <w:spacing w:after="0"/>
              <w:rPr>
                <w:sz w:val="19"/>
                <w:szCs w:val="19"/>
                <w:color w:val="auto"/>
              </w:rPr>
            </w:pPr>
          </w:p>
        </w:tc>
        <w:tc>
          <w:tcPr>
            <w:tcW w:w="1160" w:type="dxa"/>
            <w:vAlign w:val="bottom"/>
            <w:shd w:val="clear" w:color="auto" w:fill="DCDFED"/>
          </w:tcPr>
          <w:p>
            <w:pPr>
              <w:jc w:val="right"/>
              <w:ind w:right="76"/>
              <w:spacing w:after="0"/>
              <w:rPr>
                <w:sz w:val="20"/>
                <w:szCs w:val="20"/>
                <w:color w:val="auto"/>
              </w:rPr>
            </w:pPr>
            <w:r>
              <w:rPr>
                <w:rFonts w:ascii="Arial" w:cs="Arial" w:eastAsia="Arial" w:hAnsi="Arial"/>
                <w:sz w:val="17"/>
                <w:szCs w:val="17"/>
                <w:color w:val="auto"/>
              </w:rPr>
              <w:t>262.2</w:t>
            </w:r>
          </w:p>
        </w:tc>
        <w:tc>
          <w:tcPr>
            <w:tcW w:w="300" w:type="dxa"/>
            <w:vAlign w:val="bottom"/>
            <w:shd w:val="clear" w:color="auto" w:fill="DCDFED"/>
          </w:tcPr>
          <w:p>
            <w:pPr>
              <w:spacing w:after="0"/>
              <w:rPr>
                <w:sz w:val="19"/>
                <w:szCs w:val="19"/>
                <w:color w:val="auto"/>
              </w:rPr>
            </w:pPr>
          </w:p>
        </w:tc>
        <w:tc>
          <w:tcPr>
            <w:tcW w:w="980" w:type="dxa"/>
            <w:vAlign w:val="bottom"/>
            <w:shd w:val="clear" w:color="auto" w:fill="DCDFED"/>
          </w:tcPr>
          <w:p>
            <w:pPr>
              <w:jc w:val="right"/>
              <w:spacing w:after="0"/>
              <w:rPr>
                <w:sz w:val="20"/>
                <w:szCs w:val="20"/>
                <w:color w:val="auto"/>
              </w:rPr>
            </w:pPr>
            <w:r>
              <w:rPr>
                <w:rFonts w:ascii="Arial" w:cs="Arial" w:eastAsia="Arial" w:hAnsi="Arial"/>
                <w:sz w:val="17"/>
                <w:szCs w:val="17"/>
                <w:color w:val="auto"/>
              </w:rPr>
              <w:t>4,693.7</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060" w:type="dxa"/>
            <w:vAlign w:val="bottom"/>
            <w:gridSpan w:val="2"/>
          </w:tcPr>
          <w:p>
            <w:pPr>
              <w:ind w:left="100"/>
              <w:spacing w:after="0"/>
              <w:rPr>
                <w:sz w:val="20"/>
                <w:szCs w:val="20"/>
                <w:color w:val="auto"/>
              </w:rPr>
            </w:pPr>
            <w:r>
              <w:rPr>
                <w:rFonts w:ascii="Arial" w:cs="Arial" w:eastAsia="Arial" w:hAnsi="Arial"/>
                <w:sz w:val="17"/>
                <w:szCs w:val="17"/>
                <w:color w:val="auto"/>
              </w:rPr>
              <w:t>Indirect costs</w:t>
            </w:r>
          </w:p>
        </w:tc>
        <w:tc>
          <w:tcPr>
            <w:tcW w:w="320" w:type="dxa"/>
            <w:vAlign w:val="bottom"/>
          </w:tcPr>
          <w:p>
            <w:pPr>
              <w:spacing w:after="0"/>
              <w:rPr>
                <w:sz w:val="19"/>
                <w:szCs w:val="19"/>
                <w:color w:val="auto"/>
              </w:rPr>
            </w:pPr>
          </w:p>
        </w:tc>
        <w:tc>
          <w:tcPr>
            <w:tcW w:w="980" w:type="dxa"/>
            <w:vAlign w:val="bottom"/>
          </w:tcPr>
          <w:p>
            <w:pPr>
              <w:jc w:val="right"/>
              <w:ind w:right="15"/>
              <w:spacing w:after="0"/>
              <w:rPr>
                <w:sz w:val="20"/>
                <w:szCs w:val="20"/>
                <w:color w:val="auto"/>
              </w:rPr>
            </w:pPr>
            <w:r>
              <w:rPr>
                <w:rFonts w:ascii="Arial" w:cs="Arial" w:eastAsia="Arial" w:hAnsi="Arial"/>
                <w:sz w:val="17"/>
                <w:szCs w:val="17"/>
                <w:color w:val="auto"/>
              </w:rPr>
              <w:t>134.5</w:t>
            </w:r>
          </w:p>
        </w:tc>
        <w:tc>
          <w:tcPr>
            <w:tcW w:w="440" w:type="dxa"/>
            <w:vAlign w:val="bottom"/>
          </w:tcPr>
          <w:p>
            <w:pPr>
              <w:spacing w:after="0"/>
              <w:rPr>
                <w:sz w:val="19"/>
                <w:szCs w:val="19"/>
                <w:color w:val="auto"/>
              </w:rPr>
            </w:pPr>
          </w:p>
        </w:tc>
        <w:tc>
          <w:tcPr>
            <w:tcW w:w="960" w:type="dxa"/>
            <w:vAlign w:val="bottom"/>
          </w:tcPr>
          <w:p>
            <w:pPr>
              <w:jc w:val="right"/>
              <w:ind w:right="35"/>
              <w:spacing w:after="0"/>
              <w:rPr>
                <w:sz w:val="20"/>
                <w:szCs w:val="20"/>
                <w:color w:val="auto"/>
              </w:rPr>
            </w:pPr>
            <w:r>
              <w:rPr>
                <w:rFonts w:ascii="Arial" w:cs="Arial" w:eastAsia="Arial" w:hAnsi="Arial"/>
                <w:sz w:val="17"/>
                <w:szCs w:val="17"/>
                <w:color w:val="auto"/>
              </w:rPr>
              <w:t>20.8</w:t>
            </w:r>
          </w:p>
        </w:tc>
        <w:tc>
          <w:tcPr>
            <w:tcW w:w="180" w:type="dxa"/>
            <w:vAlign w:val="bottom"/>
          </w:tcPr>
          <w:p>
            <w:pPr>
              <w:spacing w:after="0"/>
              <w:rPr>
                <w:sz w:val="19"/>
                <w:szCs w:val="19"/>
                <w:color w:val="auto"/>
              </w:rPr>
            </w:pPr>
          </w:p>
        </w:tc>
        <w:tc>
          <w:tcPr>
            <w:tcW w:w="1180" w:type="dxa"/>
            <w:vAlign w:val="bottom"/>
          </w:tcPr>
          <w:p>
            <w:pPr>
              <w:jc w:val="right"/>
              <w:ind w:right="15"/>
              <w:spacing w:after="0"/>
              <w:rPr>
                <w:sz w:val="20"/>
                <w:szCs w:val="20"/>
                <w:color w:val="auto"/>
              </w:rPr>
            </w:pPr>
            <w:r>
              <w:rPr>
                <w:rFonts w:ascii="Arial" w:cs="Arial" w:eastAsia="Arial" w:hAnsi="Arial"/>
                <w:sz w:val="17"/>
                <w:szCs w:val="17"/>
                <w:color w:val="auto"/>
              </w:rPr>
              <w:t>16.7</w:t>
            </w:r>
          </w:p>
        </w:tc>
        <w:tc>
          <w:tcPr>
            <w:tcW w:w="320" w:type="dxa"/>
            <w:vAlign w:val="bottom"/>
          </w:tcPr>
          <w:p>
            <w:pPr>
              <w:spacing w:after="0"/>
              <w:rPr>
                <w:sz w:val="19"/>
                <w:szCs w:val="19"/>
                <w:color w:val="auto"/>
              </w:rPr>
            </w:pPr>
          </w:p>
        </w:tc>
        <w:tc>
          <w:tcPr>
            <w:tcW w:w="1060" w:type="dxa"/>
            <w:vAlign w:val="bottom"/>
          </w:tcPr>
          <w:p>
            <w:pPr>
              <w:jc w:val="right"/>
              <w:ind w:right="15"/>
              <w:spacing w:after="0"/>
              <w:rPr>
                <w:sz w:val="20"/>
                <w:szCs w:val="20"/>
                <w:color w:val="auto"/>
              </w:rPr>
            </w:pPr>
            <w:r>
              <w:rPr>
                <w:rFonts w:ascii="Arial" w:cs="Arial" w:eastAsia="Arial" w:hAnsi="Arial"/>
                <w:sz w:val="17"/>
                <w:szCs w:val="17"/>
                <w:color w:val="auto"/>
              </w:rPr>
              <w:t>25.0</w:t>
            </w:r>
          </w:p>
        </w:tc>
        <w:tc>
          <w:tcPr>
            <w:tcW w:w="280" w:type="dxa"/>
            <w:vAlign w:val="bottom"/>
          </w:tcPr>
          <w:p>
            <w:pPr>
              <w:spacing w:after="0"/>
              <w:rPr>
                <w:sz w:val="19"/>
                <w:szCs w:val="19"/>
                <w:color w:val="auto"/>
              </w:rPr>
            </w:pPr>
          </w:p>
        </w:tc>
        <w:tc>
          <w:tcPr>
            <w:tcW w:w="1160" w:type="dxa"/>
            <w:vAlign w:val="bottom"/>
          </w:tcPr>
          <w:p>
            <w:pPr>
              <w:jc w:val="right"/>
              <w:ind w:right="76"/>
              <w:spacing w:after="0"/>
              <w:rPr>
                <w:sz w:val="20"/>
                <w:szCs w:val="20"/>
                <w:color w:val="auto"/>
              </w:rPr>
            </w:pPr>
            <w:r>
              <w:rPr>
                <w:rFonts w:ascii="Arial" w:cs="Arial" w:eastAsia="Arial" w:hAnsi="Arial"/>
                <w:sz w:val="17"/>
                <w:szCs w:val="17"/>
                <w:color w:val="auto"/>
              </w:rPr>
              <w:t>76.5</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273.4</w:t>
            </w:r>
          </w:p>
        </w:tc>
        <w:tc>
          <w:tcPr>
            <w:tcW w:w="0" w:type="dxa"/>
            <w:vAlign w:val="bottom"/>
          </w:tcPr>
          <w:p>
            <w:pPr>
              <w:spacing w:after="0"/>
              <w:rPr>
                <w:sz w:val="1"/>
                <w:szCs w:val="1"/>
                <w:color w:val="auto"/>
              </w:rPr>
            </w:pPr>
          </w:p>
        </w:tc>
      </w:tr>
      <w:tr>
        <w:trPr>
          <w:trHeight w:val="219"/>
        </w:trPr>
        <w:tc>
          <w:tcPr>
            <w:tcW w:w="20" w:type="dxa"/>
            <w:vAlign w:val="bottom"/>
            <w:shd w:val="clear" w:color="auto" w:fill="DCDFED"/>
          </w:tcPr>
          <w:p>
            <w:pPr>
              <w:spacing w:after="0"/>
              <w:rPr>
                <w:sz w:val="19"/>
                <w:szCs w:val="19"/>
                <w:color w:val="auto"/>
              </w:rPr>
            </w:pPr>
          </w:p>
        </w:tc>
        <w:tc>
          <w:tcPr>
            <w:tcW w:w="3060" w:type="dxa"/>
            <w:vAlign w:val="bottom"/>
            <w:gridSpan w:val="2"/>
            <w:shd w:val="clear" w:color="auto" w:fill="DCDFED"/>
          </w:tcPr>
          <w:p>
            <w:pPr>
              <w:ind w:left="100"/>
              <w:spacing w:after="0"/>
              <w:rPr>
                <w:sz w:val="20"/>
                <w:szCs w:val="20"/>
                <w:color w:val="auto"/>
              </w:rPr>
            </w:pPr>
            <w:r>
              <w:rPr>
                <w:rFonts w:ascii="Arial" w:cs="Arial" w:eastAsia="Arial" w:hAnsi="Arial"/>
                <w:sz w:val="17"/>
                <w:szCs w:val="17"/>
                <w:color w:val="auto"/>
              </w:rPr>
              <w:t>General and administrative</w:t>
            </w:r>
          </w:p>
        </w:tc>
        <w:tc>
          <w:tcPr>
            <w:tcW w:w="320" w:type="dxa"/>
            <w:vAlign w:val="bottom"/>
            <w:shd w:val="clear" w:color="auto" w:fill="DCDFED"/>
          </w:tcPr>
          <w:p>
            <w:pPr>
              <w:spacing w:after="0"/>
              <w:rPr>
                <w:sz w:val="19"/>
                <w:szCs w:val="19"/>
                <w:color w:val="auto"/>
              </w:rPr>
            </w:pPr>
          </w:p>
        </w:tc>
        <w:tc>
          <w:tcPr>
            <w:tcW w:w="980" w:type="dxa"/>
            <w:vAlign w:val="bottom"/>
            <w:shd w:val="clear" w:color="auto" w:fill="DCDFED"/>
          </w:tcPr>
          <w:p>
            <w:pPr>
              <w:jc w:val="right"/>
              <w:ind w:right="15"/>
              <w:spacing w:after="0"/>
              <w:rPr>
                <w:sz w:val="20"/>
                <w:szCs w:val="20"/>
                <w:color w:val="auto"/>
              </w:rPr>
            </w:pPr>
            <w:r>
              <w:rPr>
                <w:rFonts w:ascii="Arial" w:cs="Arial" w:eastAsia="Arial" w:hAnsi="Arial"/>
                <w:sz w:val="17"/>
                <w:szCs w:val="17"/>
                <w:color w:val="auto"/>
              </w:rPr>
              <w:t>92.7</w:t>
            </w:r>
          </w:p>
        </w:tc>
        <w:tc>
          <w:tcPr>
            <w:tcW w:w="440" w:type="dxa"/>
            <w:vAlign w:val="bottom"/>
            <w:shd w:val="clear" w:color="auto" w:fill="DCDFED"/>
          </w:tcPr>
          <w:p>
            <w:pPr>
              <w:spacing w:after="0"/>
              <w:rPr>
                <w:sz w:val="19"/>
                <w:szCs w:val="19"/>
                <w:color w:val="auto"/>
              </w:rPr>
            </w:pPr>
          </w:p>
        </w:tc>
        <w:tc>
          <w:tcPr>
            <w:tcW w:w="960" w:type="dxa"/>
            <w:vAlign w:val="bottom"/>
            <w:shd w:val="clear" w:color="auto" w:fill="DCDFED"/>
          </w:tcPr>
          <w:p>
            <w:pPr>
              <w:jc w:val="right"/>
              <w:ind w:right="35"/>
              <w:spacing w:after="0"/>
              <w:rPr>
                <w:sz w:val="20"/>
                <w:szCs w:val="20"/>
                <w:color w:val="auto"/>
              </w:rPr>
            </w:pPr>
            <w:r>
              <w:rPr>
                <w:rFonts w:ascii="Arial" w:cs="Arial" w:eastAsia="Arial" w:hAnsi="Arial"/>
                <w:sz w:val="17"/>
                <w:szCs w:val="17"/>
                <w:color w:val="auto"/>
              </w:rPr>
              <w:t>49.5</w:t>
            </w:r>
          </w:p>
        </w:tc>
        <w:tc>
          <w:tcPr>
            <w:tcW w:w="180" w:type="dxa"/>
            <w:vAlign w:val="bottom"/>
            <w:shd w:val="clear" w:color="auto" w:fill="DCDFED"/>
          </w:tcPr>
          <w:p>
            <w:pPr>
              <w:spacing w:after="0"/>
              <w:rPr>
                <w:sz w:val="19"/>
                <w:szCs w:val="19"/>
                <w:color w:val="auto"/>
              </w:rPr>
            </w:pPr>
          </w:p>
        </w:tc>
        <w:tc>
          <w:tcPr>
            <w:tcW w:w="1180" w:type="dxa"/>
            <w:vAlign w:val="bottom"/>
            <w:shd w:val="clear" w:color="auto" w:fill="DCDFED"/>
          </w:tcPr>
          <w:p>
            <w:pPr>
              <w:jc w:val="right"/>
              <w:ind w:right="15"/>
              <w:spacing w:after="0"/>
              <w:rPr>
                <w:sz w:val="20"/>
                <w:szCs w:val="20"/>
                <w:color w:val="auto"/>
              </w:rPr>
            </w:pPr>
            <w:r>
              <w:rPr>
                <w:rFonts w:ascii="Arial" w:cs="Arial" w:eastAsia="Arial" w:hAnsi="Arial"/>
                <w:sz w:val="17"/>
                <w:szCs w:val="17"/>
                <w:color w:val="auto"/>
              </w:rPr>
              <w:t>41.8</w:t>
            </w:r>
          </w:p>
        </w:tc>
        <w:tc>
          <w:tcPr>
            <w:tcW w:w="320" w:type="dxa"/>
            <w:vAlign w:val="bottom"/>
            <w:shd w:val="clear" w:color="auto" w:fill="DCDFED"/>
          </w:tcPr>
          <w:p>
            <w:pPr>
              <w:spacing w:after="0"/>
              <w:rPr>
                <w:sz w:val="19"/>
                <w:szCs w:val="19"/>
                <w:color w:val="auto"/>
              </w:rPr>
            </w:pPr>
          </w:p>
        </w:tc>
        <w:tc>
          <w:tcPr>
            <w:tcW w:w="1060" w:type="dxa"/>
            <w:vAlign w:val="bottom"/>
            <w:shd w:val="clear" w:color="auto" w:fill="DCDFED"/>
          </w:tcPr>
          <w:p>
            <w:pPr>
              <w:jc w:val="right"/>
              <w:ind w:right="15"/>
              <w:spacing w:after="0"/>
              <w:rPr>
                <w:sz w:val="20"/>
                <w:szCs w:val="20"/>
                <w:color w:val="auto"/>
              </w:rPr>
            </w:pPr>
            <w:r>
              <w:rPr>
                <w:rFonts w:ascii="Arial" w:cs="Arial" w:eastAsia="Arial" w:hAnsi="Arial"/>
                <w:sz w:val="17"/>
                <w:szCs w:val="17"/>
                <w:color w:val="auto"/>
              </w:rPr>
              <w:t>11.5</w:t>
            </w:r>
          </w:p>
        </w:tc>
        <w:tc>
          <w:tcPr>
            <w:tcW w:w="280" w:type="dxa"/>
            <w:vAlign w:val="bottom"/>
            <w:shd w:val="clear" w:color="auto" w:fill="DCDFED"/>
          </w:tcPr>
          <w:p>
            <w:pPr>
              <w:spacing w:after="0"/>
              <w:rPr>
                <w:sz w:val="19"/>
                <w:szCs w:val="19"/>
                <w:color w:val="auto"/>
              </w:rPr>
            </w:pPr>
          </w:p>
        </w:tc>
        <w:tc>
          <w:tcPr>
            <w:tcW w:w="1160" w:type="dxa"/>
            <w:vAlign w:val="bottom"/>
            <w:shd w:val="clear" w:color="auto" w:fill="DCDFED"/>
          </w:tcPr>
          <w:p>
            <w:pPr>
              <w:jc w:val="right"/>
              <w:ind w:right="76"/>
              <w:spacing w:after="0"/>
              <w:rPr>
                <w:sz w:val="20"/>
                <w:szCs w:val="20"/>
                <w:color w:val="auto"/>
              </w:rPr>
            </w:pPr>
            <w:r>
              <w:rPr>
                <w:rFonts w:ascii="Arial" w:cs="Arial" w:eastAsia="Arial" w:hAnsi="Arial"/>
                <w:sz w:val="17"/>
                <w:szCs w:val="17"/>
                <w:color w:val="auto"/>
              </w:rPr>
              <w:t>67.5</w:t>
            </w:r>
          </w:p>
        </w:tc>
        <w:tc>
          <w:tcPr>
            <w:tcW w:w="300" w:type="dxa"/>
            <w:vAlign w:val="bottom"/>
            <w:shd w:val="clear" w:color="auto" w:fill="DCDFED"/>
          </w:tcPr>
          <w:p>
            <w:pPr>
              <w:spacing w:after="0"/>
              <w:rPr>
                <w:sz w:val="19"/>
                <w:szCs w:val="19"/>
                <w:color w:val="auto"/>
              </w:rPr>
            </w:pPr>
          </w:p>
        </w:tc>
        <w:tc>
          <w:tcPr>
            <w:tcW w:w="980" w:type="dxa"/>
            <w:vAlign w:val="bottom"/>
            <w:shd w:val="clear" w:color="auto" w:fill="DCDFED"/>
          </w:tcPr>
          <w:p>
            <w:pPr>
              <w:jc w:val="right"/>
              <w:spacing w:after="0"/>
              <w:rPr>
                <w:sz w:val="20"/>
                <w:szCs w:val="20"/>
                <w:color w:val="auto"/>
              </w:rPr>
            </w:pPr>
            <w:r>
              <w:rPr>
                <w:rFonts w:ascii="Arial" w:cs="Arial" w:eastAsia="Arial" w:hAnsi="Arial"/>
                <w:sz w:val="17"/>
                <w:szCs w:val="17"/>
                <w:color w:val="auto"/>
              </w:rPr>
              <w:t>262.9</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060" w:type="dxa"/>
            <w:vAlign w:val="bottom"/>
            <w:gridSpan w:val="2"/>
          </w:tcPr>
          <w:p>
            <w:pPr>
              <w:ind w:left="100"/>
              <w:spacing w:after="0"/>
              <w:rPr>
                <w:sz w:val="20"/>
                <w:szCs w:val="20"/>
                <w:color w:val="auto"/>
              </w:rPr>
            </w:pPr>
            <w:r>
              <w:rPr>
                <w:rFonts w:ascii="Arial" w:cs="Arial" w:eastAsia="Arial" w:hAnsi="Arial"/>
                <w:sz w:val="17"/>
                <w:szCs w:val="17"/>
                <w:color w:val="auto"/>
              </w:rPr>
              <w:t>Selling</w:t>
            </w:r>
          </w:p>
        </w:tc>
        <w:tc>
          <w:tcPr>
            <w:tcW w:w="320" w:type="dxa"/>
            <w:vAlign w:val="bottom"/>
          </w:tcPr>
          <w:p>
            <w:pPr>
              <w:spacing w:after="0"/>
              <w:rPr>
                <w:sz w:val="19"/>
                <w:szCs w:val="19"/>
                <w:color w:val="auto"/>
              </w:rPr>
            </w:pPr>
          </w:p>
        </w:tc>
        <w:tc>
          <w:tcPr>
            <w:tcW w:w="980" w:type="dxa"/>
            <w:vAlign w:val="bottom"/>
          </w:tcPr>
          <w:p>
            <w:pPr>
              <w:jc w:val="right"/>
              <w:ind w:right="15"/>
              <w:spacing w:after="0"/>
              <w:rPr>
                <w:sz w:val="20"/>
                <w:szCs w:val="20"/>
                <w:color w:val="auto"/>
              </w:rPr>
            </w:pPr>
            <w:r>
              <w:rPr>
                <w:rFonts w:ascii="Arial" w:cs="Arial" w:eastAsia="Arial" w:hAnsi="Arial"/>
                <w:sz w:val="17"/>
                <w:szCs w:val="17"/>
                <w:color w:val="auto"/>
              </w:rPr>
              <w:t>28.8</w:t>
            </w:r>
          </w:p>
        </w:tc>
        <w:tc>
          <w:tcPr>
            <w:tcW w:w="440" w:type="dxa"/>
            <w:vAlign w:val="bottom"/>
          </w:tcPr>
          <w:p>
            <w:pPr>
              <w:spacing w:after="0"/>
              <w:rPr>
                <w:sz w:val="19"/>
                <w:szCs w:val="19"/>
                <w:color w:val="auto"/>
              </w:rPr>
            </w:pPr>
          </w:p>
        </w:tc>
        <w:tc>
          <w:tcPr>
            <w:tcW w:w="960" w:type="dxa"/>
            <w:vAlign w:val="bottom"/>
          </w:tcPr>
          <w:p>
            <w:pPr>
              <w:jc w:val="right"/>
              <w:ind w:right="35"/>
              <w:spacing w:after="0"/>
              <w:rPr>
                <w:sz w:val="20"/>
                <w:szCs w:val="20"/>
                <w:color w:val="auto"/>
              </w:rPr>
            </w:pPr>
            <w:r>
              <w:rPr>
                <w:rFonts w:ascii="Arial" w:cs="Arial" w:eastAsia="Arial" w:hAnsi="Arial"/>
                <w:sz w:val="17"/>
                <w:szCs w:val="17"/>
                <w:color w:val="auto"/>
              </w:rPr>
              <w:t>7.8</w:t>
            </w:r>
          </w:p>
        </w:tc>
        <w:tc>
          <w:tcPr>
            <w:tcW w:w="180" w:type="dxa"/>
            <w:vAlign w:val="bottom"/>
          </w:tcPr>
          <w:p>
            <w:pPr>
              <w:spacing w:after="0"/>
              <w:rPr>
                <w:sz w:val="19"/>
                <w:szCs w:val="19"/>
                <w:color w:val="auto"/>
              </w:rPr>
            </w:pPr>
          </w:p>
        </w:tc>
        <w:tc>
          <w:tcPr>
            <w:tcW w:w="1180" w:type="dxa"/>
            <w:vAlign w:val="bottom"/>
          </w:tcPr>
          <w:p>
            <w:pPr>
              <w:jc w:val="right"/>
              <w:ind w:right="15"/>
              <w:spacing w:after="0"/>
              <w:rPr>
                <w:sz w:val="20"/>
                <w:szCs w:val="20"/>
                <w:color w:val="auto"/>
              </w:rPr>
            </w:pPr>
            <w:r>
              <w:rPr>
                <w:rFonts w:ascii="Arial" w:cs="Arial" w:eastAsia="Arial" w:hAnsi="Arial"/>
                <w:sz w:val="17"/>
                <w:szCs w:val="17"/>
                <w:color w:val="auto"/>
              </w:rPr>
              <w:t>1.5</w:t>
            </w:r>
          </w:p>
        </w:tc>
        <w:tc>
          <w:tcPr>
            <w:tcW w:w="320" w:type="dxa"/>
            <w:vAlign w:val="bottom"/>
          </w:tcPr>
          <w:p>
            <w:pPr>
              <w:spacing w:after="0"/>
              <w:rPr>
                <w:sz w:val="19"/>
                <w:szCs w:val="19"/>
                <w:color w:val="auto"/>
              </w:rPr>
            </w:pPr>
          </w:p>
        </w:tc>
        <w:tc>
          <w:tcPr>
            <w:tcW w:w="1060" w:type="dxa"/>
            <w:vAlign w:val="bottom"/>
          </w:tcPr>
          <w:p>
            <w:pPr>
              <w:jc w:val="right"/>
              <w:ind w:right="15"/>
              <w:spacing w:after="0"/>
              <w:rPr>
                <w:sz w:val="20"/>
                <w:szCs w:val="20"/>
                <w:color w:val="auto"/>
              </w:rPr>
            </w:pPr>
            <w:r>
              <w:rPr>
                <w:rFonts w:ascii="Arial" w:cs="Arial" w:eastAsia="Arial" w:hAnsi="Arial"/>
                <w:sz w:val="17"/>
                <w:szCs w:val="17"/>
                <w:color w:val="auto"/>
              </w:rPr>
              <w:t>1.3</w:t>
            </w:r>
          </w:p>
        </w:tc>
        <w:tc>
          <w:tcPr>
            <w:tcW w:w="280" w:type="dxa"/>
            <w:vAlign w:val="bottom"/>
          </w:tcPr>
          <w:p>
            <w:pPr>
              <w:spacing w:after="0"/>
              <w:rPr>
                <w:sz w:val="19"/>
                <w:szCs w:val="19"/>
                <w:color w:val="auto"/>
              </w:rPr>
            </w:pPr>
          </w:p>
        </w:tc>
        <w:tc>
          <w:tcPr>
            <w:tcW w:w="1160" w:type="dxa"/>
            <w:vAlign w:val="bottom"/>
          </w:tcPr>
          <w:p>
            <w:pPr>
              <w:jc w:val="right"/>
              <w:ind w:right="76"/>
              <w:spacing w:after="0"/>
              <w:rPr>
                <w:sz w:val="20"/>
                <w:szCs w:val="20"/>
                <w:color w:val="auto"/>
              </w:rPr>
            </w:pPr>
            <w:r>
              <w:rPr>
                <w:rFonts w:ascii="Arial" w:cs="Arial" w:eastAsia="Arial" w:hAnsi="Arial"/>
                <w:sz w:val="17"/>
                <w:szCs w:val="17"/>
                <w:color w:val="auto"/>
              </w:rPr>
              <w:t>49.1</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88.5</w:t>
            </w:r>
          </w:p>
        </w:tc>
        <w:tc>
          <w:tcPr>
            <w:tcW w:w="0" w:type="dxa"/>
            <w:vAlign w:val="bottom"/>
          </w:tcPr>
          <w:p>
            <w:pPr>
              <w:spacing w:after="0"/>
              <w:rPr>
                <w:sz w:val="1"/>
                <w:szCs w:val="1"/>
                <w:color w:val="auto"/>
              </w:rPr>
            </w:pPr>
          </w:p>
        </w:tc>
      </w:tr>
      <w:tr>
        <w:trPr>
          <w:trHeight w:val="219"/>
        </w:trPr>
        <w:tc>
          <w:tcPr>
            <w:tcW w:w="20" w:type="dxa"/>
            <w:vAlign w:val="bottom"/>
            <w:shd w:val="clear" w:color="auto" w:fill="DCDFED"/>
          </w:tcPr>
          <w:p>
            <w:pPr>
              <w:spacing w:after="0"/>
              <w:rPr>
                <w:sz w:val="19"/>
                <w:szCs w:val="19"/>
                <w:color w:val="auto"/>
              </w:rPr>
            </w:pPr>
          </w:p>
        </w:tc>
        <w:tc>
          <w:tcPr>
            <w:tcW w:w="3060" w:type="dxa"/>
            <w:vAlign w:val="bottom"/>
            <w:gridSpan w:val="2"/>
            <w:shd w:val="clear" w:color="auto" w:fill="DCDFED"/>
          </w:tcPr>
          <w:p>
            <w:pPr>
              <w:ind w:left="100"/>
              <w:spacing w:after="0" w:line="219" w:lineRule="exact"/>
              <w:rPr>
                <w:sz w:val="20"/>
                <w:szCs w:val="20"/>
                <w:color w:val="auto"/>
              </w:rPr>
            </w:pPr>
            <w:r>
              <w:rPr>
                <w:rFonts w:ascii="Arial" w:cs="Arial" w:eastAsia="Arial" w:hAnsi="Arial"/>
                <w:sz w:val="17"/>
                <w:szCs w:val="17"/>
                <w:color w:val="auto"/>
              </w:rPr>
              <w:t>Other segment items</w:t>
            </w:r>
            <w:r>
              <w:rPr>
                <w:rFonts w:ascii="Arial" w:cs="Arial" w:eastAsia="Arial" w:hAnsi="Arial"/>
                <w:sz w:val="22"/>
                <w:szCs w:val="22"/>
                <w:color w:val="auto"/>
                <w:vertAlign w:val="superscript"/>
              </w:rPr>
              <w:t>(1)</w:t>
            </w:r>
          </w:p>
        </w:tc>
        <w:tc>
          <w:tcPr>
            <w:tcW w:w="320" w:type="dxa"/>
            <w:vAlign w:val="bottom"/>
            <w:tcBorders>
              <w:bottom w:val="single" w:sz="8" w:color="auto"/>
            </w:tcBorders>
            <w:shd w:val="clear" w:color="auto" w:fill="DCDFED"/>
          </w:tcPr>
          <w:p>
            <w:pPr>
              <w:spacing w:after="0"/>
              <w:rPr>
                <w:sz w:val="19"/>
                <w:szCs w:val="19"/>
                <w:color w:val="auto"/>
              </w:rPr>
            </w:pPr>
          </w:p>
        </w:tc>
        <w:tc>
          <w:tcPr>
            <w:tcW w:w="980" w:type="dxa"/>
            <w:vAlign w:val="bottom"/>
            <w:tcBorders>
              <w:bottom w:val="single" w:sz="8" w:color="auto"/>
            </w:tcBorders>
            <w:shd w:val="clear" w:color="auto" w:fill="DCDFED"/>
          </w:tcPr>
          <w:p>
            <w:pPr>
              <w:jc w:val="right"/>
              <w:ind w:right="15"/>
              <w:spacing w:after="0"/>
              <w:rPr>
                <w:sz w:val="20"/>
                <w:szCs w:val="20"/>
                <w:color w:val="auto"/>
              </w:rPr>
            </w:pPr>
            <w:r>
              <w:rPr>
                <w:rFonts w:ascii="Arial" w:cs="Arial" w:eastAsia="Arial" w:hAnsi="Arial"/>
                <w:sz w:val="17"/>
                <w:szCs w:val="17"/>
                <w:color w:val="auto"/>
              </w:rPr>
              <w:t>1,256.2</w:t>
            </w:r>
          </w:p>
        </w:tc>
        <w:tc>
          <w:tcPr>
            <w:tcW w:w="440" w:type="dxa"/>
            <w:vAlign w:val="bottom"/>
            <w:tcBorders>
              <w:bottom w:val="single" w:sz="8" w:color="auto"/>
            </w:tcBorders>
            <w:shd w:val="clear" w:color="auto" w:fill="DCDFED"/>
          </w:tcPr>
          <w:p>
            <w:pPr>
              <w:spacing w:after="0"/>
              <w:rPr>
                <w:sz w:val="19"/>
                <w:szCs w:val="19"/>
                <w:color w:val="auto"/>
              </w:rPr>
            </w:pPr>
          </w:p>
        </w:tc>
        <w:tc>
          <w:tcPr>
            <w:tcW w:w="960" w:type="dxa"/>
            <w:vAlign w:val="bottom"/>
            <w:tcBorders>
              <w:bottom w:val="single" w:sz="8" w:color="auto"/>
            </w:tcBorders>
            <w:shd w:val="clear" w:color="auto" w:fill="DCDFED"/>
          </w:tcPr>
          <w:p>
            <w:pPr>
              <w:jc w:val="right"/>
              <w:ind w:right="35"/>
              <w:spacing w:after="0"/>
              <w:rPr>
                <w:sz w:val="20"/>
                <w:szCs w:val="20"/>
                <w:color w:val="auto"/>
              </w:rPr>
            </w:pPr>
            <w:r>
              <w:rPr>
                <w:rFonts w:ascii="Arial" w:cs="Arial" w:eastAsia="Arial" w:hAnsi="Arial"/>
                <w:sz w:val="17"/>
                <w:szCs w:val="17"/>
                <w:color w:val="auto"/>
              </w:rPr>
              <w:t>313.5</w:t>
            </w:r>
          </w:p>
        </w:tc>
        <w:tc>
          <w:tcPr>
            <w:tcW w:w="180" w:type="dxa"/>
            <w:vAlign w:val="bottom"/>
            <w:tcBorders>
              <w:bottom w:val="single" w:sz="8" w:color="auto"/>
            </w:tcBorders>
            <w:shd w:val="clear" w:color="auto" w:fill="DCDFED"/>
          </w:tcPr>
          <w:p>
            <w:pPr>
              <w:spacing w:after="0"/>
              <w:rPr>
                <w:sz w:val="19"/>
                <w:szCs w:val="19"/>
                <w:color w:val="auto"/>
              </w:rPr>
            </w:pPr>
          </w:p>
        </w:tc>
        <w:tc>
          <w:tcPr>
            <w:tcW w:w="1180" w:type="dxa"/>
            <w:vAlign w:val="bottom"/>
            <w:tcBorders>
              <w:bottom w:val="single" w:sz="8" w:color="auto"/>
            </w:tcBorders>
            <w:shd w:val="clear" w:color="auto" w:fill="DCDFED"/>
          </w:tcPr>
          <w:p>
            <w:pPr>
              <w:jc w:val="right"/>
              <w:ind w:right="15"/>
              <w:spacing w:after="0"/>
              <w:rPr>
                <w:sz w:val="20"/>
                <w:szCs w:val="20"/>
                <w:color w:val="auto"/>
              </w:rPr>
            </w:pPr>
            <w:r>
              <w:rPr>
                <w:rFonts w:ascii="Arial" w:cs="Arial" w:eastAsia="Arial" w:hAnsi="Arial"/>
                <w:sz w:val="17"/>
                <w:szCs w:val="17"/>
                <w:color w:val="auto"/>
              </w:rPr>
              <w:t>316.8</w:t>
            </w:r>
          </w:p>
        </w:tc>
        <w:tc>
          <w:tcPr>
            <w:tcW w:w="320" w:type="dxa"/>
            <w:vAlign w:val="bottom"/>
            <w:tcBorders>
              <w:bottom w:val="single" w:sz="8" w:color="auto"/>
            </w:tcBorders>
            <w:shd w:val="clear" w:color="auto" w:fill="DCDFED"/>
          </w:tcPr>
          <w:p>
            <w:pPr>
              <w:spacing w:after="0"/>
              <w:rPr>
                <w:sz w:val="19"/>
                <w:szCs w:val="19"/>
                <w:color w:val="auto"/>
              </w:rPr>
            </w:pPr>
          </w:p>
        </w:tc>
        <w:tc>
          <w:tcPr>
            <w:tcW w:w="1060" w:type="dxa"/>
            <w:vAlign w:val="bottom"/>
            <w:tcBorders>
              <w:bottom w:val="single" w:sz="8" w:color="auto"/>
            </w:tcBorders>
            <w:shd w:val="clear" w:color="auto" w:fill="DCDFED"/>
          </w:tcPr>
          <w:p>
            <w:pPr>
              <w:jc w:val="right"/>
              <w:ind w:right="15"/>
              <w:spacing w:after="0"/>
              <w:rPr>
                <w:sz w:val="20"/>
                <w:szCs w:val="20"/>
                <w:color w:val="auto"/>
              </w:rPr>
            </w:pPr>
            <w:r>
              <w:rPr>
                <w:rFonts w:ascii="Arial" w:cs="Arial" w:eastAsia="Arial" w:hAnsi="Arial"/>
                <w:sz w:val="17"/>
                <w:szCs w:val="17"/>
                <w:color w:val="auto"/>
              </w:rPr>
              <w:t>212.5</w:t>
            </w:r>
          </w:p>
        </w:tc>
        <w:tc>
          <w:tcPr>
            <w:tcW w:w="280" w:type="dxa"/>
            <w:vAlign w:val="bottom"/>
            <w:tcBorders>
              <w:bottom w:val="single" w:sz="8" w:color="auto"/>
            </w:tcBorders>
            <w:shd w:val="clear" w:color="auto" w:fill="DCDFED"/>
          </w:tcPr>
          <w:p>
            <w:pPr>
              <w:spacing w:after="0"/>
              <w:rPr>
                <w:sz w:val="19"/>
                <w:szCs w:val="19"/>
                <w:color w:val="auto"/>
              </w:rPr>
            </w:pPr>
          </w:p>
        </w:tc>
        <w:tc>
          <w:tcPr>
            <w:tcW w:w="1160" w:type="dxa"/>
            <w:vAlign w:val="bottom"/>
            <w:tcBorders>
              <w:bottom w:val="single" w:sz="8" w:color="auto"/>
            </w:tcBorders>
            <w:shd w:val="clear" w:color="auto" w:fill="DCDFED"/>
          </w:tcPr>
          <w:p>
            <w:pPr>
              <w:jc w:val="right"/>
              <w:ind w:right="76"/>
              <w:spacing w:after="0"/>
              <w:rPr>
                <w:sz w:val="20"/>
                <w:szCs w:val="20"/>
                <w:color w:val="auto"/>
              </w:rPr>
            </w:pPr>
            <w:r>
              <w:rPr>
                <w:rFonts w:ascii="Arial" w:cs="Arial" w:eastAsia="Arial" w:hAnsi="Arial"/>
                <w:sz w:val="17"/>
                <w:szCs w:val="17"/>
                <w:color w:val="auto"/>
              </w:rPr>
              <w:t>284.6</w:t>
            </w:r>
          </w:p>
        </w:tc>
        <w:tc>
          <w:tcPr>
            <w:tcW w:w="300" w:type="dxa"/>
            <w:vAlign w:val="bottom"/>
            <w:tcBorders>
              <w:bottom w:val="single" w:sz="8" w:color="auto"/>
            </w:tcBorders>
            <w:shd w:val="clear" w:color="auto" w:fill="DCDFED"/>
          </w:tcPr>
          <w:p>
            <w:pPr>
              <w:spacing w:after="0"/>
              <w:rPr>
                <w:sz w:val="19"/>
                <w:szCs w:val="19"/>
                <w:color w:val="auto"/>
              </w:rPr>
            </w:pPr>
          </w:p>
        </w:tc>
        <w:tc>
          <w:tcPr>
            <w:tcW w:w="980" w:type="dxa"/>
            <w:vAlign w:val="bottom"/>
            <w:tcBorders>
              <w:bottom w:val="single" w:sz="8" w:color="auto"/>
            </w:tcBorders>
            <w:shd w:val="clear" w:color="auto" w:fill="DCDFED"/>
          </w:tcPr>
          <w:p>
            <w:pPr>
              <w:jc w:val="right"/>
              <w:spacing w:after="0"/>
              <w:rPr>
                <w:sz w:val="20"/>
                <w:szCs w:val="20"/>
                <w:color w:val="auto"/>
              </w:rPr>
            </w:pPr>
            <w:r>
              <w:rPr>
                <w:rFonts w:ascii="Arial" w:cs="Arial" w:eastAsia="Arial" w:hAnsi="Arial"/>
                <w:sz w:val="17"/>
                <w:szCs w:val="17"/>
                <w:color w:val="auto"/>
              </w:rPr>
              <w:t>2,383.6</w:t>
            </w:r>
          </w:p>
        </w:tc>
        <w:tc>
          <w:tcPr>
            <w:tcW w:w="0" w:type="dxa"/>
            <w:vAlign w:val="bottom"/>
          </w:tcPr>
          <w:p>
            <w:pPr>
              <w:spacing w:after="0"/>
              <w:rPr>
                <w:sz w:val="1"/>
                <w:szCs w:val="1"/>
                <w:color w:val="auto"/>
              </w:rPr>
            </w:pPr>
          </w:p>
        </w:tc>
      </w:tr>
      <w:tr>
        <w:trPr>
          <w:trHeight w:val="212"/>
        </w:trPr>
        <w:tc>
          <w:tcPr>
            <w:tcW w:w="3080" w:type="dxa"/>
            <w:vAlign w:val="bottom"/>
            <w:gridSpan w:val="3"/>
          </w:tcPr>
          <w:p>
            <w:pPr>
              <w:ind w:left="20"/>
              <w:spacing w:after="0"/>
              <w:rPr>
                <w:sz w:val="20"/>
                <w:szCs w:val="20"/>
                <w:color w:val="auto"/>
              </w:rPr>
            </w:pPr>
            <w:r>
              <w:rPr>
                <w:rFonts w:ascii="Arial" w:cs="Arial" w:eastAsia="Arial" w:hAnsi="Arial"/>
                <w:sz w:val="17"/>
                <w:szCs w:val="17"/>
                <w:b w:val="1"/>
                <w:bCs w:val="1"/>
                <w:color w:val="auto"/>
              </w:rPr>
              <w:t>Segment operating profit</w:t>
            </w:r>
          </w:p>
        </w:tc>
        <w:tc>
          <w:tcPr>
            <w:tcW w:w="32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307.0</w:t>
            </w:r>
          </w:p>
        </w:tc>
        <w:tc>
          <w:tcPr>
            <w:tcW w:w="44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166.3</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59.1</w:t>
            </w:r>
          </w:p>
        </w:tc>
        <w:tc>
          <w:tcPr>
            <w:tcW w:w="32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55.3</w:t>
            </w:r>
          </w:p>
        </w:tc>
        <w:tc>
          <w:tcPr>
            <w:tcW w:w="28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auto"/>
            </w:tcBorders>
          </w:tcPr>
          <w:p>
            <w:pPr>
              <w:jc w:val="right"/>
              <w:ind w:right="76"/>
              <w:spacing w:after="0"/>
              <w:rPr>
                <w:sz w:val="20"/>
                <w:szCs w:val="20"/>
                <w:color w:val="auto"/>
              </w:rPr>
            </w:pPr>
            <w:r>
              <w:rPr>
                <w:rFonts w:ascii="Arial" w:cs="Arial" w:eastAsia="Arial" w:hAnsi="Arial"/>
                <w:sz w:val="17"/>
                <w:szCs w:val="17"/>
                <w:color w:val="auto"/>
              </w:rPr>
              <w:t>69.4</w:t>
            </w:r>
          </w:p>
        </w:tc>
        <w:tc>
          <w:tcPr>
            <w:tcW w:w="30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657.2</w:t>
            </w:r>
          </w:p>
        </w:tc>
        <w:tc>
          <w:tcPr>
            <w:tcW w:w="0" w:type="dxa"/>
            <w:vAlign w:val="bottom"/>
          </w:tcPr>
          <w:p>
            <w:pPr>
              <w:spacing w:after="0"/>
              <w:rPr>
                <w:sz w:val="1"/>
                <w:szCs w:val="1"/>
                <w:color w:val="auto"/>
              </w:rPr>
            </w:pPr>
          </w:p>
        </w:tc>
      </w:tr>
      <w:tr>
        <w:trPr>
          <w:trHeight w:val="20"/>
        </w:trPr>
        <w:tc>
          <w:tcPr>
            <w:tcW w:w="20" w:type="dxa"/>
            <w:vAlign w:val="bottom"/>
            <w:tcBorders>
              <w:bottom w:val="single" w:sz="8" w:color="DCDFED"/>
            </w:tcBorders>
          </w:tcPr>
          <w:p>
            <w:pPr>
              <w:spacing w:after="0" w:line="20" w:lineRule="exact"/>
              <w:rPr>
                <w:sz w:val="1"/>
                <w:szCs w:val="1"/>
                <w:color w:val="auto"/>
              </w:rPr>
            </w:pPr>
          </w:p>
        </w:tc>
        <w:tc>
          <w:tcPr>
            <w:tcW w:w="680" w:type="dxa"/>
            <w:vAlign w:val="bottom"/>
            <w:tcBorders>
              <w:bottom w:val="single" w:sz="8" w:color="DCDFED"/>
            </w:tcBorders>
          </w:tcPr>
          <w:p>
            <w:pPr>
              <w:spacing w:after="0" w:line="20" w:lineRule="exact"/>
              <w:rPr>
                <w:sz w:val="1"/>
                <w:szCs w:val="1"/>
                <w:color w:val="auto"/>
              </w:rPr>
            </w:pPr>
          </w:p>
        </w:tc>
        <w:tc>
          <w:tcPr>
            <w:tcW w:w="2380" w:type="dxa"/>
            <w:vAlign w:val="bottom"/>
            <w:tcBorders>
              <w:bottom w:val="single" w:sz="8" w:color="DCDFED"/>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080" w:type="dxa"/>
            <w:vAlign w:val="bottom"/>
            <w:gridSpan w:val="3"/>
            <w:shd w:val="clear" w:color="auto" w:fill="DCDFED"/>
          </w:tcPr>
          <w:p>
            <w:pPr>
              <w:ind w:left="20"/>
              <w:spacing w:after="0" w:line="210" w:lineRule="exact"/>
              <w:rPr>
                <w:sz w:val="20"/>
                <w:szCs w:val="20"/>
                <w:color w:val="auto"/>
              </w:rPr>
            </w:pPr>
            <w:r>
              <w:rPr>
                <w:rFonts w:ascii="Arial" w:cs="Arial" w:eastAsia="Arial" w:hAnsi="Arial"/>
                <w:sz w:val="17"/>
                <w:szCs w:val="17"/>
                <w:color w:val="auto"/>
              </w:rPr>
              <w:t>Corporate</w:t>
            </w:r>
            <w:r>
              <w:rPr>
                <w:rFonts w:ascii="Arial" w:cs="Arial" w:eastAsia="Arial" w:hAnsi="Arial"/>
                <w:sz w:val="22"/>
                <w:szCs w:val="22"/>
                <w:color w:val="auto"/>
                <w:vertAlign w:val="superscript"/>
              </w:rPr>
              <w:t>(</w:t>
            </w:r>
            <w:r>
              <w:rPr>
                <w:rFonts w:ascii="Arial" w:cs="Arial" w:eastAsia="Arial" w:hAnsi="Arial"/>
                <w:sz w:val="10"/>
                <w:szCs w:val="10"/>
                <w:color w:val="auto"/>
              </w:rPr>
              <w:t>2)</w:t>
            </w:r>
          </w:p>
        </w:tc>
        <w:tc>
          <w:tcPr>
            <w:tcW w:w="320" w:type="dxa"/>
            <w:vAlign w:val="bottom"/>
            <w:shd w:val="clear" w:color="auto" w:fill="DCDFED"/>
          </w:tcPr>
          <w:p>
            <w:pPr>
              <w:spacing w:after="0"/>
              <w:rPr>
                <w:sz w:val="18"/>
                <w:szCs w:val="18"/>
                <w:color w:val="auto"/>
              </w:rPr>
            </w:pPr>
          </w:p>
        </w:tc>
        <w:tc>
          <w:tcPr>
            <w:tcW w:w="980" w:type="dxa"/>
            <w:vAlign w:val="bottom"/>
            <w:shd w:val="clear" w:color="auto" w:fill="DCDFED"/>
          </w:tcPr>
          <w:p>
            <w:pPr>
              <w:spacing w:after="0"/>
              <w:rPr>
                <w:sz w:val="18"/>
                <w:szCs w:val="18"/>
                <w:color w:val="auto"/>
              </w:rPr>
            </w:pPr>
          </w:p>
        </w:tc>
        <w:tc>
          <w:tcPr>
            <w:tcW w:w="440" w:type="dxa"/>
            <w:vAlign w:val="bottom"/>
            <w:shd w:val="clear" w:color="auto" w:fill="DCDFED"/>
          </w:tcPr>
          <w:p>
            <w:pPr>
              <w:spacing w:after="0"/>
              <w:rPr>
                <w:sz w:val="18"/>
                <w:szCs w:val="18"/>
                <w:color w:val="auto"/>
              </w:rPr>
            </w:pPr>
          </w:p>
        </w:tc>
        <w:tc>
          <w:tcPr>
            <w:tcW w:w="960" w:type="dxa"/>
            <w:vAlign w:val="bottom"/>
            <w:shd w:val="clear" w:color="auto" w:fill="DCDFED"/>
          </w:tcPr>
          <w:p>
            <w:pPr>
              <w:spacing w:after="0"/>
              <w:rPr>
                <w:sz w:val="18"/>
                <w:szCs w:val="18"/>
                <w:color w:val="auto"/>
              </w:rPr>
            </w:pPr>
          </w:p>
        </w:tc>
        <w:tc>
          <w:tcPr>
            <w:tcW w:w="180" w:type="dxa"/>
            <w:vAlign w:val="bottom"/>
            <w:shd w:val="clear" w:color="auto" w:fill="DCDFED"/>
          </w:tcPr>
          <w:p>
            <w:pPr>
              <w:spacing w:after="0"/>
              <w:rPr>
                <w:sz w:val="18"/>
                <w:szCs w:val="18"/>
                <w:color w:val="auto"/>
              </w:rPr>
            </w:pPr>
          </w:p>
        </w:tc>
        <w:tc>
          <w:tcPr>
            <w:tcW w:w="1180" w:type="dxa"/>
            <w:vAlign w:val="bottom"/>
            <w:shd w:val="clear" w:color="auto" w:fill="DCDFED"/>
          </w:tcPr>
          <w:p>
            <w:pPr>
              <w:spacing w:after="0"/>
              <w:rPr>
                <w:sz w:val="18"/>
                <w:szCs w:val="18"/>
                <w:color w:val="auto"/>
              </w:rPr>
            </w:pPr>
          </w:p>
        </w:tc>
        <w:tc>
          <w:tcPr>
            <w:tcW w:w="320" w:type="dxa"/>
            <w:vAlign w:val="bottom"/>
            <w:shd w:val="clear" w:color="auto" w:fill="DCDFED"/>
          </w:tcPr>
          <w:p>
            <w:pPr>
              <w:spacing w:after="0"/>
              <w:rPr>
                <w:sz w:val="18"/>
                <w:szCs w:val="18"/>
                <w:color w:val="auto"/>
              </w:rPr>
            </w:pPr>
          </w:p>
        </w:tc>
        <w:tc>
          <w:tcPr>
            <w:tcW w:w="1060" w:type="dxa"/>
            <w:vAlign w:val="bottom"/>
            <w:shd w:val="clear" w:color="auto" w:fill="DCDFED"/>
          </w:tcPr>
          <w:p>
            <w:pPr>
              <w:spacing w:after="0"/>
              <w:rPr>
                <w:sz w:val="18"/>
                <w:szCs w:val="18"/>
                <w:color w:val="auto"/>
              </w:rPr>
            </w:pPr>
          </w:p>
        </w:tc>
        <w:tc>
          <w:tcPr>
            <w:tcW w:w="280" w:type="dxa"/>
            <w:vAlign w:val="bottom"/>
            <w:shd w:val="clear" w:color="auto" w:fill="DCDFED"/>
          </w:tcPr>
          <w:p>
            <w:pPr>
              <w:spacing w:after="0"/>
              <w:rPr>
                <w:sz w:val="18"/>
                <w:szCs w:val="18"/>
                <w:color w:val="auto"/>
              </w:rPr>
            </w:pPr>
          </w:p>
        </w:tc>
        <w:tc>
          <w:tcPr>
            <w:tcW w:w="1160" w:type="dxa"/>
            <w:vAlign w:val="bottom"/>
            <w:shd w:val="clear" w:color="auto" w:fill="DCDFED"/>
          </w:tcPr>
          <w:p>
            <w:pPr>
              <w:spacing w:after="0"/>
              <w:rPr>
                <w:sz w:val="18"/>
                <w:szCs w:val="18"/>
                <w:color w:val="auto"/>
              </w:rPr>
            </w:pPr>
          </w:p>
        </w:tc>
        <w:tc>
          <w:tcPr>
            <w:tcW w:w="300" w:type="dxa"/>
            <w:vAlign w:val="bottom"/>
            <w:shd w:val="clear" w:color="auto" w:fill="DCDFED"/>
          </w:tcPr>
          <w:p>
            <w:pPr>
              <w:spacing w:after="0"/>
              <w:rPr>
                <w:sz w:val="18"/>
                <w:szCs w:val="18"/>
                <w:color w:val="auto"/>
              </w:rPr>
            </w:pPr>
          </w:p>
        </w:tc>
        <w:tc>
          <w:tcPr>
            <w:tcW w:w="980" w:type="dxa"/>
            <w:vAlign w:val="bottom"/>
            <w:shd w:val="clear" w:color="auto" w:fill="DCDFED"/>
          </w:tcPr>
          <w:p>
            <w:pPr>
              <w:jc w:val="right"/>
              <w:spacing w:after="0"/>
              <w:rPr>
                <w:sz w:val="20"/>
                <w:szCs w:val="20"/>
                <w:color w:val="auto"/>
              </w:rPr>
            </w:pPr>
            <w:r>
              <w:rPr>
                <w:rFonts w:ascii="Arial" w:cs="Arial" w:eastAsia="Arial" w:hAnsi="Arial"/>
                <w:sz w:val="17"/>
                <w:szCs w:val="17"/>
                <w:color w:val="auto"/>
              </w:rPr>
              <w:t>(433.1)</w:t>
            </w:r>
          </w:p>
        </w:tc>
        <w:tc>
          <w:tcPr>
            <w:tcW w:w="0" w:type="dxa"/>
            <w:vAlign w:val="bottom"/>
          </w:tcPr>
          <w:p>
            <w:pPr>
              <w:spacing w:after="0"/>
              <w:rPr>
                <w:sz w:val="1"/>
                <w:szCs w:val="1"/>
                <w:color w:val="auto"/>
              </w:rPr>
            </w:pPr>
          </w:p>
        </w:tc>
      </w:tr>
      <w:tr>
        <w:trPr>
          <w:trHeight w:val="219"/>
        </w:trPr>
        <w:tc>
          <w:tcPr>
            <w:tcW w:w="7460" w:type="dxa"/>
            <w:vAlign w:val="bottom"/>
            <w:gridSpan w:val="10"/>
          </w:tcPr>
          <w:p>
            <w:pPr>
              <w:ind w:left="20"/>
              <w:spacing w:after="0"/>
              <w:rPr>
                <w:sz w:val="20"/>
                <w:szCs w:val="20"/>
                <w:color w:val="auto"/>
              </w:rPr>
            </w:pPr>
            <w:r>
              <w:rPr>
                <w:rFonts w:ascii="Arial" w:cs="Arial" w:eastAsia="Arial" w:hAnsi="Arial"/>
                <w:sz w:val="17"/>
                <w:szCs w:val="17"/>
                <w:color w:val="auto"/>
              </w:rPr>
              <w:t>Adjustment for income from unconsolidated affiliates, included in Aviation and Technical Solutions</w:t>
            </w:r>
          </w:p>
        </w:tc>
        <w:tc>
          <w:tcPr>
            <w:tcW w:w="1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(6.5)</w:t>
            </w:r>
          </w:p>
        </w:tc>
        <w:tc>
          <w:tcPr>
            <w:tcW w:w="0" w:type="dxa"/>
            <w:vAlign w:val="bottom"/>
          </w:tcPr>
          <w:p>
            <w:pPr>
              <w:spacing w:after="0"/>
              <w:rPr>
                <w:sz w:val="1"/>
                <w:szCs w:val="1"/>
                <w:color w:val="auto"/>
              </w:rPr>
            </w:pPr>
          </w:p>
        </w:tc>
      </w:tr>
      <w:tr>
        <w:trPr>
          <w:trHeight w:val="168"/>
        </w:trPr>
        <w:tc>
          <w:tcPr>
            <w:tcW w:w="4820" w:type="dxa"/>
            <w:vAlign w:val="bottom"/>
            <w:gridSpan w:val="6"/>
            <w:shd w:val="clear" w:color="auto" w:fill="DCDFED"/>
          </w:tcPr>
          <w:p>
            <w:pPr>
              <w:ind w:left="20"/>
              <w:spacing w:after="0" w:line="167" w:lineRule="exact"/>
              <w:rPr>
                <w:sz w:val="20"/>
                <w:szCs w:val="20"/>
                <w:color w:val="auto"/>
              </w:rPr>
            </w:pPr>
            <w:r>
              <w:rPr>
                <w:rFonts w:ascii="Arial" w:cs="Arial" w:eastAsia="Arial" w:hAnsi="Arial"/>
                <w:sz w:val="17"/>
                <w:szCs w:val="17"/>
                <w:color w:val="auto"/>
              </w:rPr>
              <w:t>Adjustment for tax deductions for energy efficient government</w:t>
            </w:r>
          </w:p>
        </w:tc>
        <w:tc>
          <w:tcPr>
            <w:tcW w:w="960" w:type="dxa"/>
            <w:vAlign w:val="bottom"/>
            <w:shd w:val="clear" w:color="auto" w:fill="DCDFED"/>
          </w:tcPr>
          <w:p>
            <w:pPr>
              <w:spacing w:after="0"/>
              <w:rPr>
                <w:sz w:val="14"/>
                <w:szCs w:val="14"/>
                <w:color w:val="auto"/>
              </w:rPr>
            </w:pPr>
          </w:p>
        </w:tc>
        <w:tc>
          <w:tcPr>
            <w:tcW w:w="180" w:type="dxa"/>
            <w:vAlign w:val="bottom"/>
            <w:shd w:val="clear" w:color="auto" w:fill="DCDFED"/>
          </w:tcPr>
          <w:p>
            <w:pPr>
              <w:spacing w:after="0"/>
              <w:rPr>
                <w:sz w:val="14"/>
                <w:szCs w:val="14"/>
                <w:color w:val="auto"/>
              </w:rPr>
            </w:pPr>
          </w:p>
        </w:tc>
        <w:tc>
          <w:tcPr>
            <w:tcW w:w="1180" w:type="dxa"/>
            <w:vAlign w:val="bottom"/>
            <w:shd w:val="clear" w:color="auto" w:fill="DCDFED"/>
          </w:tcPr>
          <w:p>
            <w:pPr>
              <w:spacing w:after="0"/>
              <w:rPr>
                <w:sz w:val="14"/>
                <w:szCs w:val="14"/>
                <w:color w:val="auto"/>
              </w:rPr>
            </w:pPr>
          </w:p>
        </w:tc>
        <w:tc>
          <w:tcPr>
            <w:tcW w:w="320" w:type="dxa"/>
            <w:vAlign w:val="bottom"/>
            <w:shd w:val="clear" w:color="auto" w:fill="DCDFED"/>
          </w:tcPr>
          <w:p>
            <w:pPr>
              <w:spacing w:after="0"/>
              <w:rPr>
                <w:sz w:val="14"/>
                <w:szCs w:val="14"/>
                <w:color w:val="auto"/>
              </w:rPr>
            </w:pPr>
          </w:p>
        </w:tc>
        <w:tc>
          <w:tcPr>
            <w:tcW w:w="1060" w:type="dxa"/>
            <w:vAlign w:val="bottom"/>
            <w:shd w:val="clear" w:color="auto" w:fill="DCDFED"/>
          </w:tcPr>
          <w:p>
            <w:pPr>
              <w:spacing w:after="0"/>
              <w:rPr>
                <w:sz w:val="14"/>
                <w:szCs w:val="14"/>
                <w:color w:val="auto"/>
              </w:rPr>
            </w:pPr>
          </w:p>
        </w:tc>
        <w:tc>
          <w:tcPr>
            <w:tcW w:w="280" w:type="dxa"/>
            <w:vAlign w:val="bottom"/>
            <w:shd w:val="clear" w:color="auto" w:fill="DCDFED"/>
          </w:tcPr>
          <w:p>
            <w:pPr>
              <w:spacing w:after="0"/>
              <w:rPr>
                <w:sz w:val="14"/>
                <w:szCs w:val="14"/>
                <w:color w:val="auto"/>
              </w:rPr>
            </w:pPr>
          </w:p>
        </w:tc>
        <w:tc>
          <w:tcPr>
            <w:tcW w:w="1160" w:type="dxa"/>
            <w:vAlign w:val="bottom"/>
            <w:shd w:val="clear" w:color="auto" w:fill="DCDFED"/>
          </w:tcPr>
          <w:p>
            <w:pPr>
              <w:spacing w:after="0"/>
              <w:rPr>
                <w:sz w:val="14"/>
                <w:szCs w:val="14"/>
                <w:color w:val="auto"/>
              </w:rPr>
            </w:pPr>
          </w:p>
        </w:tc>
        <w:tc>
          <w:tcPr>
            <w:tcW w:w="300" w:type="dxa"/>
            <w:vAlign w:val="bottom"/>
            <w:shd w:val="clear" w:color="auto" w:fill="DCDFED"/>
          </w:tcPr>
          <w:p>
            <w:pPr>
              <w:spacing w:after="0"/>
              <w:rPr>
                <w:sz w:val="14"/>
                <w:szCs w:val="14"/>
                <w:color w:val="auto"/>
              </w:rPr>
            </w:pPr>
          </w:p>
        </w:tc>
        <w:tc>
          <w:tcPr>
            <w:tcW w:w="980" w:type="dxa"/>
            <w:vAlign w:val="bottom"/>
            <w:shd w:val="clear" w:color="auto" w:fill="DCDFED"/>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3400" w:type="dxa"/>
            <w:vAlign w:val="bottom"/>
            <w:gridSpan w:val="4"/>
            <w:shd w:val="clear" w:color="auto" w:fill="DCDFED"/>
          </w:tcPr>
          <w:p>
            <w:pPr>
              <w:ind w:left="20"/>
              <w:spacing w:after="0"/>
              <w:rPr>
                <w:sz w:val="20"/>
                <w:szCs w:val="20"/>
                <w:color w:val="auto"/>
              </w:rPr>
            </w:pPr>
            <w:r>
              <w:rPr>
                <w:rFonts w:ascii="Arial" w:cs="Arial" w:eastAsia="Arial" w:hAnsi="Arial"/>
                <w:sz w:val="17"/>
                <w:szCs w:val="17"/>
                <w:color w:val="auto"/>
              </w:rPr>
              <w:t>buildings, included in Technical Solutions</w:t>
            </w:r>
          </w:p>
        </w:tc>
        <w:tc>
          <w:tcPr>
            <w:tcW w:w="980" w:type="dxa"/>
            <w:vAlign w:val="bottom"/>
            <w:shd w:val="clear" w:color="auto" w:fill="DCDFED"/>
          </w:tcPr>
          <w:p>
            <w:pPr>
              <w:spacing w:after="0"/>
              <w:rPr>
                <w:sz w:val="20"/>
                <w:szCs w:val="20"/>
                <w:color w:val="auto"/>
              </w:rPr>
            </w:pPr>
          </w:p>
        </w:tc>
        <w:tc>
          <w:tcPr>
            <w:tcW w:w="440" w:type="dxa"/>
            <w:vAlign w:val="bottom"/>
            <w:shd w:val="clear" w:color="auto" w:fill="DCDFED"/>
          </w:tcPr>
          <w:p>
            <w:pPr>
              <w:spacing w:after="0"/>
              <w:rPr>
                <w:sz w:val="20"/>
                <w:szCs w:val="20"/>
                <w:color w:val="auto"/>
              </w:rPr>
            </w:pPr>
          </w:p>
        </w:tc>
        <w:tc>
          <w:tcPr>
            <w:tcW w:w="960" w:type="dxa"/>
            <w:vAlign w:val="bottom"/>
            <w:shd w:val="clear" w:color="auto" w:fill="DCDFED"/>
          </w:tcPr>
          <w:p>
            <w:pPr>
              <w:spacing w:after="0"/>
              <w:rPr>
                <w:sz w:val="20"/>
                <w:szCs w:val="20"/>
                <w:color w:val="auto"/>
              </w:rPr>
            </w:pPr>
          </w:p>
        </w:tc>
        <w:tc>
          <w:tcPr>
            <w:tcW w:w="180" w:type="dxa"/>
            <w:vAlign w:val="bottom"/>
            <w:shd w:val="clear" w:color="auto" w:fill="DCDFED"/>
          </w:tcPr>
          <w:p>
            <w:pPr>
              <w:spacing w:after="0"/>
              <w:rPr>
                <w:sz w:val="20"/>
                <w:szCs w:val="20"/>
                <w:color w:val="auto"/>
              </w:rPr>
            </w:pPr>
          </w:p>
        </w:tc>
        <w:tc>
          <w:tcPr>
            <w:tcW w:w="1180" w:type="dxa"/>
            <w:vAlign w:val="bottom"/>
            <w:shd w:val="clear" w:color="auto" w:fill="DCDFED"/>
          </w:tcPr>
          <w:p>
            <w:pPr>
              <w:spacing w:after="0"/>
              <w:rPr>
                <w:sz w:val="20"/>
                <w:szCs w:val="20"/>
                <w:color w:val="auto"/>
              </w:rPr>
            </w:pPr>
          </w:p>
        </w:tc>
        <w:tc>
          <w:tcPr>
            <w:tcW w:w="320" w:type="dxa"/>
            <w:vAlign w:val="bottom"/>
            <w:shd w:val="clear" w:color="auto" w:fill="DCDFED"/>
          </w:tcPr>
          <w:p>
            <w:pPr>
              <w:spacing w:after="0"/>
              <w:rPr>
                <w:sz w:val="20"/>
                <w:szCs w:val="20"/>
                <w:color w:val="auto"/>
              </w:rPr>
            </w:pPr>
          </w:p>
        </w:tc>
        <w:tc>
          <w:tcPr>
            <w:tcW w:w="1060" w:type="dxa"/>
            <w:vAlign w:val="bottom"/>
            <w:shd w:val="clear" w:color="auto" w:fill="DCDFED"/>
          </w:tcPr>
          <w:p>
            <w:pPr>
              <w:spacing w:after="0"/>
              <w:rPr>
                <w:sz w:val="20"/>
                <w:szCs w:val="20"/>
                <w:color w:val="auto"/>
              </w:rPr>
            </w:pPr>
          </w:p>
        </w:tc>
        <w:tc>
          <w:tcPr>
            <w:tcW w:w="280" w:type="dxa"/>
            <w:vAlign w:val="bottom"/>
            <w:shd w:val="clear" w:color="auto" w:fill="DCDFED"/>
          </w:tcPr>
          <w:p>
            <w:pPr>
              <w:spacing w:after="0"/>
              <w:rPr>
                <w:sz w:val="20"/>
                <w:szCs w:val="20"/>
                <w:color w:val="auto"/>
              </w:rPr>
            </w:pPr>
          </w:p>
        </w:tc>
        <w:tc>
          <w:tcPr>
            <w:tcW w:w="1160" w:type="dxa"/>
            <w:vAlign w:val="bottom"/>
            <w:shd w:val="clear" w:color="auto" w:fill="DCDFED"/>
          </w:tcPr>
          <w:p>
            <w:pPr>
              <w:spacing w:after="0"/>
              <w:rPr>
                <w:sz w:val="20"/>
                <w:szCs w:val="20"/>
                <w:color w:val="auto"/>
              </w:rPr>
            </w:pPr>
          </w:p>
        </w:tc>
        <w:tc>
          <w:tcPr>
            <w:tcW w:w="300" w:type="dxa"/>
            <w:vAlign w:val="bottom"/>
            <w:tcBorders>
              <w:bottom w:val="single" w:sz="8" w:color="auto"/>
            </w:tcBorders>
            <w:shd w:val="clear" w:color="auto" w:fill="DCDFED"/>
          </w:tcPr>
          <w:p>
            <w:pPr>
              <w:spacing w:after="0"/>
              <w:rPr>
                <w:sz w:val="20"/>
                <w:szCs w:val="20"/>
                <w:color w:val="auto"/>
              </w:rPr>
            </w:pPr>
          </w:p>
        </w:tc>
        <w:tc>
          <w:tcPr>
            <w:tcW w:w="980" w:type="dxa"/>
            <w:vAlign w:val="bottom"/>
            <w:tcBorders>
              <w:bottom w:val="single" w:sz="8" w:color="auto"/>
            </w:tcBorders>
            <w:shd w:val="clear" w:color="auto" w:fill="DCDFED"/>
          </w:tcPr>
          <w:p>
            <w:pPr>
              <w:jc w:val="right"/>
              <w:spacing w:after="0"/>
              <w:rPr>
                <w:sz w:val="20"/>
                <w:szCs w:val="20"/>
                <w:color w:val="auto"/>
              </w:rPr>
            </w:pPr>
            <w:r>
              <w:rPr>
                <w:rFonts w:ascii="Arial" w:cs="Arial" w:eastAsia="Arial" w:hAnsi="Arial"/>
                <w:sz w:val="17"/>
                <w:szCs w:val="17"/>
                <w:color w:val="auto"/>
              </w:rPr>
              <w:t>(5.5)</w:t>
            </w:r>
          </w:p>
        </w:tc>
        <w:tc>
          <w:tcPr>
            <w:tcW w:w="0" w:type="dxa"/>
            <w:vAlign w:val="bottom"/>
          </w:tcPr>
          <w:p>
            <w:pPr>
              <w:spacing w:after="0"/>
              <w:rPr>
                <w:sz w:val="1"/>
                <w:szCs w:val="1"/>
                <w:color w:val="auto"/>
              </w:rPr>
            </w:pPr>
          </w:p>
        </w:tc>
      </w:tr>
      <w:tr>
        <w:trPr>
          <w:trHeight w:val="212"/>
        </w:trPr>
        <w:tc>
          <w:tcPr>
            <w:tcW w:w="3080" w:type="dxa"/>
            <w:vAlign w:val="bottom"/>
            <w:gridSpan w:val="3"/>
          </w:tcPr>
          <w:p>
            <w:pPr>
              <w:ind w:left="20"/>
              <w:spacing w:after="0"/>
              <w:rPr>
                <w:sz w:val="20"/>
                <w:szCs w:val="20"/>
                <w:color w:val="auto"/>
              </w:rPr>
            </w:pPr>
            <w:r>
              <w:rPr>
                <w:rFonts w:ascii="Arial" w:cs="Arial" w:eastAsia="Arial" w:hAnsi="Arial"/>
                <w:sz w:val="17"/>
                <w:szCs w:val="17"/>
                <w:b w:val="1"/>
                <w:bCs w:val="1"/>
                <w:color w:val="auto"/>
              </w:rPr>
              <w:t>Total operating profit</w:t>
            </w: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0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212.0</w:t>
            </w:r>
          </w:p>
        </w:tc>
        <w:tc>
          <w:tcPr>
            <w:tcW w:w="0" w:type="dxa"/>
            <w:vAlign w:val="bottom"/>
          </w:tcPr>
          <w:p>
            <w:pPr>
              <w:spacing w:after="0"/>
              <w:rPr>
                <w:sz w:val="1"/>
                <w:szCs w:val="1"/>
                <w:color w:val="auto"/>
              </w:rPr>
            </w:pPr>
          </w:p>
        </w:tc>
      </w:tr>
      <w:tr>
        <w:trPr>
          <w:trHeight w:val="20"/>
        </w:trPr>
        <w:tc>
          <w:tcPr>
            <w:tcW w:w="20" w:type="dxa"/>
            <w:vAlign w:val="bottom"/>
            <w:tcBorders>
              <w:bottom w:val="single" w:sz="8" w:color="DCDFED"/>
            </w:tcBorders>
          </w:tcPr>
          <w:p>
            <w:pPr>
              <w:spacing w:after="0" w:line="20" w:lineRule="exact"/>
              <w:rPr>
                <w:sz w:val="1"/>
                <w:szCs w:val="1"/>
                <w:color w:val="auto"/>
              </w:rPr>
            </w:pPr>
          </w:p>
        </w:tc>
        <w:tc>
          <w:tcPr>
            <w:tcW w:w="680" w:type="dxa"/>
            <w:vAlign w:val="bottom"/>
            <w:tcBorders>
              <w:bottom w:val="single" w:sz="8" w:color="DCDFED"/>
            </w:tcBorders>
          </w:tcPr>
          <w:p>
            <w:pPr>
              <w:spacing w:after="0" w:line="20" w:lineRule="exact"/>
              <w:rPr>
                <w:sz w:val="1"/>
                <w:szCs w:val="1"/>
                <w:color w:val="auto"/>
              </w:rPr>
            </w:pPr>
          </w:p>
        </w:tc>
        <w:tc>
          <w:tcPr>
            <w:tcW w:w="2380" w:type="dxa"/>
            <w:vAlign w:val="bottom"/>
            <w:tcBorders>
              <w:bottom w:val="single" w:sz="8" w:color="DCDFED"/>
            </w:tcBorders>
          </w:tcPr>
          <w:p>
            <w:pPr>
              <w:spacing w:after="0" w:line="20" w:lineRule="exact"/>
              <w:rPr>
                <w:sz w:val="1"/>
                <w:szCs w:val="1"/>
                <w:color w:val="auto"/>
              </w:rPr>
            </w:pPr>
          </w:p>
        </w:tc>
        <w:tc>
          <w:tcPr>
            <w:tcW w:w="320" w:type="dxa"/>
            <w:vAlign w:val="bottom"/>
            <w:tcBorders>
              <w:bottom w:val="single" w:sz="8" w:color="DCDFED"/>
            </w:tcBorders>
          </w:tcPr>
          <w:p>
            <w:pPr>
              <w:spacing w:after="0" w:line="20" w:lineRule="exact"/>
              <w:rPr>
                <w:sz w:val="1"/>
                <w:szCs w:val="1"/>
                <w:color w:val="auto"/>
              </w:rPr>
            </w:pPr>
          </w:p>
        </w:tc>
        <w:tc>
          <w:tcPr>
            <w:tcW w:w="980" w:type="dxa"/>
            <w:vAlign w:val="bottom"/>
            <w:tcBorders>
              <w:bottom w:val="single" w:sz="8" w:color="DCDFED"/>
            </w:tcBorders>
          </w:tcPr>
          <w:p>
            <w:pPr>
              <w:spacing w:after="0" w:line="20" w:lineRule="exact"/>
              <w:rPr>
                <w:sz w:val="1"/>
                <w:szCs w:val="1"/>
                <w:color w:val="auto"/>
              </w:rPr>
            </w:pPr>
          </w:p>
        </w:tc>
        <w:tc>
          <w:tcPr>
            <w:tcW w:w="440" w:type="dxa"/>
            <w:vAlign w:val="bottom"/>
            <w:tcBorders>
              <w:bottom w:val="single" w:sz="8" w:color="DCDFED"/>
            </w:tcBorders>
          </w:tcPr>
          <w:p>
            <w:pPr>
              <w:spacing w:after="0" w:line="20" w:lineRule="exact"/>
              <w:rPr>
                <w:sz w:val="1"/>
                <w:szCs w:val="1"/>
                <w:color w:val="auto"/>
              </w:rPr>
            </w:pPr>
          </w:p>
        </w:tc>
        <w:tc>
          <w:tcPr>
            <w:tcW w:w="960" w:type="dxa"/>
            <w:vAlign w:val="bottom"/>
            <w:tcBorders>
              <w:bottom w:val="single" w:sz="8" w:color="DCDFED"/>
            </w:tcBorders>
          </w:tcPr>
          <w:p>
            <w:pPr>
              <w:spacing w:after="0" w:line="20" w:lineRule="exact"/>
              <w:rPr>
                <w:sz w:val="1"/>
                <w:szCs w:val="1"/>
                <w:color w:val="auto"/>
              </w:rPr>
            </w:pPr>
          </w:p>
        </w:tc>
        <w:tc>
          <w:tcPr>
            <w:tcW w:w="180" w:type="dxa"/>
            <w:vAlign w:val="bottom"/>
            <w:tcBorders>
              <w:bottom w:val="single" w:sz="8" w:color="DCDFED"/>
            </w:tcBorders>
          </w:tcPr>
          <w:p>
            <w:pPr>
              <w:spacing w:after="0" w:line="20" w:lineRule="exact"/>
              <w:rPr>
                <w:sz w:val="1"/>
                <w:szCs w:val="1"/>
                <w:color w:val="auto"/>
              </w:rPr>
            </w:pPr>
          </w:p>
        </w:tc>
        <w:tc>
          <w:tcPr>
            <w:tcW w:w="1180" w:type="dxa"/>
            <w:vAlign w:val="bottom"/>
            <w:tcBorders>
              <w:bottom w:val="single" w:sz="8" w:color="DCDFED"/>
            </w:tcBorders>
          </w:tcPr>
          <w:p>
            <w:pPr>
              <w:spacing w:after="0" w:line="20" w:lineRule="exact"/>
              <w:rPr>
                <w:sz w:val="1"/>
                <w:szCs w:val="1"/>
                <w:color w:val="auto"/>
              </w:rPr>
            </w:pPr>
          </w:p>
        </w:tc>
        <w:tc>
          <w:tcPr>
            <w:tcW w:w="320" w:type="dxa"/>
            <w:vAlign w:val="bottom"/>
            <w:tcBorders>
              <w:bottom w:val="single" w:sz="8" w:color="DCDFED"/>
            </w:tcBorders>
          </w:tcPr>
          <w:p>
            <w:pPr>
              <w:spacing w:after="0" w:line="20" w:lineRule="exact"/>
              <w:rPr>
                <w:sz w:val="1"/>
                <w:szCs w:val="1"/>
                <w:color w:val="auto"/>
              </w:rPr>
            </w:pPr>
          </w:p>
        </w:tc>
        <w:tc>
          <w:tcPr>
            <w:tcW w:w="1060" w:type="dxa"/>
            <w:vAlign w:val="bottom"/>
            <w:tcBorders>
              <w:bottom w:val="single" w:sz="8" w:color="DCDFED"/>
            </w:tcBorders>
          </w:tcPr>
          <w:p>
            <w:pPr>
              <w:spacing w:after="0" w:line="20" w:lineRule="exact"/>
              <w:rPr>
                <w:sz w:val="1"/>
                <w:szCs w:val="1"/>
                <w:color w:val="auto"/>
              </w:rPr>
            </w:pPr>
          </w:p>
        </w:tc>
        <w:tc>
          <w:tcPr>
            <w:tcW w:w="280" w:type="dxa"/>
            <w:vAlign w:val="bottom"/>
            <w:tcBorders>
              <w:bottom w:val="single" w:sz="8" w:color="DCDFED"/>
            </w:tcBorders>
          </w:tcPr>
          <w:p>
            <w:pPr>
              <w:spacing w:after="0" w:line="20" w:lineRule="exact"/>
              <w:rPr>
                <w:sz w:val="1"/>
                <w:szCs w:val="1"/>
                <w:color w:val="auto"/>
              </w:rPr>
            </w:pPr>
          </w:p>
        </w:tc>
        <w:tc>
          <w:tcPr>
            <w:tcW w:w="1160" w:type="dxa"/>
            <w:vAlign w:val="bottom"/>
            <w:tcBorders>
              <w:bottom w:val="single" w:sz="8" w:color="DCDFED"/>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080" w:type="dxa"/>
            <w:vAlign w:val="bottom"/>
            <w:gridSpan w:val="3"/>
            <w:shd w:val="clear" w:color="auto" w:fill="DCDFED"/>
          </w:tcPr>
          <w:p>
            <w:pPr>
              <w:ind w:left="20"/>
              <w:spacing w:after="0"/>
              <w:rPr>
                <w:sz w:val="20"/>
                <w:szCs w:val="20"/>
                <w:color w:val="auto"/>
              </w:rPr>
            </w:pPr>
            <w:r>
              <w:rPr>
                <w:rFonts w:ascii="Arial" w:cs="Arial" w:eastAsia="Arial" w:hAnsi="Arial"/>
                <w:sz w:val="17"/>
                <w:szCs w:val="17"/>
                <w:color w:val="auto"/>
              </w:rPr>
              <w:t>Income from unconsolidated affiliates</w:t>
            </w:r>
          </w:p>
        </w:tc>
        <w:tc>
          <w:tcPr>
            <w:tcW w:w="320" w:type="dxa"/>
            <w:vAlign w:val="bottom"/>
            <w:shd w:val="clear" w:color="auto" w:fill="DCDFED"/>
          </w:tcPr>
          <w:p>
            <w:pPr>
              <w:spacing w:after="0"/>
              <w:rPr>
                <w:sz w:val="18"/>
                <w:szCs w:val="18"/>
                <w:color w:val="auto"/>
              </w:rPr>
            </w:pPr>
          </w:p>
        </w:tc>
        <w:tc>
          <w:tcPr>
            <w:tcW w:w="980" w:type="dxa"/>
            <w:vAlign w:val="bottom"/>
            <w:shd w:val="clear" w:color="auto" w:fill="DCDFED"/>
          </w:tcPr>
          <w:p>
            <w:pPr>
              <w:spacing w:after="0"/>
              <w:rPr>
                <w:sz w:val="18"/>
                <w:szCs w:val="18"/>
                <w:color w:val="auto"/>
              </w:rPr>
            </w:pPr>
          </w:p>
        </w:tc>
        <w:tc>
          <w:tcPr>
            <w:tcW w:w="440" w:type="dxa"/>
            <w:vAlign w:val="bottom"/>
            <w:shd w:val="clear" w:color="auto" w:fill="DCDFED"/>
          </w:tcPr>
          <w:p>
            <w:pPr>
              <w:spacing w:after="0"/>
              <w:rPr>
                <w:sz w:val="18"/>
                <w:szCs w:val="18"/>
                <w:color w:val="auto"/>
              </w:rPr>
            </w:pPr>
          </w:p>
        </w:tc>
        <w:tc>
          <w:tcPr>
            <w:tcW w:w="960" w:type="dxa"/>
            <w:vAlign w:val="bottom"/>
            <w:shd w:val="clear" w:color="auto" w:fill="DCDFED"/>
          </w:tcPr>
          <w:p>
            <w:pPr>
              <w:spacing w:after="0"/>
              <w:rPr>
                <w:sz w:val="18"/>
                <w:szCs w:val="18"/>
                <w:color w:val="auto"/>
              </w:rPr>
            </w:pPr>
          </w:p>
        </w:tc>
        <w:tc>
          <w:tcPr>
            <w:tcW w:w="180" w:type="dxa"/>
            <w:vAlign w:val="bottom"/>
            <w:shd w:val="clear" w:color="auto" w:fill="DCDFED"/>
          </w:tcPr>
          <w:p>
            <w:pPr>
              <w:spacing w:after="0"/>
              <w:rPr>
                <w:sz w:val="18"/>
                <w:szCs w:val="18"/>
                <w:color w:val="auto"/>
              </w:rPr>
            </w:pPr>
          </w:p>
        </w:tc>
        <w:tc>
          <w:tcPr>
            <w:tcW w:w="1180" w:type="dxa"/>
            <w:vAlign w:val="bottom"/>
            <w:shd w:val="clear" w:color="auto" w:fill="DCDFED"/>
          </w:tcPr>
          <w:p>
            <w:pPr>
              <w:spacing w:after="0"/>
              <w:rPr>
                <w:sz w:val="18"/>
                <w:szCs w:val="18"/>
                <w:color w:val="auto"/>
              </w:rPr>
            </w:pPr>
          </w:p>
        </w:tc>
        <w:tc>
          <w:tcPr>
            <w:tcW w:w="320" w:type="dxa"/>
            <w:vAlign w:val="bottom"/>
            <w:shd w:val="clear" w:color="auto" w:fill="DCDFED"/>
          </w:tcPr>
          <w:p>
            <w:pPr>
              <w:spacing w:after="0"/>
              <w:rPr>
                <w:sz w:val="18"/>
                <w:szCs w:val="18"/>
                <w:color w:val="auto"/>
              </w:rPr>
            </w:pPr>
          </w:p>
        </w:tc>
        <w:tc>
          <w:tcPr>
            <w:tcW w:w="1060" w:type="dxa"/>
            <w:vAlign w:val="bottom"/>
            <w:shd w:val="clear" w:color="auto" w:fill="DCDFED"/>
          </w:tcPr>
          <w:p>
            <w:pPr>
              <w:spacing w:after="0"/>
              <w:rPr>
                <w:sz w:val="18"/>
                <w:szCs w:val="18"/>
                <w:color w:val="auto"/>
              </w:rPr>
            </w:pPr>
          </w:p>
        </w:tc>
        <w:tc>
          <w:tcPr>
            <w:tcW w:w="280" w:type="dxa"/>
            <w:vAlign w:val="bottom"/>
            <w:shd w:val="clear" w:color="auto" w:fill="DCDFED"/>
          </w:tcPr>
          <w:p>
            <w:pPr>
              <w:spacing w:after="0"/>
              <w:rPr>
                <w:sz w:val="18"/>
                <w:szCs w:val="18"/>
                <w:color w:val="auto"/>
              </w:rPr>
            </w:pPr>
          </w:p>
        </w:tc>
        <w:tc>
          <w:tcPr>
            <w:tcW w:w="1160" w:type="dxa"/>
            <w:vAlign w:val="bottom"/>
            <w:shd w:val="clear" w:color="auto" w:fill="DCDFED"/>
          </w:tcPr>
          <w:p>
            <w:pPr>
              <w:spacing w:after="0"/>
              <w:rPr>
                <w:sz w:val="18"/>
                <w:szCs w:val="18"/>
                <w:color w:val="auto"/>
              </w:rPr>
            </w:pPr>
          </w:p>
        </w:tc>
        <w:tc>
          <w:tcPr>
            <w:tcW w:w="300" w:type="dxa"/>
            <w:vAlign w:val="bottom"/>
            <w:shd w:val="clear" w:color="auto" w:fill="DCDFED"/>
          </w:tcPr>
          <w:p>
            <w:pPr>
              <w:spacing w:after="0"/>
              <w:rPr>
                <w:sz w:val="18"/>
                <w:szCs w:val="18"/>
                <w:color w:val="auto"/>
              </w:rPr>
            </w:pPr>
          </w:p>
        </w:tc>
        <w:tc>
          <w:tcPr>
            <w:tcW w:w="980" w:type="dxa"/>
            <w:vAlign w:val="bottom"/>
            <w:shd w:val="clear" w:color="auto" w:fill="DCDFED"/>
          </w:tcPr>
          <w:p>
            <w:pPr>
              <w:jc w:val="right"/>
              <w:spacing w:after="0"/>
              <w:rPr>
                <w:sz w:val="20"/>
                <w:szCs w:val="20"/>
                <w:color w:val="auto"/>
              </w:rPr>
            </w:pPr>
            <w:r>
              <w:rPr>
                <w:rFonts w:ascii="Arial" w:cs="Arial" w:eastAsia="Arial" w:hAnsi="Arial"/>
                <w:sz w:val="17"/>
                <w:szCs w:val="17"/>
                <w:color w:val="auto"/>
              </w:rPr>
              <w:t>6.5</w:t>
            </w:r>
          </w:p>
        </w:tc>
        <w:tc>
          <w:tcPr>
            <w:tcW w:w="0" w:type="dxa"/>
            <w:vAlign w:val="bottom"/>
          </w:tcPr>
          <w:p>
            <w:pPr>
              <w:spacing w:after="0"/>
              <w:rPr>
                <w:sz w:val="1"/>
                <w:szCs w:val="1"/>
                <w:color w:val="auto"/>
              </w:rPr>
            </w:pPr>
          </w:p>
        </w:tc>
      </w:tr>
      <w:tr>
        <w:trPr>
          <w:trHeight w:val="219"/>
        </w:trPr>
        <w:tc>
          <w:tcPr>
            <w:tcW w:w="3080" w:type="dxa"/>
            <w:vAlign w:val="bottom"/>
            <w:tcBorders>
              <w:bottom w:val="single" w:sz="8" w:color="DCDFED"/>
            </w:tcBorders>
            <w:gridSpan w:val="3"/>
          </w:tcPr>
          <w:p>
            <w:pPr>
              <w:ind w:left="20"/>
              <w:spacing w:after="0"/>
              <w:rPr>
                <w:sz w:val="20"/>
                <w:szCs w:val="20"/>
                <w:color w:val="auto"/>
              </w:rPr>
            </w:pPr>
            <w:r>
              <w:rPr>
                <w:rFonts w:ascii="Arial" w:cs="Arial" w:eastAsia="Arial" w:hAnsi="Arial"/>
                <w:sz w:val="17"/>
                <w:szCs w:val="17"/>
                <w:color w:val="auto"/>
              </w:rPr>
              <w:t>Interest expense</w:t>
            </w:r>
          </w:p>
        </w:tc>
        <w:tc>
          <w:tcPr>
            <w:tcW w:w="320" w:type="dxa"/>
            <w:vAlign w:val="bottom"/>
            <w:tcBorders>
              <w:bottom w:val="single" w:sz="8" w:color="DCDFED"/>
            </w:tcBorders>
          </w:tcPr>
          <w:p>
            <w:pPr>
              <w:spacing w:after="0"/>
              <w:rPr>
                <w:sz w:val="19"/>
                <w:szCs w:val="19"/>
                <w:color w:val="auto"/>
              </w:rPr>
            </w:pPr>
          </w:p>
        </w:tc>
        <w:tc>
          <w:tcPr>
            <w:tcW w:w="980" w:type="dxa"/>
            <w:vAlign w:val="bottom"/>
            <w:tcBorders>
              <w:bottom w:val="single" w:sz="8" w:color="DCDFED"/>
            </w:tcBorders>
          </w:tcPr>
          <w:p>
            <w:pPr>
              <w:spacing w:after="0"/>
              <w:rPr>
                <w:sz w:val="19"/>
                <w:szCs w:val="19"/>
                <w:color w:val="auto"/>
              </w:rPr>
            </w:pPr>
          </w:p>
        </w:tc>
        <w:tc>
          <w:tcPr>
            <w:tcW w:w="440" w:type="dxa"/>
            <w:vAlign w:val="bottom"/>
            <w:tcBorders>
              <w:bottom w:val="single" w:sz="8" w:color="DCDFED"/>
            </w:tcBorders>
          </w:tcPr>
          <w:p>
            <w:pPr>
              <w:spacing w:after="0"/>
              <w:rPr>
                <w:sz w:val="19"/>
                <w:szCs w:val="19"/>
                <w:color w:val="auto"/>
              </w:rPr>
            </w:pPr>
          </w:p>
        </w:tc>
        <w:tc>
          <w:tcPr>
            <w:tcW w:w="960" w:type="dxa"/>
            <w:vAlign w:val="bottom"/>
            <w:tcBorders>
              <w:bottom w:val="single" w:sz="8" w:color="DCDFED"/>
            </w:tcBorders>
          </w:tcPr>
          <w:p>
            <w:pPr>
              <w:spacing w:after="0"/>
              <w:rPr>
                <w:sz w:val="19"/>
                <w:szCs w:val="19"/>
                <w:color w:val="auto"/>
              </w:rPr>
            </w:pPr>
          </w:p>
        </w:tc>
        <w:tc>
          <w:tcPr>
            <w:tcW w:w="180" w:type="dxa"/>
            <w:vAlign w:val="bottom"/>
            <w:tcBorders>
              <w:bottom w:val="single" w:sz="8" w:color="DCDFED"/>
            </w:tcBorders>
          </w:tcPr>
          <w:p>
            <w:pPr>
              <w:spacing w:after="0"/>
              <w:rPr>
                <w:sz w:val="19"/>
                <w:szCs w:val="19"/>
                <w:color w:val="auto"/>
              </w:rPr>
            </w:pPr>
          </w:p>
        </w:tc>
        <w:tc>
          <w:tcPr>
            <w:tcW w:w="1180" w:type="dxa"/>
            <w:vAlign w:val="bottom"/>
            <w:tcBorders>
              <w:bottom w:val="single" w:sz="8" w:color="DCDFED"/>
            </w:tcBorders>
          </w:tcPr>
          <w:p>
            <w:pPr>
              <w:spacing w:after="0"/>
              <w:rPr>
                <w:sz w:val="19"/>
                <w:szCs w:val="19"/>
                <w:color w:val="auto"/>
              </w:rPr>
            </w:pPr>
          </w:p>
        </w:tc>
        <w:tc>
          <w:tcPr>
            <w:tcW w:w="320" w:type="dxa"/>
            <w:vAlign w:val="bottom"/>
            <w:tcBorders>
              <w:bottom w:val="single" w:sz="8" w:color="DCDFED"/>
            </w:tcBorders>
          </w:tcPr>
          <w:p>
            <w:pPr>
              <w:spacing w:after="0"/>
              <w:rPr>
                <w:sz w:val="19"/>
                <w:szCs w:val="19"/>
                <w:color w:val="auto"/>
              </w:rPr>
            </w:pPr>
          </w:p>
        </w:tc>
        <w:tc>
          <w:tcPr>
            <w:tcW w:w="1060" w:type="dxa"/>
            <w:vAlign w:val="bottom"/>
            <w:tcBorders>
              <w:bottom w:val="single" w:sz="8" w:color="DCDFED"/>
            </w:tcBorders>
          </w:tcPr>
          <w:p>
            <w:pPr>
              <w:spacing w:after="0"/>
              <w:rPr>
                <w:sz w:val="19"/>
                <w:szCs w:val="19"/>
                <w:color w:val="auto"/>
              </w:rPr>
            </w:pPr>
          </w:p>
        </w:tc>
        <w:tc>
          <w:tcPr>
            <w:tcW w:w="280" w:type="dxa"/>
            <w:vAlign w:val="bottom"/>
            <w:tcBorders>
              <w:bottom w:val="single" w:sz="8" w:color="DCDFED"/>
            </w:tcBorders>
          </w:tcPr>
          <w:p>
            <w:pPr>
              <w:spacing w:after="0"/>
              <w:rPr>
                <w:sz w:val="19"/>
                <w:szCs w:val="19"/>
                <w:color w:val="auto"/>
              </w:rPr>
            </w:pPr>
          </w:p>
        </w:tc>
        <w:tc>
          <w:tcPr>
            <w:tcW w:w="1160" w:type="dxa"/>
            <w:vAlign w:val="bottom"/>
            <w:tcBorders>
              <w:bottom w:val="single" w:sz="8" w:color="DCDFED"/>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(85.0)</w:t>
            </w:r>
          </w:p>
        </w:tc>
        <w:tc>
          <w:tcPr>
            <w:tcW w:w="0" w:type="dxa"/>
            <w:vAlign w:val="bottom"/>
          </w:tcPr>
          <w:p>
            <w:pPr>
              <w:spacing w:after="0"/>
              <w:rPr>
                <w:sz w:val="1"/>
                <w:szCs w:val="1"/>
                <w:color w:val="auto"/>
              </w:rPr>
            </w:pPr>
          </w:p>
        </w:tc>
      </w:tr>
      <w:tr>
        <w:trPr>
          <w:trHeight w:val="237"/>
        </w:trPr>
        <w:tc>
          <w:tcPr>
            <w:tcW w:w="3080" w:type="dxa"/>
            <w:vAlign w:val="bottom"/>
            <w:tcBorders>
              <w:bottom w:val="single" w:sz="8" w:color="DCDFED"/>
            </w:tcBorders>
            <w:gridSpan w:val="3"/>
            <w:shd w:val="clear" w:color="auto" w:fill="DCDFED"/>
          </w:tcPr>
          <w:p>
            <w:pPr>
              <w:ind w:left="20"/>
              <w:spacing w:after="0"/>
              <w:rPr>
                <w:sz w:val="20"/>
                <w:szCs w:val="20"/>
                <w:color w:val="auto"/>
              </w:rPr>
            </w:pPr>
            <w:r>
              <w:rPr>
                <w:rFonts w:ascii="Arial" w:cs="Arial" w:eastAsia="Arial" w:hAnsi="Arial"/>
                <w:sz w:val="17"/>
                <w:szCs w:val="17"/>
                <w:b w:val="1"/>
                <w:bCs w:val="1"/>
                <w:color w:val="auto"/>
              </w:rPr>
              <w:t>Income before income taxes</w:t>
            </w:r>
          </w:p>
        </w:tc>
        <w:tc>
          <w:tcPr>
            <w:tcW w:w="320" w:type="dxa"/>
            <w:vAlign w:val="bottom"/>
            <w:tcBorders>
              <w:bottom w:val="single" w:sz="8" w:color="DCDFED"/>
            </w:tcBorders>
            <w:shd w:val="clear" w:color="auto" w:fill="DCDFED"/>
          </w:tcPr>
          <w:p>
            <w:pPr>
              <w:spacing w:after="0"/>
              <w:rPr>
                <w:sz w:val="20"/>
                <w:szCs w:val="20"/>
                <w:color w:val="auto"/>
              </w:rPr>
            </w:pPr>
          </w:p>
        </w:tc>
        <w:tc>
          <w:tcPr>
            <w:tcW w:w="980" w:type="dxa"/>
            <w:vAlign w:val="bottom"/>
            <w:tcBorders>
              <w:bottom w:val="single" w:sz="8" w:color="DCDFED"/>
            </w:tcBorders>
            <w:shd w:val="clear" w:color="auto" w:fill="DCDFED"/>
          </w:tcPr>
          <w:p>
            <w:pPr>
              <w:spacing w:after="0"/>
              <w:rPr>
                <w:sz w:val="20"/>
                <w:szCs w:val="20"/>
                <w:color w:val="auto"/>
              </w:rPr>
            </w:pPr>
          </w:p>
        </w:tc>
        <w:tc>
          <w:tcPr>
            <w:tcW w:w="440" w:type="dxa"/>
            <w:vAlign w:val="bottom"/>
            <w:tcBorders>
              <w:bottom w:val="single" w:sz="8" w:color="DCDFED"/>
            </w:tcBorders>
            <w:shd w:val="clear" w:color="auto" w:fill="DCDFED"/>
          </w:tcPr>
          <w:p>
            <w:pPr>
              <w:spacing w:after="0"/>
              <w:rPr>
                <w:sz w:val="20"/>
                <w:szCs w:val="20"/>
                <w:color w:val="auto"/>
              </w:rPr>
            </w:pPr>
          </w:p>
        </w:tc>
        <w:tc>
          <w:tcPr>
            <w:tcW w:w="960" w:type="dxa"/>
            <w:vAlign w:val="bottom"/>
            <w:tcBorders>
              <w:bottom w:val="single" w:sz="8" w:color="DCDFED"/>
            </w:tcBorders>
            <w:shd w:val="clear" w:color="auto" w:fill="DCDFED"/>
          </w:tcPr>
          <w:p>
            <w:pPr>
              <w:spacing w:after="0"/>
              <w:rPr>
                <w:sz w:val="20"/>
                <w:szCs w:val="20"/>
                <w:color w:val="auto"/>
              </w:rPr>
            </w:pPr>
          </w:p>
        </w:tc>
        <w:tc>
          <w:tcPr>
            <w:tcW w:w="180" w:type="dxa"/>
            <w:vAlign w:val="bottom"/>
            <w:tcBorders>
              <w:bottom w:val="single" w:sz="8" w:color="DCDFED"/>
            </w:tcBorders>
            <w:shd w:val="clear" w:color="auto" w:fill="DCDFED"/>
          </w:tcPr>
          <w:p>
            <w:pPr>
              <w:spacing w:after="0"/>
              <w:rPr>
                <w:sz w:val="20"/>
                <w:szCs w:val="20"/>
                <w:color w:val="auto"/>
              </w:rPr>
            </w:pPr>
          </w:p>
        </w:tc>
        <w:tc>
          <w:tcPr>
            <w:tcW w:w="1180" w:type="dxa"/>
            <w:vAlign w:val="bottom"/>
            <w:tcBorders>
              <w:bottom w:val="single" w:sz="8" w:color="DCDFED"/>
            </w:tcBorders>
            <w:shd w:val="clear" w:color="auto" w:fill="DCDFED"/>
          </w:tcPr>
          <w:p>
            <w:pPr>
              <w:spacing w:after="0"/>
              <w:rPr>
                <w:sz w:val="20"/>
                <w:szCs w:val="20"/>
                <w:color w:val="auto"/>
              </w:rPr>
            </w:pPr>
          </w:p>
        </w:tc>
        <w:tc>
          <w:tcPr>
            <w:tcW w:w="320" w:type="dxa"/>
            <w:vAlign w:val="bottom"/>
            <w:tcBorders>
              <w:bottom w:val="single" w:sz="8" w:color="DCDFED"/>
            </w:tcBorders>
            <w:shd w:val="clear" w:color="auto" w:fill="DCDFED"/>
          </w:tcPr>
          <w:p>
            <w:pPr>
              <w:spacing w:after="0"/>
              <w:rPr>
                <w:sz w:val="20"/>
                <w:szCs w:val="20"/>
                <w:color w:val="auto"/>
              </w:rPr>
            </w:pPr>
          </w:p>
        </w:tc>
        <w:tc>
          <w:tcPr>
            <w:tcW w:w="1060" w:type="dxa"/>
            <w:vAlign w:val="bottom"/>
            <w:tcBorders>
              <w:bottom w:val="single" w:sz="8" w:color="DCDFED"/>
            </w:tcBorders>
            <w:shd w:val="clear" w:color="auto" w:fill="DCDFED"/>
          </w:tcPr>
          <w:p>
            <w:pPr>
              <w:spacing w:after="0"/>
              <w:rPr>
                <w:sz w:val="20"/>
                <w:szCs w:val="20"/>
                <w:color w:val="auto"/>
              </w:rPr>
            </w:pPr>
          </w:p>
        </w:tc>
        <w:tc>
          <w:tcPr>
            <w:tcW w:w="280" w:type="dxa"/>
            <w:vAlign w:val="bottom"/>
            <w:tcBorders>
              <w:bottom w:val="single" w:sz="8" w:color="DCDFED"/>
            </w:tcBorders>
            <w:shd w:val="clear" w:color="auto" w:fill="DCDFED"/>
          </w:tcPr>
          <w:p>
            <w:pPr>
              <w:spacing w:after="0"/>
              <w:rPr>
                <w:sz w:val="20"/>
                <w:szCs w:val="20"/>
                <w:color w:val="auto"/>
              </w:rPr>
            </w:pPr>
          </w:p>
        </w:tc>
        <w:tc>
          <w:tcPr>
            <w:tcW w:w="1160" w:type="dxa"/>
            <w:vAlign w:val="bottom"/>
            <w:tcBorders>
              <w:bottom w:val="single" w:sz="8" w:color="DCDFED"/>
            </w:tcBorders>
            <w:shd w:val="clear" w:color="auto" w:fill="DCDFED"/>
          </w:tcPr>
          <w:p>
            <w:pPr>
              <w:spacing w:after="0"/>
              <w:rPr>
                <w:sz w:val="20"/>
                <w:szCs w:val="20"/>
                <w:color w:val="auto"/>
              </w:rPr>
            </w:pPr>
          </w:p>
        </w:tc>
        <w:tc>
          <w:tcPr>
            <w:tcW w:w="300" w:type="dxa"/>
            <w:vAlign w:val="bottom"/>
            <w:tcBorders>
              <w:bottom w:val="single" w:sz="8" w:color="auto"/>
            </w:tcBorders>
            <w:shd w:val="clear" w:color="auto" w:fill="DCDFED"/>
          </w:tcPr>
          <w:p>
            <w:pPr>
              <w:jc w:val="right"/>
              <w:ind w:right="94"/>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shd w:val="clear" w:color="auto" w:fill="DCDFED"/>
          </w:tcPr>
          <w:p>
            <w:pPr>
              <w:jc w:val="right"/>
              <w:spacing w:after="0"/>
              <w:rPr>
                <w:sz w:val="20"/>
                <w:szCs w:val="20"/>
                <w:color w:val="auto"/>
              </w:rPr>
            </w:pPr>
            <w:r>
              <w:rPr>
                <w:rFonts w:ascii="Arial" w:cs="Arial" w:eastAsia="Arial" w:hAnsi="Arial"/>
                <w:sz w:val="17"/>
                <w:szCs w:val="17"/>
                <w:color w:val="auto"/>
              </w:rPr>
              <w:t>133.6</w:t>
            </w:r>
          </w:p>
        </w:tc>
        <w:tc>
          <w:tcPr>
            <w:tcW w:w="0" w:type="dxa"/>
            <w:vAlign w:val="bottom"/>
          </w:tcPr>
          <w:p>
            <w:pPr>
              <w:spacing w:after="0"/>
              <w:rPr>
                <w:sz w:val="1"/>
                <w:szCs w:val="1"/>
                <w:color w:val="auto"/>
              </w:rPr>
            </w:pPr>
          </w:p>
        </w:tc>
      </w:tr>
      <w:tr>
        <w:trPr>
          <w:trHeight w:val="20"/>
        </w:trPr>
        <w:tc>
          <w:tcPr>
            <w:tcW w:w="20" w:type="dxa"/>
            <w:vAlign w:val="bottom"/>
            <w:tcBorders>
              <w:top w:val="single" w:sz="8" w:color="DCDFED"/>
            </w:tcBorders>
          </w:tcPr>
          <w:p>
            <w:pPr>
              <w:spacing w:after="0" w:line="20" w:lineRule="exact"/>
              <w:rPr>
                <w:sz w:val="1"/>
                <w:szCs w:val="1"/>
                <w:color w:val="auto"/>
              </w:rPr>
            </w:pPr>
          </w:p>
        </w:tc>
        <w:tc>
          <w:tcPr>
            <w:tcW w:w="680" w:type="dxa"/>
            <w:vAlign w:val="bottom"/>
            <w:tcBorders>
              <w:top w:val="single" w:sz="8" w:color="DCDFED"/>
            </w:tcBorders>
          </w:tcPr>
          <w:p>
            <w:pPr>
              <w:spacing w:after="0" w:line="20" w:lineRule="exact"/>
              <w:rPr>
                <w:sz w:val="1"/>
                <w:szCs w:val="1"/>
                <w:color w:val="auto"/>
              </w:rPr>
            </w:pPr>
          </w:p>
        </w:tc>
        <w:tc>
          <w:tcPr>
            <w:tcW w:w="2380" w:type="dxa"/>
            <w:vAlign w:val="bottom"/>
            <w:tcBorders>
              <w:top w:val="single" w:sz="8" w:color="DCDFED"/>
            </w:tcBorders>
          </w:tcPr>
          <w:p>
            <w:pPr>
              <w:spacing w:after="0" w:line="20" w:lineRule="exact"/>
              <w:rPr>
                <w:sz w:val="1"/>
                <w:szCs w:val="1"/>
                <w:color w:val="auto"/>
              </w:rPr>
            </w:pPr>
          </w:p>
        </w:tc>
        <w:tc>
          <w:tcPr>
            <w:tcW w:w="320" w:type="dxa"/>
            <w:vAlign w:val="bottom"/>
            <w:tcBorders>
              <w:top w:val="single" w:sz="8" w:color="DCDFED"/>
            </w:tcBorders>
          </w:tcPr>
          <w:p>
            <w:pPr>
              <w:spacing w:after="0" w:line="20" w:lineRule="exact"/>
              <w:rPr>
                <w:sz w:val="1"/>
                <w:szCs w:val="1"/>
                <w:color w:val="auto"/>
              </w:rPr>
            </w:pPr>
          </w:p>
        </w:tc>
        <w:tc>
          <w:tcPr>
            <w:tcW w:w="980" w:type="dxa"/>
            <w:vAlign w:val="bottom"/>
            <w:tcBorders>
              <w:top w:val="single" w:sz="8" w:color="DCDFED"/>
            </w:tcBorders>
          </w:tcPr>
          <w:p>
            <w:pPr>
              <w:spacing w:after="0" w:line="20" w:lineRule="exact"/>
              <w:rPr>
                <w:sz w:val="1"/>
                <w:szCs w:val="1"/>
                <w:color w:val="auto"/>
              </w:rPr>
            </w:pPr>
          </w:p>
        </w:tc>
        <w:tc>
          <w:tcPr>
            <w:tcW w:w="440" w:type="dxa"/>
            <w:vAlign w:val="bottom"/>
            <w:tcBorders>
              <w:top w:val="single" w:sz="8" w:color="DCDFED"/>
            </w:tcBorders>
          </w:tcPr>
          <w:p>
            <w:pPr>
              <w:spacing w:after="0" w:line="20" w:lineRule="exact"/>
              <w:rPr>
                <w:sz w:val="1"/>
                <w:szCs w:val="1"/>
                <w:color w:val="auto"/>
              </w:rPr>
            </w:pPr>
          </w:p>
        </w:tc>
        <w:tc>
          <w:tcPr>
            <w:tcW w:w="960" w:type="dxa"/>
            <w:vAlign w:val="bottom"/>
            <w:tcBorders>
              <w:top w:val="single" w:sz="8" w:color="DCDFED"/>
            </w:tcBorders>
          </w:tcPr>
          <w:p>
            <w:pPr>
              <w:spacing w:after="0" w:line="20" w:lineRule="exact"/>
              <w:rPr>
                <w:sz w:val="1"/>
                <w:szCs w:val="1"/>
                <w:color w:val="auto"/>
              </w:rPr>
            </w:pPr>
          </w:p>
        </w:tc>
        <w:tc>
          <w:tcPr>
            <w:tcW w:w="180" w:type="dxa"/>
            <w:vAlign w:val="bottom"/>
            <w:tcBorders>
              <w:top w:val="single" w:sz="8" w:color="DCDFED"/>
            </w:tcBorders>
          </w:tcPr>
          <w:p>
            <w:pPr>
              <w:spacing w:after="0" w:line="20" w:lineRule="exact"/>
              <w:rPr>
                <w:sz w:val="1"/>
                <w:szCs w:val="1"/>
                <w:color w:val="auto"/>
              </w:rPr>
            </w:pPr>
          </w:p>
        </w:tc>
        <w:tc>
          <w:tcPr>
            <w:tcW w:w="1180" w:type="dxa"/>
            <w:vAlign w:val="bottom"/>
            <w:tcBorders>
              <w:top w:val="single" w:sz="8" w:color="DCDFED"/>
            </w:tcBorders>
          </w:tcPr>
          <w:p>
            <w:pPr>
              <w:spacing w:after="0" w:line="20" w:lineRule="exact"/>
              <w:rPr>
                <w:sz w:val="1"/>
                <w:szCs w:val="1"/>
                <w:color w:val="auto"/>
              </w:rPr>
            </w:pPr>
          </w:p>
        </w:tc>
        <w:tc>
          <w:tcPr>
            <w:tcW w:w="320" w:type="dxa"/>
            <w:vAlign w:val="bottom"/>
            <w:tcBorders>
              <w:top w:val="single" w:sz="8" w:color="DCDFED"/>
            </w:tcBorders>
          </w:tcPr>
          <w:p>
            <w:pPr>
              <w:spacing w:after="0" w:line="20" w:lineRule="exact"/>
              <w:rPr>
                <w:sz w:val="1"/>
                <w:szCs w:val="1"/>
                <w:color w:val="auto"/>
              </w:rPr>
            </w:pPr>
          </w:p>
        </w:tc>
        <w:tc>
          <w:tcPr>
            <w:tcW w:w="1060" w:type="dxa"/>
            <w:vAlign w:val="bottom"/>
            <w:tcBorders>
              <w:top w:val="single" w:sz="8" w:color="DCDFED"/>
            </w:tcBorders>
          </w:tcPr>
          <w:p>
            <w:pPr>
              <w:spacing w:after="0" w:line="20" w:lineRule="exact"/>
              <w:rPr>
                <w:sz w:val="1"/>
                <w:szCs w:val="1"/>
                <w:color w:val="auto"/>
              </w:rPr>
            </w:pPr>
          </w:p>
        </w:tc>
        <w:tc>
          <w:tcPr>
            <w:tcW w:w="280" w:type="dxa"/>
            <w:vAlign w:val="bottom"/>
            <w:tcBorders>
              <w:top w:val="single" w:sz="8" w:color="DCDFED"/>
            </w:tcBorders>
          </w:tcPr>
          <w:p>
            <w:pPr>
              <w:spacing w:after="0" w:line="20" w:lineRule="exact"/>
              <w:rPr>
                <w:sz w:val="1"/>
                <w:szCs w:val="1"/>
                <w:color w:val="auto"/>
              </w:rPr>
            </w:pPr>
          </w:p>
        </w:tc>
        <w:tc>
          <w:tcPr>
            <w:tcW w:w="1160" w:type="dxa"/>
            <w:vAlign w:val="bottom"/>
            <w:tcBorders>
              <w:top w:val="single" w:sz="8" w:color="DCDFED"/>
            </w:tcBorders>
          </w:tcPr>
          <w:p>
            <w:pPr>
              <w:spacing w:after="0" w:line="20" w:lineRule="exact"/>
              <w:rPr>
                <w:sz w:val="1"/>
                <w:szCs w:val="1"/>
                <w:color w:val="auto"/>
              </w:rPr>
            </w:pPr>
          </w:p>
        </w:tc>
        <w:tc>
          <w:tcPr>
            <w:tcW w:w="300" w:type="dxa"/>
            <w:vAlign w:val="bottom"/>
            <w:tcBorders>
              <w:top w:val="single" w:sz="8" w:color="DCDFED"/>
              <w:bottom w:val="single" w:sz="8" w:color="auto"/>
            </w:tcBorders>
          </w:tcPr>
          <w:p>
            <w:pPr>
              <w:spacing w:after="0" w:line="20" w:lineRule="exact"/>
              <w:rPr>
                <w:sz w:val="1"/>
                <w:szCs w:val="1"/>
                <w:color w:val="auto"/>
              </w:rPr>
            </w:pPr>
          </w:p>
        </w:tc>
        <w:tc>
          <w:tcPr>
            <w:tcW w:w="980" w:type="dxa"/>
            <w:vAlign w:val="bottom"/>
            <w:tcBorders>
              <w:top w:val="single" w:sz="8" w:color="DCDFED"/>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380" w:type="dxa"/>
            <w:vAlign w:val="bottom"/>
          </w:tcPr>
          <w:p>
            <w:pPr>
              <w:spacing w:after="0"/>
              <w:rPr>
                <w:sz w:val="7"/>
                <w:szCs w:val="7"/>
                <w:color w:val="auto"/>
              </w:rPr>
            </w:pPr>
          </w:p>
        </w:tc>
        <w:tc>
          <w:tcPr>
            <w:tcW w:w="320" w:type="dxa"/>
            <w:vAlign w:val="bottom"/>
          </w:tcPr>
          <w:p>
            <w:pPr>
              <w:spacing w:after="0"/>
              <w:rPr>
                <w:sz w:val="7"/>
                <w:szCs w:val="7"/>
                <w:color w:val="auto"/>
              </w:rPr>
            </w:pPr>
          </w:p>
        </w:tc>
        <w:tc>
          <w:tcPr>
            <w:tcW w:w="980" w:type="dxa"/>
            <w:vAlign w:val="bottom"/>
          </w:tcPr>
          <w:p>
            <w:pPr>
              <w:spacing w:after="0"/>
              <w:rPr>
                <w:sz w:val="7"/>
                <w:szCs w:val="7"/>
                <w:color w:val="auto"/>
              </w:rPr>
            </w:pPr>
          </w:p>
        </w:tc>
        <w:tc>
          <w:tcPr>
            <w:tcW w:w="440" w:type="dxa"/>
            <w:vAlign w:val="bottom"/>
          </w:tcPr>
          <w:p>
            <w:pPr>
              <w:spacing w:after="0"/>
              <w:rPr>
                <w:sz w:val="7"/>
                <w:szCs w:val="7"/>
                <w:color w:val="auto"/>
              </w:rPr>
            </w:pPr>
          </w:p>
        </w:tc>
        <w:tc>
          <w:tcPr>
            <w:tcW w:w="9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1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300" w:type="dxa"/>
            <w:vAlign w:val="bottom"/>
          </w:tcPr>
          <w:p>
            <w:pPr>
              <w:spacing w:after="0"/>
              <w:rPr>
                <w:sz w:val="7"/>
                <w:szCs w:val="7"/>
                <w:color w:val="auto"/>
              </w:rPr>
            </w:pPr>
          </w:p>
        </w:tc>
        <w:tc>
          <w:tcPr>
            <w:tcW w:w="9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9"/>
        </w:trPr>
        <w:tc>
          <w:tcPr>
            <w:tcW w:w="3080" w:type="dxa"/>
            <w:vAlign w:val="bottom"/>
            <w:gridSpan w:val="3"/>
            <w:shd w:val="clear" w:color="auto" w:fill="DCDFED"/>
          </w:tcPr>
          <w:p>
            <w:pPr>
              <w:ind w:left="20"/>
              <w:spacing w:after="0" w:line="219" w:lineRule="exact"/>
              <w:rPr>
                <w:sz w:val="20"/>
                <w:szCs w:val="20"/>
                <w:color w:val="auto"/>
              </w:rPr>
            </w:pPr>
            <w:r>
              <w:rPr>
                <w:rFonts w:ascii="Arial" w:cs="Arial" w:eastAsia="Arial" w:hAnsi="Arial"/>
                <w:sz w:val="17"/>
                <w:szCs w:val="17"/>
                <w:b w:val="1"/>
                <w:bCs w:val="1"/>
                <w:color w:val="auto"/>
              </w:rPr>
              <w:t>Other significant segment items</w:t>
            </w:r>
            <w:r>
              <w:rPr>
                <w:rFonts w:ascii="Arial" w:cs="Arial" w:eastAsia="Arial" w:hAnsi="Arial"/>
                <w:sz w:val="22"/>
                <w:szCs w:val="22"/>
                <w:b w:val="1"/>
                <w:bCs w:val="1"/>
                <w:color w:val="auto"/>
                <w:vertAlign w:val="superscript"/>
              </w:rPr>
              <w:t>(3)</w:t>
            </w:r>
          </w:p>
        </w:tc>
        <w:tc>
          <w:tcPr>
            <w:tcW w:w="320" w:type="dxa"/>
            <w:vAlign w:val="bottom"/>
            <w:shd w:val="clear" w:color="auto" w:fill="DCDFED"/>
          </w:tcPr>
          <w:p>
            <w:pPr>
              <w:spacing w:after="0"/>
              <w:rPr>
                <w:sz w:val="19"/>
                <w:szCs w:val="19"/>
                <w:color w:val="auto"/>
              </w:rPr>
            </w:pPr>
          </w:p>
        </w:tc>
        <w:tc>
          <w:tcPr>
            <w:tcW w:w="980" w:type="dxa"/>
            <w:vAlign w:val="bottom"/>
            <w:shd w:val="clear" w:color="auto" w:fill="DCDFED"/>
          </w:tcPr>
          <w:p>
            <w:pPr>
              <w:spacing w:after="0"/>
              <w:rPr>
                <w:sz w:val="19"/>
                <w:szCs w:val="19"/>
                <w:color w:val="auto"/>
              </w:rPr>
            </w:pPr>
          </w:p>
        </w:tc>
        <w:tc>
          <w:tcPr>
            <w:tcW w:w="440" w:type="dxa"/>
            <w:vAlign w:val="bottom"/>
            <w:shd w:val="clear" w:color="auto" w:fill="DCDFED"/>
          </w:tcPr>
          <w:p>
            <w:pPr>
              <w:spacing w:after="0"/>
              <w:rPr>
                <w:sz w:val="19"/>
                <w:szCs w:val="19"/>
                <w:color w:val="auto"/>
              </w:rPr>
            </w:pPr>
          </w:p>
        </w:tc>
        <w:tc>
          <w:tcPr>
            <w:tcW w:w="960" w:type="dxa"/>
            <w:vAlign w:val="bottom"/>
            <w:shd w:val="clear" w:color="auto" w:fill="DCDFED"/>
          </w:tcPr>
          <w:p>
            <w:pPr>
              <w:spacing w:after="0"/>
              <w:rPr>
                <w:sz w:val="19"/>
                <w:szCs w:val="19"/>
                <w:color w:val="auto"/>
              </w:rPr>
            </w:pPr>
          </w:p>
        </w:tc>
        <w:tc>
          <w:tcPr>
            <w:tcW w:w="180" w:type="dxa"/>
            <w:vAlign w:val="bottom"/>
            <w:shd w:val="clear" w:color="auto" w:fill="DCDFED"/>
          </w:tcPr>
          <w:p>
            <w:pPr>
              <w:spacing w:after="0"/>
              <w:rPr>
                <w:sz w:val="19"/>
                <w:szCs w:val="19"/>
                <w:color w:val="auto"/>
              </w:rPr>
            </w:pPr>
          </w:p>
        </w:tc>
        <w:tc>
          <w:tcPr>
            <w:tcW w:w="1180" w:type="dxa"/>
            <w:vAlign w:val="bottom"/>
            <w:shd w:val="clear" w:color="auto" w:fill="DCDFED"/>
          </w:tcPr>
          <w:p>
            <w:pPr>
              <w:spacing w:after="0"/>
              <w:rPr>
                <w:sz w:val="19"/>
                <w:szCs w:val="19"/>
                <w:color w:val="auto"/>
              </w:rPr>
            </w:pPr>
          </w:p>
        </w:tc>
        <w:tc>
          <w:tcPr>
            <w:tcW w:w="320" w:type="dxa"/>
            <w:vAlign w:val="bottom"/>
            <w:shd w:val="clear" w:color="auto" w:fill="DCDFED"/>
          </w:tcPr>
          <w:p>
            <w:pPr>
              <w:spacing w:after="0"/>
              <w:rPr>
                <w:sz w:val="19"/>
                <w:szCs w:val="19"/>
                <w:color w:val="auto"/>
              </w:rPr>
            </w:pPr>
          </w:p>
        </w:tc>
        <w:tc>
          <w:tcPr>
            <w:tcW w:w="1060" w:type="dxa"/>
            <w:vAlign w:val="bottom"/>
            <w:shd w:val="clear" w:color="auto" w:fill="DCDFED"/>
          </w:tcPr>
          <w:p>
            <w:pPr>
              <w:spacing w:after="0"/>
              <w:rPr>
                <w:sz w:val="19"/>
                <w:szCs w:val="19"/>
                <w:color w:val="auto"/>
              </w:rPr>
            </w:pPr>
          </w:p>
        </w:tc>
        <w:tc>
          <w:tcPr>
            <w:tcW w:w="280" w:type="dxa"/>
            <w:vAlign w:val="bottom"/>
            <w:shd w:val="clear" w:color="auto" w:fill="DCDFED"/>
          </w:tcPr>
          <w:p>
            <w:pPr>
              <w:spacing w:after="0"/>
              <w:rPr>
                <w:sz w:val="19"/>
                <w:szCs w:val="19"/>
                <w:color w:val="auto"/>
              </w:rPr>
            </w:pPr>
          </w:p>
        </w:tc>
        <w:tc>
          <w:tcPr>
            <w:tcW w:w="1160" w:type="dxa"/>
            <w:vAlign w:val="bottom"/>
            <w:shd w:val="clear" w:color="auto" w:fill="DCDFED"/>
          </w:tcPr>
          <w:p>
            <w:pPr>
              <w:spacing w:after="0"/>
              <w:rPr>
                <w:sz w:val="19"/>
                <w:szCs w:val="19"/>
                <w:color w:val="auto"/>
              </w:rPr>
            </w:pPr>
          </w:p>
        </w:tc>
        <w:tc>
          <w:tcPr>
            <w:tcW w:w="300" w:type="dxa"/>
            <w:vAlign w:val="bottom"/>
            <w:shd w:val="clear" w:color="auto" w:fill="DCDFED"/>
          </w:tcPr>
          <w:p>
            <w:pPr>
              <w:spacing w:after="0"/>
              <w:rPr>
                <w:sz w:val="19"/>
                <w:szCs w:val="19"/>
                <w:color w:val="auto"/>
              </w:rPr>
            </w:pPr>
          </w:p>
        </w:tc>
        <w:tc>
          <w:tcPr>
            <w:tcW w:w="980" w:type="dxa"/>
            <w:vAlign w:val="bottom"/>
            <w:shd w:val="clear" w:color="auto" w:fill="DCDFED"/>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060" w:type="dxa"/>
            <w:vAlign w:val="bottom"/>
            <w:gridSpan w:val="2"/>
          </w:tcPr>
          <w:p>
            <w:pPr>
              <w:ind w:left="100"/>
              <w:spacing w:after="0"/>
              <w:rPr>
                <w:sz w:val="20"/>
                <w:szCs w:val="20"/>
                <w:color w:val="auto"/>
              </w:rPr>
            </w:pPr>
            <w:r>
              <w:rPr>
                <w:rFonts w:ascii="Arial" w:cs="Arial" w:eastAsia="Arial" w:hAnsi="Arial"/>
                <w:sz w:val="17"/>
                <w:szCs w:val="17"/>
                <w:color w:val="auto"/>
              </w:rPr>
              <w:t>Materials and supplies</w:t>
            </w:r>
          </w:p>
        </w:tc>
        <w:tc>
          <w:tcPr>
            <w:tcW w:w="320" w:type="dxa"/>
            <w:vAlign w:val="bottom"/>
          </w:tcPr>
          <w:p>
            <w:pPr>
              <w:jc w:val="right"/>
              <w:ind w:right="114"/>
              <w:spacing w:after="0"/>
              <w:rPr>
                <w:sz w:val="20"/>
                <w:szCs w:val="20"/>
                <w:color w:val="auto"/>
              </w:rPr>
            </w:pPr>
            <w:r>
              <w:rPr>
                <w:rFonts w:ascii="Arial" w:cs="Arial" w:eastAsia="Arial" w:hAnsi="Arial"/>
                <w:sz w:val="17"/>
                <w:szCs w:val="17"/>
                <w:color w:val="auto"/>
              </w:rPr>
              <w:t>$</w:t>
            </w:r>
          </w:p>
        </w:tc>
        <w:tc>
          <w:tcPr>
            <w:tcW w:w="980" w:type="dxa"/>
            <w:vAlign w:val="bottom"/>
          </w:tcPr>
          <w:p>
            <w:pPr>
              <w:jc w:val="right"/>
              <w:ind w:right="15"/>
              <w:spacing w:after="0"/>
              <w:rPr>
                <w:sz w:val="20"/>
                <w:szCs w:val="20"/>
                <w:color w:val="auto"/>
              </w:rPr>
            </w:pPr>
            <w:r>
              <w:rPr>
                <w:rFonts w:ascii="Arial" w:cs="Arial" w:eastAsia="Arial" w:hAnsi="Arial"/>
                <w:sz w:val="17"/>
                <w:szCs w:val="17"/>
                <w:color w:val="auto"/>
              </w:rPr>
              <w:t>119.9</w:t>
            </w:r>
          </w:p>
        </w:tc>
        <w:tc>
          <w:tcPr>
            <w:tcW w:w="440" w:type="dxa"/>
            <w:vAlign w:val="bottom"/>
          </w:tcPr>
          <w:p>
            <w:pPr>
              <w:jc w:val="right"/>
              <w:ind w:right="174"/>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35"/>
              <w:spacing w:after="0"/>
              <w:rPr>
                <w:sz w:val="20"/>
                <w:szCs w:val="20"/>
                <w:color w:val="auto"/>
              </w:rPr>
            </w:pPr>
            <w:r>
              <w:rPr>
                <w:rFonts w:ascii="Arial" w:cs="Arial" w:eastAsia="Arial" w:hAnsi="Arial"/>
                <w:sz w:val="17"/>
                <w:szCs w:val="17"/>
                <w:color w:val="auto"/>
              </w:rPr>
              <w:t>73.5</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180" w:type="dxa"/>
            <w:vAlign w:val="bottom"/>
          </w:tcPr>
          <w:p>
            <w:pPr>
              <w:jc w:val="right"/>
              <w:ind w:right="15"/>
              <w:spacing w:after="0"/>
              <w:rPr>
                <w:sz w:val="20"/>
                <w:szCs w:val="20"/>
                <w:color w:val="auto"/>
              </w:rPr>
            </w:pPr>
            <w:r>
              <w:rPr>
                <w:rFonts w:ascii="Arial" w:cs="Arial" w:eastAsia="Arial" w:hAnsi="Arial"/>
                <w:sz w:val="17"/>
                <w:szCs w:val="17"/>
                <w:color w:val="auto"/>
              </w:rPr>
              <w:t>21.8</w:t>
            </w:r>
          </w:p>
        </w:tc>
        <w:tc>
          <w:tcPr>
            <w:tcW w:w="320" w:type="dxa"/>
            <w:vAlign w:val="bottom"/>
          </w:tcPr>
          <w:p>
            <w:pPr>
              <w:jc w:val="right"/>
              <w:ind w:right="54"/>
              <w:spacing w:after="0"/>
              <w:rPr>
                <w:sz w:val="20"/>
                <w:szCs w:val="20"/>
                <w:color w:val="auto"/>
              </w:rPr>
            </w:pPr>
            <w:r>
              <w:rPr>
                <w:rFonts w:ascii="Arial" w:cs="Arial" w:eastAsia="Arial" w:hAnsi="Arial"/>
                <w:sz w:val="17"/>
                <w:szCs w:val="17"/>
                <w:color w:val="auto"/>
              </w:rPr>
              <w:t>$</w:t>
            </w:r>
          </w:p>
        </w:tc>
        <w:tc>
          <w:tcPr>
            <w:tcW w:w="1060" w:type="dxa"/>
            <w:vAlign w:val="bottom"/>
          </w:tcPr>
          <w:p>
            <w:pPr>
              <w:jc w:val="right"/>
              <w:ind w:right="15"/>
              <w:spacing w:after="0"/>
              <w:rPr>
                <w:sz w:val="20"/>
                <w:szCs w:val="20"/>
                <w:color w:val="auto"/>
              </w:rPr>
            </w:pPr>
            <w:r>
              <w:rPr>
                <w:rFonts w:ascii="Arial" w:cs="Arial" w:eastAsia="Arial" w:hAnsi="Arial"/>
                <w:sz w:val="17"/>
                <w:szCs w:val="17"/>
                <w:color w:val="auto"/>
              </w:rPr>
              <w:t>49.1</w:t>
            </w:r>
          </w:p>
        </w:tc>
        <w:tc>
          <w:tcPr>
            <w:tcW w:w="280" w:type="dxa"/>
            <w:vAlign w:val="bottom"/>
          </w:tcPr>
          <w:p>
            <w:pPr>
              <w:jc w:val="right"/>
              <w:ind w:right="14"/>
              <w:spacing w:after="0"/>
              <w:rPr>
                <w:sz w:val="20"/>
                <w:szCs w:val="20"/>
                <w:color w:val="auto"/>
              </w:rPr>
            </w:pPr>
            <w:r>
              <w:rPr>
                <w:rFonts w:ascii="Arial" w:cs="Arial" w:eastAsia="Arial" w:hAnsi="Arial"/>
                <w:sz w:val="17"/>
                <w:szCs w:val="17"/>
                <w:color w:val="auto"/>
              </w:rPr>
              <w:t>$</w:t>
            </w:r>
          </w:p>
        </w:tc>
        <w:tc>
          <w:tcPr>
            <w:tcW w:w="1160" w:type="dxa"/>
            <w:vAlign w:val="bottom"/>
          </w:tcPr>
          <w:p>
            <w:pPr>
              <w:jc w:val="right"/>
              <w:ind w:right="76"/>
              <w:spacing w:after="0"/>
              <w:rPr>
                <w:sz w:val="20"/>
                <w:szCs w:val="20"/>
                <w:color w:val="auto"/>
              </w:rPr>
            </w:pPr>
            <w:r>
              <w:rPr>
                <w:rFonts w:ascii="Arial" w:cs="Arial" w:eastAsia="Arial" w:hAnsi="Arial"/>
                <w:sz w:val="17"/>
                <w:szCs w:val="17"/>
                <w:color w:val="auto"/>
              </w:rPr>
              <w:t>242.0</w:t>
            </w: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DCDFED"/>
          </w:tcPr>
          <w:p>
            <w:pPr>
              <w:spacing w:after="0"/>
              <w:rPr>
                <w:sz w:val="19"/>
                <w:szCs w:val="19"/>
                <w:color w:val="auto"/>
              </w:rPr>
            </w:pPr>
          </w:p>
        </w:tc>
        <w:tc>
          <w:tcPr>
            <w:tcW w:w="3060" w:type="dxa"/>
            <w:vAlign w:val="bottom"/>
            <w:gridSpan w:val="2"/>
            <w:shd w:val="clear" w:color="auto" w:fill="DCDFED"/>
          </w:tcPr>
          <w:p>
            <w:pPr>
              <w:ind w:left="100"/>
              <w:spacing w:after="0"/>
              <w:rPr>
                <w:sz w:val="20"/>
                <w:szCs w:val="20"/>
                <w:color w:val="auto"/>
              </w:rPr>
            </w:pPr>
            <w:r>
              <w:rPr>
                <w:rFonts w:ascii="Arial" w:cs="Arial" w:eastAsia="Arial" w:hAnsi="Arial"/>
                <w:sz w:val="17"/>
                <w:szCs w:val="17"/>
                <w:color w:val="auto"/>
              </w:rPr>
              <w:t>Salaries and wages (other than direct)</w:t>
            </w:r>
          </w:p>
        </w:tc>
        <w:tc>
          <w:tcPr>
            <w:tcW w:w="320" w:type="dxa"/>
            <w:vAlign w:val="bottom"/>
            <w:shd w:val="clear" w:color="auto" w:fill="DCDFED"/>
          </w:tcPr>
          <w:p>
            <w:pPr>
              <w:spacing w:after="0"/>
              <w:rPr>
                <w:sz w:val="19"/>
                <w:szCs w:val="19"/>
                <w:color w:val="auto"/>
              </w:rPr>
            </w:pPr>
          </w:p>
        </w:tc>
        <w:tc>
          <w:tcPr>
            <w:tcW w:w="980" w:type="dxa"/>
            <w:vAlign w:val="bottom"/>
            <w:shd w:val="clear" w:color="auto" w:fill="DCDFED"/>
          </w:tcPr>
          <w:p>
            <w:pPr>
              <w:jc w:val="right"/>
              <w:ind w:right="15"/>
              <w:spacing w:after="0"/>
              <w:rPr>
                <w:sz w:val="20"/>
                <w:szCs w:val="20"/>
                <w:color w:val="auto"/>
              </w:rPr>
            </w:pPr>
            <w:r>
              <w:rPr>
                <w:rFonts w:ascii="Arial" w:cs="Arial" w:eastAsia="Arial" w:hAnsi="Arial"/>
                <w:sz w:val="17"/>
                <w:szCs w:val="17"/>
                <w:color w:val="auto"/>
              </w:rPr>
              <w:t>131.3</w:t>
            </w:r>
          </w:p>
        </w:tc>
        <w:tc>
          <w:tcPr>
            <w:tcW w:w="440" w:type="dxa"/>
            <w:vAlign w:val="bottom"/>
            <w:shd w:val="clear" w:color="auto" w:fill="DCDFED"/>
          </w:tcPr>
          <w:p>
            <w:pPr>
              <w:spacing w:after="0"/>
              <w:rPr>
                <w:sz w:val="19"/>
                <w:szCs w:val="19"/>
                <w:color w:val="auto"/>
              </w:rPr>
            </w:pPr>
          </w:p>
        </w:tc>
        <w:tc>
          <w:tcPr>
            <w:tcW w:w="960" w:type="dxa"/>
            <w:vAlign w:val="bottom"/>
            <w:shd w:val="clear" w:color="auto" w:fill="DCDFED"/>
          </w:tcPr>
          <w:p>
            <w:pPr>
              <w:jc w:val="right"/>
              <w:ind w:right="35"/>
              <w:spacing w:after="0"/>
              <w:rPr>
                <w:sz w:val="20"/>
                <w:szCs w:val="20"/>
                <w:color w:val="auto"/>
              </w:rPr>
            </w:pPr>
            <w:r>
              <w:rPr>
                <w:rFonts w:ascii="Arial" w:cs="Arial" w:eastAsia="Arial" w:hAnsi="Arial"/>
                <w:sz w:val="17"/>
                <w:szCs w:val="17"/>
                <w:color w:val="auto"/>
              </w:rPr>
              <w:t>25.7</w:t>
            </w:r>
          </w:p>
        </w:tc>
        <w:tc>
          <w:tcPr>
            <w:tcW w:w="180" w:type="dxa"/>
            <w:vAlign w:val="bottom"/>
            <w:shd w:val="clear" w:color="auto" w:fill="DCDFED"/>
          </w:tcPr>
          <w:p>
            <w:pPr>
              <w:spacing w:after="0"/>
              <w:rPr>
                <w:sz w:val="19"/>
                <w:szCs w:val="19"/>
                <w:color w:val="auto"/>
              </w:rPr>
            </w:pPr>
          </w:p>
        </w:tc>
        <w:tc>
          <w:tcPr>
            <w:tcW w:w="1180" w:type="dxa"/>
            <w:vAlign w:val="bottom"/>
            <w:shd w:val="clear" w:color="auto" w:fill="DCDFED"/>
          </w:tcPr>
          <w:p>
            <w:pPr>
              <w:jc w:val="right"/>
              <w:ind w:right="15"/>
              <w:spacing w:after="0"/>
              <w:rPr>
                <w:sz w:val="20"/>
                <w:szCs w:val="20"/>
                <w:color w:val="auto"/>
              </w:rPr>
            </w:pPr>
            <w:r>
              <w:rPr>
                <w:rFonts w:ascii="Arial" w:cs="Arial" w:eastAsia="Arial" w:hAnsi="Arial"/>
                <w:sz w:val="17"/>
                <w:szCs w:val="17"/>
                <w:color w:val="auto"/>
              </w:rPr>
              <w:t>18.5</w:t>
            </w:r>
          </w:p>
        </w:tc>
        <w:tc>
          <w:tcPr>
            <w:tcW w:w="320" w:type="dxa"/>
            <w:vAlign w:val="bottom"/>
            <w:shd w:val="clear" w:color="auto" w:fill="DCDFED"/>
          </w:tcPr>
          <w:p>
            <w:pPr>
              <w:spacing w:after="0"/>
              <w:rPr>
                <w:sz w:val="19"/>
                <w:szCs w:val="19"/>
                <w:color w:val="auto"/>
              </w:rPr>
            </w:pPr>
          </w:p>
        </w:tc>
        <w:tc>
          <w:tcPr>
            <w:tcW w:w="1060" w:type="dxa"/>
            <w:vAlign w:val="bottom"/>
            <w:shd w:val="clear" w:color="auto" w:fill="DCDFED"/>
          </w:tcPr>
          <w:p>
            <w:pPr>
              <w:jc w:val="right"/>
              <w:ind w:right="15"/>
              <w:spacing w:after="0"/>
              <w:rPr>
                <w:sz w:val="20"/>
                <w:szCs w:val="20"/>
                <w:color w:val="auto"/>
              </w:rPr>
            </w:pPr>
            <w:r>
              <w:rPr>
                <w:rFonts w:ascii="Arial" w:cs="Arial" w:eastAsia="Arial" w:hAnsi="Arial"/>
                <w:sz w:val="17"/>
                <w:szCs w:val="17"/>
                <w:color w:val="auto"/>
              </w:rPr>
              <w:t>19.0</w:t>
            </w:r>
          </w:p>
        </w:tc>
        <w:tc>
          <w:tcPr>
            <w:tcW w:w="280" w:type="dxa"/>
            <w:vAlign w:val="bottom"/>
            <w:shd w:val="clear" w:color="auto" w:fill="DCDFED"/>
          </w:tcPr>
          <w:p>
            <w:pPr>
              <w:spacing w:after="0"/>
              <w:rPr>
                <w:sz w:val="19"/>
                <w:szCs w:val="19"/>
                <w:color w:val="auto"/>
              </w:rPr>
            </w:pPr>
          </w:p>
        </w:tc>
        <w:tc>
          <w:tcPr>
            <w:tcW w:w="1160" w:type="dxa"/>
            <w:vAlign w:val="bottom"/>
            <w:shd w:val="clear" w:color="auto" w:fill="DCDFED"/>
          </w:tcPr>
          <w:p>
            <w:pPr>
              <w:jc w:val="right"/>
              <w:ind w:right="76"/>
              <w:spacing w:after="0"/>
              <w:rPr>
                <w:sz w:val="20"/>
                <w:szCs w:val="20"/>
                <w:color w:val="auto"/>
              </w:rPr>
            </w:pPr>
            <w:r>
              <w:rPr>
                <w:rFonts w:ascii="Arial" w:cs="Arial" w:eastAsia="Arial" w:hAnsi="Arial"/>
                <w:sz w:val="17"/>
                <w:szCs w:val="17"/>
                <w:color w:val="auto"/>
              </w:rPr>
              <w:t>107.9</w:t>
            </w:r>
          </w:p>
        </w:tc>
        <w:tc>
          <w:tcPr>
            <w:tcW w:w="300" w:type="dxa"/>
            <w:vAlign w:val="bottom"/>
            <w:shd w:val="clear" w:color="auto" w:fill="DCDFED"/>
          </w:tcPr>
          <w:p>
            <w:pPr>
              <w:spacing w:after="0"/>
              <w:rPr>
                <w:sz w:val="19"/>
                <w:szCs w:val="19"/>
                <w:color w:val="auto"/>
              </w:rPr>
            </w:pPr>
          </w:p>
        </w:tc>
        <w:tc>
          <w:tcPr>
            <w:tcW w:w="980" w:type="dxa"/>
            <w:vAlign w:val="bottom"/>
            <w:shd w:val="clear" w:color="auto" w:fill="DCDFED"/>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060" w:type="dxa"/>
            <w:vAlign w:val="bottom"/>
            <w:gridSpan w:val="2"/>
          </w:tcPr>
          <w:p>
            <w:pPr>
              <w:ind w:left="100"/>
              <w:spacing w:after="0"/>
              <w:rPr>
                <w:sz w:val="20"/>
                <w:szCs w:val="20"/>
                <w:color w:val="auto"/>
              </w:rPr>
            </w:pPr>
            <w:r>
              <w:rPr>
                <w:rFonts w:ascii="Arial" w:cs="Arial" w:eastAsia="Arial" w:hAnsi="Arial"/>
                <w:sz w:val="17"/>
                <w:szCs w:val="17"/>
                <w:color w:val="auto"/>
              </w:rPr>
              <w:t>Consulting and professional services</w:t>
            </w:r>
          </w:p>
        </w:tc>
        <w:tc>
          <w:tcPr>
            <w:tcW w:w="320" w:type="dxa"/>
            <w:vAlign w:val="bottom"/>
          </w:tcPr>
          <w:p>
            <w:pPr>
              <w:spacing w:after="0"/>
              <w:rPr>
                <w:sz w:val="19"/>
                <w:szCs w:val="19"/>
                <w:color w:val="auto"/>
              </w:rPr>
            </w:pPr>
          </w:p>
        </w:tc>
        <w:tc>
          <w:tcPr>
            <w:tcW w:w="980" w:type="dxa"/>
            <w:vAlign w:val="bottom"/>
          </w:tcPr>
          <w:p>
            <w:pPr>
              <w:jc w:val="right"/>
              <w:ind w:right="15"/>
              <w:spacing w:after="0"/>
              <w:rPr>
                <w:sz w:val="20"/>
                <w:szCs w:val="20"/>
                <w:color w:val="auto"/>
              </w:rPr>
            </w:pPr>
            <w:r>
              <w:rPr>
                <w:rFonts w:ascii="Arial" w:cs="Arial" w:eastAsia="Arial" w:hAnsi="Arial"/>
                <w:sz w:val="17"/>
                <w:szCs w:val="17"/>
                <w:color w:val="auto"/>
              </w:rPr>
              <w:t>12.5</w:t>
            </w:r>
          </w:p>
        </w:tc>
        <w:tc>
          <w:tcPr>
            <w:tcW w:w="440" w:type="dxa"/>
            <w:vAlign w:val="bottom"/>
          </w:tcPr>
          <w:p>
            <w:pPr>
              <w:spacing w:after="0"/>
              <w:rPr>
                <w:sz w:val="19"/>
                <w:szCs w:val="19"/>
                <w:color w:val="auto"/>
              </w:rPr>
            </w:pPr>
          </w:p>
        </w:tc>
        <w:tc>
          <w:tcPr>
            <w:tcW w:w="960" w:type="dxa"/>
            <w:vAlign w:val="bottom"/>
          </w:tcPr>
          <w:p>
            <w:pPr>
              <w:jc w:val="right"/>
              <w:ind w:right="35"/>
              <w:spacing w:after="0"/>
              <w:rPr>
                <w:sz w:val="20"/>
                <w:szCs w:val="20"/>
                <w:color w:val="auto"/>
              </w:rPr>
            </w:pPr>
            <w:r>
              <w:rPr>
                <w:rFonts w:ascii="Arial" w:cs="Arial" w:eastAsia="Arial" w:hAnsi="Arial"/>
                <w:sz w:val="17"/>
                <w:szCs w:val="17"/>
                <w:color w:val="auto"/>
              </w:rPr>
              <w:t>5.6</w:t>
            </w:r>
          </w:p>
        </w:tc>
        <w:tc>
          <w:tcPr>
            <w:tcW w:w="180" w:type="dxa"/>
            <w:vAlign w:val="bottom"/>
          </w:tcPr>
          <w:p>
            <w:pPr>
              <w:spacing w:after="0"/>
              <w:rPr>
                <w:sz w:val="19"/>
                <w:szCs w:val="19"/>
                <w:color w:val="auto"/>
              </w:rPr>
            </w:pPr>
          </w:p>
        </w:tc>
        <w:tc>
          <w:tcPr>
            <w:tcW w:w="1180" w:type="dxa"/>
            <w:vAlign w:val="bottom"/>
          </w:tcPr>
          <w:p>
            <w:pPr>
              <w:jc w:val="right"/>
              <w:ind w:right="15"/>
              <w:spacing w:after="0"/>
              <w:rPr>
                <w:sz w:val="20"/>
                <w:szCs w:val="20"/>
                <w:color w:val="auto"/>
              </w:rPr>
            </w:pPr>
            <w:r>
              <w:rPr>
                <w:rFonts w:ascii="Arial" w:cs="Arial" w:eastAsia="Arial" w:hAnsi="Arial"/>
                <w:sz w:val="17"/>
                <w:szCs w:val="17"/>
                <w:color w:val="auto"/>
              </w:rPr>
              <w:t>45.0</w:t>
            </w:r>
          </w:p>
        </w:tc>
        <w:tc>
          <w:tcPr>
            <w:tcW w:w="320" w:type="dxa"/>
            <w:vAlign w:val="bottom"/>
          </w:tcPr>
          <w:p>
            <w:pPr>
              <w:spacing w:after="0"/>
              <w:rPr>
                <w:sz w:val="19"/>
                <w:szCs w:val="19"/>
                <w:color w:val="auto"/>
              </w:rPr>
            </w:pPr>
          </w:p>
        </w:tc>
        <w:tc>
          <w:tcPr>
            <w:tcW w:w="1060" w:type="dxa"/>
            <w:vAlign w:val="bottom"/>
          </w:tcPr>
          <w:p>
            <w:pPr>
              <w:jc w:val="right"/>
              <w:ind w:right="15"/>
              <w:spacing w:after="0"/>
              <w:rPr>
                <w:sz w:val="20"/>
                <w:szCs w:val="20"/>
                <w:color w:val="auto"/>
              </w:rPr>
            </w:pPr>
            <w:r>
              <w:rPr>
                <w:rFonts w:ascii="Arial" w:cs="Arial" w:eastAsia="Arial" w:hAnsi="Arial"/>
                <w:sz w:val="17"/>
                <w:szCs w:val="17"/>
                <w:color w:val="auto"/>
              </w:rPr>
              <w:t>3.0</w:t>
            </w:r>
          </w:p>
        </w:tc>
        <w:tc>
          <w:tcPr>
            <w:tcW w:w="280" w:type="dxa"/>
            <w:vAlign w:val="bottom"/>
          </w:tcPr>
          <w:p>
            <w:pPr>
              <w:spacing w:after="0"/>
              <w:rPr>
                <w:sz w:val="19"/>
                <w:szCs w:val="19"/>
                <w:color w:val="auto"/>
              </w:rPr>
            </w:pPr>
          </w:p>
        </w:tc>
        <w:tc>
          <w:tcPr>
            <w:tcW w:w="1160" w:type="dxa"/>
            <w:vAlign w:val="bottom"/>
          </w:tcPr>
          <w:p>
            <w:pPr>
              <w:jc w:val="right"/>
              <w:ind w:right="76"/>
              <w:spacing w:after="0"/>
              <w:rPr>
                <w:sz w:val="20"/>
                <w:szCs w:val="20"/>
                <w:color w:val="auto"/>
              </w:rPr>
            </w:pPr>
            <w:r>
              <w:rPr>
                <w:rFonts w:ascii="Arial" w:cs="Arial" w:eastAsia="Arial" w:hAnsi="Arial"/>
                <w:sz w:val="17"/>
                <w:szCs w:val="17"/>
                <w:color w:val="auto"/>
              </w:rPr>
              <w:t>7.4</w:t>
            </w: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20" w:type="dxa"/>
            <w:vAlign w:val="bottom"/>
            <w:shd w:val="clear" w:color="auto" w:fill="DCDFED"/>
          </w:tcPr>
          <w:p>
            <w:pPr>
              <w:spacing w:after="0"/>
              <w:rPr>
                <w:sz w:val="14"/>
                <w:szCs w:val="14"/>
                <w:color w:val="auto"/>
              </w:rPr>
            </w:pPr>
          </w:p>
        </w:tc>
        <w:tc>
          <w:tcPr>
            <w:tcW w:w="3060" w:type="dxa"/>
            <w:vAlign w:val="bottom"/>
            <w:gridSpan w:val="2"/>
            <w:shd w:val="clear" w:color="auto" w:fill="DCDFED"/>
          </w:tcPr>
          <w:p>
            <w:pPr>
              <w:ind w:left="100"/>
              <w:spacing w:after="0" w:line="167" w:lineRule="exact"/>
              <w:rPr>
                <w:sz w:val="20"/>
                <w:szCs w:val="20"/>
                <w:color w:val="auto"/>
              </w:rPr>
            </w:pPr>
            <w:r>
              <w:rPr>
                <w:rFonts w:ascii="Arial" w:cs="Arial" w:eastAsia="Arial" w:hAnsi="Arial"/>
                <w:sz w:val="17"/>
                <w:szCs w:val="17"/>
                <w:color w:val="auto"/>
              </w:rPr>
              <w:t>Travel and entertainment (other than</w:t>
            </w:r>
          </w:p>
        </w:tc>
        <w:tc>
          <w:tcPr>
            <w:tcW w:w="320" w:type="dxa"/>
            <w:vAlign w:val="bottom"/>
            <w:shd w:val="clear" w:color="auto" w:fill="DCDFED"/>
          </w:tcPr>
          <w:p>
            <w:pPr>
              <w:spacing w:after="0"/>
              <w:rPr>
                <w:sz w:val="14"/>
                <w:szCs w:val="14"/>
                <w:color w:val="auto"/>
              </w:rPr>
            </w:pPr>
          </w:p>
        </w:tc>
        <w:tc>
          <w:tcPr>
            <w:tcW w:w="980" w:type="dxa"/>
            <w:vAlign w:val="bottom"/>
            <w:shd w:val="clear" w:color="auto" w:fill="DCDFED"/>
          </w:tcPr>
          <w:p>
            <w:pPr>
              <w:spacing w:after="0"/>
              <w:rPr>
                <w:sz w:val="14"/>
                <w:szCs w:val="14"/>
                <w:color w:val="auto"/>
              </w:rPr>
            </w:pPr>
          </w:p>
        </w:tc>
        <w:tc>
          <w:tcPr>
            <w:tcW w:w="440" w:type="dxa"/>
            <w:vAlign w:val="bottom"/>
            <w:shd w:val="clear" w:color="auto" w:fill="DCDFED"/>
          </w:tcPr>
          <w:p>
            <w:pPr>
              <w:spacing w:after="0"/>
              <w:rPr>
                <w:sz w:val="14"/>
                <w:szCs w:val="14"/>
                <w:color w:val="auto"/>
              </w:rPr>
            </w:pPr>
          </w:p>
        </w:tc>
        <w:tc>
          <w:tcPr>
            <w:tcW w:w="960" w:type="dxa"/>
            <w:vAlign w:val="bottom"/>
            <w:shd w:val="clear" w:color="auto" w:fill="DCDFED"/>
          </w:tcPr>
          <w:p>
            <w:pPr>
              <w:spacing w:after="0"/>
              <w:rPr>
                <w:sz w:val="14"/>
                <w:szCs w:val="14"/>
                <w:color w:val="auto"/>
              </w:rPr>
            </w:pPr>
          </w:p>
        </w:tc>
        <w:tc>
          <w:tcPr>
            <w:tcW w:w="180" w:type="dxa"/>
            <w:vAlign w:val="bottom"/>
            <w:shd w:val="clear" w:color="auto" w:fill="DCDFED"/>
          </w:tcPr>
          <w:p>
            <w:pPr>
              <w:spacing w:after="0"/>
              <w:rPr>
                <w:sz w:val="14"/>
                <w:szCs w:val="14"/>
                <w:color w:val="auto"/>
              </w:rPr>
            </w:pPr>
          </w:p>
        </w:tc>
        <w:tc>
          <w:tcPr>
            <w:tcW w:w="1180" w:type="dxa"/>
            <w:vAlign w:val="bottom"/>
            <w:shd w:val="clear" w:color="auto" w:fill="DCDFED"/>
          </w:tcPr>
          <w:p>
            <w:pPr>
              <w:spacing w:after="0"/>
              <w:rPr>
                <w:sz w:val="14"/>
                <w:szCs w:val="14"/>
                <w:color w:val="auto"/>
              </w:rPr>
            </w:pPr>
          </w:p>
        </w:tc>
        <w:tc>
          <w:tcPr>
            <w:tcW w:w="320" w:type="dxa"/>
            <w:vAlign w:val="bottom"/>
            <w:shd w:val="clear" w:color="auto" w:fill="DCDFED"/>
          </w:tcPr>
          <w:p>
            <w:pPr>
              <w:spacing w:after="0"/>
              <w:rPr>
                <w:sz w:val="14"/>
                <w:szCs w:val="14"/>
                <w:color w:val="auto"/>
              </w:rPr>
            </w:pPr>
          </w:p>
        </w:tc>
        <w:tc>
          <w:tcPr>
            <w:tcW w:w="1060" w:type="dxa"/>
            <w:vAlign w:val="bottom"/>
            <w:shd w:val="clear" w:color="auto" w:fill="DCDFED"/>
          </w:tcPr>
          <w:p>
            <w:pPr>
              <w:spacing w:after="0"/>
              <w:rPr>
                <w:sz w:val="14"/>
                <w:szCs w:val="14"/>
                <w:color w:val="auto"/>
              </w:rPr>
            </w:pPr>
          </w:p>
        </w:tc>
        <w:tc>
          <w:tcPr>
            <w:tcW w:w="280" w:type="dxa"/>
            <w:vAlign w:val="bottom"/>
            <w:shd w:val="clear" w:color="auto" w:fill="DCDFED"/>
          </w:tcPr>
          <w:p>
            <w:pPr>
              <w:spacing w:after="0"/>
              <w:rPr>
                <w:sz w:val="14"/>
                <w:szCs w:val="14"/>
                <w:color w:val="auto"/>
              </w:rPr>
            </w:pPr>
          </w:p>
        </w:tc>
        <w:tc>
          <w:tcPr>
            <w:tcW w:w="1160" w:type="dxa"/>
            <w:vAlign w:val="bottom"/>
            <w:shd w:val="clear" w:color="auto" w:fill="DCDFED"/>
          </w:tcPr>
          <w:p>
            <w:pPr>
              <w:spacing w:after="0"/>
              <w:rPr>
                <w:sz w:val="14"/>
                <w:szCs w:val="14"/>
                <w:color w:val="auto"/>
              </w:rPr>
            </w:pPr>
          </w:p>
        </w:tc>
        <w:tc>
          <w:tcPr>
            <w:tcW w:w="300" w:type="dxa"/>
            <w:vAlign w:val="bottom"/>
            <w:shd w:val="clear" w:color="auto" w:fill="DCDFED"/>
          </w:tcPr>
          <w:p>
            <w:pPr>
              <w:spacing w:after="0"/>
              <w:rPr>
                <w:sz w:val="14"/>
                <w:szCs w:val="14"/>
                <w:color w:val="auto"/>
              </w:rPr>
            </w:pPr>
          </w:p>
        </w:tc>
        <w:tc>
          <w:tcPr>
            <w:tcW w:w="980" w:type="dxa"/>
            <w:vAlign w:val="bottom"/>
            <w:shd w:val="clear" w:color="auto" w:fill="DCDFED"/>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20" w:type="dxa"/>
            <w:vAlign w:val="bottom"/>
            <w:shd w:val="clear" w:color="auto" w:fill="DCDFED"/>
          </w:tcPr>
          <w:p>
            <w:pPr>
              <w:spacing w:after="0"/>
              <w:rPr>
                <w:sz w:val="20"/>
                <w:szCs w:val="20"/>
                <w:color w:val="auto"/>
              </w:rPr>
            </w:pPr>
          </w:p>
        </w:tc>
        <w:tc>
          <w:tcPr>
            <w:tcW w:w="3060" w:type="dxa"/>
            <w:vAlign w:val="bottom"/>
            <w:gridSpan w:val="2"/>
            <w:shd w:val="clear" w:color="auto" w:fill="DCDFED"/>
          </w:tcPr>
          <w:p>
            <w:pPr>
              <w:ind w:left="100"/>
              <w:spacing w:after="0"/>
              <w:rPr>
                <w:sz w:val="20"/>
                <w:szCs w:val="20"/>
                <w:color w:val="auto"/>
              </w:rPr>
            </w:pPr>
            <w:r>
              <w:rPr>
                <w:rFonts w:ascii="Arial" w:cs="Arial" w:eastAsia="Arial" w:hAnsi="Arial"/>
                <w:sz w:val="17"/>
                <w:szCs w:val="17"/>
                <w:color w:val="auto"/>
              </w:rPr>
              <w:t>direct)</w:t>
            </w:r>
          </w:p>
        </w:tc>
        <w:tc>
          <w:tcPr>
            <w:tcW w:w="320" w:type="dxa"/>
            <w:vAlign w:val="bottom"/>
            <w:shd w:val="clear" w:color="auto" w:fill="DCDFED"/>
          </w:tcPr>
          <w:p>
            <w:pPr>
              <w:spacing w:after="0"/>
              <w:rPr>
                <w:sz w:val="20"/>
                <w:szCs w:val="20"/>
                <w:color w:val="auto"/>
              </w:rPr>
            </w:pPr>
          </w:p>
        </w:tc>
        <w:tc>
          <w:tcPr>
            <w:tcW w:w="980" w:type="dxa"/>
            <w:vAlign w:val="bottom"/>
            <w:shd w:val="clear" w:color="auto" w:fill="DCDFED"/>
          </w:tcPr>
          <w:p>
            <w:pPr>
              <w:jc w:val="right"/>
              <w:ind w:right="15"/>
              <w:spacing w:after="0"/>
              <w:rPr>
                <w:sz w:val="20"/>
                <w:szCs w:val="20"/>
                <w:color w:val="auto"/>
              </w:rPr>
            </w:pPr>
            <w:r>
              <w:rPr>
                <w:rFonts w:ascii="Arial" w:cs="Arial" w:eastAsia="Arial" w:hAnsi="Arial"/>
                <w:sz w:val="17"/>
                <w:szCs w:val="17"/>
                <w:color w:val="auto"/>
              </w:rPr>
              <w:t>9.6</w:t>
            </w:r>
          </w:p>
        </w:tc>
        <w:tc>
          <w:tcPr>
            <w:tcW w:w="440" w:type="dxa"/>
            <w:vAlign w:val="bottom"/>
            <w:shd w:val="clear" w:color="auto" w:fill="DCDFED"/>
          </w:tcPr>
          <w:p>
            <w:pPr>
              <w:spacing w:after="0"/>
              <w:rPr>
                <w:sz w:val="20"/>
                <w:szCs w:val="20"/>
                <w:color w:val="auto"/>
              </w:rPr>
            </w:pPr>
          </w:p>
        </w:tc>
        <w:tc>
          <w:tcPr>
            <w:tcW w:w="960" w:type="dxa"/>
            <w:vAlign w:val="bottom"/>
            <w:shd w:val="clear" w:color="auto" w:fill="DCDFED"/>
          </w:tcPr>
          <w:p>
            <w:pPr>
              <w:jc w:val="right"/>
              <w:ind w:right="35"/>
              <w:spacing w:after="0"/>
              <w:rPr>
                <w:sz w:val="20"/>
                <w:szCs w:val="20"/>
                <w:color w:val="auto"/>
              </w:rPr>
            </w:pPr>
            <w:r>
              <w:rPr>
                <w:rFonts w:ascii="Arial" w:cs="Arial" w:eastAsia="Arial" w:hAnsi="Arial"/>
                <w:sz w:val="17"/>
                <w:szCs w:val="17"/>
                <w:color w:val="auto"/>
              </w:rPr>
              <w:t>2.1</w:t>
            </w:r>
          </w:p>
        </w:tc>
        <w:tc>
          <w:tcPr>
            <w:tcW w:w="180" w:type="dxa"/>
            <w:vAlign w:val="bottom"/>
            <w:shd w:val="clear" w:color="auto" w:fill="DCDFED"/>
          </w:tcPr>
          <w:p>
            <w:pPr>
              <w:spacing w:after="0"/>
              <w:rPr>
                <w:sz w:val="20"/>
                <w:szCs w:val="20"/>
                <w:color w:val="auto"/>
              </w:rPr>
            </w:pPr>
          </w:p>
        </w:tc>
        <w:tc>
          <w:tcPr>
            <w:tcW w:w="1180" w:type="dxa"/>
            <w:vAlign w:val="bottom"/>
            <w:shd w:val="clear" w:color="auto" w:fill="DCDFED"/>
          </w:tcPr>
          <w:p>
            <w:pPr>
              <w:jc w:val="right"/>
              <w:ind w:right="15"/>
              <w:spacing w:after="0"/>
              <w:rPr>
                <w:sz w:val="20"/>
                <w:szCs w:val="20"/>
                <w:color w:val="auto"/>
              </w:rPr>
            </w:pPr>
            <w:r>
              <w:rPr>
                <w:rFonts w:ascii="Arial" w:cs="Arial" w:eastAsia="Arial" w:hAnsi="Arial"/>
                <w:sz w:val="17"/>
                <w:szCs w:val="17"/>
                <w:color w:val="auto"/>
              </w:rPr>
              <w:t>1.8</w:t>
            </w:r>
          </w:p>
        </w:tc>
        <w:tc>
          <w:tcPr>
            <w:tcW w:w="320" w:type="dxa"/>
            <w:vAlign w:val="bottom"/>
            <w:shd w:val="clear" w:color="auto" w:fill="DCDFED"/>
          </w:tcPr>
          <w:p>
            <w:pPr>
              <w:spacing w:after="0"/>
              <w:rPr>
                <w:sz w:val="20"/>
                <w:szCs w:val="20"/>
                <w:color w:val="auto"/>
              </w:rPr>
            </w:pPr>
          </w:p>
        </w:tc>
        <w:tc>
          <w:tcPr>
            <w:tcW w:w="1060" w:type="dxa"/>
            <w:vAlign w:val="bottom"/>
            <w:shd w:val="clear" w:color="auto" w:fill="DCDFED"/>
          </w:tcPr>
          <w:p>
            <w:pPr>
              <w:jc w:val="right"/>
              <w:ind w:right="15"/>
              <w:spacing w:after="0"/>
              <w:rPr>
                <w:sz w:val="20"/>
                <w:szCs w:val="20"/>
                <w:color w:val="auto"/>
              </w:rPr>
            </w:pPr>
            <w:r>
              <w:rPr>
                <w:rFonts w:ascii="Arial" w:cs="Arial" w:eastAsia="Arial" w:hAnsi="Arial"/>
                <w:sz w:val="17"/>
                <w:szCs w:val="17"/>
                <w:color w:val="auto"/>
              </w:rPr>
              <w:t>1.2</w:t>
            </w:r>
          </w:p>
        </w:tc>
        <w:tc>
          <w:tcPr>
            <w:tcW w:w="280" w:type="dxa"/>
            <w:vAlign w:val="bottom"/>
            <w:shd w:val="clear" w:color="auto" w:fill="DCDFED"/>
          </w:tcPr>
          <w:p>
            <w:pPr>
              <w:spacing w:after="0"/>
              <w:rPr>
                <w:sz w:val="20"/>
                <w:szCs w:val="20"/>
                <w:color w:val="auto"/>
              </w:rPr>
            </w:pPr>
          </w:p>
        </w:tc>
        <w:tc>
          <w:tcPr>
            <w:tcW w:w="1160" w:type="dxa"/>
            <w:vAlign w:val="bottom"/>
            <w:shd w:val="clear" w:color="auto" w:fill="DCDFED"/>
          </w:tcPr>
          <w:p>
            <w:pPr>
              <w:jc w:val="right"/>
              <w:ind w:right="76"/>
              <w:spacing w:after="0"/>
              <w:rPr>
                <w:sz w:val="20"/>
                <w:szCs w:val="20"/>
                <w:color w:val="auto"/>
              </w:rPr>
            </w:pPr>
            <w:r>
              <w:rPr>
                <w:rFonts w:ascii="Arial" w:cs="Arial" w:eastAsia="Arial" w:hAnsi="Arial"/>
                <w:sz w:val="17"/>
                <w:szCs w:val="17"/>
                <w:color w:val="auto"/>
              </w:rPr>
              <w:t>5.3</w:t>
            </w:r>
          </w:p>
        </w:tc>
        <w:tc>
          <w:tcPr>
            <w:tcW w:w="300" w:type="dxa"/>
            <w:vAlign w:val="bottom"/>
            <w:shd w:val="clear" w:color="auto" w:fill="DCDFED"/>
          </w:tcPr>
          <w:p>
            <w:pPr>
              <w:spacing w:after="0"/>
              <w:rPr>
                <w:sz w:val="20"/>
                <w:szCs w:val="20"/>
                <w:color w:val="auto"/>
              </w:rPr>
            </w:pPr>
          </w:p>
        </w:tc>
        <w:tc>
          <w:tcPr>
            <w:tcW w:w="980" w:type="dxa"/>
            <w:vAlign w:val="bottom"/>
            <w:shd w:val="clear" w:color="auto" w:fill="DCDFED"/>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060" w:type="dxa"/>
            <w:vAlign w:val="bottom"/>
            <w:gridSpan w:val="2"/>
          </w:tcPr>
          <w:p>
            <w:pPr>
              <w:ind w:left="100"/>
              <w:spacing w:after="0"/>
              <w:rPr>
                <w:sz w:val="20"/>
                <w:szCs w:val="20"/>
                <w:color w:val="auto"/>
              </w:rPr>
            </w:pPr>
            <w:r>
              <w:rPr>
                <w:rFonts w:ascii="Arial" w:cs="Arial" w:eastAsia="Arial" w:hAnsi="Arial"/>
                <w:sz w:val="17"/>
                <w:szCs w:val="17"/>
                <w:color w:val="auto"/>
              </w:rPr>
              <w:t>Legal</w:t>
            </w:r>
          </w:p>
        </w:tc>
        <w:tc>
          <w:tcPr>
            <w:tcW w:w="320" w:type="dxa"/>
            <w:vAlign w:val="bottom"/>
          </w:tcPr>
          <w:p>
            <w:pPr>
              <w:spacing w:after="0"/>
              <w:rPr>
                <w:sz w:val="19"/>
                <w:szCs w:val="19"/>
                <w:color w:val="auto"/>
              </w:rPr>
            </w:pPr>
          </w:p>
        </w:tc>
        <w:tc>
          <w:tcPr>
            <w:tcW w:w="980" w:type="dxa"/>
            <w:vAlign w:val="bottom"/>
          </w:tcPr>
          <w:p>
            <w:pPr>
              <w:jc w:val="right"/>
              <w:ind w:right="15"/>
              <w:spacing w:after="0"/>
              <w:rPr>
                <w:sz w:val="20"/>
                <w:szCs w:val="20"/>
                <w:color w:val="auto"/>
              </w:rPr>
            </w:pPr>
            <w:r>
              <w:rPr>
                <w:rFonts w:ascii="Arial" w:cs="Arial" w:eastAsia="Arial" w:hAnsi="Arial"/>
                <w:sz w:val="17"/>
                <w:szCs w:val="17"/>
                <w:color w:val="auto"/>
              </w:rPr>
              <w:t>9.6</w:t>
            </w:r>
          </w:p>
        </w:tc>
        <w:tc>
          <w:tcPr>
            <w:tcW w:w="440" w:type="dxa"/>
            <w:vAlign w:val="bottom"/>
          </w:tcPr>
          <w:p>
            <w:pPr>
              <w:spacing w:after="0"/>
              <w:rPr>
                <w:sz w:val="19"/>
                <w:szCs w:val="19"/>
                <w:color w:val="auto"/>
              </w:rPr>
            </w:pPr>
          </w:p>
        </w:tc>
        <w:tc>
          <w:tcPr>
            <w:tcW w:w="960" w:type="dxa"/>
            <w:vAlign w:val="bottom"/>
          </w:tcPr>
          <w:p>
            <w:pPr>
              <w:jc w:val="right"/>
              <w:ind w:right="35"/>
              <w:spacing w:after="0"/>
              <w:rPr>
                <w:sz w:val="20"/>
                <w:szCs w:val="20"/>
                <w:color w:val="auto"/>
              </w:rPr>
            </w:pPr>
            <w:r>
              <w:rPr>
                <w:rFonts w:ascii="Arial" w:cs="Arial" w:eastAsia="Arial" w:hAnsi="Arial"/>
                <w:sz w:val="17"/>
                <w:szCs w:val="17"/>
                <w:color w:val="auto"/>
              </w:rPr>
              <w:t>1.5</w:t>
            </w:r>
          </w:p>
        </w:tc>
        <w:tc>
          <w:tcPr>
            <w:tcW w:w="180" w:type="dxa"/>
            <w:vAlign w:val="bottom"/>
          </w:tcPr>
          <w:p>
            <w:pPr>
              <w:spacing w:after="0"/>
              <w:rPr>
                <w:sz w:val="19"/>
                <w:szCs w:val="19"/>
                <w:color w:val="auto"/>
              </w:rPr>
            </w:pPr>
          </w:p>
        </w:tc>
        <w:tc>
          <w:tcPr>
            <w:tcW w:w="1180" w:type="dxa"/>
            <w:vAlign w:val="bottom"/>
          </w:tcPr>
          <w:p>
            <w:pPr>
              <w:jc w:val="right"/>
              <w:ind w:right="15"/>
              <w:spacing w:after="0"/>
              <w:rPr>
                <w:sz w:val="20"/>
                <w:szCs w:val="20"/>
                <w:color w:val="auto"/>
              </w:rPr>
            </w:pPr>
            <w:r>
              <w:rPr>
                <w:rFonts w:ascii="Arial" w:cs="Arial" w:eastAsia="Arial" w:hAnsi="Arial"/>
                <w:sz w:val="17"/>
                <w:szCs w:val="17"/>
                <w:color w:val="auto"/>
              </w:rPr>
              <w:t>2.1</w:t>
            </w:r>
          </w:p>
        </w:tc>
        <w:tc>
          <w:tcPr>
            <w:tcW w:w="320" w:type="dxa"/>
            <w:vAlign w:val="bottom"/>
          </w:tcPr>
          <w:p>
            <w:pPr>
              <w:spacing w:after="0"/>
              <w:rPr>
                <w:sz w:val="19"/>
                <w:szCs w:val="19"/>
                <w:color w:val="auto"/>
              </w:rPr>
            </w:pPr>
          </w:p>
        </w:tc>
        <w:tc>
          <w:tcPr>
            <w:tcW w:w="1060" w:type="dxa"/>
            <w:vAlign w:val="bottom"/>
          </w:tcPr>
          <w:p>
            <w:pPr>
              <w:jc w:val="right"/>
              <w:ind w:right="15"/>
              <w:spacing w:after="0"/>
              <w:rPr>
                <w:sz w:val="20"/>
                <w:szCs w:val="20"/>
                <w:color w:val="auto"/>
              </w:rPr>
            </w:pPr>
            <w:r>
              <w:rPr>
                <w:rFonts w:ascii="Arial" w:cs="Arial" w:eastAsia="Arial" w:hAnsi="Arial"/>
                <w:sz w:val="17"/>
                <w:szCs w:val="17"/>
                <w:color w:val="auto"/>
              </w:rPr>
              <w:t>0.8</w:t>
            </w:r>
          </w:p>
        </w:tc>
        <w:tc>
          <w:tcPr>
            <w:tcW w:w="280" w:type="dxa"/>
            <w:vAlign w:val="bottom"/>
          </w:tcPr>
          <w:p>
            <w:pPr>
              <w:spacing w:after="0"/>
              <w:rPr>
                <w:sz w:val="19"/>
                <w:szCs w:val="19"/>
                <w:color w:val="auto"/>
              </w:rPr>
            </w:pPr>
          </w:p>
        </w:tc>
        <w:tc>
          <w:tcPr>
            <w:tcW w:w="1160" w:type="dxa"/>
            <w:vAlign w:val="bottom"/>
          </w:tcPr>
          <w:p>
            <w:pPr>
              <w:jc w:val="right"/>
              <w:ind w:right="76"/>
              <w:spacing w:after="0"/>
              <w:rPr>
                <w:sz w:val="20"/>
                <w:szCs w:val="20"/>
                <w:color w:val="auto"/>
              </w:rPr>
            </w:pPr>
            <w:r>
              <w:rPr>
                <w:rFonts w:ascii="Arial" w:cs="Arial" w:eastAsia="Arial" w:hAnsi="Arial"/>
                <w:sz w:val="17"/>
                <w:szCs w:val="17"/>
                <w:color w:val="auto"/>
              </w:rPr>
              <w:t>0.9</w:t>
            </w: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21"/>
        </w:trPr>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88</w:t>
            </w: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6"/>
        </w:trPr>
        <w:tc>
          <w:tcPr>
            <w:tcW w:w="2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238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04" w:right="339" w:bottom="1440" w:gutter="0" w:footer="0" w:header="0"/>
        </w:sectPr>
      </w:pPr>
    </w:p>
    <w:bookmarkStart w:id="91" w:name="page92"/>
    <w:bookmarkEnd w:id="91"/>
    <w:tbl>
      <w:tblPr>
        <w:tblLayout w:type="fixed"/>
        <w:tblInd w:w="0" w:type="dxa"/>
        <w:tblCellMar>
          <w:top w:w="0" w:type="dxa"/>
          <w:left w:w="0" w:type="dxa"/>
          <w:bottom w:w="0" w:type="dxa"/>
          <w:right w:w="0" w:type="dxa"/>
        </w:tblCellMar>
      </w:tblPr>
      <w:tr>
        <w:trPr>
          <w:trHeight w:val="225"/>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580" w:type="dxa"/>
            <w:vAlign w:val="bottom"/>
            <w:tcBorders>
              <w:bottom w:val="single" w:sz="8" w:color="auto"/>
            </w:tcBorders>
            <w:gridSpan w:val="3"/>
          </w:tcPr>
          <w:p>
            <w:pPr>
              <w:jc w:val="right"/>
              <w:ind w:right="115"/>
              <w:spacing w:after="0"/>
              <w:rPr>
                <w:sz w:val="20"/>
                <w:szCs w:val="20"/>
                <w:color w:val="auto"/>
              </w:rPr>
            </w:pPr>
            <w:r>
              <w:rPr>
                <w:rFonts w:ascii="Arial" w:cs="Arial" w:eastAsia="Arial" w:hAnsi="Arial"/>
                <w:sz w:val="17"/>
                <w:szCs w:val="17"/>
                <w:b w:val="1"/>
                <w:bCs w:val="1"/>
                <w:color w:val="auto"/>
              </w:rPr>
              <w:t>Year Ended October 31, 2023</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8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w w:val="95"/>
              </w:rPr>
              <w:t>(in millions)</w:t>
            </w:r>
          </w:p>
        </w:tc>
        <w:tc>
          <w:tcPr>
            <w:tcW w:w="2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80" w:type="dxa"/>
            <w:vAlign w:val="bottom"/>
            <w:vMerge w:val="restart"/>
          </w:tcPr>
          <w:p>
            <w:pPr>
              <w:jc w:val="right"/>
              <w:ind w:right="435"/>
              <w:spacing w:after="0"/>
              <w:rPr>
                <w:sz w:val="20"/>
                <w:szCs w:val="20"/>
                <w:color w:val="auto"/>
              </w:rPr>
            </w:pPr>
            <w:r>
              <w:rPr>
                <w:rFonts w:ascii="Arial" w:cs="Arial" w:eastAsia="Arial" w:hAnsi="Arial"/>
                <w:sz w:val="15"/>
                <w:szCs w:val="15"/>
                <w:b w:val="1"/>
                <w:bCs w:val="1"/>
                <w:color w:val="auto"/>
              </w:rPr>
              <w:t>B&amp;I</w:t>
            </w:r>
          </w:p>
        </w:tc>
        <w:tc>
          <w:tcPr>
            <w:tcW w:w="420" w:type="dxa"/>
            <w:vAlign w:val="bottom"/>
          </w:tcPr>
          <w:p>
            <w:pPr>
              <w:spacing w:after="0"/>
              <w:rPr>
                <w:sz w:val="13"/>
                <w:szCs w:val="13"/>
                <w:color w:val="auto"/>
              </w:rPr>
            </w:pPr>
          </w:p>
        </w:tc>
        <w:tc>
          <w:tcPr>
            <w:tcW w:w="980" w:type="dxa"/>
            <w:vAlign w:val="bottom"/>
            <w:vMerge w:val="restart"/>
          </w:tcPr>
          <w:p>
            <w:pPr>
              <w:jc w:val="right"/>
              <w:ind w:right="415"/>
              <w:spacing w:after="0"/>
              <w:rPr>
                <w:sz w:val="20"/>
                <w:szCs w:val="20"/>
                <w:color w:val="auto"/>
              </w:rPr>
            </w:pPr>
            <w:r>
              <w:rPr>
                <w:rFonts w:ascii="Arial" w:cs="Arial" w:eastAsia="Arial" w:hAnsi="Arial"/>
                <w:sz w:val="15"/>
                <w:szCs w:val="15"/>
                <w:b w:val="1"/>
                <w:bCs w:val="1"/>
                <w:color w:val="auto"/>
              </w:rPr>
              <w:t>M&amp;D</w:t>
            </w:r>
          </w:p>
        </w:tc>
        <w:tc>
          <w:tcPr>
            <w:tcW w:w="180" w:type="dxa"/>
            <w:vAlign w:val="bottom"/>
          </w:tcPr>
          <w:p>
            <w:pPr>
              <w:spacing w:after="0"/>
              <w:rPr>
                <w:sz w:val="13"/>
                <w:szCs w:val="13"/>
                <w:color w:val="auto"/>
              </w:rPr>
            </w:pPr>
          </w:p>
        </w:tc>
        <w:tc>
          <w:tcPr>
            <w:tcW w:w="1200" w:type="dxa"/>
            <w:vAlign w:val="bottom"/>
            <w:vMerge w:val="restart"/>
          </w:tcPr>
          <w:p>
            <w:pPr>
              <w:jc w:val="right"/>
              <w:ind w:right="295"/>
              <w:spacing w:after="0"/>
              <w:rPr>
                <w:sz w:val="20"/>
                <w:szCs w:val="20"/>
                <w:color w:val="auto"/>
              </w:rPr>
            </w:pPr>
            <w:r>
              <w:rPr>
                <w:rFonts w:ascii="Arial" w:cs="Arial" w:eastAsia="Arial" w:hAnsi="Arial"/>
                <w:sz w:val="15"/>
                <w:szCs w:val="15"/>
                <w:b w:val="1"/>
                <w:bCs w:val="1"/>
                <w:color w:val="auto"/>
              </w:rPr>
              <w:t>Aviation</w:t>
            </w:r>
          </w:p>
        </w:tc>
        <w:tc>
          <w:tcPr>
            <w:tcW w:w="300" w:type="dxa"/>
            <w:vAlign w:val="bottom"/>
          </w:tcPr>
          <w:p>
            <w:pPr>
              <w:spacing w:after="0"/>
              <w:rPr>
                <w:sz w:val="13"/>
                <w:szCs w:val="13"/>
                <w:color w:val="auto"/>
              </w:rPr>
            </w:pPr>
          </w:p>
        </w:tc>
        <w:tc>
          <w:tcPr>
            <w:tcW w:w="1080" w:type="dxa"/>
            <w:vAlign w:val="bottom"/>
            <w:vMerge w:val="restart"/>
          </w:tcPr>
          <w:p>
            <w:pPr>
              <w:jc w:val="right"/>
              <w:ind w:right="215"/>
              <w:spacing w:after="0"/>
              <w:rPr>
                <w:sz w:val="20"/>
                <w:szCs w:val="20"/>
                <w:color w:val="auto"/>
              </w:rPr>
            </w:pPr>
            <w:r>
              <w:rPr>
                <w:rFonts w:ascii="Arial" w:cs="Arial" w:eastAsia="Arial" w:hAnsi="Arial"/>
                <w:sz w:val="15"/>
                <w:szCs w:val="15"/>
                <w:b w:val="1"/>
                <w:bCs w:val="1"/>
                <w:color w:val="auto"/>
              </w:rPr>
              <w:t>Education</w:t>
            </w:r>
          </w:p>
        </w:tc>
        <w:tc>
          <w:tcPr>
            <w:tcW w:w="300" w:type="dxa"/>
            <w:vAlign w:val="bottom"/>
          </w:tcPr>
          <w:p>
            <w:pPr>
              <w:spacing w:after="0"/>
              <w:rPr>
                <w:sz w:val="13"/>
                <w:szCs w:val="13"/>
                <w:color w:val="auto"/>
              </w:rPr>
            </w:pPr>
          </w:p>
        </w:tc>
        <w:tc>
          <w:tcPr>
            <w:tcW w:w="1180" w:type="dxa"/>
            <w:vAlign w:val="bottom"/>
          </w:tcPr>
          <w:p>
            <w:pPr>
              <w:jc w:val="right"/>
              <w:ind w:right="316"/>
              <w:spacing w:after="0" w:line="151" w:lineRule="exact"/>
              <w:rPr>
                <w:sz w:val="20"/>
                <w:szCs w:val="20"/>
                <w:color w:val="auto"/>
              </w:rPr>
            </w:pPr>
            <w:r>
              <w:rPr>
                <w:rFonts w:ascii="Arial" w:cs="Arial" w:eastAsia="Arial" w:hAnsi="Arial"/>
                <w:sz w:val="15"/>
                <w:szCs w:val="15"/>
                <w:b w:val="1"/>
                <w:bCs w:val="1"/>
                <w:color w:val="auto"/>
              </w:rPr>
              <w:t>Technical</w:t>
            </w:r>
          </w:p>
        </w:tc>
        <w:tc>
          <w:tcPr>
            <w:tcW w:w="260" w:type="dxa"/>
            <w:vAlign w:val="bottom"/>
          </w:tcPr>
          <w:p>
            <w:pPr>
              <w:spacing w:after="0"/>
              <w:rPr>
                <w:sz w:val="13"/>
                <w:szCs w:val="13"/>
                <w:color w:val="auto"/>
              </w:rPr>
            </w:pPr>
          </w:p>
        </w:tc>
        <w:tc>
          <w:tcPr>
            <w:tcW w:w="940" w:type="dxa"/>
            <w:vAlign w:val="bottom"/>
            <w:vMerge w:val="restart"/>
          </w:tcPr>
          <w:p>
            <w:pPr>
              <w:jc w:val="right"/>
              <w:ind w:right="335"/>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1"/>
                <w:szCs w:val="11"/>
                <w:color w:val="auto"/>
              </w:rPr>
            </w:pPr>
          </w:p>
        </w:tc>
        <w:tc>
          <w:tcPr>
            <w:tcW w:w="680" w:type="dxa"/>
            <w:vAlign w:val="bottom"/>
            <w:tcBorders>
              <w:bottom w:val="single" w:sz="8" w:color="auto"/>
            </w:tcBorders>
            <w:vMerge w:val="continue"/>
          </w:tcPr>
          <w:p>
            <w:pPr>
              <w:spacing w:after="0"/>
              <w:rPr>
                <w:sz w:val="11"/>
                <w:szCs w:val="11"/>
                <w:color w:val="auto"/>
              </w:rPr>
            </w:pPr>
          </w:p>
        </w:tc>
        <w:tc>
          <w:tcPr>
            <w:tcW w:w="2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80" w:type="dxa"/>
            <w:vAlign w:val="bottom"/>
            <w:vMerge w:val="continue"/>
          </w:tcPr>
          <w:p>
            <w:pPr>
              <w:spacing w:after="0"/>
              <w:rPr>
                <w:sz w:val="11"/>
                <w:szCs w:val="11"/>
                <w:color w:val="auto"/>
              </w:rPr>
            </w:pPr>
          </w:p>
        </w:tc>
        <w:tc>
          <w:tcPr>
            <w:tcW w:w="420" w:type="dxa"/>
            <w:vAlign w:val="bottom"/>
          </w:tcPr>
          <w:p>
            <w:pPr>
              <w:spacing w:after="0"/>
              <w:rPr>
                <w:sz w:val="11"/>
                <w:szCs w:val="11"/>
                <w:color w:val="auto"/>
              </w:rPr>
            </w:pPr>
          </w:p>
        </w:tc>
        <w:tc>
          <w:tcPr>
            <w:tcW w:w="98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108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1180" w:type="dxa"/>
            <w:vAlign w:val="bottom"/>
          </w:tcPr>
          <w:p>
            <w:pPr>
              <w:jc w:val="right"/>
              <w:ind w:right="316"/>
              <w:spacing w:after="0" w:line="131" w:lineRule="exact"/>
              <w:rPr>
                <w:sz w:val="20"/>
                <w:szCs w:val="20"/>
                <w:color w:val="auto"/>
              </w:rPr>
            </w:pPr>
            <w:r>
              <w:rPr>
                <w:rFonts w:ascii="Arial" w:cs="Arial" w:eastAsia="Arial" w:hAnsi="Arial"/>
                <w:sz w:val="15"/>
                <w:szCs w:val="15"/>
                <w:b w:val="1"/>
                <w:bCs w:val="1"/>
                <w:color w:val="auto"/>
              </w:rPr>
              <w:t>Solutions</w:t>
            </w:r>
          </w:p>
        </w:tc>
        <w:tc>
          <w:tcPr>
            <w:tcW w:w="26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3100" w:type="dxa"/>
            <w:vAlign w:val="bottom"/>
            <w:gridSpan w:val="3"/>
            <w:shd w:val="clear" w:color="auto" w:fill="DCDFED"/>
          </w:tcPr>
          <w:p>
            <w:pPr>
              <w:ind w:left="20"/>
              <w:spacing w:after="0"/>
              <w:rPr>
                <w:sz w:val="20"/>
                <w:szCs w:val="20"/>
                <w:color w:val="auto"/>
              </w:rPr>
            </w:pPr>
            <w:r>
              <w:rPr>
                <w:rFonts w:ascii="Arial" w:cs="Arial" w:eastAsia="Arial" w:hAnsi="Arial"/>
                <w:sz w:val="17"/>
                <w:szCs w:val="17"/>
                <w:b w:val="1"/>
                <w:bCs w:val="1"/>
                <w:color w:val="auto"/>
              </w:rPr>
              <w:t>Revenues</w:t>
            </w:r>
          </w:p>
        </w:tc>
        <w:tc>
          <w:tcPr>
            <w:tcW w:w="320" w:type="dxa"/>
            <w:vAlign w:val="bottom"/>
            <w:shd w:val="clear" w:color="auto" w:fill="DCDFED"/>
          </w:tcPr>
          <w:p>
            <w:pPr>
              <w:jc w:val="right"/>
              <w:ind w:right="134"/>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DCDFED"/>
          </w:tcPr>
          <w:p>
            <w:pPr>
              <w:jc w:val="right"/>
              <w:spacing w:after="0"/>
              <w:rPr>
                <w:sz w:val="20"/>
                <w:szCs w:val="20"/>
                <w:color w:val="auto"/>
              </w:rPr>
            </w:pPr>
            <w:r>
              <w:rPr>
                <w:rFonts w:ascii="Arial" w:cs="Arial" w:eastAsia="Arial" w:hAnsi="Arial"/>
                <w:sz w:val="17"/>
                <w:szCs w:val="17"/>
                <w:color w:val="auto"/>
              </w:rPr>
              <w:t>4,089.4</w:t>
            </w:r>
          </w:p>
        </w:tc>
        <w:tc>
          <w:tcPr>
            <w:tcW w:w="420" w:type="dxa"/>
            <w:vAlign w:val="bottom"/>
            <w:shd w:val="clear" w:color="auto" w:fill="DCDFED"/>
          </w:tcPr>
          <w:p>
            <w:pPr>
              <w:jc w:val="right"/>
              <w:ind w:right="154"/>
              <w:spacing w:after="0"/>
              <w:rPr>
                <w:sz w:val="20"/>
                <w:szCs w:val="20"/>
                <w:color w:val="auto"/>
              </w:rPr>
            </w:pPr>
            <w:r>
              <w:rPr>
                <w:rFonts w:ascii="Arial" w:cs="Arial" w:eastAsia="Arial" w:hAnsi="Arial"/>
                <w:sz w:val="17"/>
                <w:szCs w:val="17"/>
                <w:color w:val="auto"/>
              </w:rPr>
              <w:t>$</w:t>
            </w:r>
          </w:p>
        </w:tc>
        <w:tc>
          <w:tcPr>
            <w:tcW w:w="980" w:type="dxa"/>
            <w:vAlign w:val="bottom"/>
            <w:shd w:val="clear" w:color="auto" w:fill="DCDFED"/>
          </w:tcPr>
          <w:p>
            <w:pPr>
              <w:jc w:val="right"/>
              <w:ind w:right="15"/>
              <w:spacing w:after="0"/>
              <w:rPr>
                <w:sz w:val="20"/>
                <w:szCs w:val="20"/>
                <w:color w:val="auto"/>
              </w:rPr>
            </w:pPr>
            <w:r>
              <w:rPr>
                <w:rFonts w:ascii="Arial" w:cs="Arial" w:eastAsia="Arial" w:hAnsi="Arial"/>
                <w:sz w:val="17"/>
                <w:szCs w:val="17"/>
                <w:color w:val="auto"/>
              </w:rPr>
              <w:t>1,526.7</w:t>
            </w:r>
          </w:p>
        </w:tc>
        <w:tc>
          <w:tcPr>
            <w:tcW w:w="180" w:type="dxa"/>
            <w:vAlign w:val="bottom"/>
            <w:shd w:val="clear" w:color="auto" w:fill="DCDFED"/>
          </w:tcPr>
          <w:p>
            <w:pPr>
              <w:jc w:val="right"/>
              <w:spacing w:after="0"/>
              <w:rPr>
                <w:sz w:val="20"/>
                <w:szCs w:val="20"/>
                <w:color w:val="auto"/>
              </w:rPr>
            </w:pPr>
            <w:r>
              <w:rPr>
                <w:rFonts w:ascii="Arial" w:cs="Arial" w:eastAsia="Arial" w:hAnsi="Arial"/>
                <w:sz w:val="17"/>
                <w:szCs w:val="17"/>
                <w:color w:val="auto"/>
              </w:rPr>
              <w:t>$</w:t>
            </w:r>
          </w:p>
        </w:tc>
        <w:tc>
          <w:tcPr>
            <w:tcW w:w="1200" w:type="dxa"/>
            <w:vAlign w:val="bottom"/>
            <w:shd w:val="clear" w:color="auto" w:fill="DCDFED"/>
          </w:tcPr>
          <w:p>
            <w:pPr>
              <w:jc w:val="right"/>
              <w:ind w:right="15"/>
              <w:spacing w:after="0"/>
              <w:rPr>
                <w:sz w:val="20"/>
                <w:szCs w:val="20"/>
                <w:color w:val="auto"/>
              </w:rPr>
            </w:pPr>
            <w:r>
              <w:rPr>
                <w:rFonts w:ascii="Arial" w:cs="Arial" w:eastAsia="Arial" w:hAnsi="Arial"/>
                <w:sz w:val="17"/>
                <w:szCs w:val="17"/>
                <w:color w:val="auto"/>
              </w:rPr>
              <w:t>925.7</w:t>
            </w:r>
          </w:p>
        </w:tc>
        <w:tc>
          <w:tcPr>
            <w:tcW w:w="300" w:type="dxa"/>
            <w:vAlign w:val="bottom"/>
            <w:shd w:val="clear" w:color="auto" w:fill="DCDFED"/>
          </w:tcPr>
          <w:p>
            <w:pPr>
              <w:jc w:val="right"/>
              <w:ind w:right="34"/>
              <w:spacing w:after="0"/>
              <w:rPr>
                <w:sz w:val="20"/>
                <w:szCs w:val="20"/>
                <w:color w:val="auto"/>
              </w:rPr>
            </w:pPr>
            <w:r>
              <w:rPr>
                <w:rFonts w:ascii="Arial" w:cs="Arial" w:eastAsia="Arial" w:hAnsi="Arial"/>
                <w:sz w:val="17"/>
                <w:szCs w:val="17"/>
                <w:color w:val="auto"/>
              </w:rPr>
              <w:t>$</w:t>
            </w:r>
          </w:p>
        </w:tc>
        <w:tc>
          <w:tcPr>
            <w:tcW w:w="1080" w:type="dxa"/>
            <w:vAlign w:val="bottom"/>
            <w:shd w:val="clear" w:color="auto" w:fill="DCDFED"/>
          </w:tcPr>
          <w:p>
            <w:pPr>
              <w:jc w:val="right"/>
              <w:spacing w:after="0"/>
              <w:rPr>
                <w:sz w:val="20"/>
                <w:szCs w:val="20"/>
                <w:color w:val="auto"/>
              </w:rPr>
            </w:pPr>
            <w:r>
              <w:rPr>
                <w:rFonts w:ascii="Arial" w:cs="Arial" w:eastAsia="Arial" w:hAnsi="Arial"/>
                <w:sz w:val="17"/>
                <w:szCs w:val="17"/>
                <w:color w:val="auto"/>
              </w:rPr>
              <w:t>880.5</w:t>
            </w:r>
          </w:p>
        </w:tc>
        <w:tc>
          <w:tcPr>
            <w:tcW w:w="300" w:type="dxa"/>
            <w:vAlign w:val="bottom"/>
            <w:shd w:val="clear" w:color="auto" w:fill="DCDFED"/>
          </w:tcPr>
          <w:p>
            <w:pPr>
              <w:jc w:val="right"/>
              <w:ind w:right="14"/>
              <w:spacing w:after="0"/>
              <w:rPr>
                <w:sz w:val="20"/>
                <w:szCs w:val="20"/>
                <w:color w:val="auto"/>
              </w:rPr>
            </w:pPr>
            <w:r>
              <w:rPr>
                <w:rFonts w:ascii="Arial" w:cs="Arial" w:eastAsia="Arial" w:hAnsi="Arial"/>
                <w:sz w:val="17"/>
                <w:szCs w:val="17"/>
                <w:color w:val="auto"/>
              </w:rPr>
              <w:t>$</w:t>
            </w:r>
          </w:p>
        </w:tc>
        <w:tc>
          <w:tcPr>
            <w:tcW w:w="1180" w:type="dxa"/>
            <w:vAlign w:val="bottom"/>
            <w:shd w:val="clear" w:color="auto" w:fill="DCDFED"/>
          </w:tcPr>
          <w:p>
            <w:pPr>
              <w:jc w:val="right"/>
              <w:ind w:right="96"/>
              <w:spacing w:after="0"/>
              <w:rPr>
                <w:sz w:val="20"/>
                <w:szCs w:val="20"/>
                <w:color w:val="auto"/>
              </w:rPr>
            </w:pPr>
            <w:r>
              <w:rPr>
                <w:rFonts w:ascii="Arial" w:cs="Arial" w:eastAsia="Arial" w:hAnsi="Arial"/>
                <w:sz w:val="17"/>
                <w:szCs w:val="17"/>
                <w:color w:val="auto"/>
              </w:rPr>
              <w:t>674.2</w:t>
            </w:r>
          </w:p>
        </w:tc>
        <w:tc>
          <w:tcPr>
            <w:tcW w:w="260" w:type="dxa"/>
            <w:vAlign w:val="bottom"/>
            <w:shd w:val="clear" w:color="auto" w:fill="DCDFED"/>
          </w:tcPr>
          <w:p>
            <w:pPr>
              <w:jc w:val="right"/>
              <w:ind w:right="74"/>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DCDFED"/>
          </w:tcPr>
          <w:p>
            <w:pPr>
              <w:jc w:val="right"/>
              <w:spacing w:after="0"/>
              <w:rPr>
                <w:sz w:val="20"/>
                <w:szCs w:val="20"/>
                <w:color w:val="auto"/>
              </w:rPr>
            </w:pPr>
            <w:r>
              <w:rPr>
                <w:rFonts w:ascii="Arial" w:cs="Arial" w:eastAsia="Arial" w:hAnsi="Arial"/>
                <w:sz w:val="17"/>
                <w:szCs w:val="17"/>
                <w:color w:val="auto"/>
              </w:rPr>
              <w:t>8,096.4</w:t>
            </w:r>
          </w:p>
        </w:tc>
        <w:tc>
          <w:tcPr>
            <w:tcW w:w="0" w:type="dxa"/>
            <w:vAlign w:val="bottom"/>
          </w:tcPr>
          <w:p>
            <w:pPr>
              <w:spacing w:after="0"/>
              <w:rPr>
                <w:sz w:val="1"/>
                <w:szCs w:val="1"/>
                <w:color w:val="auto"/>
              </w:rPr>
            </w:pPr>
          </w:p>
        </w:tc>
      </w:tr>
      <w:tr>
        <w:trPr>
          <w:trHeight w:val="219"/>
        </w:trPr>
        <w:tc>
          <w:tcPr>
            <w:tcW w:w="3100" w:type="dxa"/>
            <w:vAlign w:val="bottom"/>
            <w:gridSpan w:val="3"/>
          </w:tcPr>
          <w:p>
            <w:pPr>
              <w:ind w:left="20"/>
              <w:spacing w:after="0"/>
              <w:rPr>
                <w:sz w:val="20"/>
                <w:szCs w:val="20"/>
                <w:color w:val="auto"/>
              </w:rPr>
            </w:pPr>
            <w:r>
              <w:rPr>
                <w:rFonts w:ascii="Arial" w:cs="Arial" w:eastAsia="Arial" w:hAnsi="Arial"/>
                <w:sz w:val="17"/>
                <w:szCs w:val="17"/>
                <w:b w:val="1"/>
                <w:bCs w:val="1"/>
                <w:color w:val="auto"/>
              </w:rPr>
              <w:t>Significant segment expenses</w:t>
            </w: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DCDFED"/>
          </w:tcPr>
          <w:p>
            <w:pPr>
              <w:spacing w:after="0"/>
              <w:rPr>
                <w:sz w:val="19"/>
                <w:szCs w:val="19"/>
                <w:color w:val="auto"/>
              </w:rPr>
            </w:pPr>
          </w:p>
        </w:tc>
        <w:tc>
          <w:tcPr>
            <w:tcW w:w="3080" w:type="dxa"/>
            <w:vAlign w:val="bottom"/>
            <w:gridSpan w:val="2"/>
            <w:shd w:val="clear" w:color="auto" w:fill="DCDFED"/>
          </w:tcPr>
          <w:p>
            <w:pPr>
              <w:ind w:left="100"/>
              <w:spacing w:after="0"/>
              <w:rPr>
                <w:sz w:val="20"/>
                <w:szCs w:val="20"/>
                <w:color w:val="auto"/>
              </w:rPr>
            </w:pPr>
            <w:r>
              <w:rPr>
                <w:rFonts w:ascii="Arial" w:cs="Arial" w:eastAsia="Arial" w:hAnsi="Arial"/>
                <w:sz w:val="17"/>
                <w:szCs w:val="17"/>
                <w:color w:val="auto"/>
              </w:rPr>
              <w:t>Direct labor</w:t>
            </w:r>
          </w:p>
        </w:tc>
        <w:tc>
          <w:tcPr>
            <w:tcW w:w="320" w:type="dxa"/>
            <w:vAlign w:val="bottom"/>
            <w:shd w:val="clear" w:color="auto" w:fill="DCDFED"/>
          </w:tcPr>
          <w:p>
            <w:pPr>
              <w:spacing w:after="0"/>
              <w:rPr>
                <w:sz w:val="19"/>
                <w:szCs w:val="19"/>
                <w:color w:val="auto"/>
              </w:rPr>
            </w:pPr>
          </w:p>
        </w:tc>
        <w:tc>
          <w:tcPr>
            <w:tcW w:w="980" w:type="dxa"/>
            <w:vAlign w:val="bottom"/>
            <w:shd w:val="clear" w:color="auto" w:fill="DCDFED"/>
          </w:tcPr>
          <w:p>
            <w:pPr>
              <w:jc w:val="right"/>
              <w:spacing w:after="0"/>
              <w:rPr>
                <w:sz w:val="20"/>
                <w:szCs w:val="20"/>
                <w:color w:val="auto"/>
              </w:rPr>
            </w:pPr>
            <w:r>
              <w:rPr>
                <w:rFonts w:ascii="Arial" w:cs="Arial" w:eastAsia="Arial" w:hAnsi="Arial"/>
                <w:sz w:val="17"/>
                <w:szCs w:val="17"/>
                <w:color w:val="auto"/>
              </w:rPr>
              <w:t>2,265.6</w:t>
            </w:r>
          </w:p>
        </w:tc>
        <w:tc>
          <w:tcPr>
            <w:tcW w:w="420" w:type="dxa"/>
            <w:vAlign w:val="bottom"/>
            <w:shd w:val="clear" w:color="auto" w:fill="DCDFED"/>
          </w:tcPr>
          <w:p>
            <w:pPr>
              <w:spacing w:after="0"/>
              <w:rPr>
                <w:sz w:val="19"/>
                <w:szCs w:val="19"/>
                <w:color w:val="auto"/>
              </w:rPr>
            </w:pPr>
          </w:p>
        </w:tc>
        <w:tc>
          <w:tcPr>
            <w:tcW w:w="980" w:type="dxa"/>
            <w:vAlign w:val="bottom"/>
            <w:shd w:val="clear" w:color="auto" w:fill="DCDFED"/>
          </w:tcPr>
          <w:p>
            <w:pPr>
              <w:jc w:val="right"/>
              <w:ind w:right="15"/>
              <w:spacing w:after="0"/>
              <w:rPr>
                <w:sz w:val="20"/>
                <w:szCs w:val="20"/>
                <w:color w:val="auto"/>
              </w:rPr>
            </w:pPr>
            <w:r>
              <w:rPr>
                <w:rFonts w:ascii="Arial" w:cs="Arial" w:eastAsia="Arial" w:hAnsi="Arial"/>
                <w:sz w:val="17"/>
                <w:szCs w:val="17"/>
                <w:color w:val="auto"/>
              </w:rPr>
              <w:t>995.4</w:t>
            </w:r>
          </w:p>
        </w:tc>
        <w:tc>
          <w:tcPr>
            <w:tcW w:w="180" w:type="dxa"/>
            <w:vAlign w:val="bottom"/>
            <w:shd w:val="clear" w:color="auto" w:fill="DCDFED"/>
          </w:tcPr>
          <w:p>
            <w:pPr>
              <w:spacing w:after="0"/>
              <w:rPr>
                <w:sz w:val="19"/>
                <w:szCs w:val="19"/>
                <w:color w:val="auto"/>
              </w:rPr>
            </w:pPr>
          </w:p>
        </w:tc>
        <w:tc>
          <w:tcPr>
            <w:tcW w:w="1200" w:type="dxa"/>
            <w:vAlign w:val="bottom"/>
            <w:shd w:val="clear" w:color="auto" w:fill="DCDFED"/>
          </w:tcPr>
          <w:p>
            <w:pPr>
              <w:jc w:val="right"/>
              <w:ind w:right="15"/>
              <w:spacing w:after="0"/>
              <w:rPr>
                <w:sz w:val="20"/>
                <w:szCs w:val="20"/>
                <w:color w:val="auto"/>
              </w:rPr>
            </w:pPr>
            <w:r>
              <w:rPr>
                <w:rFonts w:ascii="Arial" w:cs="Arial" w:eastAsia="Arial" w:hAnsi="Arial"/>
                <w:sz w:val="17"/>
                <w:szCs w:val="17"/>
                <w:color w:val="auto"/>
              </w:rPr>
              <w:t>536.2</w:t>
            </w:r>
          </w:p>
        </w:tc>
        <w:tc>
          <w:tcPr>
            <w:tcW w:w="300" w:type="dxa"/>
            <w:vAlign w:val="bottom"/>
            <w:shd w:val="clear" w:color="auto" w:fill="DCDFED"/>
          </w:tcPr>
          <w:p>
            <w:pPr>
              <w:spacing w:after="0"/>
              <w:rPr>
                <w:sz w:val="19"/>
                <w:szCs w:val="19"/>
                <w:color w:val="auto"/>
              </w:rPr>
            </w:pPr>
          </w:p>
        </w:tc>
        <w:tc>
          <w:tcPr>
            <w:tcW w:w="1080" w:type="dxa"/>
            <w:vAlign w:val="bottom"/>
            <w:shd w:val="clear" w:color="auto" w:fill="DCDFED"/>
          </w:tcPr>
          <w:p>
            <w:pPr>
              <w:jc w:val="right"/>
              <w:spacing w:after="0"/>
              <w:rPr>
                <w:sz w:val="20"/>
                <w:szCs w:val="20"/>
                <w:color w:val="auto"/>
              </w:rPr>
            </w:pPr>
            <w:r>
              <w:rPr>
                <w:rFonts w:ascii="Arial" w:cs="Arial" w:eastAsia="Arial" w:hAnsi="Arial"/>
                <w:sz w:val="17"/>
                <w:szCs w:val="17"/>
                <w:color w:val="auto"/>
              </w:rPr>
              <w:t>590.5</w:t>
            </w:r>
          </w:p>
        </w:tc>
        <w:tc>
          <w:tcPr>
            <w:tcW w:w="300" w:type="dxa"/>
            <w:vAlign w:val="bottom"/>
            <w:shd w:val="clear" w:color="auto" w:fill="DCDFED"/>
          </w:tcPr>
          <w:p>
            <w:pPr>
              <w:spacing w:after="0"/>
              <w:rPr>
                <w:sz w:val="19"/>
                <w:szCs w:val="19"/>
                <w:color w:val="auto"/>
              </w:rPr>
            </w:pPr>
          </w:p>
        </w:tc>
        <w:tc>
          <w:tcPr>
            <w:tcW w:w="1180" w:type="dxa"/>
            <w:vAlign w:val="bottom"/>
            <w:shd w:val="clear" w:color="auto" w:fill="DCDFED"/>
          </w:tcPr>
          <w:p>
            <w:pPr>
              <w:jc w:val="right"/>
              <w:ind w:right="96"/>
              <w:spacing w:after="0"/>
              <w:rPr>
                <w:sz w:val="20"/>
                <w:szCs w:val="20"/>
                <w:color w:val="auto"/>
              </w:rPr>
            </w:pPr>
            <w:r>
              <w:rPr>
                <w:rFonts w:ascii="Arial" w:cs="Arial" w:eastAsia="Arial" w:hAnsi="Arial"/>
                <w:sz w:val="17"/>
                <w:szCs w:val="17"/>
                <w:color w:val="auto"/>
              </w:rPr>
              <w:t>250.6</w:t>
            </w:r>
          </w:p>
        </w:tc>
        <w:tc>
          <w:tcPr>
            <w:tcW w:w="260" w:type="dxa"/>
            <w:vAlign w:val="bottom"/>
            <w:shd w:val="clear" w:color="auto" w:fill="DCDFED"/>
          </w:tcPr>
          <w:p>
            <w:pPr>
              <w:spacing w:after="0"/>
              <w:rPr>
                <w:sz w:val="19"/>
                <w:szCs w:val="19"/>
                <w:color w:val="auto"/>
              </w:rPr>
            </w:pPr>
          </w:p>
        </w:tc>
        <w:tc>
          <w:tcPr>
            <w:tcW w:w="940" w:type="dxa"/>
            <w:vAlign w:val="bottom"/>
            <w:shd w:val="clear" w:color="auto" w:fill="DCDFED"/>
          </w:tcPr>
          <w:p>
            <w:pPr>
              <w:jc w:val="right"/>
              <w:spacing w:after="0"/>
              <w:rPr>
                <w:sz w:val="20"/>
                <w:szCs w:val="20"/>
                <w:color w:val="auto"/>
              </w:rPr>
            </w:pPr>
            <w:r>
              <w:rPr>
                <w:rFonts w:ascii="Arial" w:cs="Arial" w:eastAsia="Arial" w:hAnsi="Arial"/>
                <w:sz w:val="17"/>
                <w:szCs w:val="17"/>
                <w:color w:val="auto"/>
              </w:rPr>
              <w:t>4,638.2</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080" w:type="dxa"/>
            <w:vAlign w:val="bottom"/>
            <w:gridSpan w:val="2"/>
          </w:tcPr>
          <w:p>
            <w:pPr>
              <w:ind w:left="100"/>
              <w:spacing w:after="0"/>
              <w:rPr>
                <w:sz w:val="20"/>
                <w:szCs w:val="20"/>
                <w:color w:val="auto"/>
              </w:rPr>
            </w:pPr>
            <w:r>
              <w:rPr>
                <w:rFonts w:ascii="Arial" w:cs="Arial" w:eastAsia="Arial" w:hAnsi="Arial"/>
                <w:sz w:val="17"/>
                <w:szCs w:val="17"/>
                <w:color w:val="auto"/>
              </w:rPr>
              <w:t>Indirect costs</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135.0</w:t>
            </w:r>
          </w:p>
        </w:tc>
        <w:tc>
          <w:tcPr>
            <w:tcW w:w="420" w:type="dxa"/>
            <w:vAlign w:val="bottom"/>
          </w:tcPr>
          <w:p>
            <w:pPr>
              <w:spacing w:after="0"/>
              <w:rPr>
                <w:sz w:val="19"/>
                <w:szCs w:val="19"/>
                <w:color w:val="auto"/>
              </w:rPr>
            </w:pPr>
          </w:p>
        </w:tc>
        <w:tc>
          <w:tcPr>
            <w:tcW w:w="980" w:type="dxa"/>
            <w:vAlign w:val="bottom"/>
          </w:tcPr>
          <w:p>
            <w:pPr>
              <w:jc w:val="right"/>
              <w:ind w:right="15"/>
              <w:spacing w:after="0"/>
              <w:rPr>
                <w:sz w:val="20"/>
                <w:szCs w:val="20"/>
                <w:color w:val="auto"/>
              </w:rPr>
            </w:pPr>
            <w:r>
              <w:rPr>
                <w:rFonts w:ascii="Arial" w:cs="Arial" w:eastAsia="Arial" w:hAnsi="Arial"/>
                <w:sz w:val="17"/>
                <w:szCs w:val="17"/>
                <w:color w:val="auto"/>
              </w:rPr>
              <w:t>19.0</w:t>
            </w:r>
          </w:p>
        </w:tc>
        <w:tc>
          <w:tcPr>
            <w:tcW w:w="180" w:type="dxa"/>
            <w:vAlign w:val="bottom"/>
          </w:tcPr>
          <w:p>
            <w:pPr>
              <w:spacing w:after="0"/>
              <w:rPr>
                <w:sz w:val="19"/>
                <w:szCs w:val="19"/>
                <w:color w:val="auto"/>
              </w:rPr>
            </w:pPr>
          </w:p>
        </w:tc>
        <w:tc>
          <w:tcPr>
            <w:tcW w:w="1200" w:type="dxa"/>
            <w:vAlign w:val="bottom"/>
          </w:tcPr>
          <w:p>
            <w:pPr>
              <w:jc w:val="right"/>
              <w:ind w:right="15"/>
              <w:spacing w:after="0"/>
              <w:rPr>
                <w:sz w:val="20"/>
                <w:szCs w:val="20"/>
                <w:color w:val="auto"/>
              </w:rPr>
            </w:pPr>
            <w:r>
              <w:rPr>
                <w:rFonts w:ascii="Arial" w:cs="Arial" w:eastAsia="Arial" w:hAnsi="Arial"/>
                <w:sz w:val="17"/>
                <w:szCs w:val="17"/>
                <w:color w:val="auto"/>
              </w:rPr>
              <w:t>15.8</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19.8</w:t>
            </w:r>
          </w:p>
        </w:tc>
        <w:tc>
          <w:tcPr>
            <w:tcW w:w="300" w:type="dxa"/>
            <w:vAlign w:val="bottom"/>
          </w:tcPr>
          <w:p>
            <w:pPr>
              <w:spacing w:after="0"/>
              <w:rPr>
                <w:sz w:val="19"/>
                <w:szCs w:val="19"/>
                <w:color w:val="auto"/>
              </w:rPr>
            </w:pPr>
          </w:p>
        </w:tc>
        <w:tc>
          <w:tcPr>
            <w:tcW w:w="1180" w:type="dxa"/>
            <w:vAlign w:val="bottom"/>
          </w:tcPr>
          <w:p>
            <w:pPr>
              <w:jc w:val="right"/>
              <w:ind w:right="96"/>
              <w:spacing w:after="0"/>
              <w:rPr>
                <w:sz w:val="20"/>
                <w:szCs w:val="20"/>
                <w:color w:val="auto"/>
              </w:rPr>
            </w:pPr>
            <w:r>
              <w:rPr>
                <w:rFonts w:ascii="Arial" w:cs="Arial" w:eastAsia="Arial" w:hAnsi="Arial"/>
                <w:sz w:val="17"/>
                <w:szCs w:val="17"/>
                <w:color w:val="auto"/>
              </w:rPr>
              <w:t>61.3</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250.9</w:t>
            </w:r>
          </w:p>
        </w:tc>
        <w:tc>
          <w:tcPr>
            <w:tcW w:w="0" w:type="dxa"/>
            <w:vAlign w:val="bottom"/>
          </w:tcPr>
          <w:p>
            <w:pPr>
              <w:spacing w:after="0"/>
              <w:rPr>
                <w:sz w:val="1"/>
                <w:szCs w:val="1"/>
                <w:color w:val="auto"/>
              </w:rPr>
            </w:pPr>
          </w:p>
        </w:tc>
      </w:tr>
      <w:tr>
        <w:trPr>
          <w:trHeight w:val="219"/>
        </w:trPr>
        <w:tc>
          <w:tcPr>
            <w:tcW w:w="20" w:type="dxa"/>
            <w:vAlign w:val="bottom"/>
            <w:shd w:val="clear" w:color="auto" w:fill="DCDFED"/>
          </w:tcPr>
          <w:p>
            <w:pPr>
              <w:spacing w:after="0"/>
              <w:rPr>
                <w:sz w:val="19"/>
                <w:szCs w:val="19"/>
                <w:color w:val="auto"/>
              </w:rPr>
            </w:pPr>
          </w:p>
        </w:tc>
        <w:tc>
          <w:tcPr>
            <w:tcW w:w="3080" w:type="dxa"/>
            <w:vAlign w:val="bottom"/>
            <w:gridSpan w:val="2"/>
            <w:shd w:val="clear" w:color="auto" w:fill="DCDFED"/>
          </w:tcPr>
          <w:p>
            <w:pPr>
              <w:ind w:left="100"/>
              <w:spacing w:after="0"/>
              <w:rPr>
                <w:sz w:val="20"/>
                <w:szCs w:val="20"/>
                <w:color w:val="auto"/>
              </w:rPr>
            </w:pPr>
            <w:r>
              <w:rPr>
                <w:rFonts w:ascii="Arial" w:cs="Arial" w:eastAsia="Arial" w:hAnsi="Arial"/>
                <w:sz w:val="17"/>
                <w:szCs w:val="17"/>
                <w:color w:val="auto"/>
              </w:rPr>
              <w:t>General and administrative</w:t>
            </w:r>
          </w:p>
        </w:tc>
        <w:tc>
          <w:tcPr>
            <w:tcW w:w="320" w:type="dxa"/>
            <w:vAlign w:val="bottom"/>
            <w:shd w:val="clear" w:color="auto" w:fill="DCDFED"/>
          </w:tcPr>
          <w:p>
            <w:pPr>
              <w:spacing w:after="0"/>
              <w:rPr>
                <w:sz w:val="19"/>
                <w:szCs w:val="19"/>
                <w:color w:val="auto"/>
              </w:rPr>
            </w:pPr>
          </w:p>
        </w:tc>
        <w:tc>
          <w:tcPr>
            <w:tcW w:w="980" w:type="dxa"/>
            <w:vAlign w:val="bottom"/>
            <w:shd w:val="clear" w:color="auto" w:fill="DCDFED"/>
          </w:tcPr>
          <w:p>
            <w:pPr>
              <w:jc w:val="right"/>
              <w:spacing w:after="0"/>
              <w:rPr>
                <w:sz w:val="20"/>
                <w:szCs w:val="20"/>
                <w:color w:val="auto"/>
              </w:rPr>
            </w:pPr>
            <w:r>
              <w:rPr>
                <w:rFonts w:ascii="Arial" w:cs="Arial" w:eastAsia="Arial" w:hAnsi="Arial"/>
                <w:sz w:val="17"/>
                <w:szCs w:val="17"/>
                <w:color w:val="auto"/>
              </w:rPr>
              <w:t>91.0</w:t>
            </w:r>
          </w:p>
        </w:tc>
        <w:tc>
          <w:tcPr>
            <w:tcW w:w="420" w:type="dxa"/>
            <w:vAlign w:val="bottom"/>
            <w:shd w:val="clear" w:color="auto" w:fill="DCDFED"/>
          </w:tcPr>
          <w:p>
            <w:pPr>
              <w:spacing w:after="0"/>
              <w:rPr>
                <w:sz w:val="19"/>
                <w:szCs w:val="19"/>
                <w:color w:val="auto"/>
              </w:rPr>
            </w:pPr>
          </w:p>
        </w:tc>
        <w:tc>
          <w:tcPr>
            <w:tcW w:w="980" w:type="dxa"/>
            <w:vAlign w:val="bottom"/>
            <w:shd w:val="clear" w:color="auto" w:fill="DCDFED"/>
          </w:tcPr>
          <w:p>
            <w:pPr>
              <w:jc w:val="right"/>
              <w:ind w:right="15"/>
              <w:spacing w:after="0"/>
              <w:rPr>
                <w:sz w:val="20"/>
                <w:szCs w:val="20"/>
                <w:color w:val="auto"/>
              </w:rPr>
            </w:pPr>
            <w:r>
              <w:rPr>
                <w:rFonts w:ascii="Arial" w:cs="Arial" w:eastAsia="Arial" w:hAnsi="Arial"/>
                <w:sz w:val="17"/>
                <w:szCs w:val="17"/>
                <w:color w:val="auto"/>
              </w:rPr>
              <w:t>47.3</w:t>
            </w:r>
          </w:p>
        </w:tc>
        <w:tc>
          <w:tcPr>
            <w:tcW w:w="180" w:type="dxa"/>
            <w:vAlign w:val="bottom"/>
            <w:shd w:val="clear" w:color="auto" w:fill="DCDFED"/>
          </w:tcPr>
          <w:p>
            <w:pPr>
              <w:spacing w:after="0"/>
              <w:rPr>
                <w:sz w:val="19"/>
                <w:szCs w:val="19"/>
                <w:color w:val="auto"/>
              </w:rPr>
            </w:pPr>
          </w:p>
        </w:tc>
        <w:tc>
          <w:tcPr>
            <w:tcW w:w="1200" w:type="dxa"/>
            <w:vAlign w:val="bottom"/>
            <w:shd w:val="clear" w:color="auto" w:fill="DCDFED"/>
          </w:tcPr>
          <w:p>
            <w:pPr>
              <w:jc w:val="right"/>
              <w:ind w:right="15"/>
              <w:spacing w:after="0"/>
              <w:rPr>
                <w:sz w:val="20"/>
                <w:szCs w:val="20"/>
                <w:color w:val="auto"/>
              </w:rPr>
            </w:pPr>
            <w:r>
              <w:rPr>
                <w:rFonts w:ascii="Arial" w:cs="Arial" w:eastAsia="Arial" w:hAnsi="Arial"/>
                <w:sz w:val="17"/>
                <w:szCs w:val="17"/>
                <w:color w:val="auto"/>
              </w:rPr>
              <w:t>38.9</w:t>
            </w:r>
          </w:p>
        </w:tc>
        <w:tc>
          <w:tcPr>
            <w:tcW w:w="300" w:type="dxa"/>
            <w:vAlign w:val="bottom"/>
            <w:shd w:val="clear" w:color="auto" w:fill="DCDFED"/>
          </w:tcPr>
          <w:p>
            <w:pPr>
              <w:spacing w:after="0"/>
              <w:rPr>
                <w:sz w:val="19"/>
                <w:szCs w:val="19"/>
                <w:color w:val="auto"/>
              </w:rPr>
            </w:pPr>
          </w:p>
        </w:tc>
        <w:tc>
          <w:tcPr>
            <w:tcW w:w="1080" w:type="dxa"/>
            <w:vAlign w:val="bottom"/>
            <w:shd w:val="clear" w:color="auto" w:fill="DCDFED"/>
          </w:tcPr>
          <w:p>
            <w:pPr>
              <w:jc w:val="right"/>
              <w:spacing w:after="0"/>
              <w:rPr>
                <w:sz w:val="20"/>
                <w:szCs w:val="20"/>
                <w:color w:val="auto"/>
              </w:rPr>
            </w:pPr>
            <w:r>
              <w:rPr>
                <w:rFonts w:ascii="Arial" w:cs="Arial" w:eastAsia="Arial" w:hAnsi="Arial"/>
                <w:sz w:val="17"/>
                <w:szCs w:val="17"/>
                <w:color w:val="auto"/>
              </w:rPr>
              <w:t>11.0</w:t>
            </w:r>
          </w:p>
        </w:tc>
        <w:tc>
          <w:tcPr>
            <w:tcW w:w="300" w:type="dxa"/>
            <w:vAlign w:val="bottom"/>
            <w:shd w:val="clear" w:color="auto" w:fill="DCDFED"/>
          </w:tcPr>
          <w:p>
            <w:pPr>
              <w:spacing w:after="0"/>
              <w:rPr>
                <w:sz w:val="19"/>
                <w:szCs w:val="19"/>
                <w:color w:val="auto"/>
              </w:rPr>
            </w:pPr>
          </w:p>
        </w:tc>
        <w:tc>
          <w:tcPr>
            <w:tcW w:w="1180" w:type="dxa"/>
            <w:vAlign w:val="bottom"/>
            <w:shd w:val="clear" w:color="auto" w:fill="DCDFED"/>
          </w:tcPr>
          <w:p>
            <w:pPr>
              <w:jc w:val="right"/>
              <w:ind w:right="96"/>
              <w:spacing w:after="0"/>
              <w:rPr>
                <w:sz w:val="20"/>
                <w:szCs w:val="20"/>
                <w:color w:val="auto"/>
              </w:rPr>
            </w:pPr>
            <w:r>
              <w:rPr>
                <w:rFonts w:ascii="Arial" w:cs="Arial" w:eastAsia="Arial" w:hAnsi="Arial"/>
                <w:sz w:val="17"/>
                <w:szCs w:val="17"/>
                <w:color w:val="auto"/>
              </w:rPr>
              <w:t>51.4</w:t>
            </w:r>
          </w:p>
        </w:tc>
        <w:tc>
          <w:tcPr>
            <w:tcW w:w="260" w:type="dxa"/>
            <w:vAlign w:val="bottom"/>
            <w:shd w:val="clear" w:color="auto" w:fill="DCDFED"/>
          </w:tcPr>
          <w:p>
            <w:pPr>
              <w:spacing w:after="0"/>
              <w:rPr>
                <w:sz w:val="19"/>
                <w:szCs w:val="19"/>
                <w:color w:val="auto"/>
              </w:rPr>
            </w:pPr>
          </w:p>
        </w:tc>
        <w:tc>
          <w:tcPr>
            <w:tcW w:w="940" w:type="dxa"/>
            <w:vAlign w:val="bottom"/>
            <w:shd w:val="clear" w:color="auto" w:fill="DCDFED"/>
          </w:tcPr>
          <w:p>
            <w:pPr>
              <w:jc w:val="right"/>
              <w:spacing w:after="0"/>
              <w:rPr>
                <w:sz w:val="20"/>
                <w:szCs w:val="20"/>
                <w:color w:val="auto"/>
              </w:rPr>
            </w:pPr>
            <w:r>
              <w:rPr>
                <w:rFonts w:ascii="Arial" w:cs="Arial" w:eastAsia="Arial" w:hAnsi="Arial"/>
                <w:sz w:val="17"/>
                <w:szCs w:val="17"/>
                <w:color w:val="auto"/>
              </w:rPr>
              <w:t>239.6</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080" w:type="dxa"/>
            <w:vAlign w:val="bottom"/>
            <w:gridSpan w:val="2"/>
          </w:tcPr>
          <w:p>
            <w:pPr>
              <w:ind w:left="100"/>
              <w:spacing w:after="0"/>
              <w:rPr>
                <w:sz w:val="20"/>
                <w:szCs w:val="20"/>
                <w:color w:val="auto"/>
              </w:rPr>
            </w:pPr>
            <w:r>
              <w:rPr>
                <w:rFonts w:ascii="Arial" w:cs="Arial" w:eastAsia="Arial" w:hAnsi="Arial"/>
                <w:sz w:val="17"/>
                <w:szCs w:val="17"/>
                <w:color w:val="auto"/>
              </w:rPr>
              <w:t>Selling</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32.5</w:t>
            </w:r>
          </w:p>
        </w:tc>
        <w:tc>
          <w:tcPr>
            <w:tcW w:w="420" w:type="dxa"/>
            <w:vAlign w:val="bottom"/>
          </w:tcPr>
          <w:p>
            <w:pPr>
              <w:spacing w:after="0"/>
              <w:rPr>
                <w:sz w:val="19"/>
                <w:szCs w:val="19"/>
                <w:color w:val="auto"/>
              </w:rPr>
            </w:pPr>
          </w:p>
        </w:tc>
        <w:tc>
          <w:tcPr>
            <w:tcW w:w="980" w:type="dxa"/>
            <w:vAlign w:val="bottom"/>
          </w:tcPr>
          <w:p>
            <w:pPr>
              <w:jc w:val="right"/>
              <w:ind w:right="15"/>
              <w:spacing w:after="0"/>
              <w:rPr>
                <w:sz w:val="20"/>
                <w:szCs w:val="20"/>
                <w:color w:val="auto"/>
              </w:rPr>
            </w:pPr>
            <w:r>
              <w:rPr>
                <w:rFonts w:ascii="Arial" w:cs="Arial" w:eastAsia="Arial" w:hAnsi="Arial"/>
                <w:sz w:val="17"/>
                <w:szCs w:val="17"/>
                <w:color w:val="auto"/>
              </w:rPr>
              <w:t>5.7</w:t>
            </w:r>
          </w:p>
        </w:tc>
        <w:tc>
          <w:tcPr>
            <w:tcW w:w="180" w:type="dxa"/>
            <w:vAlign w:val="bottom"/>
          </w:tcPr>
          <w:p>
            <w:pPr>
              <w:spacing w:after="0"/>
              <w:rPr>
                <w:sz w:val="19"/>
                <w:szCs w:val="19"/>
                <w:color w:val="auto"/>
              </w:rPr>
            </w:pPr>
          </w:p>
        </w:tc>
        <w:tc>
          <w:tcPr>
            <w:tcW w:w="1200" w:type="dxa"/>
            <w:vAlign w:val="bottom"/>
          </w:tcPr>
          <w:p>
            <w:pPr>
              <w:jc w:val="right"/>
              <w:ind w:right="15"/>
              <w:spacing w:after="0"/>
              <w:rPr>
                <w:sz w:val="20"/>
                <w:szCs w:val="20"/>
                <w:color w:val="auto"/>
              </w:rPr>
            </w:pPr>
            <w:r>
              <w:rPr>
                <w:rFonts w:ascii="Arial" w:cs="Arial" w:eastAsia="Arial" w:hAnsi="Arial"/>
                <w:sz w:val="17"/>
                <w:szCs w:val="17"/>
                <w:color w:val="auto"/>
              </w:rPr>
              <w:t>0.7</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2.9</w:t>
            </w:r>
          </w:p>
        </w:tc>
        <w:tc>
          <w:tcPr>
            <w:tcW w:w="300" w:type="dxa"/>
            <w:vAlign w:val="bottom"/>
          </w:tcPr>
          <w:p>
            <w:pPr>
              <w:spacing w:after="0"/>
              <w:rPr>
                <w:sz w:val="19"/>
                <w:szCs w:val="19"/>
                <w:color w:val="auto"/>
              </w:rPr>
            </w:pPr>
          </w:p>
        </w:tc>
        <w:tc>
          <w:tcPr>
            <w:tcW w:w="1180" w:type="dxa"/>
            <w:vAlign w:val="bottom"/>
          </w:tcPr>
          <w:p>
            <w:pPr>
              <w:jc w:val="right"/>
              <w:ind w:right="96"/>
              <w:spacing w:after="0"/>
              <w:rPr>
                <w:sz w:val="20"/>
                <w:szCs w:val="20"/>
                <w:color w:val="auto"/>
              </w:rPr>
            </w:pPr>
            <w:r>
              <w:rPr>
                <w:rFonts w:ascii="Arial" w:cs="Arial" w:eastAsia="Arial" w:hAnsi="Arial"/>
                <w:sz w:val="17"/>
                <w:szCs w:val="17"/>
                <w:color w:val="auto"/>
              </w:rPr>
              <w:t>49.7</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91.4</w:t>
            </w:r>
          </w:p>
        </w:tc>
        <w:tc>
          <w:tcPr>
            <w:tcW w:w="0" w:type="dxa"/>
            <w:vAlign w:val="bottom"/>
          </w:tcPr>
          <w:p>
            <w:pPr>
              <w:spacing w:after="0"/>
              <w:rPr>
                <w:sz w:val="1"/>
                <w:szCs w:val="1"/>
                <w:color w:val="auto"/>
              </w:rPr>
            </w:pPr>
          </w:p>
        </w:tc>
      </w:tr>
      <w:tr>
        <w:trPr>
          <w:trHeight w:val="219"/>
        </w:trPr>
        <w:tc>
          <w:tcPr>
            <w:tcW w:w="20" w:type="dxa"/>
            <w:vAlign w:val="bottom"/>
            <w:shd w:val="clear" w:color="auto" w:fill="DCDFED"/>
          </w:tcPr>
          <w:p>
            <w:pPr>
              <w:spacing w:after="0"/>
              <w:rPr>
                <w:sz w:val="19"/>
                <w:szCs w:val="19"/>
                <w:color w:val="auto"/>
              </w:rPr>
            </w:pPr>
          </w:p>
        </w:tc>
        <w:tc>
          <w:tcPr>
            <w:tcW w:w="3080" w:type="dxa"/>
            <w:vAlign w:val="bottom"/>
            <w:gridSpan w:val="2"/>
            <w:shd w:val="clear" w:color="auto" w:fill="DCDFED"/>
          </w:tcPr>
          <w:p>
            <w:pPr>
              <w:ind w:left="100"/>
              <w:spacing w:after="0" w:line="219" w:lineRule="exact"/>
              <w:rPr>
                <w:sz w:val="20"/>
                <w:szCs w:val="20"/>
                <w:color w:val="auto"/>
              </w:rPr>
            </w:pPr>
            <w:r>
              <w:rPr>
                <w:rFonts w:ascii="Arial" w:cs="Arial" w:eastAsia="Arial" w:hAnsi="Arial"/>
                <w:sz w:val="17"/>
                <w:szCs w:val="17"/>
                <w:color w:val="auto"/>
              </w:rPr>
              <w:t>Other segment items</w:t>
            </w:r>
            <w:r>
              <w:rPr>
                <w:rFonts w:ascii="Arial" w:cs="Arial" w:eastAsia="Arial" w:hAnsi="Arial"/>
                <w:sz w:val="22"/>
                <w:szCs w:val="22"/>
                <w:color w:val="auto"/>
                <w:vertAlign w:val="superscript"/>
              </w:rPr>
              <w:t>(1)</w:t>
            </w:r>
          </w:p>
        </w:tc>
        <w:tc>
          <w:tcPr>
            <w:tcW w:w="320" w:type="dxa"/>
            <w:vAlign w:val="bottom"/>
            <w:tcBorders>
              <w:bottom w:val="single" w:sz="8" w:color="auto"/>
            </w:tcBorders>
            <w:shd w:val="clear" w:color="auto" w:fill="DCDFED"/>
          </w:tcPr>
          <w:p>
            <w:pPr>
              <w:spacing w:after="0"/>
              <w:rPr>
                <w:sz w:val="19"/>
                <w:szCs w:val="19"/>
                <w:color w:val="auto"/>
              </w:rPr>
            </w:pPr>
          </w:p>
        </w:tc>
        <w:tc>
          <w:tcPr>
            <w:tcW w:w="980" w:type="dxa"/>
            <w:vAlign w:val="bottom"/>
            <w:tcBorders>
              <w:bottom w:val="single" w:sz="8" w:color="auto"/>
            </w:tcBorders>
            <w:shd w:val="clear" w:color="auto" w:fill="DCDFED"/>
          </w:tcPr>
          <w:p>
            <w:pPr>
              <w:jc w:val="right"/>
              <w:spacing w:after="0"/>
              <w:rPr>
                <w:sz w:val="20"/>
                <w:szCs w:val="20"/>
                <w:color w:val="auto"/>
              </w:rPr>
            </w:pPr>
            <w:r>
              <w:rPr>
                <w:rFonts w:ascii="Arial" w:cs="Arial" w:eastAsia="Arial" w:hAnsi="Arial"/>
                <w:sz w:val="17"/>
                <w:szCs w:val="17"/>
                <w:color w:val="auto"/>
              </w:rPr>
              <w:t>1,249.6</w:t>
            </w:r>
          </w:p>
        </w:tc>
        <w:tc>
          <w:tcPr>
            <w:tcW w:w="420" w:type="dxa"/>
            <w:vAlign w:val="bottom"/>
            <w:tcBorders>
              <w:bottom w:val="single" w:sz="8" w:color="auto"/>
            </w:tcBorders>
            <w:shd w:val="clear" w:color="auto" w:fill="DCDFED"/>
          </w:tcPr>
          <w:p>
            <w:pPr>
              <w:spacing w:after="0"/>
              <w:rPr>
                <w:sz w:val="19"/>
                <w:szCs w:val="19"/>
                <w:color w:val="auto"/>
              </w:rPr>
            </w:pPr>
          </w:p>
        </w:tc>
        <w:tc>
          <w:tcPr>
            <w:tcW w:w="980" w:type="dxa"/>
            <w:vAlign w:val="bottom"/>
            <w:tcBorders>
              <w:bottom w:val="single" w:sz="8" w:color="auto"/>
            </w:tcBorders>
            <w:shd w:val="clear" w:color="auto" w:fill="DCDFED"/>
          </w:tcPr>
          <w:p>
            <w:pPr>
              <w:jc w:val="right"/>
              <w:ind w:right="15"/>
              <w:spacing w:after="0"/>
              <w:rPr>
                <w:sz w:val="20"/>
                <w:szCs w:val="20"/>
                <w:color w:val="auto"/>
              </w:rPr>
            </w:pPr>
            <w:r>
              <w:rPr>
                <w:rFonts w:ascii="Arial" w:cs="Arial" w:eastAsia="Arial" w:hAnsi="Arial"/>
                <w:sz w:val="17"/>
                <w:szCs w:val="17"/>
                <w:color w:val="auto"/>
              </w:rPr>
              <w:t>297.6</w:t>
            </w:r>
          </w:p>
        </w:tc>
        <w:tc>
          <w:tcPr>
            <w:tcW w:w="180" w:type="dxa"/>
            <w:vAlign w:val="bottom"/>
            <w:tcBorders>
              <w:bottom w:val="single" w:sz="8" w:color="auto"/>
            </w:tcBorders>
            <w:shd w:val="clear" w:color="auto" w:fill="DCDFED"/>
          </w:tcPr>
          <w:p>
            <w:pPr>
              <w:spacing w:after="0"/>
              <w:rPr>
                <w:sz w:val="19"/>
                <w:szCs w:val="19"/>
                <w:color w:val="auto"/>
              </w:rPr>
            </w:pPr>
          </w:p>
        </w:tc>
        <w:tc>
          <w:tcPr>
            <w:tcW w:w="1200" w:type="dxa"/>
            <w:vAlign w:val="bottom"/>
            <w:tcBorders>
              <w:bottom w:val="single" w:sz="8" w:color="auto"/>
            </w:tcBorders>
            <w:shd w:val="clear" w:color="auto" w:fill="DCDFED"/>
          </w:tcPr>
          <w:p>
            <w:pPr>
              <w:jc w:val="right"/>
              <w:ind w:right="15"/>
              <w:spacing w:after="0"/>
              <w:rPr>
                <w:sz w:val="20"/>
                <w:szCs w:val="20"/>
                <w:color w:val="auto"/>
              </w:rPr>
            </w:pPr>
            <w:r>
              <w:rPr>
                <w:rFonts w:ascii="Arial" w:cs="Arial" w:eastAsia="Arial" w:hAnsi="Arial"/>
                <w:sz w:val="17"/>
                <w:szCs w:val="17"/>
                <w:color w:val="auto"/>
              </w:rPr>
              <w:t>274.1</w:t>
            </w:r>
          </w:p>
        </w:tc>
        <w:tc>
          <w:tcPr>
            <w:tcW w:w="300" w:type="dxa"/>
            <w:vAlign w:val="bottom"/>
            <w:tcBorders>
              <w:bottom w:val="single" w:sz="8" w:color="auto"/>
            </w:tcBorders>
            <w:shd w:val="clear" w:color="auto" w:fill="DCDFED"/>
          </w:tcPr>
          <w:p>
            <w:pPr>
              <w:spacing w:after="0"/>
              <w:rPr>
                <w:sz w:val="19"/>
                <w:szCs w:val="19"/>
                <w:color w:val="auto"/>
              </w:rPr>
            </w:pPr>
          </w:p>
        </w:tc>
        <w:tc>
          <w:tcPr>
            <w:tcW w:w="1080" w:type="dxa"/>
            <w:vAlign w:val="bottom"/>
            <w:tcBorders>
              <w:bottom w:val="single" w:sz="8" w:color="auto"/>
            </w:tcBorders>
            <w:shd w:val="clear" w:color="auto" w:fill="DCDFED"/>
          </w:tcPr>
          <w:p>
            <w:pPr>
              <w:jc w:val="right"/>
              <w:spacing w:after="0"/>
              <w:rPr>
                <w:sz w:val="20"/>
                <w:szCs w:val="20"/>
                <w:color w:val="auto"/>
              </w:rPr>
            </w:pPr>
            <w:r>
              <w:rPr>
                <w:rFonts w:ascii="Arial" w:cs="Arial" w:eastAsia="Arial" w:hAnsi="Arial"/>
                <w:sz w:val="17"/>
                <w:szCs w:val="17"/>
                <w:color w:val="auto"/>
              </w:rPr>
              <w:t>206.5</w:t>
            </w:r>
          </w:p>
        </w:tc>
        <w:tc>
          <w:tcPr>
            <w:tcW w:w="300" w:type="dxa"/>
            <w:vAlign w:val="bottom"/>
            <w:tcBorders>
              <w:bottom w:val="single" w:sz="8" w:color="auto"/>
            </w:tcBorders>
            <w:shd w:val="clear" w:color="auto" w:fill="DCDFED"/>
          </w:tcPr>
          <w:p>
            <w:pPr>
              <w:spacing w:after="0"/>
              <w:rPr>
                <w:sz w:val="19"/>
                <w:szCs w:val="19"/>
                <w:color w:val="auto"/>
              </w:rPr>
            </w:pPr>
          </w:p>
        </w:tc>
        <w:tc>
          <w:tcPr>
            <w:tcW w:w="1180" w:type="dxa"/>
            <w:vAlign w:val="bottom"/>
            <w:tcBorders>
              <w:bottom w:val="single" w:sz="8" w:color="auto"/>
            </w:tcBorders>
            <w:shd w:val="clear" w:color="auto" w:fill="DCDFED"/>
          </w:tcPr>
          <w:p>
            <w:pPr>
              <w:jc w:val="right"/>
              <w:ind w:right="96"/>
              <w:spacing w:after="0"/>
              <w:rPr>
                <w:sz w:val="20"/>
                <w:szCs w:val="20"/>
                <w:color w:val="auto"/>
              </w:rPr>
            </w:pPr>
            <w:r>
              <w:rPr>
                <w:rFonts w:ascii="Arial" w:cs="Arial" w:eastAsia="Arial" w:hAnsi="Arial"/>
                <w:sz w:val="17"/>
                <w:szCs w:val="17"/>
                <w:color w:val="auto"/>
              </w:rPr>
              <w:t>208.0</w:t>
            </w:r>
          </w:p>
        </w:tc>
        <w:tc>
          <w:tcPr>
            <w:tcW w:w="260" w:type="dxa"/>
            <w:vAlign w:val="bottom"/>
            <w:tcBorders>
              <w:bottom w:val="single" w:sz="8" w:color="auto"/>
            </w:tcBorders>
            <w:shd w:val="clear" w:color="auto" w:fill="DCDFED"/>
          </w:tcPr>
          <w:p>
            <w:pPr>
              <w:spacing w:after="0"/>
              <w:rPr>
                <w:sz w:val="19"/>
                <w:szCs w:val="19"/>
                <w:color w:val="auto"/>
              </w:rPr>
            </w:pPr>
          </w:p>
        </w:tc>
        <w:tc>
          <w:tcPr>
            <w:tcW w:w="940" w:type="dxa"/>
            <w:vAlign w:val="bottom"/>
            <w:tcBorders>
              <w:bottom w:val="single" w:sz="8" w:color="auto"/>
            </w:tcBorders>
            <w:shd w:val="clear" w:color="auto" w:fill="DCDFED"/>
          </w:tcPr>
          <w:p>
            <w:pPr>
              <w:jc w:val="right"/>
              <w:spacing w:after="0"/>
              <w:rPr>
                <w:sz w:val="20"/>
                <w:szCs w:val="20"/>
                <w:color w:val="auto"/>
              </w:rPr>
            </w:pPr>
            <w:r>
              <w:rPr>
                <w:rFonts w:ascii="Arial" w:cs="Arial" w:eastAsia="Arial" w:hAnsi="Arial"/>
                <w:sz w:val="17"/>
                <w:szCs w:val="17"/>
                <w:color w:val="auto"/>
              </w:rPr>
              <w:t>2,235.8</w:t>
            </w:r>
          </w:p>
        </w:tc>
        <w:tc>
          <w:tcPr>
            <w:tcW w:w="0" w:type="dxa"/>
            <w:vAlign w:val="bottom"/>
          </w:tcPr>
          <w:p>
            <w:pPr>
              <w:spacing w:after="0"/>
              <w:rPr>
                <w:sz w:val="1"/>
                <w:szCs w:val="1"/>
                <w:color w:val="auto"/>
              </w:rPr>
            </w:pPr>
          </w:p>
        </w:tc>
      </w:tr>
      <w:tr>
        <w:trPr>
          <w:trHeight w:val="212"/>
        </w:trPr>
        <w:tc>
          <w:tcPr>
            <w:tcW w:w="3100" w:type="dxa"/>
            <w:vAlign w:val="bottom"/>
            <w:gridSpan w:val="3"/>
          </w:tcPr>
          <w:p>
            <w:pPr>
              <w:ind w:left="20"/>
              <w:spacing w:after="0"/>
              <w:rPr>
                <w:sz w:val="20"/>
                <w:szCs w:val="20"/>
                <w:color w:val="auto"/>
              </w:rPr>
            </w:pPr>
            <w:r>
              <w:rPr>
                <w:rFonts w:ascii="Arial" w:cs="Arial" w:eastAsia="Arial" w:hAnsi="Arial"/>
                <w:sz w:val="17"/>
                <w:szCs w:val="17"/>
                <w:b w:val="1"/>
                <w:bCs w:val="1"/>
                <w:color w:val="auto"/>
              </w:rPr>
              <w:t>Segment operating profit</w:t>
            </w:r>
          </w:p>
        </w:tc>
        <w:tc>
          <w:tcPr>
            <w:tcW w:w="32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315.6</w:t>
            </w:r>
          </w:p>
        </w:tc>
        <w:tc>
          <w:tcPr>
            <w:tcW w:w="42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161.7</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60.0</w:t>
            </w:r>
          </w:p>
        </w:tc>
        <w:tc>
          <w:tcPr>
            <w:tcW w:w="30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49.7</w:t>
            </w:r>
          </w:p>
        </w:tc>
        <w:tc>
          <w:tcPr>
            <w:tcW w:w="3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tcPr>
          <w:p>
            <w:pPr>
              <w:jc w:val="right"/>
              <w:ind w:right="96"/>
              <w:spacing w:after="0"/>
              <w:rPr>
                <w:sz w:val="20"/>
                <w:szCs w:val="20"/>
                <w:color w:val="auto"/>
              </w:rPr>
            </w:pPr>
            <w:r>
              <w:rPr>
                <w:rFonts w:ascii="Arial" w:cs="Arial" w:eastAsia="Arial" w:hAnsi="Arial"/>
                <w:sz w:val="17"/>
                <w:szCs w:val="17"/>
                <w:color w:val="auto"/>
              </w:rPr>
              <w:t>53.2</w:t>
            </w:r>
          </w:p>
        </w:tc>
        <w:tc>
          <w:tcPr>
            <w:tcW w:w="26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640.3</w:t>
            </w:r>
          </w:p>
        </w:tc>
        <w:tc>
          <w:tcPr>
            <w:tcW w:w="0" w:type="dxa"/>
            <w:vAlign w:val="bottom"/>
          </w:tcPr>
          <w:p>
            <w:pPr>
              <w:spacing w:after="0"/>
              <w:rPr>
                <w:sz w:val="1"/>
                <w:szCs w:val="1"/>
                <w:color w:val="auto"/>
              </w:rPr>
            </w:pPr>
          </w:p>
        </w:tc>
      </w:tr>
      <w:tr>
        <w:trPr>
          <w:trHeight w:val="20"/>
        </w:trPr>
        <w:tc>
          <w:tcPr>
            <w:tcW w:w="20" w:type="dxa"/>
            <w:vAlign w:val="bottom"/>
            <w:tcBorders>
              <w:bottom w:val="single" w:sz="8" w:color="DCDFED"/>
            </w:tcBorders>
          </w:tcPr>
          <w:p>
            <w:pPr>
              <w:spacing w:after="0" w:line="20" w:lineRule="exact"/>
              <w:rPr>
                <w:sz w:val="1"/>
                <w:szCs w:val="1"/>
                <w:color w:val="auto"/>
              </w:rPr>
            </w:pPr>
          </w:p>
        </w:tc>
        <w:tc>
          <w:tcPr>
            <w:tcW w:w="680" w:type="dxa"/>
            <w:vAlign w:val="bottom"/>
            <w:tcBorders>
              <w:bottom w:val="single" w:sz="8" w:color="DCDFED"/>
            </w:tcBorders>
          </w:tcPr>
          <w:p>
            <w:pPr>
              <w:spacing w:after="0" w:line="20" w:lineRule="exact"/>
              <w:rPr>
                <w:sz w:val="1"/>
                <w:szCs w:val="1"/>
                <w:color w:val="auto"/>
              </w:rPr>
            </w:pPr>
          </w:p>
        </w:tc>
        <w:tc>
          <w:tcPr>
            <w:tcW w:w="2400" w:type="dxa"/>
            <w:vAlign w:val="bottom"/>
            <w:tcBorders>
              <w:bottom w:val="single" w:sz="8" w:color="DCDFED"/>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100" w:type="dxa"/>
            <w:vAlign w:val="bottom"/>
            <w:gridSpan w:val="3"/>
            <w:shd w:val="clear" w:color="auto" w:fill="DCDFED"/>
          </w:tcPr>
          <w:p>
            <w:pPr>
              <w:ind w:left="20"/>
              <w:spacing w:after="0"/>
              <w:rPr>
                <w:sz w:val="20"/>
                <w:szCs w:val="20"/>
                <w:color w:val="auto"/>
              </w:rPr>
            </w:pPr>
            <w:r>
              <w:rPr>
                <w:rFonts w:ascii="Arial" w:cs="Arial" w:eastAsia="Arial" w:hAnsi="Arial"/>
                <w:sz w:val="17"/>
                <w:szCs w:val="17"/>
                <w:color w:val="auto"/>
              </w:rPr>
              <w:t>Corporate</w:t>
            </w:r>
            <w:r>
              <w:rPr>
                <w:rFonts w:ascii="Arial" w:cs="Arial" w:eastAsia="Arial" w:hAnsi="Arial"/>
                <w:sz w:val="10"/>
                <w:szCs w:val="10"/>
                <w:color w:val="auto"/>
              </w:rPr>
              <w:t>(2)</w:t>
            </w:r>
          </w:p>
        </w:tc>
        <w:tc>
          <w:tcPr>
            <w:tcW w:w="320" w:type="dxa"/>
            <w:vAlign w:val="bottom"/>
            <w:shd w:val="clear" w:color="auto" w:fill="DCDFED"/>
          </w:tcPr>
          <w:p>
            <w:pPr>
              <w:spacing w:after="0"/>
              <w:rPr>
                <w:sz w:val="18"/>
                <w:szCs w:val="18"/>
                <w:color w:val="auto"/>
              </w:rPr>
            </w:pPr>
          </w:p>
        </w:tc>
        <w:tc>
          <w:tcPr>
            <w:tcW w:w="980" w:type="dxa"/>
            <w:vAlign w:val="bottom"/>
            <w:shd w:val="clear" w:color="auto" w:fill="DCDFED"/>
          </w:tcPr>
          <w:p>
            <w:pPr>
              <w:spacing w:after="0"/>
              <w:rPr>
                <w:sz w:val="18"/>
                <w:szCs w:val="18"/>
                <w:color w:val="auto"/>
              </w:rPr>
            </w:pPr>
          </w:p>
        </w:tc>
        <w:tc>
          <w:tcPr>
            <w:tcW w:w="420" w:type="dxa"/>
            <w:vAlign w:val="bottom"/>
            <w:shd w:val="clear" w:color="auto" w:fill="DCDFED"/>
          </w:tcPr>
          <w:p>
            <w:pPr>
              <w:spacing w:after="0"/>
              <w:rPr>
                <w:sz w:val="18"/>
                <w:szCs w:val="18"/>
                <w:color w:val="auto"/>
              </w:rPr>
            </w:pPr>
          </w:p>
        </w:tc>
        <w:tc>
          <w:tcPr>
            <w:tcW w:w="980" w:type="dxa"/>
            <w:vAlign w:val="bottom"/>
            <w:shd w:val="clear" w:color="auto" w:fill="DCDFED"/>
          </w:tcPr>
          <w:p>
            <w:pPr>
              <w:spacing w:after="0"/>
              <w:rPr>
                <w:sz w:val="18"/>
                <w:szCs w:val="18"/>
                <w:color w:val="auto"/>
              </w:rPr>
            </w:pPr>
          </w:p>
        </w:tc>
        <w:tc>
          <w:tcPr>
            <w:tcW w:w="180" w:type="dxa"/>
            <w:vAlign w:val="bottom"/>
            <w:shd w:val="clear" w:color="auto" w:fill="DCDFED"/>
          </w:tcPr>
          <w:p>
            <w:pPr>
              <w:spacing w:after="0"/>
              <w:rPr>
                <w:sz w:val="18"/>
                <w:szCs w:val="18"/>
                <w:color w:val="auto"/>
              </w:rPr>
            </w:pPr>
          </w:p>
        </w:tc>
        <w:tc>
          <w:tcPr>
            <w:tcW w:w="1200" w:type="dxa"/>
            <w:vAlign w:val="bottom"/>
            <w:shd w:val="clear" w:color="auto" w:fill="DCDFED"/>
          </w:tcPr>
          <w:p>
            <w:pPr>
              <w:spacing w:after="0"/>
              <w:rPr>
                <w:sz w:val="18"/>
                <w:szCs w:val="18"/>
                <w:color w:val="auto"/>
              </w:rPr>
            </w:pPr>
          </w:p>
        </w:tc>
        <w:tc>
          <w:tcPr>
            <w:tcW w:w="300" w:type="dxa"/>
            <w:vAlign w:val="bottom"/>
            <w:shd w:val="clear" w:color="auto" w:fill="DCDFED"/>
          </w:tcPr>
          <w:p>
            <w:pPr>
              <w:spacing w:after="0"/>
              <w:rPr>
                <w:sz w:val="18"/>
                <w:szCs w:val="18"/>
                <w:color w:val="auto"/>
              </w:rPr>
            </w:pPr>
          </w:p>
        </w:tc>
        <w:tc>
          <w:tcPr>
            <w:tcW w:w="1080" w:type="dxa"/>
            <w:vAlign w:val="bottom"/>
            <w:shd w:val="clear" w:color="auto" w:fill="DCDFED"/>
          </w:tcPr>
          <w:p>
            <w:pPr>
              <w:spacing w:after="0"/>
              <w:rPr>
                <w:sz w:val="18"/>
                <w:szCs w:val="18"/>
                <w:color w:val="auto"/>
              </w:rPr>
            </w:pPr>
          </w:p>
        </w:tc>
        <w:tc>
          <w:tcPr>
            <w:tcW w:w="300" w:type="dxa"/>
            <w:vAlign w:val="bottom"/>
            <w:shd w:val="clear" w:color="auto" w:fill="DCDFED"/>
          </w:tcPr>
          <w:p>
            <w:pPr>
              <w:spacing w:after="0"/>
              <w:rPr>
                <w:sz w:val="18"/>
                <w:szCs w:val="18"/>
                <w:color w:val="auto"/>
              </w:rPr>
            </w:pPr>
          </w:p>
        </w:tc>
        <w:tc>
          <w:tcPr>
            <w:tcW w:w="1180" w:type="dxa"/>
            <w:vAlign w:val="bottom"/>
            <w:shd w:val="clear" w:color="auto" w:fill="DCDFED"/>
          </w:tcPr>
          <w:p>
            <w:pPr>
              <w:spacing w:after="0"/>
              <w:rPr>
                <w:sz w:val="18"/>
                <w:szCs w:val="18"/>
                <w:color w:val="auto"/>
              </w:rPr>
            </w:pPr>
          </w:p>
        </w:tc>
        <w:tc>
          <w:tcPr>
            <w:tcW w:w="260" w:type="dxa"/>
            <w:vAlign w:val="bottom"/>
            <w:shd w:val="clear" w:color="auto" w:fill="DCDFED"/>
          </w:tcPr>
          <w:p>
            <w:pPr>
              <w:spacing w:after="0"/>
              <w:rPr>
                <w:sz w:val="18"/>
                <w:szCs w:val="18"/>
                <w:color w:val="auto"/>
              </w:rPr>
            </w:pPr>
          </w:p>
        </w:tc>
        <w:tc>
          <w:tcPr>
            <w:tcW w:w="940" w:type="dxa"/>
            <w:vAlign w:val="bottom"/>
            <w:shd w:val="clear" w:color="auto" w:fill="DCDFED"/>
          </w:tcPr>
          <w:p>
            <w:pPr>
              <w:jc w:val="right"/>
              <w:spacing w:after="0"/>
              <w:rPr>
                <w:sz w:val="20"/>
                <w:szCs w:val="20"/>
                <w:color w:val="auto"/>
              </w:rPr>
            </w:pPr>
            <w:r>
              <w:rPr>
                <w:rFonts w:ascii="Arial" w:cs="Arial" w:eastAsia="Arial" w:hAnsi="Arial"/>
                <w:sz w:val="17"/>
                <w:szCs w:val="17"/>
                <w:color w:val="auto"/>
              </w:rPr>
              <w:t>(226.7)</w:t>
            </w:r>
          </w:p>
        </w:tc>
        <w:tc>
          <w:tcPr>
            <w:tcW w:w="0" w:type="dxa"/>
            <w:vAlign w:val="bottom"/>
          </w:tcPr>
          <w:p>
            <w:pPr>
              <w:spacing w:after="0"/>
              <w:rPr>
                <w:sz w:val="1"/>
                <w:szCs w:val="1"/>
                <w:color w:val="auto"/>
              </w:rPr>
            </w:pPr>
          </w:p>
        </w:tc>
      </w:tr>
      <w:tr>
        <w:trPr>
          <w:trHeight w:val="219"/>
        </w:trPr>
        <w:tc>
          <w:tcPr>
            <w:tcW w:w="7480" w:type="dxa"/>
            <w:vAlign w:val="bottom"/>
            <w:gridSpan w:val="10"/>
          </w:tcPr>
          <w:p>
            <w:pPr>
              <w:ind w:left="20"/>
              <w:spacing w:after="0"/>
              <w:rPr>
                <w:sz w:val="20"/>
                <w:szCs w:val="20"/>
                <w:color w:val="auto"/>
              </w:rPr>
            </w:pPr>
            <w:r>
              <w:rPr>
                <w:rFonts w:ascii="Arial" w:cs="Arial" w:eastAsia="Arial" w:hAnsi="Arial"/>
                <w:sz w:val="17"/>
                <w:szCs w:val="17"/>
                <w:color w:val="auto"/>
              </w:rPr>
              <w:t>Adjustment for income from unconsolidated affiliates, included in Aviation and Technical Solutions</w:t>
            </w: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(3.9)</w:t>
            </w:r>
          </w:p>
        </w:tc>
        <w:tc>
          <w:tcPr>
            <w:tcW w:w="0" w:type="dxa"/>
            <w:vAlign w:val="bottom"/>
          </w:tcPr>
          <w:p>
            <w:pPr>
              <w:spacing w:after="0"/>
              <w:rPr>
                <w:sz w:val="1"/>
                <w:szCs w:val="1"/>
                <w:color w:val="auto"/>
              </w:rPr>
            </w:pPr>
          </w:p>
        </w:tc>
      </w:tr>
      <w:tr>
        <w:trPr>
          <w:trHeight w:val="168"/>
        </w:trPr>
        <w:tc>
          <w:tcPr>
            <w:tcW w:w="4820" w:type="dxa"/>
            <w:vAlign w:val="bottom"/>
            <w:gridSpan w:val="6"/>
            <w:shd w:val="clear" w:color="auto" w:fill="DCDFED"/>
          </w:tcPr>
          <w:p>
            <w:pPr>
              <w:ind w:left="20"/>
              <w:spacing w:after="0" w:line="167" w:lineRule="exact"/>
              <w:rPr>
                <w:sz w:val="20"/>
                <w:szCs w:val="20"/>
                <w:color w:val="auto"/>
              </w:rPr>
            </w:pPr>
            <w:r>
              <w:rPr>
                <w:rFonts w:ascii="Arial" w:cs="Arial" w:eastAsia="Arial" w:hAnsi="Arial"/>
                <w:sz w:val="17"/>
                <w:szCs w:val="17"/>
                <w:color w:val="auto"/>
              </w:rPr>
              <w:t>Adjustment for tax deductions for energy efficient government</w:t>
            </w:r>
          </w:p>
        </w:tc>
        <w:tc>
          <w:tcPr>
            <w:tcW w:w="980" w:type="dxa"/>
            <w:vAlign w:val="bottom"/>
            <w:shd w:val="clear" w:color="auto" w:fill="DCDFED"/>
          </w:tcPr>
          <w:p>
            <w:pPr>
              <w:spacing w:after="0"/>
              <w:rPr>
                <w:sz w:val="14"/>
                <w:szCs w:val="14"/>
                <w:color w:val="auto"/>
              </w:rPr>
            </w:pPr>
          </w:p>
        </w:tc>
        <w:tc>
          <w:tcPr>
            <w:tcW w:w="180" w:type="dxa"/>
            <w:vAlign w:val="bottom"/>
            <w:shd w:val="clear" w:color="auto" w:fill="DCDFED"/>
          </w:tcPr>
          <w:p>
            <w:pPr>
              <w:spacing w:after="0"/>
              <w:rPr>
                <w:sz w:val="14"/>
                <w:szCs w:val="14"/>
                <w:color w:val="auto"/>
              </w:rPr>
            </w:pPr>
          </w:p>
        </w:tc>
        <w:tc>
          <w:tcPr>
            <w:tcW w:w="1200" w:type="dxa"/>
            <w:vAlign w:val="bottom"/>
            <w:shd w:val="clear" w:color="auto" w:fill="DCDFED"/>
          </w:tcPr>
          <w:p>
            <w:pPr>
              <w:spacing w:after="0"/>
              <w:rPr>
                <w:sz w:val="14"/>
                <w:szCs w:val="14"/>
                <w:color w:val="auto"/>
              </w:rPr>
            </w:pPr>
          </w:p>
        </w:tc>
        <w:tc>
          <w:tcPr>
            <w:tcW w:w="300" w:type="dxa"/>
            <w:vAlign w:val="bottom"/>
            <w:shd w:val="clear" w:color="auto" w:fill="DCDFED"/>
          </w:tcPr>
          <w:p>
            <w:pPr>
              <w:spacing w:after="0"/>
              <w:rPr>
                <w:sz w:val="14"/>
                <w:szCs w:val="14"/>
                <w:color w:val="auto"/>
              </w:rPr>
            </w:pPr>
          </w:p>
        </w:tc>
        <w:tc>
          <w:tcPr>
            <w:tcW w:w="1080" w:type="dxa"/>
            <w:vAlign w:val="bottom"/>
            <w:shd w:val="clear" w:color="auto" w:fill="DCDFED"/>
          </w:tcPr>
          <w:p>
            <w:pPr>
              <w:spacing w:after="0"/>
              <w:rPr>
                <w:sz w:val="14"/>
                <w:szCs w:val="14"/>
                <w:color w:val="auto"/>
              </w:rPr>
            </w:pPr>
          </w:p>
        </w:tc>
        <w:tc>
          <w:tcPr>
            <w:tcW w:w="300" w:type="dxa"/>
            <w:vAlign w:val="bottom"/>
            <w:shd w:val="clear" w:color="auto" w:fill="DCDFED"/>
          </w:tcPr>
          <w:p>
            <w:pPr>
              <w:spacing w:after="0"/>
              <w:rPr>
                <w:sz w:val="14"/>
                <w:szCs w:val="14"/>
                <w:color w:val="auto"/>
              </w:rPr>
            </w:pPr>
          </w:p>
        </w:tc>
        <w:tc>
          <w:tcPr>
            <w:tcW w:w="1180" w:type="dxa"/>
            <w:vAlign w:val="bottom"/>
            <w:shd w:val="clear" w:color="auto" w:fill="DCDFED"/>
          </w:tcPr>
          <w:p>
            <w:pPr>
              <w:spacing w:after="0"/>
              <w:rPr>
                <w:sz w:val="14"/>
                <w:szCs w:val="14"/>
                <w:color w:val="auto"/>
              </w:rPr>
            </w:pPr>
          </w:p>
        </w:tc>
        <w:tc>
          <w:tcPr>
            <w:tcW w:w="260" w:type="dxa"/>
            <w:vAlign w:val="bottom"/>
            <w:shd w:val="clear" w:color="auto" w:fill="DCDFED"/>
          </w:tcPr>
          <w:p>
            <w:pPr>
              <w:spacing w:after="0"/>
              <w:rPr>
                <w:sz w:val="14"/>
                <w:szCs w:val="14"/>
                <w:color w:val="auto"/>
              </w:rPr>
            </w:pPr>
          </w:p>
        </w:tc>
        <w:tc>
          <w:tcPr>
            <w:tcW w:w="940" w:type="dxa"/>
            <w:vAlign w:val="bottom"/>
            <w:shd w:val="clear" w:color="auto" w:fill="DCDFED"/>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3420" w:type="dxa"/>
            <w:vAlign w:val="bottom"/>
            <w:gridSpan w:val="4"/>
            <w:shd w:val="clear" w:color="auto" w:fill="DCDFED"/>
          </w:tcPr>
          <w:p>
            <w:pPr>
              <w:ind w:left="20"/>
              <w:spacing w:after="0"/>
              <w:rPr>
                <w:sz w:val="20"/>
                <w:szCs w:val="20"/>
                <w:color w:val="auto"/>
              </w:rPr>
            </w:pPr>
            <w:r>
              <w:rPr>
                <w:rFonts w:ascii="Arial" w:cs="Arial" w:eastAsia="Arial" w:hAnsi="Arial"/>
                <w:sz w:val="17"/>
                <w:szCs w:val="17"/>
                <w:color w:val="auto"/>
              </w:rPr>
              <w:t>buildings, included in Technical Solutions</w:t>
            </w:r>
          </w:p>
        </w:tc>
        <w:tc>
          <w:tcPr>
            <w:tcW w:w="980" w:type="dxa"/>
            <w:vAlign w:val="bottom"/>
            <w:shd w:val="clear" w:color="auto" w:fill="DCDFED"/>
          </w:tcPr>
          <w:p>
            <w:pPr>
              <w:spacing w:after="0"/>
              <w:rPr>
                <w:sz w:val="20"/>
                <w:szCs w:val="20"/>
                <w:color w:val="auto"/>
              </w:rPr>
            </w:pPr>
          </w:p>
        </w:tc>
        <w:tc>
          <w:tcPr>
            <w:tcW w:w="420" w:type="dxa"/>
            <w:vAlign w:val="bottom"/>
            <w:shd w:val="clear" w:color="auto" w:fill="DCDFED"/>
          </w:tcPr>
          <w:p>
            <w:pPr>
              <w:spacing w:after="0"/>
              <w:rPr>
                <w:sz w:val="20"/>
                <w:szCs w:val="20"/>
                <w:color w:val="auto"/>
              </w:rPr>
            </w:pPr>
          </w:p>
        </w:tc>
        <w:tc>
          <w:tcPr>
            <w:tcW w:w="980" w:type="dxa"/>
            <w:vAlign w:val="bottom"/>
            <w:shd w:val="clear" w:color="auto" w:fill="DCDFED"/>
          </w:tcPr>
          <w:p>
            <w:pPr>
              <w:spacing w:after="0"/>
              <w:rPr>
                <w:sz w:val="20"/>
                <w:szCs w:val="20"/>
                <w:color w:val="auto"/>
              </w:rPr>
            </w:pPr>
          </w:p>
        </w:tc>
        <w:tc>
          <w:tcPr>
            <w:tcW w:w="180" w:type="dxa"/>
            <w:vAlign w:val="bottom"/>
            <w:shd w:val="clear" w:color="auto" w:fill="DCDFED"/>
          </w:tcPr>
          <w:p>
            <w:pPr>
              <w:spacing w:after="0"/>
              <w:rPr>
                <w:sz w:val="20"/>
                <w:szCs w:val="20"/>
                <w:color w:val="auto"/>
              </w:rPr>
            </w:pPr>
          </w:p>
        </w:tc>
        <w:tc>
          <w:tcPr>
            <w:tcW w:w="1200" w:type="dxa"/>
            <w:vAlign w:val="bottom"/>
            <w:shd w:val="clear" w:color="auto" w:fill="DCDFED"/>
          </w:tcPr>
          <w:p>
            <w:pPr>
              <w:spacing w:after="0"/>
              <w:rPr>
                <w:sz w:val="20"/>
                <w:szCs w:val="20"/>
                <w:color w:val="auto"/>
              </w:rPr>
            </w:pPr>
          </w:p>
        </w:tc>
        <w:tc>
          <w:tcPr>
            <w:tcW w:w="300" w:type="dxa"/>
            <w:vAlign w:val="bottom"/>
            <w:shd w:val="clear" w:color="auto" w:fill="DCDFED"/>
          </w:tcPr>
          <w:p>
            <w:pPr>
              <w:spacing w:after="0"/>
              <w:rPr>
                <w:sz w:val="20"/>
                <w:szCs w:val="20"/>
                <w:color w:val="auto"/>
              </w:rPr>
            </w:pPr>
          </w:p>
        </w:tc>
        <w:tc>
          <w:tcPr>
            <w:tcW w:w="1080" w:type="dxa"/>
            <w:vAlign w:val="bottom"/>
            <w:shd w:val="clear" w:color="auto" w:fill="DCDFED"/>
          </w:tcPr>
          <w:p>
            <w:pPr>
              <w:spacing w:after="0"/>
              <w:rPr>
                <w:sz w:val="20"/>
                <w:szCs w:val="20"/>
                <w:color w:val="auto"/>
              </w:rPr>
            </w:pPr>
          </w:p>
        </w:tc>
        <w:tc>
          <w:tcPr>
            <w:tcW w:w="300" w:type="dxa"/>
            <w:vAlign w:val="bottom"/>
            <w:shd w:val="clear" w:color="auto" w:fill="DCDFED"/>
          </w:tcPr>
          <w:p>
            <w:pPr>
              <w:spacing w:after="0"/>
              <w:rPr>
                <w:sz w:val="20"/>
                <w:szCs w:val="20"/>
                <w:color w:val="auto"/>
              </w:rPr>
            </w:pPr>
          </w:p>
        </w:tc>
        <w:tc>
          <w:tcPr>
            <w:tcW w:w="1180" w:type="dxa"/>
            <w:vAlign w:val="bottom"/>
            <w:shd w:val="clear" w:color="auto" w:fill="DCDFED"/>
          </w:tcPr>
          <w:p>
            <w:pPr>
              <w:spacing w:after="0"/>
              <w:rPr>
                <w:sz w:val="20"/>
                <w:szCs w:val="20"/>
                <w:color w:val="auto"/>
              </w:rPr>
            </w:pPr>
          </w:p>
        </w:tc>
        <w:tc>
          <w:tcPr>
            <w:tcW w:w="260" w:type="dxa"/>
            <w:vAlign w:val="bottom"/>
            <w:tcBorders>
              <w:bottom w:val="single" w:sz="8" w:color="auto"/>
            </w:tcBorders>
            <w:shd w:val="clear" w:color="auto" w:fill="DCDFED"/>
          </w:tcPr>
          <w:p>
            <w:pPr>
              <w:spacing w:after="0"/>
              <w:rPr>
                <w:sz w:val="20"/>
                <w:szCs w:val="20"/>
                <w:color w:val="auto"/>
              </w:rPr>
            </w:pPr>
          </w:p>
        </w:tc>
        <w:tc>
          <w:tcPr>
            <w:tcW w:w="940" w:type="dxa"/>
            <w:vAlign w:val="bottom"/>
            <w:tcBorders>
              <w:bottom w:val="single" w:sz="8" w:color="auto"/>
            </w:tcBorders>
            <w:shd w:val="clear" w:color="auto" w:fill="DCDFED"/>
          </w:tcPr>
          <w:p>
            <w:pPr>
              <w:jc w:val="right"/>
              <w:spacing w:after="0"/>
              <w:rPr>
                <w:sz w:val="20"/>
                <w:szCs w:val="20"/>
                <w:color w:val="auto"/>
              </w:rPr>
            </w:pPr>
            <w:r>
              <w:rPr>
                <w:rFonts w:ascii="Arial" w:cs="Arial" w:eastAsia="Arial" w:hAnsi="Arial"/>
                <w:sz w:val="17"/>
                <w:szCs w:val="17"/>
                <w:color w:val="auto"/>
              </w:rPr>
              <w:t>(0.3)</w:t>
            </w:r>
          </w:p>
        </w:tc>
        <w:tc>
          <w:tcPr>
            <w:tcW w:w="0" w:type="dxa"/>
            <w:vAlign w:val="bottom"/>
          </w:tcPr>
          <w:p>
            <w:pPr>
              <w:spacing w:after="0"/>
              <w:rPr>
                <w:sz w:val="1"/>
                <w:szCs w:val="1"/>
                <w:color w:val="auto"/>
              </w:rPr>
            </w:pPr>
          </w:p>
        </w:tc>
      </w:tr>
      <w:tr>
        <w:trPr>
          <w:trHeight w:val="212"/>
        </w:trPr>
        <w:tc>
          <w:tcPr>
            <w:tcW w:w="3100" w:type="dxa"/>
            <w:vAlign w:val="bottom"/>
            <w:gridSpan w:val="3"/>
          </w:tcPr>
          <w:p>
            <w:pPr>
              <w:ind w:left="20"/>
              <w:spacing w:after="0"/>
              <w:rPr>
                <w:sz w:val="20"/>
                <w:szCs w:val="20"/>
                <w:color w:val="auto"/>
              </w:rPr>
            </w:pPr>
            <w:r>
              <w:rPr>
                <w:rFonts w:ascii="Arial" w:cs="Arial" w:eastAsia="Arial" w:hAnsi="Arial"/>
                <w:sz w:val="17"/>
                <w:szCs w:val="17"/>
                <w:b w:val="1"/>
                <w:bCs w:val="1"/>
                <w:color w:val="auto"/>
              </w:rPr>
              <w:t>Total operating profit</w:t>
            </w: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409.5</w:t>
            </w:r>
          </w:p>
        </w:tc>
        <w:tc>
          <w:tcPr>
            <w:tcW w:w="0" w:type="dxa"/>
            <w:vAlign w:val="bottom"/>
          </w:tcPr>
          <w:p>
            <w:pPr>
              <w:spacing w:after="0"/>
              <w:rPr>
                <w:sz w:val="1"/>
                <w:szCs w:val="1"/>
                <w:color w:val="auto"/>
              </w:rPr>
            </w:pPr>
          </w:p>
        </w:tc>
      </w:tr>
      <w:tr>
        <w:trPr>
          <w:trHeight w:val="20"/>
        </w:trPr>
        <w:tc>
          <w:tcPr>
            <w:tcW w:w="20" w:type="dxa"/>
            <w:vAlign w:val="bottom"/>
            <w:tcBorders>
              <w:bottom w:val="single" w:sz="8" w:color="DCDFED"/>
            </w:tcBorders>
          </w:tcPr>
          <w:p>
            <w:pPr>
              <w:spacing w:after="0" w:line="20" w:lineRule="exact"/>
              <w:rPr>
                <w:sz w:val="1"/>
                <w:szCs w:val="1"/>
                <w:color w:val="auto"/>
              </w:rPr>
            </w:pPr>
          </w:p>
        </w:tc>
        <w:tc>
          <w:tcPr>
            <w:tcW w:w="680" w:type="dxa"/>
            <w:vAlign w:val="bottom"/>
            <w:tcBorders>
              <w:bottom w:val="single" w:sz="8" w:color="DCDFED"/>
            </w:tcBorders>
          </w:tcPr>
          <w:p>
            <w:pPr>
              <w:spacing w:after="0" w:line="20" w:lineRule="exact"/>
              <w:rPr>
                <w:sz w:val="1"/>
                <w:szCs w:val="1"/>
                <w:color w:val="auto"/>
              </w:rPr>
            </w:pPr>
          </w:p>
        </w:tc>
        <w:tc>
          <w:tcPr>
            <w:tcW w:w="2400" w:type="dxa"/>
            <w:vAlign w:val="bottom"/>
            <w:tcBorders>
              <w:bottom w:val="single" w:sz="8" w:color="DCDFED"/>
            </w:tcBorders>
          </w:tcPr>
          <w:p>
            <w:pPr>
              <w:spacing w:after="0" w:line="20" w:lineRule="exact"/>
              <w:rPr>
                <w:sz w:val="1"/>
                <w:szCs w:val="1"/>
                <w:color w:val="auto"/>
              </w:rPr>
            </w:pPr>
          </w:p>
        </w:tc>
        <w:tc>
          <w:tcPr>
            <w:tcW w:w="320" w:type="dxa"/>
            <w:vAlign w:val="bottom"/>
            <w:tcBorders>
              <w:bottom w:val="single" w:sz="8" w:color="DCDFED"/>
            </w:tcBorders>
          </w:tcPr>
          <w:p>
            <w:pPr>
              <w:spacing w:after="0" w:line="20" w:lineRule="exact"/>
              <w:rPr>
                <w:sz w:val="1"/>
                <w:szCs w:val="1"/>
                <w:color w:val="auto"/>
              </w:rPr>
            </w:pPr>
          </w:p>
        </w:tc>
        <w:tc>
          <w:tcPr>
            <w:tcW w:w="980" w:type="dxa"/>
            <w:vAlign w:val="bottom"/>
            <w:tcBorders>
              <w:bottom w:val="single" w:sz="8" w:color="DCDFED"/>
            </w:tcBorders>
          </w:tcPr>
          <w:p>
            <w:pPr>
              <w:spacing w:after="0" w:line="20" w:lineRule="exact"/>
              <w:rPr>
                <w:sz w:val="1"/>
                <w:szCs w:val="1"/>
                <w:color w:val="auto"/>
              </w:rPr>
            </w:pPr>
          </w:p>
        </w:tc>
        <w:tc>
          <w:tcPr>
            <w:tcW w:w="420" w:type="dxa"/>
            <w:vAlign w:val="bottom"/>
            <w:tcBorders>
              <w:bottom w:val="single" w:sz="8" w:color="DCDFED"/>
            </w:tcBorders>
          </w:tcPr>
          <w:p>
            <w:pPr>
              <w:spacing w:after="0" w:line="20" w:lineRule="exact"/>
              <w:rPr>
                <w:sz w:val="1"/>
                <w:szCs w:val="1"/>
                <w:color w:val="auto"/>
              </w:rPr>
            </w:pPr>
          </w:p>
        </w:tc>
        <w:tc>
          <w:tcPr>
            <w:tcW w:w="980" w:type="dxa"/>
            <w:vAlign w:val="bottom"/>
            <w:tcBorders>
              <w:bottom w:val="single" w:sz="8" w:color="DCDFED"/>
            </w:tcBorders>
          </w:tcPr>
          <w:p>
            <w:pPr>
              <w:spacing w:after="0" w:line="20" w:lineRule="exact"/>
              <w:rPr>
                <w:sz w:val="1"/>
                <w:szCs w:val="1"/>
                <w:color w:val="auto"/>
              </w:rPr>
            </w:pPr>
          </w:p>
        </w:tc>
        <w:tc>
          <w:tcPr>
            <w:tcW w:w="180" w:type="dxa"/>
            <w:vAlign w:val="bottom"/>
            <w:tcBorders>
              <w:bottom w:val="single" w:sz="8" w:color="DCDFED"/>
            </w:tcBorders>
          </w:tcPr>
          <w:p>
            <w:pPr>
              <w:spacing w:after="0" w:line="20" w:lineRule="exact"/>
              <w:rPr>
                <w:sz w:val="1"/>
                <w:szCs w:val="1"/>
                <w:color w:val="auto"/>
              </w:rPr>
            </w:pPr>
          </w:p>
        </w:tc>
        <w:tc>
          <w:tcPr>
            <w:tcW w:w="1200" w:type="dxa"/>
            <w:vAlign w:val="bottom"/>
            <w:tcBorders>
              <w:bottom w:val="single" w:sz="8" w:color="DCDFED"/>
            </w:tcBorders>
          </w:tcPr>
          <w:p>
            <w:pPr>
              <w:spacing w:after="0" w:line="20" w:lineRule="exact"/>
              <w:rPr>
                <w:sz w:val="1"/>
                <w:szCs w:val="1"/>
                <w:color w:val="auto"/>
              </w:rPr>
            </w:pPr>
          </w:p>
        </w:tc>
        <w:tc>
          <w:tcPr>
            <w:tcW w:w="300" w:type="dxa"/>
            <w:vAlign w:val="bottom"/>
            <w:tcBorders>
              <w:bottom w:val="single" w:sz="8" w:color="DCDFED"/>
            </w:tcBorders>
          </w:tcPr>
          <w:p>
            <w:pPr>
              <w:spacing w:after="0" w:line="20" w:lineRule="exact"/>
              <w:rPr>
                <w:sz w:val="1"/>
                <w:szCs w:val="1"/>
                <w:color w:val="auto"/>
              </w:rPr>
            </w:pPr>
          </w:p>
        </w:tc>
        <w:tc>
          <w:tcPr>
            <w:tcW w:w="1080" w:type="dxa"/>
            <w:vAlign w:val="bottom"/>
            <w:tcBorders>
              <w:bottom w:val="single" w:sz="8" w:color="DCDFED"/>
            </w:tcBorders>
          </w:tcPr>
          <w:p>
            <w:pPr>
              <w:spacing w:after="0" w:line="20" w:lineRule="exact"/>
              <w:rPr>
                <w:sz w:val="1"/>
                <w:szCs w:val="1"/>
                <w:color w:val="auto"/>
              </w:rPr>
            </w:pPr>
          </w:p>
        </w:tc>
        <w:tc>
          <w:tcPr>
            <w:tcW w:w="300" w:type="dxa"/>
            <w:vAlign w:val="bottom"/>
            <w:tcBorders>
              <w:bottom w:val="single" w:sz="8" w:color="DCDFED"/>
            </w:tcBorders>
          </w:tcPr>
          <w:p>
            <w:pPr>
              <w:spacing w:after="0" w:line="20" w:lineRule="exact"/>
              <w:rPr>
                <w:sz w:val="1"/>
                <w:szCs w:val="1"/>
                <w:color w:val="auto"/>
              </w:rPr>
            </w:pPr>
          </w:p>
        </w:tc>
        <w:tc>
          <w:tcPr>
            <w:tcW w:w="1180" w:type="dxa"/>
            <w:vAlign w:val="bottom"/>
            <w:tcBorders>
              <w:bottom w:val="single" w:sz="8" w:color="DCDFED"/>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100" w:type="dxa"/>
            <w:vAlign w:val="bottom"/>
            <w:gridSpan w:val="3"/>
            <w:shd w:val="clear" w:color="auto" w:fill="DCDFED"/>
          </w:tcPr>
          <w:p>
            <w:pPr>
              <w:ind w:left="20"/>
              <w:spacing w:after="0"/>
              <w:rPr>
                <w:sz w:val="20"/>
                <w:szCs w:val="20"/>
                <w:color w:val="auto"/>
              </w:rPr>
            </w:pPr>
            <w:r>
              <w:rPr>
                <w:rFonts w:ascii="Arial" w:cs="Arial" w:eastAsia="Arial" w:hAnsi="Arial"/>
                <w:sz w:val="17"/>
                <w:szCs w:val="17"/>
                <w:color w:val="auto"/>
              </w:rPr>
              <w:t>Income from unconsolidated affiliates</w:t>
            </w:r>
          </w:p>
        </w:tc>
        <w:tc>
          <w:tcPr>
            <w:tcW w:w="320" w:type="dxa"/>
            <w:vAlign w:val="bottom"/>
            <w:shd w:val="clear" w:color="auto" w:fill="DCDFED"/>
          </w:tcPr>
          <w:p>
            <w:pPr>
              <w:spacing w:after="0"/>
              <w:rPr>
                <w:sz w:val="18"/>
                <w:szCs w:val="18"/>
                <w:color w:val="auto"/>
              </w:rPr>
            </w:pPr>
          </w:p>
        </w:tc>
        <w:tc>
          <w:tcPr>
            <w:tcW w:w="980" w:type="dxa"/>
            <w:vAlign w:val="bottom"/>
            <w:shd w:val="clear" w:color="auto" w:fill="DCDFED"/>
          </w:tcPr>
          <w:p>
            <w:pPr>
              <w:spacing w:after="0"/>
              <w:rPr>
                <w:sz w:val="18"/>
                <w:szCs w:val="18"/>
                <w:color w:val="auto"/>
              </w:rPr>
            </w:pPr>
          </w:p>
        </w:tc>
        <w:tc>
          <w:tcPr>
            <w:tcW w:w="420" w:type="dxa"/>
            <w:vAlign w:val="bottom"/>
            <w:shd w:val="clear" w:color="auto" w:fill="DCDFED"/>
          </w:tcPr>
          <w:p>
            <w:pPr>
              <w:spacing w:after="0"/>
              <w:rPr>
                <w:sz w:val="18"/>
                <w:szCs w:val="18"/>
                <w:color w:val="auto"/>
              </w:rPr>
            </w:pPr>
          </w:p>
        </w:tc>
        <w:tc>
          <w:tcPr>
            <w:tcW w:w="980" w:type="dxa"/>
            <w:vAlign w:val="bottom"/>
            <w:shd w:val="clear" w:color="auto" w:fill="DCDFED"/>
          </w:tcPr>
          <w:p>
            <w:pPr>
              <w:spacing w:after="0"/>
              <w:rPr>
                <w:sz w:val="18"/>
                <w:szCs w:val="18"/>
                <w:color w:val="auto"/>
              </w:rPr>
            </w:pPr>
          </w:p>
        </w:tc>
        <w:tc>
          <w:tcPr>
            <w:tcW w:w="180" w:type="dxa"/>
            <w:vAlign w:val="bottom"/>
            <w:shd w:val="clear" w:color="auto" w:fill="DCDFED"/>
          </w:tcPr>
          <w:p>
            <w:pPr>
              <w:spacing w:after="0"/>
              <w:rPr>
                <w:sz w:val="18"/>
                <w:szCs w:val="18"/>
                <w:color w:val="auto"/>
              </w:rPr>
            </w:pPr>
          </w:p>
        </w:tc>
        <w:tc>
          <w:tcPr>
            <w:tcW w:w="1200" w:type="dxa"/>
            <w:vAlign w:val="bottom"/>
            <w:shd w:val="clear" w:color="auto" w:fill="DCDFED"/>
          </w:tcPr>
          <w:p>
            <w:pPr>
              <w:spacing w:after="0"/>
              <w:rPr>
                <w:sz w:val="18"/>
                <w:szCs w:val="18"/>
                <w:color w:val="auto"/>
              </w:rPr>
            </w:pPr>
          </w:p>
        </w:tc>
        <w:tc>
          <w:tcPr>
            <w:tcW w:w="300" w:type="dxa"/>
            <w:vAlign w:val="bottom"/>
            <w:shd w:val="clear" w:color="auto" w:fill="DCDFED"/>
          </w:tcPr>
          <w:p>
            <w:pPr>
              <w:spacing w:after="0"/>
              <w:rPr>
                <w:sz w:val="18"/>
                <w:szCs w:val="18"/>
                <w:color w:val="auto"/>
              </w:rPr>
            </w:pPr>
          </w:p>
        </w:tc>
        <w:tc>
          <w:tcPr>
            <w:tcW w:w="1080" w:type="dxa"/>
            <w:vAlign w:val="bottom"/>
            <w:shd w:val="clear" w:color="auto" w:fill="DCDFED"/>
          </w:tcPr>
          <w:p>
            <w:pPr>
              <w:spacing w:after="0"/>
              <w:rPr>
                <w:sz w:val="18"/>
                <w:szCs w:val="18"/>
                <w:color w:val="auto"/>
              </w:rPr>
            </w:pPr>
          </w:p>
        </w:tc>
        <w:tc>
          <w:tcPr>
            <w:tcW w:w="300" w:type="dxa"/>
            <w:vAlign w:val="bottom"/>
            <w:shd w:val="clear" w:color="auto" w:fill="DCDFED"/>
          </w:tcPr>
          <w:p>
            <w:pPr>
              <w:spacing w:after="0"/>
              <w:rPr>
                <w:sz w:val="18"/>
                <w:szCs w:val="18"/>
                <w:color w:val="auto"/>
              </w:rPr>
            </w:pPr>
          </w:p>
        </w:tc>
        <w:tc>
          <w:tcPr>
            <w:tcW w:w="1180" w:type="dxa"/>
            <w:vAlign w:val="bottom"/>
            <w:shd w:val="clear" w:color="auto" w:fill="DCDFED"/>
          </w:tcPr>
          <w:p>
            <w:pPr>
              <w:spacing w:after="0"/>
              <w:rPr>
                <w:sz w:val="18"/>
                <w:szCs w:val="18"/>
                <w:color w:val="auto"/>
              </w:rPr>
            </w:pPr>
          </w:p>
        </w:tc>
        <w:tc>
          <w:tcPr>
            <w:tcW w:w="260" w:type="dxa"/>
            <w:vAlign w:val="bottom"/>
            <w:shd w:val="clear" w:color="auto" w:fill="DCDFED"/>
          </w:tcPr>
          <w:p>
            <w:pPr>
              <w:spacing w:after="0"/>
              <w:rPr>
                <w:sz w:val="18"/>
                <w:szCs w:val="18"/>
                <w:color w:val="auto"/>
              </w:rPr>
            </w:pPr>
          </w:p>
        </w:tc>
        <w:tc>
          <w:tcPr>
            <w:tcW w:w="940" w:type="dxa"/>
            <w:vAlign w:val="bottom"/>
            <w:shd w:val="clear" w:color="auto" w:fill="DCDFED"/>
          </w:tcPr>
          <w:p>
            <w:pPr>
              <w:jc w:val="right"/>
              <w:spacing w:after="0"/>
              <w:rPr>
                <w:sz w:val="20"/>
                <w:szCs w:val="20"/>
                <w:color w:val="auto"/>
              </w:rPr>
            </w:pPr>
            <w:r>
              <w:rPr>
                <w:rFonts w:ascii="Arial" w:cs="Arial" w:eastAsia="Arial" w:hAnsi="Arial"/>
                <w:sz w:val="17"/>
                <w:szCs w:val="17"/>
                <w:color w:val="auto"/>
              </w:rPr>
              <w:t>3.9</w:t>
            </w:r>
          </w:p>
        </w:tc>
        <w:tc>
          <w:tcPr>
            <w:tcW w:w="0" w:type="dxa"/>
            <w:vAlign w:val="bottom"/>
          </w:tcPr>
          <w:p>
            <w:pPr>
              <w:spacing w:after="0"/>
              <w:rPr>
                <w:sz w:val="1"/>
                <w:szCs w:val="1"/>
                <w:color w:val="auto"/>
              </w:rPr>
            </w:pPr>
          </w:p>
        </w:tc>
      </w:tr>
      <w:tr>
        <w:trPr>
          <w:trHeight w:val="219"/>
        </w:trPr>
        <w:tc>
          <w:tcPr>
            <w:tcW w:w="3100" w:type="dxa"/>
            <w:vAlign w:val="bottom"/>
            <w:tcBorders>
              <w:bottom w:val="single" w:sz="8" w:color="DCDFED"/>
            </w:tcBorders>
            <w:gridSpan w:val="3"/>
          </w:tcPr>
          <w:p>
            <w:pPr>
              <w:ind w:left="20"/>
              <w:spacing w:after="0"/>
              <w:rPr>
                <w:sz w:val="20"/>
                <w:szCs w:val="20"/>
                <w:color w:val="auto"/>
              </w:rPr>
            </w:pPr>
            <w:r>
              <w:rPr>
                <w:rFonts w:ascii="Arial" w:cs="Arial" w:eastAsia="Arial" w:hAnsi="Arial"/>
                <w:sz w:val="17"/>
                <w:szCs w:val="17"/>
                <w:color w:val="auto"/>
              </w:rPr>
              <w:t>Interest expense</w:t>
            </w:r>
          </w:p>
        </w:tc>
        <w:tc>
          <w:tcPr>
            <w:tcW w:w="320" w:type="dxa"/>
            <w:vAlign w:val="bottom"/>
            <w:tcBorders>
              <w:bottom w:val="single" w:sz="8" w:color="DCDFED"/>
            </w:tcBorders>
          </w:tcPr>
          <w:p>
            <w:pPr>
              <w:spacing w:after="0"/>
              <w:rPr>
                <w:sz w:val="19"/>
                <w:szCs w:val="19"/>
                <w:color w:val="auto"/>
              </w:rPr>
            </w:pPr>
          </w:p>
        </w:tc>
        <w:tc>
          <w:tcPr>
            <w:tcW w:w="980" w:type="dxa"/>
            <w:vAlign w:val="bottom"/>
            <w:tcBorders>
              <w:bottom w:val="single" w:sz="8" w:color="DCDFED"/>
            </w:tcBorders>
          </w:tcPr>
          <w:p>
            <w:pPr>
              <w:spacing w:after="0"/>
              <w:rPr>
                <w:sz w:val="19"/>
                <w:szCs w:val="19"/>
                <w:color w:val="auto"/>
              </w:rPr>
            </w:pPr>
          </w:p>
        </w:tc>
        <w:tc>
          <w:tcPr>
            <w:tcW w:w="420" w:type="dxa"/>
            <w:vAlign w:val="bottom"/>
            <w:tcBorders>
              <w:bottom w:val="single" w:sz="8" w:color="DCDFED"/>
            </w:tcBorders>
          </w:tcPr>
          <w:p>
            <w:pPr>
              <w:spacing w:after="0"/>
              <w:rPr>
                <w:sz w:val="19"/>
                <w:szCs w:val="19"/>
                <w:color w:val="auto"/>
              </w:rPr>
            </w:pPr>
          </w:p>
        </w:tc>
        <w:tc>
          <w:tcPr>
            <w:tcW w:w="980" w:type="dxa"/>
            <w:vAlign w:val="bottom"/>
            <w:tcBorders>
              <w:bottom w:val="single" w:sz="8" w:color="DCDFED"/>
            </w:tcBorders>
          </w:tcPr>
          <w:p>
            <w:pPr>
              <w:spacing w:after="0"/>
              <w:rPr>
                <w:sz w:val="19"/>
                <w:szCs w:val="19"/>
                <w:color w:val="auto"/>
              </w:rPr>
            </w:pPr>
          </w:p>
        </w:tc>
        <w:tc>
          <w:tcPr>
            <w:tcW w:w="180" w:type="dxa"/>
            <w:vAlign w:val="bottom"/>
            <w:tcBorders>
              <w:bottom w:val="single" w:sz="8" w:color="DCDFED"/>
            </w:tcBorders>
          </w:tcPr>
          <w:p>
            <w:pPr>
              <w:spacing w:after="0"/>
              <w:rPr>
                <w:sz w:val="19"/>
                <w:szCs w:val="19"/>
                <w:color w:val="auto"/>
              </w:rPr>
            </w:pPr>
          </w:p>
        </w:tc>
        <w:tc>
          <w:tcPr>
            <w:tcW w:w="1200" w:type="dxa"/>
            <w:vAlign w:val="bottom"/>
            <w:tcBorders>
              <w:bottom w:val="single" w:sz="8" w:color="DCDFED"/>
            </w:tcBorders>
          </w:tcPr>
          <w:p>
            <w:pPr>
              <w:spacing w:after="0"/>
              <w:rPr>
                <w:sz w:val="19"/>
                <w:szCs w:val="19"/>
                <w:color w:val="auto"/>
              </w:rPr>
            </w:pPr>
          </w:p>
        </w:tc>
        <w:tc>
          <w:tcPr>
            <w:tcW w:w="300" w:type="dxa"/>
            <w:vAlign w:val="bottom"/>
            <w:tcBorders>
              <w:bottom w:val="single" w:sz="8" w:color="DCDFED"/>
            </w:tcBorders>
          </w:tcPr>
          <w:p>
            <w:pPr>
              <w:spacing w:after="0"/>
              <w:rPr>
                <w:sz w:val="19"/>
                <w:szCs w:val="19"/>
                <w:color w:val="auto"/>
              </w:rPr>
            </w:pPr>
          </w:p>
        </w:tc>
        <w:tc>
          <w:tcPr>
            <w:tcW w:w="1080" w:type="dxa"/>
            <w:vAlign w:val="bottom"/>
            <w:tcBorders>
              <w:bottom w:val="single" w:sz="8" w:color="DCDFED"/>
            </w:tcBorders>
          </w:tcPr>
          <w:p>
            <w:pPr>
              <w:spacing w:after="0"/>
              <w:rPr>
                <w:sz w:val="19"/>
                <w:szCs w:val="19"/>
                <w:color w:val="auto"/>
              </w:rPr>
            </w:pPr>
          </w:p>
        </w:tc>
        <w:tc>
          <w:tcPr>
            <w:tcW w:w="300" w:type="dxa"/>
            <w:vAlign w:val="bottom"/>
            <w:tcBorders>
              <w:bottom w:val="single" w:sz="8" w:color="DCDFED"/>
            </w:tcBorders>
          </w:tcPr>
          <w:p>
            <w:pPr>
              <w:spacing w:after="0"/>
              <w:rPr>
                <w:sz w:val="19"/>
                <w:szCs w:val="19"/>
                <w:color w:val="auto"/>
              </w:rPr>
            </w:pPr>
          </w:p>
        </w:tc>
        <w:tc>
          <w:tcPr>
            <w:tcW w:w="1180" w:type="dxa"/>
            <w:vAlign w:val="bottom"/>
            <w:tcBorders>
              <w:bottom w:val="single" w:sz="8" w:color="DCDFED"/>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(82.3)</w:t>
            </w:r>
          </w:p>
        </w:tc>
        <w:tc>
          <w:tcPr>
            <w:tcW w:w="0" w:type="dxa"/>
            <w:vAlign w:val="bottom"/>
          </w:tcPr>
          <w:p>
            <w:pPr>
              <w:spacing w:after="0"/>
              <w:rPr>
                <w:sz w:val="1"/>
                <w:szCs w:val="1"/>
                <w:color w:val="auto"/>
              </w:rPr>
            </w:pPr>
          </w:p>
        </w:tc>
      </w:tr>
      <w:tr>
        <w:trPr>
          <w:trHeight w:val="237"/>
        </w:trPr>
        <w:tc>
          <w:tcPr>
            <w:tcW w:w="3100" w:type="dxa"/>
            <w:vAlign w:val="bottom"/>
            <w:tcBorders>
              <w:bottom w:val="single" w:sz="8" w:color="DCDFED"/>
            </w:tcBorders>
            <w:gridSpan w:val="3"/>
            <w:shd w:val="clear" w:color="auto" w:fill="DCDFED"/>
          </w:tcPr>
          <w:p>
            <w:pPr>
              <w:ind w:left="20"/>
              <w:spacing w:after="0"/>
              <w:rPr>
                <w:sz w:val="20"/>
                <w:szCs w:val="20"/>
                <w:color w:val="auto"/>
              </w:rPr>
            </w:pPr>
            <w:r>
              <w:rPr>
                <w:rFonts w:ascii="Arial" w:cs="Arial" w:eastAsia="Arial" w:hAnsi="Arial"/>
                <w:sz w:val="17"/>
                <w:szCs w:val="17"/>
                <w:b w:val="1"/>
                <w:bCs w:val="1"/>
                <w:color w:val="auto"/>
              </w:rPr>
              <w:t>Income before income taxes</w:t>
            </w:r>
          </w:p>
        </w:tc>
        <w:tc>
          <w:tcPr>
            <w:tcW w:w="320" w:type="dxa"/>
            <w:vAlign w:val="bottom"/>
            <w:tcBorders>
              <w:bottom w:val="single" w:sz="8" w:color="DCDFED"/>
            </w:tcBorders>
            <w:shd w:val="clear" w:color="auto" w:fill="DCDFED"/>
          </w:tcPr>
          <w:p>
            <w:pPr>
              <w:spacing w:after="0"/>
              <w:rPr>
                <w:sz w:val="20"/>
                <w:szCs w:val="20"/>
                <w:color w:val="auto"/>
              </w:rPr>
            </w:pPr>
          </w:p>
        </w:tc>
        <w:tc>
          <w:tcPr>
            <w:tcW w:w="980" w:type="dxa"/>
            <w:vAlign w:val="bottom"/>
            <w:tcBorders>
              <w:bottom w:val="single" w:sz="8" w:color="DCDFED"/>
            </w:tcBorders>
            <w:shd w:val="clear" w:color="auto" w:fill="DCDFED"/>
          </w:tcPr>
          <w:p>
            <w:pPr>
              <w:spacing w:after="0"/>
              <w:rPr>
                <w:sz w:val="20"/>
                <w:szCs w:val="20"/>
                <w:color w:val="auto"/>
              </w:rPr>
            </w:pPr>
          </w:p>
        </w:tc>
        <w:tc>
          <w:tcPr>
            <w:tcW w:w="420" w:type="dxa"/>
            <w:vAlign w:val="bottom"/>
            <w:tcBorders>
              <w:bottom w:val="single" w:sz="8" w:color="DCDFED"/>
            </w:tcBorders>
            <w:shd w:val="clear" w:color="auto" w:fill="DCDFED"/>
          </w:tcPr>
          <w:p>
            <w:pPr>
              <w:spacing w:after="0"/>
              <w:rPr>
                <w:sz w:val="20"/>
                <w:szCs w:val="20"/>
                <w:color w:val="auto"/>
              </w:rPr>
            </w:pPr>
          </w:p>
        </w:tc>
        <w:tc>
          <w:tcPr>
            <w:tcW w:w="980" w:type="dxa"/>
            <w:vAlign w:val="bottom"/>
            <w:tcBorders>
              <w:bottom w:val="single" w:sz="8" w:color="DCDFED"/>
            </w:tcBorders>
            <w:shd w:val="clear" w:color="auto" w:fill="DCDFED"/>
          </w:tcPr>
          <w:p>
            <w:pPr>
              <w:spacing w:after="0"/>
              <w:rPr>
                <w:sz w:val="20"/>
                <w:szCs w:val="20"/>
                <w:color w:val="auto"/>
              </w:rPr>
            </w:pPr>
          </w:p>
        </w:tc>
        <w:tc>
          <w:tcPr>
            <w:tcW w:w="180" w:type="dxa"/>
            <w:vAlign w:val="bottom"/>
            <w:tcBorders>
              <w:bottom w:val="single" w:sz="8" w:color="DCDFED"/>
            </w:tcBorders>
            <w:shd w:val="clear" w:color="auto" w:fill="DCDFED"/>
          </w:tcPr>
          <w:p>
            <w:pPr>
              <w:spacing w:after="0"/>
              <w:rPr>
                <w:sz w:val="20"/>
                <w:szCs w:val="20"/>
                <w:color w:val="auto"/>
              </w:rPr>
            </w:pPr>
          </w:p>
        </w:tc>
        <w:tc>
          <w:tcPr>
            <w:tcW w:w="1200" w:type="dxa"/>
            <w:vAlign w:val="bottom"/>
            <w:tcBorders>
              <w:bottom w:val="single" w:sz="8" w:color="DCDFED"/>
            </w:tcBorders>
            <w:shd w:val="clear" w:color="auto" w:fill="DCDFED"/>
          </w:tcPr>
          <w:p>
            <w:pPr>
              <w:spacing w:after="0"/>
              <w:rPr>
                <w:sz w:val="20"/>
                <w:szCs w:val="20"/>
                <w:color w:val="auto"/>
              </w:rPr>
            </w:pPr>
          </w:p>
        </w:tc>
        <w:tc>
          <w:tcPr>
            <w:tcW w:w="300" w:type="dxa"/>
            <w:vAlign w:val="bottom"/>
            <w:tcBorders>
              <w:bottom w:val="single" w:sz="8" w:color="DCDFED"/>
            </w:tcBorders>
            <w:shd w:val="clear" w:color="auto" w:fill="DCDFED"/>
          </w:tcPr>
          <w:p>
            <w:pPr>
              <w:spacing w:after="0"/>
              <w:rPr>
                <w:sz w:val="20"/>
                <w:szCs w:val="20"/>
                <w:color w:val="auto"/>
              </w:rPr>
            </w:pPr>
          </w:p>
        </w:tc>
        <w:tc>
          <w:tcPr>
            <w:tcW w:w="1080" w:type="dxa"/>
            <w:vAlign w:val="bottom"/>
            <w:tcBorders>
              <w:bottom w:val="single" w:sz="8" w:color="DCDFED"/>
            </w:tcBorders>
            <w:shd w:val="clear" w:color="auto" w:fill="DCDFED"/>
          </w:tcPr>
          <w:p>
            <w:pPr>
              <w:spacing w:after="0"/>
              <w:rPr>
                <w:sz w:val="20"/>
                <w:szCs w:val="20"/>
                <w:color w:val="auto"/>
              </w:rPr>
            </w:pPr>
          </w:p>
        </w:tc>
        <w:tc>
          <w:tcPr>
            <w:tcW w:w="300" w:type="dxa"/>
            <w:vAlign w:val="bottom"/>
            <w:tcBorders>
              <w:bottom w:val="single" w:sz="8" w:color="DCDFED"/>
            </w:tcBorders>
            <w:shd w:val="clear" w:color="auto" w:fill="DCDFED"/>
          </w:tcPr>
          <w:p>
            <w:pPr>
              <w:spacing w:after="0"/>
              <w:rPr>
                <w:sz w:val="20"/>
                <w:szCs w:val="20"/>
                <w:color w:val="auto"/>
              </w:rPr>
            </w:pPr>
          </w:p>
        </w:tc>
        <w:tc>
          <w:tcPr>
            <w:tcW w:w="1180" w:type="dxa"/>
            <w:vAlign w:val="bottom"/>
            <w:tcBorders>
              <w:bottom w:val="single" w:sz="8" w:color="DCDFED"/>
            </w:tcBorders>
            <w:shd w:val="clear" w:color="auto" w:fill="DCDFED"/>
          </w:tcPr>
          <w:p>
            <w:pPr>
              <w:spacing w:after="0"/>
              <w:rPr>
                <w:sz w:val="20"/>
                <w:szCs w:val="20"/>
                <w:color w:val="auto"/>
              </w:rPr>
            </w:pPr>
          </w:p>
        </w:tc>
        <w:tc>
          <w:tcPr>
            <w:tcW w:w="260" w:type="dxa"/>
            <w:vAlign w:val="bottom"/>
            <w:tcBorders>
              <w:bottom w:val="single" w:sz="8" w:color="auto"/>
            </w:tcBorders>
            <w:shd w:val="clear" w:color="auto" w:fill="DCDFED"/>
          </w:tcPr>
          <w:p>
            <w:pPr>
              <w:jc w:val="right"/>
              <w:ind w:right="74"/>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auto"/>
            </w:tcBorders>
            <w:shd w:val="clear" w:color="auto" w:fill="DCDFED"/>
          </w:tcPr>
          <w:p>
            <w:pPr>
              <w:jc w:val="right"/>
              <w:spacing w:after="0"/>
              <w:rPr>
                <w:sz w:val="20"/>
                <w:szCs w:val="20"/>
                <w:color w:val="auto"/>
              </w:rPr>
            </w:pPr>
            <w:r>
              <w:rPr>
                <w:rFonts w:ascii="Arial" w:cs="Arial" w:eastAsia="Arial" w:hAnsi="Arial"/>
                <w:sz w:val="17"/>
                <w:szCs w:val="17"/>
                <w:color w:val="auto"/>
              </w:rPr>
              <w:t>331.1</w:t>
            </w:r>
          </w:p>
        </w:tc>
        <w:tc>
          <w:tcPr>
            <w:tcW w:w="0" w:type="dxa"/>
            <w:vAlign w:val="bottom"/>
          </w:tcPr>
          <w:p>
            <w:pPr>
              <w:spacing w:after="0"/>
              <w:rPr>
                <w:sz w:val="1"/>
                <w:szCs w:val="1"/>
                <w:color w:val="auto"/>
              </w:rPr>
            </w:pPr>
          </w:p>
        </w:tc>
      </w:tr>
      <w:tr>
        <w:trPr>
          <w:trHeight w:val="20"/>
        </w:trPr>
        <w:tc>
          <w:tcPr>
            <w:tcW w:w="20" w:type="dxa"/>
            <w:vAlign w:val="bottom"/>
            <w:tcBorders>
              <w:top w:val="single" w:sz="8" w:color="DCDFED"/>
            </w:tcBorders>
          </w:tcPr>
          <w:p>
            <w:pPr>
              <w:spacing w:after="0" w:line="20" w:lineRule="exact"/>
              <w:rPr>
                <w:sz w:val="1"/>
                <w:szCs w:val="1"/>
                <w:color w:val="auto"/>
              </w:rPr>
            </w:pPr>
          </w:p>
        </w:tc>
        <w:tc>
          <w:tcPr>
            <w:tcW w:w="680" w:type="dxa"/>
            <w:vAlign w:val="bottom"/>
            <w:tcBorders>
              <w:top w:val="single" w:sz="8" w:color="DCDFED"/>
            </w:tcBorders>
          </w:tcPr>
          <w:p>
            <w:pPr>
              <w:spacing w:after="0" w:line="20" w:lineRule="exact"/>
              <w:rPr>
                <w:sz w:val="1"/>
                <w:szCs w:val="1"/>
                <w:color w:val="auto"/>
              </w:rPr>
            </w:pPr>
          </w:p>
        </w:tc>
        <w:tc>
          <w:tcPr>
            <w:tcW w:w="2400" w:type="dxa"/>
            <w:vAlign w:val="bottom"/>
            <w:tcBorders>
              <w:top w:val="single" w:sz="8" w:color="DCDFED"/>
            </w:tcBorders>
          </w:tcPr>
          <w:p>
            <w:pPr>
              <w:spacing w:after="0" w:line="20" w:lineRule="exact"/>
              <w:rPr>
                <w:sz w:val="1"/>
                <w:szCs w:val="1"/>
                <w:color w:val="auto"/>
              </w:rPr>
            </w:pPr>
          </w:p>
        </w:tc>
        <w:tc>
          <w:tcPr>
            <w:tcW w:w="320" w:type="dxa"/>
            <w:vAlign w:val="bottom"/>
            <w:tcBorders>
              <w:top w:val="single" w:sz="8" w:color="DCDFED"/>
            </w:tcBorders>
          </w:tcPr>
          <w:p>
            <w:pPr>
              <w:spacing w:after="0" w:line="20" w:lineRule="exact"/>
              <w:rPr>
                <w:sz w:val="1"/>
                <w:szCs w:val="1"/>
                <w:color w:val="auto"/>
              </w:rPr>
            </w:pPr>
          </w:p>
        </w:tc>
        <w:tc>
          <w:tcPr>
            <w:tcW w:w="980" w:type="dxa"/>
            <w:vAlign w:val="bottom"/>
            <w:tcBorders>
              <w:top w:val="single" w:sz="8" w:color="DCDFED"/>
            </w:tcBorders>
          </w:tcPr>
          <w:p>
            <w:pPr>
              <w:spacing w:after="0" w:line="20" w:lineRule="exact"/>
              <w:rPr>
                <w:sz w:val="1"/>
                <w:szCs w:val="1"/>
                <w:color w:val="auto"/>
              </w:rPr>
            </w:pPr>
          </w:p>
        </w:tc>
        <w:tc>
          <w:tcPr>
            <w:tcW w:w="420" w:type="dxa"/>
            <w:vAlign w:val="bottom"/>
            <w:tcBorders>
              <w:top w:val="single" w:sz="8" w:color="DCDFED"/>
            </w:tcBorders>
          </w:tcPr>
          <w:p>
            <w:pPr>
              <w:spacing w:after="0" w:line="20" w:lineRule="exact"/>
              <w:rPr>
                <w:sz w:val="1"/>
                <w:szCs w:val="1"/>
                <w:color w:val="auto"/>
              </w:rPr>
            </w:pPr>
          </w:p>
        </w:tc>
        <w:tc>
          <w:tcPr>
            <w:tcW w:w="980" w:type="dxa"/>
            <w:vAlign w:val="bottom"/>
            <w:tcBorders>
              <w:top w:val="single" w:sz="8" w:color="DCDFED"/>
            </w:tcBorders>
          </w:tcPr>
          <w:p>
            <w:pPr>
              <w:spacing w:after="0" w:line="20" w:lineRule="exact"/>
              <w:rPr>
                <w:sz w:val="1"/>
                <w:szCs w:val="1"/>
                <w:color w:val="auto"/>
              </w:rPr>
            </w:pPr>
          </w:p>
        </w:tc>
        <w:tc>
          <w:tcPr>
            <w:tcW w:w="180" w:type="dxa"/>
            <w:vAlign w:val="bottom"/>
            <w:tcBorders>
              <w:top w:val="single" w:sz="8" w:color="DCDFED"/>
            </w:tcBorders>
          </w:tcPr>
          <w:p>
            <w:pPr>
              <w:spacing w:after="0" w:line="20" w:lineRule="exact"/>
              <w:rPr>
                <w:sz w:val="1"/>
                <w:szCs w:val="1"/>
                <w:color w:val="auto"/>
              </w:rPr>
            </w:pPr>
          </w:p>
        </w:tc>
        <w:tc>
          <w:tcPr>
            <w:tcW w:w="1200" w:type="dxa"/>
            <w:vAlign w:val="bottom"/>
            <w:tcBorders>
              <w:top w:val="single" w:sz="8" w:color="DCDFED"/>
            </w:tcBorders>
          </w:tcPr>
          <w:p>
            <w:pPr>
              <w:spacing w:after="0" w:line="20" w:lineRule="exact"/>
              <w:rPr>
                <w:sz w:val="1"/>
                <w:szCs w:val="1"/>
                <w:color w:val="auto"/>
              </w:rPr>
            </w:pPr>
          </w:p>
        </w:tc>
        <w:tc>
          <w:tcPr>
            <w:tcW w:w="300" w:type="dxa"/>
            <w:vAlign w:val="bottom"/>
            <w:tcBorders>
              <w:top w:val="single" w:sz="8" w:color="DCDFED"/>
            </w:tcBorders>
          </w:tcPr>
          <w:p>
            <w:pPr>
              <w:spacing w:after="0" w:line="20" w:lineRule="exact"/>
              <w:rPr>
                <w:sz w:val="1"/>
                <w:szCs w:val="1"/>
                <w:color w:val="auto"/>
              </w:rPr>
            </w:pPr>
          </w:p>
        </w:tc>
        <w:tc>
          <w:tcPr>
            <w:tcW w:w="1080" w:type="dxa"/>
            <w:vAlign w:val="bottom"/>
            <w:tcBorders>
              <w:top w:val="single" w:sz="8" w:color="DCDFED"/>
            </w:tcBorders>
          </w:tcPr>
          <w:p>
            <w:pPr>
              <w:spacing w:after="0" w:line="20" w:lineRule="exact"/>
              <w:rPr>
                <w:sz w:val="1"/>
                <w:szCs w:val="1"/>
                <w:color w:val="auto"/>
              </w:rPr>
            </w:pPr>
          </w:p>
        </w:tc>
        <w:tc>
          <w:tcPr>
            <w:tcW w:w="300" w:type="dxa"/>
            <w:vAlign w:val="bottom"/>
            <w:tcBorders>
              <w:top w:val="single" w:sz="8" w:color="DCDFED"/>
            </w:tcBorders>
          </w:tcPr>
          <w:p>
            <w:pPr>
              <w:spacing w:after="0" w:line="20" w:lineRule="exact"/>
              <w:rPr>
                <w:sz w:val="1"/>
                <w:szCs w:val="1"/>
                <w:color w:val="auto"/>
              </w:rPr>
            </w:pPr>
          </w:p>
        </w:tc>
        <w:tc>
          <w:tcPr>
            <w:tcW w:w="1180" w:type="dxa"/>
            <w:vAlign w:val="bottom"/>
            <w:tcBorders>
              <w:top w:val="single" w:sz="8" w:color="DCDFED"/>
            </w:tcBorders>
          </w:tcPr>
          <w:p>
            <w:pPr>
              <w:spacing w:after="0" w:line="20" w:lineRule="exact"/>
              <w:rPr>
                <w:sz w:val="1"/>
                <w:szCs w:val="1"/>
                <w:color w:val="auto"/>
              </w:rPr>
            </w:pPr>
          </w:p>
        </w:tc>
        <w:tc>
          <w:tcPr>
            <w:tcW w:w="260" w:type="dxa"/>
            <w:vAlign w:val="bottom"/>
            <w:tcBorders>
              <w:top w:val="single" w:sz="8" w:color="DCDFED"/>
              <w:bottom w:val="single" w:sz="8" w:color="auto"/>
            </w:tcBorders>
          </w:tcPr>
          <w:p>
            <w:pPr>
              <w:spacing w:after="0" w:line="20" w:lineRule="exact"/>
              <w:rPr>
                <w:sz w:val="1"/>
                <w:szCs w:val="1"/>
                <w:color w:val="auto"/>
              </w:rPr>
            </w:pPr>
          </w:p>
        </w:tc>
        <w:tc>
          <w:tcPr>
            <w:tcW w:w="940" w:type="dxa"/>
            <w:vAlign w:val="bottom"/>
            <w:tcBorders>
              <w:top w:val="single" w:sz="8" w:color="DCDFED"/>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0"/>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980" w:type="dxa"/>
            <w:vAlign w:val="bottom"/>
          </w:tcPr>
          <w:p>
            <w:pPr>
              <w:spacing w:after="0"/>
              <w:rPr>
                <w:sz w:val="8"/>
                <w:szCs w:val="8"/>
                <w:color w:val="auto"/>
              </w:rPr>
            </w:pPr>
          </w:p>
        </w:tc>
        <w:tc>
          <w:tcPr>
            <w:tcW w:w="420" w:type="dxa"/>
            <w:vAlign w:val="bottom"/>
          </w:tcPr>
          <w:p>
            <w:pPr>
              <w:spacing w:after="0"/>
              <w:rPr>
                <w:sz w:val="8"/>
                <w:szCs w:val="8"/>
                <w:color w:val="auto"/>
              </w:rPr>
            </w:pPr>
          </w:p>
        </w:tc>
        <w:tc>
          <w:tcPr>
            <w:tcW w:w="9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9"/>
        </w:trPr>
        <w:tc>
          <w:tcPr>
            <w:tcW w:w="3100" w:type="dxa"/>
            <w:vAlign w:val="bottom"/>
            <w:gridSpan w:val="3"/>
            <w:shd w:val="clear" w:color="auto" w:fill="DCDFED"/>
          </w:tcPr>
          <w:p>
            <w:pPr>
              <w:ind w:left="20"/>
              <w:spacing w:after="0" w:line="219" w:lineRule="exact"/>
              <w:rPr>
                <w:sz w:val="20"/>
                <w:szCs w:val="20"/>
                <w:color w:val="auto"/>
              </w:rPr>
            </w:pPr>
            <w:r>
              <w:rPr>
                <w:rFonts w:ascii="Arial" w:cs="Arial" w:eastAsia="Arial" w:hAnsi="Arial"/>
                <w:sz w:val="17"/>
                <w:szCs w:val="17"/>
                <w:b w:val="1"/>
                <w:bCs w:val="1"/>
                <w:color w:val="auto"/>
              </w:rPr>
              <w:t>Other significant segment items</w:t>
            </w:r>
            <w:r>
              <w:rPr>
                <w:rFonts w:ascii="Arial" w:cs="Arial" w:eastAsia="Arial" w:hAnsi="Arial"/>
                <w:sz w:val="22"/>
                <w:szCs w:val="22"/>
                <w:b w:val="1"/>
                <w:bCs w:val="1"/>
                <w:color w:val="auto"/>
                <w:vertAlign w:val="superscript"/>
              </w:rPr>
              <w:t>(3)</w:t>
            </w:r>
          </w:p>
        </w:tc>
        <w:tc>
          <w:tcPr>
            <w:tcW w:w="320" w:type="dxa"/>
            <w:vAlign w:val="bottom"/>
            <w:shd w:val="clear" w:color="auto" w:fill="DCDFED"/>
          </w:tcPr>
          <w:p>
            <w:pPr>
              <w:spacing w:after="0"/>
              <w:rPr>
                <w:sz w:val="19"/>
                <w:szCs w:val="19"/>
                <w:color w:val="auto"/>
              </w:rPr>
            </w:pPr>
          </w:p>
        </w:tc>
        <w:tc>
          <w:tcPr>
            <w:tcW w:w="980" w:type="dxa"/>
            <w:vAlign w:val="bottom"/>
            <w:shd w:val="clear" w:color="auto" w:fill="DCDFED"/>
          </w:tcPr>
          <w:p>
            <w:pPr>
              <w:spacing w:after="0"/>
              <w:rPr>
                <w:sz w:val="19"/>
                <w:szCs w:val="19"/>
                <w:color w:val="auto"/>
              </w:rPr>
            </w:pPr>
          </w:p>
        </w:tc>
        <w:tc>
          <w:tcPr>
            <w:tcW w:w="420" w:type="dxa"/>
            <w:vAlign w:val="bottom"/>
            <w:shd w:val="clear" w:color="auto" w:fill="DCDFED"/>
          </w:tcPr>
          <w:p>
            <w:pPr>
              <w:spacing w:after="0"/>
              <w:rPr>
                <w:sz w:val="19"/>
                <w:szCs w:val="19"/>
                <w:color w:val="auto"/>
              </w:rPr>
            </w:pPr>
          </w:p>
        </w:tc>
        <w:tc>
          <w:tcPr>
            <w:tcW w:w="980" w:type="dxa"/>
            <w:vAlign w:val="bottom"/>
            <w:shd w:val="clear" w:color="auto" w:fill="DCDFED"/>
          </w:tcPr>
          <w:p>
            <w:pPr>
              <w:spacing w:after="0"/>
              <w:rPr>
                <w:sz w:val="19"/>
                <w:szCs w:val="19"/>
                <w:color w:val="auto"/>
              </w:rPr>
            </w:pPr>
          </w:p>
        </w:tc>
        <w:tc>
          <w:tcPr>
            <w:tcW w:w="180" w:type="dxa"/>
            <w:vAlign w:val="bottom"/>
            <w:shd w:val="clear" w:color="auto" w:fill="DCDFED"/>
          </w:tcPr>
          <w:p>
            <w:pPr>
              <w:spacing w:after="0"/>
              <w:rPr>
                <w:sz w:val="19"/>
                <w:szCs w:val="19"/>
                <w:color w:val="auto"/>
              </w:rPr>
            </w:pPr>
          </w:p>
        </w:tc>
        <w:tc>
          <w:tcPr>
            <w:tcW w:w="1200" w:type="dxa"/>
            <w:vAlign w:val="bottom"/>
            <w:shd w:val="clear" w:color="auto" w:fill="DCDFED"/>
          </w:tcPr>
          <w:p>
            <w:pPr>
              <w:spacing w:after="0"/>
              <w:rPr>
                <w:sz w:val="19"/>
                <w:szCs w:val="19"/>
                <w:color w:val="auto"/>
              </w:rPr>
            </w:pPr>
          </w:p>
        </w:tc>
        <w:tc>
          <w:tcPr>
            <w:tcW w:w="300" w:type="dxa"/>
            <w:vAlign w:val="bottom"/>
            <w:shd w:val="clear" w:color="auto" w:fill="DCDFED"/>
          </w:tcPr>
          <w:p>
            <w:pPr>
              <w:spacing w:after="0"/>
              <w:rPr>
                <w:sz w:val="19"/>
                <w:szCs w:val="19"/>
                <w:color w:val="auto"/>
              </w:rPr>
            </w:pPr>
          </w:p>
        </w:tc>
        <w:tc>
          <w:tcPr>
            <w:tcW w:w="1080" w:type="dxa"/>
            <w:vAlign w:val="bottom"/>
            <w:shd w:val="clear" w:color="auto" w:fill="DCDFED"/>
          </w:tcPr>
          <w:p>
            <w:pPr>
              <w:spacing w:after="0"/>
              <w:rPr>
                <w:sz w:val="19"/>
                <w:szCs w:val="19"/>
                <w:color w:val="auto"/>
              </w:rPr>
            </w:pPr>
          </w:p>
        </w:tc>
        <w:tc>
          <w:tcPr>
            <w:tcW w:w="300" w:type="dxa"/>
            <w:vAlign w:val="bottom"/>
            <w:shd w:val="clear" w:color="auto" w:fill="DCDFED"/>
          </w:tcPr>
          <w:p>
            <w:pPr>
              <w:spacing w:after="0"/>
              <w:rPr>
                <w:sz w:val="19"/>
                <w:szCs w:val="19"/>
                <w:color w:val="auto"/>
              </w:rPr>
            </w:pPr>
          </w:p>
        </w:tc>
        <w:tc>
          <w:tcPr>
            <w:tcW w:w="1180" w:type="dxa"/>
            <w:vAlign w:val="bottom"/>
            <w:shd w:val="clear" w:color="auto" w:fill="DCDFED"/>
          </w:tcPr>
          <w:p>
            <w:pPr>
              <w:spacing w:after="0"/>
              <w:rPr>
                <w:sz w:val="19"/>
                <w:szCs w:val="19"/>
                <w:color w:val="auto"/>
              </w:rPr>
            </w:pPr>
          </w:p>
        </w:tc>
        <w:tc>
          <w:tcPr>
            <w:tcW w:w="260" w:type="dxa"/>
            <w:vAlign w:val="bottom"/>
            <w:shd w:val="clear" w:color="auto" w:fill="DCDFED"/>
          </w:tcPr>
          <w:p>
            <w:pPr>
              <w:spacing w:after="0"/>
              <w:rPr>
                <w:sz w:val="19"/>
                <w:szCs w:val="19"/>
                <w:color w:val="auto"/>
              </w:rPr>
            </w:pPr>
          </w:p>
        </w:tc>
        <w:tc>
          <w:tcPr>
            <w:tcW w:w="940" w:type="dxa"/>
            <w:vAlign w:val="bottom"/>
            <w:shd w:val="clear" w:color="auto" w:fill="DCDFED"/>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080" w:type="dxa"/>
            <w:vAlign w:val="bottom"/>
            <w:gridSpan w:val="2"/>
          </w:tcPr>
          <w:p>
            <w:pPr>
              <w:ind w:left="100"/>
              <w:spacing w:after="0"/>
              <w:rPr>
                <w:sz w:val="20"/>
                <w:szCs w:val="20"/>
                <w:color w:val="auto"/>
              </w:rPr>
            </w:pPr>
            <w:r>
              <w:rPr>
                <w:rFonts w:ascii="Arial" w:cs="Arial" w:eastAsia="Arial" w:hAnsi="Arial"/>
                <w:sz w:val="17"/>
                <w:szCs w:val="17"/>
                <w:color w:val="auto"/>
              </w:rPr>
              <w:t>Materials and supplies</w:t>
            </w:r>
          </w:p>
        </w:tc>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116.9</w:t>
            </w:r>
          </w:p>
        </w:tc>
        <w:tc>
          <w:tcPr>
            <w:tcW w:w="420" w:type="dxa"/>
            <w:vAlign w:val="bottom"/>
          </w:tcPr>
          <w:p>
            <w:pPr>
              <w:jc w:val="right"/>
              <w:ind w:right="154"/>
              <w:spacing w:after="0"/>
              <w:rPr>
                <w:sz w:val="20"/>
                <w:szCs w:val="20"/>
                <w:color w:val="auto"/>
              </w:rPr>
            </w:pPr>
            <w:r>
              <w:rPr>
                <w:rFonts w:ascii="Arial" w:cs="Arial" w:eastAsia="Arial" w:hAnsi="Arial"/>
                <w:sz w:val="17"/>
                <w:szCs w:val="17"/>
                <w:color w:val="auto"/>
              </w:rPr>
              <w:t>$</w:t>
            </w:r>
          </w:p>
        </w:tc>
        <w:tc>
          <w:tcPr>
            <w:tcW w:w="980" w:type="dxa"/>
            <w:vAlign w:val="bottom"/>
          </w:tcPr>
          <w:p>
            <w:pPr>
              <w:jc w:val="right"/>
              <w:ind w:right="15"/>
              <w:spacing w:after="0"/>
              <w:rPr>
                <w:sz w:val="20"/>
                <w:szCs w:val="20"/>
                <w:color w:val="auto"/>
              </w:rPr>
            </w:pPr>
            <w:r>
              <w:rPr>
                <w:rFonts w:ascii="Arial" w:cs="Arial" w:eastAsia="Arial" w:hAnsi="Arial"/>
                <w:sz w:val="17"/>
                <w:szCs w:val="17"/>
                <w:color w:val="auto"/>
              </w:rPr>
              <w:t>68.2</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200" w:type="dxa"/>
            <w:vAlign w:val="bottom"/>
          </w:tcPr>
          <w:p>
            <w:pPr>
              <w:jc w:val="right"/>
              <w:ind w:right="15"/>
              <w:spacing w:after="0"/>
              <w:rPr>
                <w:sz w:val="20"/>
                <w:szCs w:val="20"/>
                <w:color w:val="auto"/>
              </w:rPr>
            </w:pPr>
            <w:r>
              <w:rPr>
                <w:rFonts w:ascii="Arial" w:cs="Arial" w:eastAsia="Arial" w:hAnsi="Arial"/>
                <w:sz w:val="17"/>
                <w:szCs w:val="17"/>
                <w:color w:val="auto"/>
              </w:rPr>
              <w:t>24.8</w:t>
            </w:r>
          </w:p>
        </w:tc>
        <w:tc>
          <w:tcPr>
            <w:tcW w:w="300" w:type="dxa"/>
            <w:vAlign w:val="bottom"/>
          </w:tcPr>
          <w:p>
            <w:pPr>
              <w:jc w:val="right"/>
              <w:ind w:right="34"/>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48.3</w:t>
            </w:r>
          </w:p>
        </w:tc>
        <w:tc>
          <w:tcPr>
            <w:tcW w:w="300" w:type="dxa"/>
            <w:vAlign w:val="bottom"/>
          </w:tcPr>
          <w:p>
            <w:pPr>
              <w:jc w:val="right"/>
              <w:ind w:right="14"/>
              <w:spacing w:after="0"/>
              <w:rPr>
                <w:sz w:val="20"/>
                <w:szCs w:val="20"/>
                <w:color w:val="auto"/>
              </w:rPr>
            </w:pPr>
            <w:r>
              <w:rPr>
                <w:rFonts w:ascii="Arial" w:cs="Arial" w:eastAsia="Arial" w:hAnsi="Arial"/>
                <w:sz w:val="17"/>
                <w:szCs w:val="17"/>
                <w:color w:val="auto"/>
              </w:rPr>
              <w:t>$</w:t>
            </w:r>
          </w:p>
        </w:tc>
        <w:tc>
          <w:tcPr>
            <w:tcW w:w="1180" w:type="dxa"/>
            <w:vAlign w:val="bottom"/>
          </w:tcPr>
          <w:p>
            <w:pPr>
              <w:jc w:val="right"/>
              <w:ind w:right="96"/>
              <w:spacing w:after="0"/>
              <w:rPr>
                <w:sz w:val="20"/>
                <w:szCs w:val="20"/>
                <w:color w:val="auto"/>
              </w:rPr>
            </w:pPr>
            <w:r>
              <w:rPr>
                <w:rFonts w:ascii="Arial" w:cs="Arial" w:eastAsia="Arial" w:hAnsi="Arial"/>
                <w:sz w:val="17"/>
                <w:szCs w:val="17"/>
                <w:color w:val="auto"/>
              </w:rPr>
              <w:t>154.8</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DCDFED"/>
          </w:tcPr>
          <w:p>
            <w:pPr>
              <w:spacing w:after="0"/>
              <w:rPr>
                <w:sz w:val="19"/>
                <w:szCs w:val="19"/>
                <w:color w:val="auto"/>
              </w:rPr>
            </w:pPr>
          </w:p>
        </w:tc>
        <w:tc>
          <w:tcPr>
            <w:tcW w:w="3080" w:type="dxa"/>
            <w:vAlign w:val="bottom"/>
            <w:gridSpan w:val="2"/>
            <w:shd w:val="clear" w:color="auto" w:fill="DCDFED"/>
          </w:tcPr>
          <w:p>
            <w:pPr>
              <w:ind w:left="100"/>
              <w:spacing w:after="0"/>
              <w:rPr>
                <w:sz w:val="20"/>
                <w:szCs w:val="20"/>
                <w:color w:val="auto"/>
              </w:rPr>
            </w:pPr>
            <w:r>
              <w:rPr>
                <w:rFonts w:ascii="Arial" w:cs="Arial" w:eastAsia="Arial" w:hAnsi="Arial"/>
                <w:sz w:val="17"/>
                <w:szCs w:val="17"/>
                <w:color w:val="auto"/>
              </w:rPr>
              <w:t>Salaries and wages (other than direct)</w:t>
            </w:r>
          </w:p>
        </w:tc>
        <w:tc>
          <w:tcPr>
            <w:tcW w:w="320" w:type="dxa"/>
            <w:vAlign w:val="bottom"/>
            <w:shd w:val="clear" w:color="auto" w:fill="DCDFED"/>
          </w:tcPr>
          <w:p>
            <w:pPr>
              <w:spacing w:after="0"/>
              <w:rPr>
                <w:sz w:val="19"/>
                <w:szCs w:val="19"/>
                <w:color w:val="auto"/>
              </w:rPr>
            </w:pPr>
          </w:p>
        </w:tc>
        <w:tc>
          <w:tcPr>
            <w:tcW w:w="980" w:type="dxa"/>
            <w:vAlign w:val="bottom"/>
            <w:shd w:val="clear" w:color="auto" w:fill="DCDFED"/>
          </w:tcPr>
          <w:p>
            <w:pPr>
              <w:jc w:val="right"/>
              <w:spacing w:after="0"/>
              <w:rPr>
                <w:sz w:val="20"/>
                <w:szCs w:val="20"/>
                <w:color w:val="auto"/>
              </w:rPr>
            </w:pPr>
            <w:r>
              <w:rPr>
                <w:rFonts w:ascii="Arial" w:cs="Arial" w:eastAsia="Arial" w:hAnsi="Arial"/>
                <w:sz w:val="17"/>
                <w:szCs w:val="17"/>
                <w:color w:val="auto"/>
              </w:rPr>
              <w:t>133.6</w:t>
            </w:r>
          </w:p>
        </w:tc>
        <w:tc>
          <w:tcPr>
            <w:tcW w:w="420" w:type="dxa"/>
            <w:vAlign w:val="bottom"/>
            <w:shd w:val="clear" w:color="auto" w:fill="DCDFED"/>
          </w:tcPr>
          <w:p>
            <w:pPr>
              <w:spacing w:after="0"/>
              <w:rPr>
                <w:sz w:val="19"/>
                <w:szCs w:val="19"/>
                <w:color w:val="auto"/>
              </w:rPr>
            </w:pPr>
          </w:p>
        </w:tc>
        <w:tc>
          <w:tcPr>
            <w:tcW w:w="980" w:type="dxa"/>
            <w:vAlign w:val="bottom"/>
            <w:shd w:val="clear" w:color="auto" w:fill="DCDFED"/>
          </w:tcPr>
          <w:p>
            <w:pPr>
              <w:jc w:val="right"/>
              <w:ind w:right="15"/>
              <w:spacing w:after="0"/>
              <w:rPr>
                <w:sz w:val="20"/>
                <w:szCs w:val="20"/>
                <w:color w:val="auto"/>
              </w:rPr>
            </w:pPr>
            <w:r>
              <w:rPr>
                <w:rFonts w:ascii="Arial" w:cs="Arial" w:eastAsia="Arial" w:hAnsi="Arial"/>
                <w:sz w:val="17"/>
                <w:szCs w:val="17"/>
                <w:color w:val="auto"/>
              </w:rPr>
              <w:t>21.4</w:t>
            </w:r>
          </w:p>
        </w:tc>
        <w:tc>
          <w:tcPr>
            <w:tcW w:w="180" w:type="dxa"/>
            <w:vAlign w:val="bottom"/>
            <w:shd w:val="clear" w:color="auto" w:fill="DCDFED"/>
          </w:tcPr>
          <w:p>
            <w:pPr>
              <w:spacing w:after="0"/>
              <w:rPr>
                <w:sz w:val="19"/>
                <w:szCs w:val="19"/>
                <w:color w:val="auto"/>
              </w:rPr>
            </w:pPr>
          </w:p>
        </w:tc>
        <w:tc>
          <w:tcPr>
            <w:tcW w:w="1200" w:type="dxa"/>
            <w:vAlign w:val="bottom"/>
            <w:shd w:val="clear" w:color="auto" w:fill="DCDFED"/>
          </w:tcPr>
          <w:p>
            <w:pPr>
              <w:jc w:val="right"/>
              <w:ind w:right="15"/>
              <w:spacing w:after="0"/>
              <w:rPr>
                <w:sz w:val="20"/>
                <w:szCs w:val="20"/>
                <w:color w:val="auto"/>
              </w:rPr>
            </w:pPr>
            <w:r>
              <w:rPr>
                <w:rFonts w:ascii="Arial" w:cs="Arial" w:eastAsia="Arial" w:hAnsi="Arial"/>
                <w:sz w:val="17"/>
                <w:szCs w:val="17"/>
                <w:color w:val="auto"/>
              </w:rPr>
              <w:t>16.9</w:t>
            </w:r>
          </w:p>
        </w:tc>
        <w:tc>
          <w:tcPr>
            <w:tcW w:w="300" w:type="dxa"/>
            <w:vAlign w:val="bottom"/>
            <w:shd w:val="clear" w:color="auto" w:fill="DCDFED"/>
          </w:tcPr>
          <w:p>
            <w:pPr>
              <w:spacing w:after="0"/>
              <w:rPr>
                <w:sz w:val="19"/>
                <w:szCs w:val="19"/>
                <w:color w:val="auto"/>
              </w:rPr>
            </w:pPr>
          </w:p>
        </w:tc>
        <w:tc>
          <w:tcPr>
            <w:tcW w:w="1080" w:type="dxa"/>
            <w:vAlign w:val="bottom"/>
            <w:shd w:val="clear" w:color="auto" w:fill="DCDFED"/>
          </w:tcPr>
          <w:p>
            <w:pPr>
              <w:jc w:val="right"/>
              <w:spacing w:after="0"/>
              <w:rPr>
                <w:sz w:val="20"/>
                <w:szCs w:val="20"/>
                <w:color w:val="auto"/>
              </w:rPr>
            </w:pPr>
            <w:r>
              <w:rPr>
                <w:rFonts w:ascii="Arial" w:cs="Arial" w:eastAsia="Arial" w:hAnsi="Arial"/>
                <w:sz w:val="17"/>
                <w:szCs w:val="17"/>
                <w:color w:val="auto"/>
              </w:rPr>
              <w:t>18.0</w:t>
            </w:r>
          </w:p>
        </w:tc>
        <w:tc>
          <w:tcPr>
            <w:tcW w:w="300" w:type="dxa"/>
            <w:vAlign w:val="bottom"/>
            <w:shd w:val="clear" w:color="auto" w:fill="DCDFED"/>
          </w:tcPr>
          <w:p>
            <w:pPr>
              <w:spacing w:after="0"/>
              <w:rPr>
                <w:sz w:val="19"/>
                <w:szCs w:val="19"/>
                <w:color w:val="auto"/>
              </w:rPr>
            </w:pPr>
          </w:p>
        </w:tc>
        <w:tc>
          <w:tcPr>
            <w:tcW w:w="1180" w:type="dxa"/>
            <w:vAlign w:val="bottom"/>
            <w:shd w:val="clear" w:color="auto" w:fill="DCDFED"/>
          </w:tcPr>
          <w:p>
            <w:pPr>
              <w:jc w:val="right"/>
              <w:ind w:right="96"/>
              <w:spacing w:after="0"/>
              <w:rPr>
                <w:sz w:val="20"/>
                <w:szCs w:val="20"/>
                <w:color w:val="auto"/>
              </w:rPr>
            </w:pPr>
            <w:r>
              <w:rPr>
                <w:rFonts w:ascii="Arial" w:cs="Arial" w:eastAsia="Arial" w:hAnsi="Arial"/>
                <w:sz w:val="17"/>
                <w:szCs w:val="17"/>
                <w:color w:val="auto"/>
              </w:rPr>
              <w:t>94.1</w:t>
            </w:r>
          </w:p>
        </w:tc>
        <w:tc>
          <w:tcPr>
            <w:tcW w:w="260" w:type="dxa"/>
            <w:vAlign w:val="bottom"/>
            <w:shd w:val="clear" w:color="auto" w:fill="DCDFED"/>
          </w:tcPr>
          <w:p>
            <w:pPr>
              <w:spacing w:after="0"/>
              <w:rPr>
                <w:sz w:val="19"/>
                <w:szCs w:val="19"/>
                <w:color w:val="auto"/>
              </w:rPr>
            </w:pPr>
          </w:p>
        </w:tc>
        <w:tc>
          <w:tcPr>
            <w:tcW w:w="940" w:type="dxa"/>
            <w:vAlign w:val="bottom"/>
            <w:shd w:val="clear" w:color="auto" w:fill="DCDFED"/>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080" w:type="dxa"/>
            <w:vAlign w:val="bottom"/>
            <w:gridSpan w:val="2"/>
          </w:tcPr>
          <w:p>
            <w:pPr>
              <w:ind w:left="100"/>
              <w:spacing w:after="0"/>
              <w:rPr>
                <w:sz w:val="20"/>
                <w:szCs w:val="20"/>
                <w:color w:val="auto"/>
              </w:rPr>
            </w:pPr>
            <w:r>
              <w:rPr>
                <w:rFonts w:ascii="Arial" w:cs="Arial" w:eastAsia="Arial" w:hAnsi="Arial"/>
                <w:sz w:val="17"/>
                <w:szCs w:val="17"/>
                <w:color w:val="auto"/>
              </w:rPr>
              <w:t>Consulting and professional services</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14.4</w:t>
            </w:r>
          </w:p>
        </w:tc>
        <w:tc>
          <w:tcPr>
            <w:tcW w:w="420" w:type="dxa"/>
            <w:vAlign w:val="bottom"/>
          </w:tcPr>
          <w:p>
            <w:pPr>
              <w:spacing w:after="0"/>
              <w:rPr>
                <w:sz w:val="19"/>
                <w:szCs w:val="19"/>
                <w:color w:val="auto"/>
              </w:rPr>
            </w:pPr>
          </w:p>
        </w:tc>
        <w:tc>
          <w:tcPr>
            <w:tcW w:w="980" w:type="dxa"/>
            <w:vAlign w:val="bottom"/>
          </w:tcPr>
          <w:p>
            <w:pPr>
              <w:jc w:val="right"/>
              <w:ind w:right="15"/>
              <w:spacing w:after="0"/>
              <w:rPr>
                <w:sz w:val="20"/>
                <w:szCs w:val="20"/>
                <w:color w:val="auto"/>
              </w:rPr>
            </w:pPr>
            <w:r>
              <w:rPr>
                <w:rFonts w:ascii="Arial" w:cs="Arial" w:eastAsia="Arial" w:hAnsi="Arial"/>
                <w:sz w:val="17"/>
                <w:szCs w:val="17"/>
                <w:color w:val="auto"/>
              </w:rPr>
              <w:t>4.7</w:t>
            </w:r>
          </w:p>
        </w:tc>
        <w:tc>
          <w:tcPr>
            <w:tcW w:w="180" w:type="dxa"/>
            <w:vAlign w:val="bottom"/>
          </w:tcPr>
          <w:p>
            <w:pPr>
              <w:spacing w:after="0"/>
              <w:rPr>
                <w:sz w:val="19"/>
                <w:szCs w:val="19"/>
                <w:color w:val="auto"/>
              </w:rPr>
            </w:pPr>
          </w:p>
        </w:tc>
        <w:tc>
          <w:tcPr>
            <w:tcW w:w="1200" w:type="dxa"/>
            <w:vAlign w:val="bottom"/>
          </w:tcPr>
          <w:p>
            <w:pPr>
              <w:jc w:val="right"/>
              <w:ind w:right="15"/>
              <w:spacing w:after="0"/>
              <w:rPr>
                <w:sz w:val="20"/>
                <w:szCs w:val="20"/>
                <w:color w:val="auto"/>
              </w:rPr>
            </w:pPr>
            <w:r>
              <w:rPr>
                <w:rFonts w:ascii="Arial" w:cs="Arial" w:eastAsia="Arial" w:hAnsi="Arial"/>
                <w:sz w:val="17"/>
                <w:szCs w:val="17"/>
                <w:color w:val="auto"/>
              </w:rPr>
              <w:t>29.1</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3.3</w:t>
            </w:r>
          </w:p>
        </w:tc>
        <w:tc>
          <w:tcPr>
            <w:tcW w:w="300" w:type="dxa"/>
            <w:vAlign w:val="bottom"/>
          </w:tcPr>
          <w:p>
            <w:pPr>
              <w:spacing w:after="0"/>
              <w:rPr>
                <w:sz w:val="19"/>
                <w:szCs w:val="19"/>
                <w:color w:val="auto"/>
              </w:rPr>
            </w:pPr>
          </w:p>
        </w:tc>
        <w:tc>
          <w:tcPr>
            <w:tcW w:w="1180" w:type="dxa"/>
            <w:vAlign w:val="bottom"/>
          </w:tcPr>
          <w:p>
            <w:pPr>
              <w:jc w:val="right"/>
              <w:ind w:right="96"/>
              <w:spacing w:after="0"/>
              <w:rPr>
                <w:sz w:val="20"/>
                <w:szCs w:val="20"/>
                <w:color w:val="auto"/>
              </w:rPr>
            </w:pPr>
            <w:r>
              <w:rPr>
                <w:rFonts w:ascii="Arial" w:cs="Arial" w:eastAsia="Arial" w:hAnsi="Arial"/>
                <w:sz w:val="17"/>
                <w:szCs w:val="17"/>
                <w:color w:val="auto"/>
              </w:rPr>
              <w:t>4.1</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20" w:type="dxa"/>
            <w:vAlign w:val="bottom"/>
            <w:shd w:val="clear" w:color="auto" w:fill="DCDFED"/>
          </w:tcPr>
          <w:p>
            <w:pPr>
              <w:spacing w:after="0"/>
              <w:rPr>
                <w:sz w:val="14"/>
                <w:szCs w:val="14"/>
                <w:color w:val="auto"/>
              </w:rPr>
            </w:pPr>
          </w:p>
        </w:tc>
        <w:tc>
          <w:tcPr>
            <w:tcW w:w="3080" w:type="dxa"/>
            <w:vAlign w:val="bottom"/>
            <w:gridSpan w:val="2"/>
            <w:shd w:val="clear" w:color="auto" w:fill="DCDFED"/>
          </w:tcPr>
          <w:p>
            <w:pPr>
              <w:ind w:left="100"/>
              <w:spacing w:after="0" w:line="167" w:lineRule="exact"/>
              <w:rPr>
                <w:sz w:val="20"/>
                <w:szCs w:val="20"/>
                <w:color w:val="auto"/>
              </w:rPr>
            </w:pPr>
            <w:r>
              <w:rPr>
                <w:rFonts w:ascii="Arial" w:cs="Arial" w:eastAsia="Arial" w:hAnsi="Arial"/>
                <w:sz w:val="17"/>
                <w:szCs w:val="17"/>
                <w:color w:val="auto"/>
              </w:rPr>
              <w:t>Travel and entertainment (other than</w:t>
            </w:r>
          </w:p>
        </w:tc>
        <w:tc>
          <w:tcPr>
            <w:tcW w:w="320" w:type="dxa"/>
            <w:vAlign w:val="bottom"/>
            <w:shd w:val="clear" w:color="auto" w:fill="DCDFED"/>
          </w:tcPr>
          <w:p>
            <w:pPr>
              <w:spacing w:after="0"/>
              <w:rPr>
                <w:sz w:val="14"/>
                <w:szCs w:val="14"/>
                <w:color w:val="auto"/>
              </w:rPr>
            </w:pPr>
          </w:p>
        </w:tc>
        <w:tc>
          <w:tcPr>
            <w:tcW w:w="980" w:type="dxa"/>
            <w:vAlign w:val="bottom"/>
            <w:shd w:val="clear" w:color="auto" w:fill="DCDFED"/>
          </w:tcPr>
          <w:p>
            <w:pPr>
              <w:spacing w:after="0"/>
              <w:rPr>
                <w:sz w:val="14"/>
                <w:szCs w:val="14"/>
                <w:color w:val="auto"/>
              </w:rPr>
            </w:pPr>
          </w:p>
        </w:tc>
        <w:tc>
          <w:tcPr>
            <w:tcW w:w="420" w:type="dxa"/>
            <w:vAlign w:val="bottom"/>
            <w:shd w:val="clear" w:color="auto" w:fill="DCDFED"/>
          </w:tcPr>
          <w:p>
            <w:pPr>
              <w:spacing w:after="0"/>
              <w:rPr>
                <w:sz w:val="14"/>
                <w:szCs w:val="14"/>
                <w:color w:val="auto"/>
              </w:rPr>
            </w:pPr>
          </w:p>
        </w:tc>
        <w:tc>
          <w:tcPr>
            <w:tcW w:w="980" w:type="dxa"/>
            <w:vAlign w:val="bottom"/>
            <w:shd w:val="clear" w:color="auto" w:fill="DCDFED"/>
          </w:tcPr>
          <w:p>
            <w:pPr>
              <w:spacing w:after="0"/>
              <w:rPr>
                <w:sz w:val="14"/>
                <w:szCs w:val="14"/>
                <w:color w:val="auto"/>
              </w:rPr>
            </w:pPr>
          </w:p>
        </w:tc>
        <w:tc>
          <w:tcPr>
            <w:tcW w:w="180" w:type="dxa"/>
            <w:vAlign w:val="bottom"/>
            <w:shd w:val="clear" w:color="auto" w:fill="DCDFED"/>
          </w:tcPr>
          <w:p>
            <w:pPr>
              <w:spacing w:after="0"/>
              <w:rPr>
                <w:sz w:val="14"/>
                <w:szCs w:val="14"/>
                <w:color w:val="auto"/>
              </w:rPr>
            </w:pPr>
          </w:p>
        </w:tc>
        <w:tc>
          <w:tcPr>
            <w:tcW w:w="1200" w:type="dxa"/>
            <w:vAlign w:val="bottom"/>
            <w:shd w:val="clear" w:color="auto" w:fill="DCDFED"/>
          </w:tcPr>
          <w:p>
            <w:pPr>
              <w:spacing w:after="0"/>
              <w:rPr>
                <w:sz w:val="14"/>
                <w:szCs w:val="14"/>
                <w:color w:val="auto"/>
              </w:rPr>
            </w:pPr>
          </w:p>
        </w:tc>
        <w:tc>
          <w:tcPr>
            <w:tcW w:w="300" w:type="dxa"/>
            <w:vAlign w:val="bottom"/>
            <w:shd w:val="clear" w:color="auto" w:fill="DCDFED"/>
          </w:tcPr>
          <w:p>
            <w:pPr>
              <w:spacing w:after="0"/>
              <w:rPr>
                <w:sz w:val="14"/>
                <w:szCs w:val="14"/>
                <w:color w:val="auto"/>
              </w:rPr>
            </w:pPr>
          </w:p>
        </w:tc>
        <w:tc>
          <w:tcPr>
            <w:tcW w:w="1080" w:type="dxa"/>
            <w:vAlign w:val="bottom"/>
            <w:shd w:val="clear" w:color="auto" w:fill="DCDFED"/>
          </w:tcPr>
          <w:p>
            <w:pPr>
              <w:spacing w:after="0"/>
              <w:rPr>
                <w:sz w:val="14"/>
                <w:szCs w:val="14"/>
                <w:color w:val="auto"/>
              </w:rPr>
            </w:pPr>
          </w:p>
        </w:tc>
        <w:tc>
          <w:tcPr>
            <w:tcW w:w="300" w:type="dxa"/>
            <w:vAlign w:val="bottom"/>
            <w:shd w:val="clear" w:color="auto" w:fill="DCDFED"/>
          </w:tcPr>
          <w:p>
            <w:pPr>
              <w:spacing w:after="0"/>
              <w:rPr>
                <w:sz w:val="14"/>
                <w:szCs w:val="14"/>
                <w:color w:val="auto"/>
              </w:rPr>
            </w:pPr>
          </w:p>
        </w:tc>
        <w:tc>
          <w:tcPr>
            <w:tcW w:w="1180" w:type="dxa"/>
            <w:vAlign w:val="bottom"/>
            <w:shd w:val="clear" w:color="auto" w:fill="DCDFED"/>
          </w:tcPr>
          <w:p>
            <w:pPr>
              <w:spacing w:after="0"/>
              <w:rPr>
                <w:sz w:val="14"/>
                <w:szCs w:val="14"/>
                <w:color w:val="auto"/>
              </w:rPr>
            </w:pPr>
          </w:p>
        </w:tc>
        <w:tc>
          <w:tcPr>
            <w:tcW w:w="260" w:type="dxa"/>
            <w:vAlign w:val="bottom"/>
            <w:shd w:val="clear" w:color="auto" w:fill="DCDFED"/>
          </w:tcPr>
          <w:p>
            <w:pPr>
              <w:spacing w:after="0"/>
              <w:rPr>
                <w:sz w:val="14"/>
                <w:szCs w:val="14"/>
                <w:color w:val="auto"/>
              </w:rPr>
            </w:pPr>
          </w:p>
        </w:tc>
        <w:tc>
          <w:tcPr>
            <w:tcW w:w="940" w:type="dxa"/>
            <w:vAlign w:val="bottom"/>
            <w:shd w:val="clear" w:color="auto" w:fill="DCDFED"/>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20" w:type="dxa"/>
            <w:vAlign w:val="bottom"/>
            <w:shd w:val="clear" w:color="auto" w:fill="DCDFED"/>
          </w:tcPr>
          <w:p>
            <w:pPr>
              <w:spacing w:after="0"/>
              <w:rPr>
                <w:sz w:val="20"/>
                <w:szCs w:val="20"/>
                <w:color w:val="auto"/>
              </w:rPr>
            </w:pPr>
          </w:p>
        </w:tc>
        <w:tc>
          <w:tcPr>
            <w:tcW w:w="3080" w:type="dxa"/>
            <w:vAlign w:val="bottom"/>
            <w:gridSpan w:val="2"/>
            <w:shd w:val="clear" w:color="auto" w:fill="DCDFED"/>
          </w:tcPr>
          <w:p>
            <w:pPr>
              <w:ind w:left="100"/>
              <w:spacing w:after="0"/>
              <w:rPr>
                <w:sz w:val="20"/>
                <w:szCs w:val="20"/>
                <w:color w:val="auto"/>
              </w:rPr>
            </w:pPr>
            <w:r>
              <w:rPr>
                <w:rFonts w:ascii="Arial" w:cs="Arial" w:eastAsia="Arial" w:hAnsi="Arial"/>
                <w:sz w:val="17"/>
                <w:szCs w:val="17"/>
                <w:color w:val="auto"/>
              </w:rPr>
              <w:t>direct)</w:t>
            </w:r>
          </w:p>
        </w:tc>
        <w:tc>
          <w:tcPr>
            <w:tcW w:w="320" w:type="dxa"/>
            <w:vAlign w:val="bottom"/>
            <w:shd w:val="clear" w:color="auto" w:fill="DCDFED"/>
          </w:tcPr>
          <w:p>
            <w:pPr>
              <w:spacing w:after="0"/>
              <w:rPr>
                <w:sz w:val="20"/>
                <w:szCs w:val="20"/>
                <w:color w:val="auto"/>
              </w:rPr>
            </w:pPr>
          </w:p>
        </w:tc>
        <w:tc>
          <w:tcPr>
            <w:tcW w:w="980" w:type="dxa"/>
            <w:vAlign w:val="bottom"/>
            <w:shd w:val="clear" w:color="auto" w:fill="DCDFED"/>
          </w:tcPr>
          <w:p>
            <w:pPr>
              <w:jc w:val="right"/>
              <w:spacing w:after="0"/>
              <w:rPr>
                <w:sz w:val="20"/>
                <w:szCs w:val="20"/>
                <w:color w:val="auto"/>
              </w:rPr>
            </w:pPr>
            <w:r>
              <w:rPr>
                <w:rFonts w:ascii="Arial" w:cs="Arial" w:eastAsia="Arial" w:hAnsi="Arial"/>
                <w:sz w:val="17"/>
                <w:szCs w:val="17"/>
                <w:color w:val="auto"/>
              </w:rPr>
              <w:t>8.6</w:t>
            </w:r>
          </w:p>
        </w:tc>
        <w:tc>
          <w:tcPr>
            <w:tcW w:w="420" w:type="dxa"/>
            <w:vAlign w:val="bottom"/>
            <w:shd w:val="clear" w:color="auto" w:fill="DCDFED"/>
          </w:tcPr>
          <w:p>
            <w:pPr>
              <w:spacing w:after="0"/>
              <w:rPr>
                <w:sz w:val="20"/>
                <w:szCs w:val="20"/>
                <w:color w:val="auto"/>
              </w:rPr>
            </w:pPr>
          </w:p>
        </w:tc>
        <w:tc>
          <w:tcPr>
            <w:tcW w:w="980" w:type="dxa"/>
            <w:vAlign w:val="bottom"/>
            <w:shd w:val="clear" w:color="auto" w:fill="DCDFED"/>
          </w:tcPr>
          <w:p>
            <w:pPr>
              <w:jc w:val="right"/>
              <w:ind w:right="15"/>
              <w:spacing w:after="0"/>
              <w:rPr>
                <w:sz w:val="20"/>
                <w:szCs w:val="20"/>
                <w:color w:val="auto"/>
              </w:rPr>
            </w:pPr>
            <w:r>
              <w:rPr>
                <w:rFonts w:ascii="Arial" w:cs="Arial" w:eastAsia="Arial" w:hAnsi="Arial"/>
                <w:sz w:val="17"/>
                <w:szCs w:val="17"/>
                <w:color w:val="auto"/>
              </w:rPr>
              <w:t>1.7</w:t>
            </w:r>
          </w:p>
        </w:tc>
        <w:tc>
          <w:tcPr>
            <w:tcW w:w="180" w:type="dxa"/>
            <w:vAlign w:val="bottom"/>
            <w:shd w:val="clear" w:color="auto" w:fill="DCDFED"/>
          </w:tcPr>
          <w:p>
            <w:pPr>
              <w:spacing w:after="0"/>
              <w:rPr>
                <w:sz w:val="20"/>
                <w:szCs w:val="20"/>
                <w:color w:val="auto"/>
              </w:rPr>
            </w:pPr>
          </w:p>
        </w:tc>
        <w:tc>
          <w:tcPr>
            <w:tcW w:w="1200" w:type="dxa"/>
            <w:vAlign w:val="bottom"/>
            <w:shd w:val="clear" w:color="auto" w:fill="DCDFED"/>
          </w:tcPr>
          <w:p>
            <w:pPr>
              <w:jc w:val="right"/>
              <w:ind w:right="15"/>
              <w:spacing w:after="0"/>
              <w:rPr>
                <w:sz w:val="20"/>
                <w:szCs w:val="20"/>
                <w:color w:val="auto"/>
              </w:rPr>
            </w:pPr>
            <w:r>
              <w:rPr>
                <w:rFonts w:ascii="Arial" w:cs="Arial" w:eastAsia="Arial" w:hAnsi="Arial"/>
                <w:sz w:val="17"/>
                <w:szCs w:val="17"/>
                <w:color w:val="auto"/>
              </w:rPr>
              <w:t>1.4</w:t>
            </w:r>
          </w:p>
        </w:tc>
        <w:tc>
          <w:tcPr>
            <w:tcW w:w="300" w:type="dxa"/>
            <w:vAlign w:val="bottom"/>
            <w:shd w:val="clear" w:color="auto" w:fill="DCDFED"/>
          </w:tcPr>
          <w:p>
            <w:pPr>
              <w:spacing w:after="0"/>
              <w:rPr>
                <w:sz w:val="20"/>
                <w:szCs w:val="20"/>
                <w:color w:val="auto"/>
              </w:rPr>
            </w:pPr>
          </w:p>
        </w:tc>
        <w:tc>
          <w:tcPr>
            <w:tcW w:w="1080" w:type="dxa"/>
            <w:vAlign w:val="bottom"/>
            <w:shd w:val="clear" w:color="auto" w:fill="DCDFED"/>
          </w:tcPr>
          <w:p>
            <w:pPr>
              <w:jc w:val="right"/>
              <w:spacing w:after="0"/>
              <w:rPr>
                <w:sz w:val="20"/>
                <w:szCs w:val="20"/>
                <w:color w:val="auto"/>
              </w:rPr>
            </w:pPr>
            <w:r>
              <w:rPr>
                <w:rFonts w:ascii="Arial" w:cs="Arial" w:eastAsia="Arial" w:hAnsi="Arial"/>
                <w:sz w:val="17"/>
                <w:szCs w:val="17"/>
                <w:color w:val="auto"/>
              </w:rPr>
              <w:t>1.1</w:t>
            </w:r>
          </w:p>
        </w:tc>
        <w:tc>
          <w:tcPr>
            <w:tcW w:w="300" w:type="dxa"/>
            <w:vAlign w:val="bottom"/>
            <w:shd w:val="clear" w:color="auto" w:fill="DCDFED"/>
          </w:tcPr>
          <w:p>
            <w:pPr>
              <w:spacing w:after="0"/>
              <w:rPr>
                <w:sz w:val="20"/>
                <w:szCs w:val="20"/>
                <w:color w:val="auto"/>
              </w:rPr>
            </w:pPr>
          </w:p>
        </w:tc>
        <w:tc>
          <w:tcPr>
            <w:tcW w:w="1180" w:type="dxa"/>
            <w:vAlign w:val="bottom"/>
            <w:shd w:val="clear" w:color="auto" w:fill="DCDFED"/>
          </w:tcPr>
          <w:p>
            <w:pPr>
              <w:jc w:val="right"/>
              <w:ind w:right="96"/>
              <w:spacing w:after="0"/>
              <w:rPr>
                <w:sz w:val="20"/>
                <w:szCs w:val="20"/>
                <w:color w:val="auto"/>
              </w:rPr>
            </w:pPr>
            <w:r>
              <w:rPr>
                <w:rFonts w:ascii="Arial" w:cs="Arial" w:eastAsia="Arial" w:hAnsi="Arial"/>
                <w:sz w:val="17"/>
                <w:szCs w:val="17"/>
                <w:color w:val="auto"/>
              </w:rPr>
              <w:t>4.3</w:t>
            </w:r>
          </w:p>
        </w:tc>
        <w:tc>
          <w:tcPr>
            <w:tcW w:w="260" w:type="dxa"/>
            <w:vAlign w:val="bottom"/>
            <w:shd w:val="clear" w:color="auto" w:fill="DCDFED"/>
          </w:tcPr>
          <w:p>
            <w:pPr>
              <w:spacing w:after="0"/>
              <w:rPr>
                <w:sz w:val="20"/>
                <w:szCs w:val="20"/>
                <w:color w:val="auto"/>
              </w:rPr>
            </w:pPr>
          </w:p>
        </w:tc>
        <w:tc>
          <w:tcPr>
            <w:tcW w:w="940" w:type="dxa"/>
            <w:vAlign w:val="bottom"/>
            <w:shd w:val="clear" w:color="auto" w:fill="DCDFED"/>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080" w:type="dxa"/>
            <w:vAlign w:val="bottom"/>
            <w:gridSpan w:val="2"/>
          </w:tcPr>
          <w:p>
            <w:pPr>
              <w:ind w:left="100"/>
              <w:spacing w:after="0"/>
              <w:rPr>
                <w:sz w:val="20"/>
                <w:szCs w:val="20"/>
                <w:color w:val="auto"/>
              </w:rPr>
            </w:pPr>
            <w:r>
              <w:rPr>
                <w:rFonts w:ascii="Arial" w:cs="Arial" w:eastAsia="Arial" w:hAnsi="Arial"/>
                <w:sz w:val="17"/>
                <w:szCs w:val="17"/>
                <w:color w:val="auto"/>
              </w:rPr>
              <w:t>Legal</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3.7</w:t>
            </w:r>
          </w:p>
        </w:tc>
        <w:tc>
          <w:tcPr>
            <w:tcW w:w="420" w:type="dxa"/>
            <w:vAlign w:val="bottom"/>
          </w:tcPr>
          <w:p>
            <w:pPr>
              <w:spacing w:after="0"/>
              <w:rPr>
                <w:sz w:val="19"/>
                <w:szCs w:val="19"/>
                <w:color w:val="auto"/>
              </w:rPr>
            </w:pPr>
          </w:p>
        </w:tc>
        <w:tc>
          <w:tcPr>
            <w:tcW w:w="980" w:type="dxa"/>
            <w:vAlign w:val="bottom"/>
          </w:tcPr>
          <w:p>
            <w:pPr>
              <w:jc w:val="right"/>
              <w:ind w:right="15"/>
              <w:spacing w:after="0"/>
              <w:rPr>
                <w:sz w:val="20"/>
                <w:szCs w:val="20"/>
                <w:color w:val="auto"/>
              </w:rPr>
            </w:pPr>
            <w:r>
              <w:rPr>
                <w:rFonts w:ascii="Arial" w:cs="Arial" w:eastAsia="Arial" w:hAnsi="Arial"/>
                <w:sz w:val="17"/>
                <w:szCs w:val="17"/>
                <w:color w:val="auto"/>
              </w:rPr>
              <w:t>2.4</w:t>
            </w:r>
          </w:p>
        </w:tc>
        <w:tc>
          <w:tcPr>
            <w:tcW w:w="180" w:type="dxa"/>
            <w:vAlign w:val="bottom"/>
          </w:tcPr>
          <w:p>
            <w:pPr>
              <w:spacing w:after="0"/>
              <w:rPr>
                <w:sz w:val="19"/>
                <w:szCs w:val="19"/>
                <w:color w:val="auto"/>
              </w:rPr>
            </w:pPr>
          </w:p>
        </w:tc>
        <w:tc>
          <w:tcPr>
            <w:tcW w:w="1200" w:type="dxa"/>
            <w:vAlign w:val="bottom"/>
          </w:tcPr>
          <w:p>
            <w:pPr>
              <w:jc w:val="right"/>
              <w:ind w:right="15"/>
              <w:spacing w:after="0"/>
              <w:rPr>
                <w:sz w:val="20"/>
                <w:szCs w:val="20"/>
                <w:color w:val="auto"/>
              </w:rPr>
            </w:pPr>
            <w:r>
              <w:rPr>
                <w:rFonts w:ascii="Arial" w:cs="Arial" w:eastAsia="Arial" w:hAnsi="Arial"/>
                <w:sz w:val="17"/>
                <w:szCs w:val="17"/>
                <w:color w:val="auto"/>
              </w:rPr>
              <w:t>0.2</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0.5</w:t>
            </w:r>
          </w:p>
        </w:tc>
        <w:tc>
          <w:tcPr>
            <w:tcW w:w="300" w:type="dxa"/>
            <w:vAlign w:val="bottom"/>
          </w:tcPr>
          <w:p>
            <w:pPr>
              <w:spacing w:after="0"/>
              <w:rPr>
                <w:sz w:val="19"/>
                <w:szCs w:val="19"/>
                <w:color w:val="auto"/>
              </w:rPr>
            </w:pPr>
          </w:p>
        </w:tc>
        <w:tc>
          <w:tcPr>
            <w:tcW w:w="1180" w:type="dxa"/>
            <w:vAlign w:val="bottom"/>
          </w:tcPr>
          <w:p>
            <w:pPr>
              <w:jc w:val="right"/>
              <w:ind w:right="96"/>
              <w:spacing w:after="0"/>
              <w:rPr>
                <w:sz w:val="20"/>
                <w:szCs w:val="20"/>
                <w:color w:val="auto"/>
              </w:rPr>
            </w:pPr>
            <w:r>
              <w:rPr>
                <w:rFonts w:ascii="Arial" w:cs="Arial" w:eastAsia="Arial" w:hAnsi="Arial"/>
                <w:sz w:val="17"/>
                <w:szCs w:val="17"/>
                <w:color w:val="auto"/>
              </w:rPr>
              <w:t>0.6</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160" w:hanging="157"/>
        <w:spacing w:after="0" w:line="229" w:lineRule="auto"/>
        <w:tabs>
          <w:tab w:leader="none" w:pos="169" w:val="left"/>
        </w:tabs>
        <w:numPr>
          <w:ilvl w:val="0"/>
          <w:numId w:val="42"/>
        </w:numPr>
        <w:rPr>
          <w:rFonts w:ascii="Arial" w:cs="Arial" w:eastAsia="Arial" w:hAnsi="Arial"/>
          <w:sz w:val="20"/>
          <w:szCs w:val="20"/>
          <w:color w:val="auto"/>
          <w:vertAlign w:val="superscript"/>
        </w:rPr>
      </w:pPr>
      <w:r>
        <w:rPr>
          <w:rFonts w:ascii="Arial" w:cs="Arial" w:eastAsia="Arial" w:hAnsi="Arial"/>
          <w:sz w:val="15"/>
          <w:szCs w:val="15"/>
          <w:color w:val="auto"/>
        </w:rPr>
        <w:t>Other segment items consist of payroll related expenses, materials and supplies, insurance costs, depreciation and amortization, consulting and professional services, and various other expense items.</w:t>
      </w:r>
    </w:p>
    <w:p>
      <w:pPr>
        <w:spacing w:after="0" w:line="80" w:lineRule="exact"/>
        <w:rPr>
          <w:rFonts w:ascii="Arial" w:cs="Arial" w:eastAsia="Arial" w:hAnsi="Arial"/>
          <w:sz w:val="20"/>
          <w:szCs w:val="20"/>
          <w:color w:val="auto"/>
          <w:vertAlign w:val="superscript"/>
        </w:rPr>
      </w:pPr>
    </w:p>
    <w:p>
      <w:pPr>
        <w:jc w:val="both"/>
        <w:ind w:left="160" w:hanging="157"/>
        <w:spacing w:after="0" w:line="241" w:lineRule="auto"/>
        <w:tabs>
          <w:tab w:leader="none" w:pos="169" w:val="left"/>
        </w:tabs>
        <w:numPr>
          <w:ilvl w:val="0"/>
          <w:numId w:val="42"/>
        </w:numPr>
        <w:rPr>
          <w:rFonts w:ascii="Arial" w:cs="Arial" w:eastAsia="Arial" w:hAnsi="Arial"/>
          <w:sz w:val="20"/>
          <w:szCs w:val="20"/>
          <w:color w:val="auto"/>
          <w:vertAlign w:val="superscript"/>
        </w:rPr>
      </w:pPr>
      <w:r>
        <w:rPr>
          <w:rFonts w:ascii="Arial" w:cs="Arial" w:eastAsia="Arial" w:hAnsi="Arial"/>
          <w:sz w:val="15"/>
          <w:szCs w:val="15"/>
          <w:color w:val="auto"/>
        </w:rPr>
        <w:t>During the year ended October 31, 2024, reflects adjustments to the fair value of the contingent consideration payable related to the RavenVolt Acquisition of $95.7 million. During the year ended October 31, 2023, reflects adjustments to the fair value of the contingent consideration payable related to the RavenVolt Acquisition of $45.6 million and an employee retention credit totaling $24.0 million.</w:t>
      </w:r>
    </w:p>
    <w:p>
      <w:pPr>
        <w:spacing w:after="0" w:line="196" w:lineRule="exact"/>
        <w:rPr>
          <w:rFonts w:ascii="Arial" w:cs="Arial" w:eastAsia="Arial" w:hAnsi="Arial"/>
          <w:sz w:val="20"/>
          <w:szCs w:val="20"/>
          <w:color w:val="auto"/>
          <w:vertAlign w:val="superscript"/>
        </w:rPr>
      </w:pPr>
    </w:p>
    <w:p>
      <w:pPr>
        <w:ind w:left="160" w:hanging="157"/>
        <w:spacing w:after="0" w:line="264" w:lineRule="auto"/>
        <w:tabs>
          <w:tab w:leader="none" w:pos="156" w:val="left"/>
        </w:tabs>
        <w:numPr>
          <w:ilvl w:val="0"/>
          <w:numId w:val="42"/>
        </w:numPr>
        <w:rPr>
          <w:rFonts w:ascii="Arial" w:cs="Arial" w:eastAsia="Arial" w:hAnsi="Arial"/>
          <w:sz w:val="18"/>
          <w:szCs w:val="18"/>
          <w:color w:val="auto"/>
          <w:vertAlign w:val="superscript"/>
        </w:rPr>
      </w:pPr>
      <w:r>
        <w:rPr>
          <w:rFonts w:ascii="Arial" w:cs="Arial" w:eastAsia="Arial" w:hAnsi="Arial"/>
          <w:sz w:val="14"/>
          <w:szCs w:val="14"/>
          <w:color w:val="auto"/>
        </w:rPr>
        <w:t>Note these items are included in the segment expenses and operating profit shown above and are listed separately below segment operating profit as they are metrics that are separately provided to the CODMs on a regular basis.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20" w:type="dxa"/>
            <w:vAlign w:val="bottom"/>
          </w:tcPr>
          <w:p>
            <w:pPr>
              <w:spacing w:after="0"/>
              <w:rPr>
                <w:sz w:val="20"/>
                <w:szCs w:val="20"/>
                <w:color w:val="auto"/>
              </w:rPr>
            </w:pPr>
            <w:r>
              <w:rPr>
                <w:rFonts w:ascii="Arial" w:cs="Arial" w:eastAsia="Arial" w:hAnsi="Arial"/>
                <w:sz w:val="17"/>
                <w:szCs w:val="17"/>
                <w:b w:val="1"/>
                <w:bCs w:val="1"/>
                <w:color w:val="0046AD"/>
              </w:rPr>
              <w:t>Depreciation and Amortization</w:t>
            </w:r>
          </w:p>
        </w:tc>
        <w:tc>
          <w:tcPr>
            <w:tcW w:w="23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439"/>
        </w:trPr>
        <w:tc>
          <w:tcPr>
            <w:tcW w:w="40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6"/>
          </w:tcPr>
          <w:p>
            <w:pPr>
              <w:jc w:val="right"/>
              <w:ind w:right="154"/>
              <w:spacing w:after="0"/>
              <w:rPr>
                <w:sz w:val="20"/>
                <w:szCs w:val="20"/>
                <w:color w:val="auto"/>
              </w:rPr>
            </w:pPr>
            <w:r>
              <w:rPr>
                <w:rFonts w:ascii="Arial" w:cs="Arial" w:eastAsia="Arial" w:hAnsi="Arial"/>
                <w:sz w:val="17"/>
                <w:szCs w:val="17"/>
                <w:b w:val="1"/>
                <w:bCs w:val="1"/>
                <w:color w:val="auto"/>
              </w:rPr>
              <w:t>Year Ended October 31,</w:t>
            </w:r>
          </w:p>
        </w:tc>
        <w:tc>
          <w:tcPr>
            <w:tcW w:w="118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r>
      <w:tr>
        <w:trPr>
          <w:trHeight w:val="212"/>
        </w:trPr>
        <w:tc>
          <w:tcPr>
            <w:tcW w:w="4020" w:type="dxa"/>
            <w:vAlign w:val="bottom"/>
            <w:tcBorders>
              <w:bottom w:val="single" w:sz="8" w:color="DCDFED"/>
            </w:tcBorders>
          </w:tcPr>
          <w:p>
            <w:pPr>
              <w:spacing w:after="0"/>
              <w:rPr>
                <w:sz w:val="18"/>
                <w:szCs w:val="18"/>
                <w:color w:val="auto"/>
              </w:rPr>
            </w:pPr>
          </w:p>
        </w:tc>
        <w:tc>
          <w:tcPr>
            <w:tcW w:w="2320" w:type="dxa"/>
            <w:vAlign w:val="bottom"/>
            <w:tcBorders>
              <w:bottom w:val="single" w:sz="8" w:color="DCDFED"/>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2025</w:t>
            </w: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DCDFED"/>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74"/>
              <w:spacing w:after="0"/>
              <w:rPr>
                <w:sz w:val="20"/>
                <w:szCs w:val="20"/>
                <w:color w:val="auto"/>
              </w:rPr>
            </w:pPr>
            <w:r>
              <w:rPr>
                <w:rFonts w:ascii="Arial" w:cs="Arial" w:eastAsia="Arial" w:hAnsi="Arial"/>
                <w:sz w:val="17"/>
                <w:szCs w:val="17"/>
                <w:b w:val="1"/>
                <w:bCs w:val="1"/>
                <w:color w:val="auto"/>
              </w:rPr>
              <w:t>2024</w:t>
            </w:r>
          </w:p>
        </w:tc>
        <w:tc>
          <w:tcPr>
            <w:tcW w:w="100" w:type="dxa"/>
            <w:vAlign w:val="bottom"/>
            <w:tcBorders>
              <w:bottom w:val="single" w:sz="8" w:color="DCDFED"/>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4"/>
              <w:spacing w:after="0"/>
              <w:rPr>
                <w:sz w:val="20"/>
                <w:szCs w:val="20"/>
                <w:color w:val="auto"/>
              </w:rPr>
            </w:pPr>
            <w:r>
              <w:rPr>
                <w:rFonts w:ascii="Arial" w:cs="Arial" w:eastAsia="Arial" w:hAnsi="Arial"/>
                <w:sz w:val="17"/>
                <w:szCs w:val="17"/>
                <w:b w:val="1"/>
                <w:bCs w:val="1"/>
                <w:color w:val="auto"/>
              </w:rPr>
              <w:t>2023</w:t>
            </w:r>
          </w:p>
        </w:tc>
        <w:tc>
          <w:tcPr>
            <w:tcW w:w="140" w:type="dxa"/>
            <w:vAlign w:val="bottom"/>
          </w:tcPr>
          <w:p>
            <w:pPr>
              <w:spacing w:after="0"/>
              <w:rPr>
                <w:sz w:val="18"/>
                <w:szCs w:val="18"/>
                <w:color w:val="auto"/>
              </w:rPr>
            </w:pPr>
          </w:p>
        </w:tc>
      </w:tr>
      <w:tr>
        <w:trPr>
          <w:trHeight w:val="212"/>
        </w:trPr>
        <w:tc>
          <w:tcPr>
            <w:tcW w:w="4020" w:type="dxa"/>
            <w:vAlign w:val="bottom"/>
            <w:shd w:val="clear" w:color="auto" w:fill="DCDFED"/>
          </w:tcPr>
          <w:p>
            <w:pPr>
              <w:ind w:left="20"/>
              <w:spacing w:after="0"/>
              <w:rPr>
                <w:sz w:val="20"/>
                <w:szCs w:val="20"/>
                <w:color w:val="auto"/>
              </w:rPr>
            </w:pPr>
            <w:r>
              <w:rPr>
                <w:rFonts w:ascii="Arial" w:cs="Arial" w:eastAsia="Arial" w:hAnsi="Arial"/>
                <w:sz w:val="17"/>
                <w:szCs w:val="17"/>
                <w:color w:val="auto"/>
              </w:rPr>
              <w:t>Business &amp; Industry</w:t>
            </w:r>
          </w:p>
        </w:tc>
        <w:tc>
          <w:tcPr>
            <w:tcW w:w="2320" w:type="dxa"/>
            <w:vAlign w:val="bottom"/>
            <w:shd w:val="clear" w:color="auto" w:fill="DCDFED"/>
          </w:tcPr>
          <w:p>
            <w:pPr>
              <w:spacing w:after="0"/>
              <w:rPr>
                <w:sz w:val="18"/>
                <w:szCs w:val="18"/>
                <w:color w:val="auto"/>
              </w:rPr>
            </w:pPr>
          </w:p>
        </w:tc>
        <w:tc>
          <w:tcPr>
            <w:tcW w:w="960" w:type="dxa"/>
            <w:vAlign w:val="bottom"/>
            <w:shd w:val="clear" w:color="auto" w:fill="DCDFED"/>
          </w:tcPr>
          <w:p>
            <w:pPr>
              <w:jc w:val="right"/>
              <w:ind w:right="774"/>
              <w:spacing w:after="0"/>
              <w:rPr>
                <w:sz w:val="20"/>
                <w:szCs w:val="20"/>
                <w:color w:val="auto"/>
              </w:rPr>
            </w:pPr>
            <w:r>
              <w:rPr>
                <w:rFonts w:ascii="Arial" w:cs="Arial" w:eastAsia="Arial" w:hAnsi="Arial"/>
                <w:sz w:val="17"/>
                <w:szCs w:val="17"/>
                <w:color w:val="auto"/>
                <w:w w:val="84"/>
              </w:rPr>
              <w:t>$</w:t>
            </w:r>
          </w:p>
        </w:tc>
        <w:tc>
          <w:tcPr>
            <w:tcW w:w="540" w:type="dxa"/>
            <w:vAlign w:val="bottom"/>
            <w:shd w:val="clear" w:color="auto" w:fill="DCDFED"/>
          </w:tcPr>
          <w:p>
            <w:pPr>
              <w:jc w:val="right"/>
              <w:spacing w:after="0"/>
              <w:rPr>
                <w:sz w:val="20"/>
                <w:szCs w:val="20"/>
                <w:color w:val="auto"/>
              </w:rPr>
            </w:pPr>
            <w:r>
              <w:rPr>
                <w:rFonts w:ascii="Arial" w:cs="Arial" w:eastAsia="Arial" w:hAnsi="Arial"/>
                <w:sz w:val="17"/>
                <w:szCs w:val="17"/>
                <w:color w:val="auto"/>
              </w:rPr>
              <w:t>35.0</w:t>
            </w:r>
          </w:p>
        </w:tc>
        <w:tc>
          <w:tcPr>
            <w:tcW w:w="100" w:type="dxa"/>
            <w:vAlign w:val="bottom"/>
            <w:shd w:val="clear" w:color="auto" w:fill="DCDFED"/>
          </w:tcPr>
          <w:p>
            <w:pPr>
              <w:spacing w:after="0"/>
              <w:rPr>
                <w:sz w:val="18"/>
                <w:szCs w:val="18"/>
                <w:color w:val="auto"/>
              </w:rPr>
            </w:pPr>
          </w:p>
        </w:tc>
        <w:tc>
          <w:tcPr>
            <w:tcW w:w="340" w:type="dxa"/>
            <w:vAlign w:val="bottom"/>
            <w:shd w:val="clear" w:color="auto" w:fill="DCDFED"/>
          </w:tcPr>
          <w:p>
            <w:pPr>
              <w:jc w:val="right"/>
              <w:ind w:right="134"/>
              <w:spacing w:after="0"/>
              <w:rPr>
                <w:sz w:val="20"/>
                <w:szCs w:val="20"/>
                <w:color w:val="auto"/>
              </w:rPr>
            </w:pPr>
            <w:r>
              <w:rPr>
                <w:rFonts w:ascii="Arial" w:cs="Arial" w:eastAsia="Arial" w:hAnsi="Arial"/>
                <w:sz w:val="17"/>
                <w:szCs w:val="17"/>
                <w:color w:val="auto"/>
              </w:rPr>
              <w:t>$</w:t>
            </w:r>
          </w:p>
        </w:tc>
        <w:tc>
          <w:tcPr>
            <w:tcW w:w="1180" w:type="dxa"/>
            <w:vAlign w:val="bottom"/>
            <w:shd w:val="clear" w:color="auto" w:fill="DCDFED"/>
          </w:tcPr>
          <w:p>
            <w:pPr>
              <w:jc w:val="right"/>
              <w:spacing w:after="0"/>
              <w:rPr>
                <w:sz w:val="20"/>
                <w:szCs w:val="20"/>
                <w:color w:val="auto"/>
              </w:rPr>
            </w:pPr>
            <w:r>
              <w:rPr>
                <w:rFonts w:ascii="Arial" w:cs="Arial" w:eastAsia="Arial" w:hAnsi="Arial"/>
                <w:sz w:val="17"/>
                <w:szCs w:val="17"/>
                <w:color w:val="auto"/>
              </w:rPr>
              <w:t>37.3</w:t>
            </w:r>
          </w:p>
        </w:tc>
        <w:tc>
          <w:tcPr>
            <w:tcW w:w="100" w:type="dxa"/>
            <w:vAlign w:val="bottom"/>
            <w:shd w:val="clear" w:color="auto" w:fill="DCDFED"/>
          </w:tcPr>
          <w:p>
            <w:pPr>
              <w:spacing w:after="0"/>
              <w:rPr>
                <w:sz w:val="18"/>
                <w:szCs w:val="18"/>
                <w:color w:val="auto"/>
              </w:rPr>
            </w:pPr>
          </w:p>
        </w:tc>
        <w:tc>
          <w:tcPr>
            <w:tcW w:w="360" w:type="dxa"/>
            <w:vAlign w:val="bottom"/>
            <w:shd w:val="clear" w:color="auto" w:fill="DCDFED"/>
          </w:tcPr>
          <w:p>
            <w:pPr>
              <w:jc w:val="right"/>
              <w:ind w:right="154"/>
              <w:spacing w:after="0"/>
              <w:rPr>
                <w:sz w:val="20"/>
                <w:szCs w:val="20"/>
                <w:color w:val="auto"/>
              </w:rPr>
            </w:pPr>
            <w:r>
              <w:rPr>
                <w:rFonts w:ascii="Arial" w:cs="Arial" w:eastAsia="Arial" w:hAnsi="Arial"/>
                <w:sz w:val="17"/>
                <w:szCs w:val="17"/>
                <w:color w:val="auto"/>
              </w:rPr>
              <w:t>$</w:t>
            </w:r>
          </w:p>
        </w:tc>
        <w:tc>
          <w:tcPr>
            <w:tcW w:w="1180" w:type="dxa"/>
            <w:vAlign w:val="bottom"/>
            <w:shd w:val="clear" w:color="auto" w:fill="DCDFED"/>
          </w:tcPr>
          <w:p>
            <w:pPr>
              <w:jc w:val="right"/>
              <w:spacing w:after="0"/>
              <w:rPr>
                <w:sz w:val="20"/>
                <w:szCs w:val="20"/>
                <w:color w:val="auto"/>
              </w:rPr>
            </w:pPr>
            <w:r>
              <w:rPr>
                <w:rFonts w:ascii="Arial" w:cs="Arial" w:eastAsia="Arial" w:hAnsi="Arial"/>
                <w:sz w:val="17"/>
                <w:szCs w:val="17"/>
                <w:color w:val="auto"/>
              </w:rPr>
              <w:t>44.9</w:t>
            </w:r>
          </w:p>
        </w:tc>
        <w:tc>
          <w:tcPr>
            <w:tcW w:w="140" w:type="dxa"/>
            <w:vAlign w:val="bottom"/>
          </w:tcPr>
          <w:p>
            <w:pPr>
              <w:spacing w:after="0"/>
              <w:rPr>
                <w:sz w:val="18"/>
                <w:szCs w:val="18"/>
                <w:color w:val="auto"/>
              </w:rPr>
            </w:pPr>
          </w:p>
        </w:tc>
      </w:tr>
      <w:tr>
        <w:trPr>
          <w:trHeight w:val="219"/>
        </w:trPr>
        <w:tc>
          <w:tcPr>
            <w:tcW w:w="4020" w:type="dxa"/>
            <w:vAlign w:val="bottom"/>
          </w:tcPr>
          <w:p>
            <w:pPr>
              <w:ind w:left="20"/>
              <w:spacing w:after="0"/>
              <w:rPr>
                <w:sz w:val="20"/>
                <w:szCs w:val="20"/>
                <w:color w:val="auto"/>
              </w:rPr>
            </w:pPr>
            <w:r>
              <w:rPr>
                <w:rFonts w:ascii="Arial" w:cs="Arial" w:eastAsia="Arial" w:hAnsi="Arial"/>
                <w:sz w:val="17"/>
                <w:szCs w:val="17"/>
                <w:color w:val="auto"/>
              </w:rPr>
              <w:t>Manufacturing &amp; Distribution</w:t>
            </w:r>
          </w:p>
        </w:tc>
        <w:tc>
          <w:tcPr>
            <w:tcW w:w="2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11.7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12.2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13.1</w:t>
            </w:r>
          </w:p>
        </w:tc>
        <w:tc>
          <w:tcPr>
            <w:tcW w:w="140" w:type="dxa"/>
            <w:vAlign w:val="bottom"/>
          </w:tcPr>
          <w:p>
            <w:pPr>
              <w:spacing w:after="0"/>
              <w:rPr>
                <w:sz w:val="19"/>
                <w:szCs w:val="19"/>
                <w:color w:val="auto"/>
              </w:rPr>
            </w:pPr>
          </w:p>
        </w:tc>
      </w:tr>
      <w:tr>
        <w:trPr>
          <w:trHeight w:val="219"/>
        </w:trPr>
        <w:tc>
          <w:tcPr>
            <w:tcW w:w="4020" w:type="dxa"/>
            <w:vAlign w:val="bottom"/>
            <w:shd w:val="clear" w:color="auto" w:fill="DCDFED"/>
          </w:tcPr>
          <w:p>
            <w:pPr>
              <w:ind w:left="20"/>
              <w:spacing w:after="0"/>
              <w:rPr>
                <w:sz w:val="20"/>
                <w:szCs w:val="20"/>
                <w:color w:val="auto"/>
              </w:rPr>
            </w:pPr>
            <w:r>
              <w:rPr>
                <w:rFonts w:ascii="Arial" w:cs="Arial" w:eastAsia="Arial" w:hAnsi="Arial"/>
                <w:sz w:val="17"/>
                <w:szCs w:val="17"/>
                <w:color w:val="auto"/>
              </w:rPr>
              <w:t>Aviation</w:t>
            </w:r>
          </w:p>
        </w:tc>
        <w:tc>
          <w:tcPr>
            <w:tcW w:w="2320" w:type="dxa"/>
            <w:vAlign w:val="bottom"/>
            <w:shd w:val="clear" w:color="auto" w:fill="DCDFED"/>
          </w:tcPr>
          <w:p>
            <w:pPr>
              <w:spacing w:after="0"/>
              <w:rPr>
                <w:sz w:val="19"/>
                <w:szCs w:val="19"/>
                <w:color w:val="auto"/>
              </w:rPr>
            </w:pPr>
          </w:p>
        </w:tc>
        <w:tc>
          <w:tcPr>
            <w:tcW w:w="960" w:type="dxa"/>
            <w:vAlign w:val="bottom"/>
            <w:shd w:val="clear" w:color="auto" w:fill="DCDFED"/>
          </w:tcPr>
          <w:p>
            <w:pPr>
              <w:spacing w:after="0"/>
              <w:rPr>
                <w:sz w:val="19"/>
                <w:szCs w:val="19"/>
                <w:color w:val="auto"/>
              </w:rPr>
            </w:pPr>
          </w:p>
        </w:tc>
        <w:tc>
          <w:tcPr>
            <w:tcW w:w="540" w:type="dxa"/>
            <w:vAlign w:val="bottom"/>
            <w:shd w:val="clear" w:color="auto" w:fill="DCDFED"/>
          </w:tcPr>
          <w:p>
            <w:pPr>
              <w:jc w:val="right"/>
              <w:spacing w:after="0"/>
              <w:rPr>
                <w:sz w:val="20"/>
                <w:szCs w:val="20"/>
                <w:color w:val="auto"/>
              </w:rPr>
            </w:pPr>
            <w:r>
              <w:rPr>
                <w:rFonts w:ascii="Arial" w:cs="Arial" w:eastAsia="Arial" w:hAnsi="Arial"/>
                <w:sz w:val="17"/>
                <w:szCs w:val="17"/>
                <w:color w:val="auto"/>
              </w:rPr>
              <w:t>14.1</w:t>
            </w:r>
          </w:p>
        </w:tc>
        <w:tc>
          <w:tcPr>
            <w:tcW w:w="100" w:type="dxa"/>
            <w:vAlign w:val="bottom"/>
            <w:shd w:val="clear" w:color="auto" w:fill="DCDFED"/>
          </w:tcPr>
          <w:p>
            <w:pPr>
              <w:spacing w:after="0"/>
              <w:rPr>
                <w:sz w:val="19"/>
                <w:szCs w:val="19"/>
                <w:color w:val="auto"/>
              </w:rPr>
            </w:pPr>
          </w:p>
        </w:tc>
        <w:tc>
          <w:tcPr>
            <w:tcW w:w="340" w:type="dxa"/>
            <w:vAlign w:val="bottom"/>
            <w:shd w:val="clear" w:color="auto" w:fill="DCDFED"/>
          </w:tcPr>
          <w:p>
            <w:pPr>
              <w:spacing w:after="0"/>
              <w:rPr>
                <w:sz w:val="19"/>
                <w:szCs w:val="19"/>
                <w:color w:val="auto"/>
              </w:rPr>
            </w:pPr>
          </w:p>
        </w:tc>
        <w:tc>
          <w:tcPr>
            <w:tcW w:w="1180" w:type="dxa"/>
            <w:vAlign w:val="bottom"/>
            <w:shd w:val="clear" w:color="auto" w:fill="DCDFED"/>
          </w:tcPr>
          <w:p>
            <w:pPr>
              <w:jc w:val="right"/>
              <w:spacing w:after="0"/>
              <w:rPr>
                <w:sz w:val="20"/>
                <w:szCs w:val="20"/>
                <w:color w:val="auto"/>
              </w:rPr>
            </w:pPr>
            <w:r>
              <w:rPr>
                <w:rFonts w:ascii="Arial" w:cs="Arial" w:eastAsia="Arial" w:hAnsi="Arial"/>
                <w:sz w:val="17"/>
                <w:szCs w:val="17"/>
                <w:color w:val="auto"/>
              </w:rPr>
              <w:t>12.6</w:t>
            </w:r>
          </w:p>
        </w:tc>
        <w:tc>
          <w:tcPr>
            <w:tcW w:w="100" w:type="dxa"/>
            <w:vAlign w:val="bottom"/>
            <w:shd w:val="clear" w:color="auto" w:fill="DCDFED"/>
          </w:tcPr>
          <w:p>
            <w:pPr>
              <w:spacing w:after="0"/>
              <w:rPr>
                <w:sz w:val="19"/>
                <w:szCs w:val="19"/>
                <w:color w:val="auto"/>
              </w:rPr>
            </w:pPr>
          </w:p>
        </w:tc>
        <w:tc>
          <w:tcPr>
            <w:tcW w:w="360" w:type="dxa"/>
            <w:vAlign w:val="bottom"/>
            <w:shd w:val="clear" w:color="auto" w:fill="DCDFED"/>
          </w:tcPr>
          <w:p>
            <w:pPr>
              <w:spacing w:after="0"/>
              <w:rPr>
                <w:sz w:val="19"/>
                <w:szCs w:val="19"/>
                <w:color w:val="auto"/>
              </w:rPr>
            </w:pPr>
          </w:p>
        </w:tc>
        <w:tc>
          <w:tcPr>
            <w:tcW w:w="1180" w:type="dxa"/>
            <w:vAlign w:val="bottom"/>
            <w:shd w:val="clear" w:color="auto" w:fill="DCDFED"/>
          </w:tcPr>
          <w:p>
            <w:pPr>
              <w:jc w:val="right"/>
              <w:spacing w:after="0"/>
              <w:rPr>
                <w:sz w:val="20"/>
                <w:szCs w:val="20"/>
                <w:color w:val="auto"/>
              </w:rPr>
            </w:pPr>
            <w:r>
              <w:rPr>
                <w:rFonts w:ascii="Arial" w:cs="Arial" w:eastAsia="Arial" w:hAnsi="Arial"/>
                <w:sz w:val="17"/>
                <w:szCs w:val="17"/>
                <w:color w:val="auto"/>
              </w:rPr>
              <w:t>9.6</w:t>
            </w:r>
          </w:p>
        </w:tc>
        <w:tc>
          <w:tcPr>
            <w:tcW w:w="140" w:type="dxa"/>
            <w:vAlign w:val="bottom"/>
          </w:tcPr>
          <w:p>
            <w:pPr>
              <w:spacing w:after="0"/>
              <w:rPr>
                <w:sz w:val="19"/>
                <w:szCs w:val="19"/>
                <w:color w:val="auto"/>
              </w:rPr>
            </w:pPr>
          </w:p>
        </w:tc>
      </w:tr>
      <w:tr>
        <w:trPr>
          <w:trHeight w:val="219"/>
        </w:trPr>
        <w:tc>
          <w:tcPr>
            <w:tcW w:w="4020" w:type="dxa"/>
            <w:vAlign w:val="bottom"/>
          </w:tcPr>
          <w:p>
            <w:pPr>
              <w:ind w:left="20"/>
              <w:spacing w:after="0"/>
              <w:rPr>
                <w:sz w:val="20"/>
                <w:szCs w:val="20"/>
                <w:color w:val="auto"/>
              </w:rPr>
            </w:pPr>
            <w:r>
              <w:rPr>
                <w:rFonts w:ascii="Arial" w:cs="Arial" w:eastAsia="Arial" w:hAnsi="Arial"/>
                <w:sz w:val="17"/>
                <w:szCs w:val="17"/>
                <w:color w:val="auto"/>
              </w:rPr>
              <w:t>Education</w:t>
            </w:r>
          </w:p>
        </w:tc>
        <w:tc>
          <w:tcPr>
            <w:tcW w:w="2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21.3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21.8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22.5</w:t>
            </w:r>
          </w:p>
        </w:tc>
        <w:tc>
          <w:tcPr>
            <w:tcW w:w="140" w:type="dxa"/>
            <w:vAlign w:val="bottom"/>
          </w:tcPr>
          <w:p>
            <w:pPr>
              <w:spacing w:after="0"/>
              <w:rPr>
                <w:sz w:val="19"/>
                <w:szCs w:val="19"/>
                <w:color w:val="auto"/>
              </w:rPr>
            </w:pPr>
          </w:p>
        </w:tc>
      </w:tr>
      <w:tr>
        <w:trPr>
          <w:trHeight w:val="219"/>
        </w:trPr>
        <w:tc>
          <w:tcPr>
            <w:tcW w:w="4020" w:type="dxa"/>
            <w:vAlign w:val="bottom"/>
            <w:shd w:val="clear" w:color="auto" w:fill="DCDFED"/>
          </w:tcPr>
          <w:p>
            <w:pPr>
              <w:ind w:left="20"/>
              <w:spacing w:after="0"/>
              <w:rPr>
                <w:sz w:val="20"/>
                <w:szCs w:val="20"/>
                <w:color w:val="auto"/>
              </w:rPr>
            </w:pPr>
            <w:r>
              <w:rPr>
                <w:rFonts w:ascii="Arial" w:cs="Arial" w:eastAsia="Arial" w:hAnsi="Arial"/>
                <w:sz w:val="17"/>
                <w:szCs w:val="17"/>
                <w:color w:val="auto"/>
              </w:rPr>
              <w:t>Technical Solutions</w:t>
            </w:r>
          </w:p>
        </w:tc>
        <w:tc>
          <w:tcPr>
            <w:tcW w:w="2320" w:type="dxa"/>
            <w:vAlign w:val="bottom"/>
            <w:shd w:val="clear" w:color="auto" w:fill="DCDFED"/>
          </w:tcPr>
          <w:p>
            <w:pPr>
              <w:spacing w:after="0"/>
              <w:rPr>
                <w:sz w:val="19"/>
                <w:szCs w:val="19"/>
                <w:color w:val="auto"/>
              </w:rPr>
            </w:pPr>
          </w:p>
        </w:tc>
        <w:tc>
          <w:tcPr>
            <w:tcW w:w="960" w:type="dxa"/>
            <w:vAlign w:val="bottom"/>
            <w:shd w:val="clear" w:color="auto" w:fill="DCDFED"/>
          </w:tcPr>
          <w:p>
            <w:pPr>
              <w:spacing w:after="0"/>
              <w:rPr>
                <w:sz w:val="19"/>
                <w:szCs w:val="19"/>
                <w:color w:val="auto"/>
              </w:rPr>
            </w:pPr>
          </w:p>
        </w:tc>
        <w:tc>
          <w:tcPr>
            <w:tcW w:w="540" w:type="dxa"/>
            <w:vAlign w:val="bottom"/>
            <w:shd w:val="clear" w:color="auto" w:fill="DCDFED"/>
          </w:tcPr>
          <w:p>
            <w:pPr>
              <w:jc w:val="right"/>
              <w:spacing w:after="0"/>
              <w:rPr>
                <w:sz w:val="20"/>
                <w:szCs w:val="20"/>
                <w:color w:val="auto"/>
              </w:rPr>
            </w:pPr>
            <w:r>
              <w:rPr>
                <w:rFonts w:ascii="Arial" w:cs="Arial" w:eastAsia="Arial" w:hAnsi="Arial"/>
                <w:sz w:val="17"/>
                <w:szCs w:val="17"/>
                <w:color w:val="auto"/>
              </w:rPr>
              <w:t>10.4</w:t>
            </w:r>
          </w:p>
        </w:tc>
        <w:tc>
          <w:tcPr>
            <w:tcW w:w="100" w:type="dxa"/>
            <w:vAlign w:val="bottom"/>
            <w:shd w:val="clear" w:color="auto" w:fill="DCDFED"/>
          </w:tcPr>
          <w:p>
            <w:pPr>
              <w:spacing w:after="0"/>
              <w:rPr>
                <w:sz w:val="19"/>
                <w:szCs w:val="19"/>
                <w:color w:val="auto"/>
              </w:rPr>
            </w:pPr>
          </w:p>
        </w:tc>
        <w:tc>
          <w:tcPr>
            <w:tcW w:w="340" w:type="dxa"/>
            <w:vAlign w:val="bottom"/>
            <w:shd w:val="clear" w:color="auto" w:fill="DCDFED"/>
          </w:tcPr>
          <w:p>
            <w:pPr>
              <w:spacing w:after="0"/>
              <w:rPr>
                <w:sz w:val="19"/>
                <w:szCs w:val="19"/>
                <w:color w:val="auto"/>
              </w:rPr>
            </w:pPr>
          </w:p>
        </w:tc>
        <w:tc>
          <w:tcPr>
            <w:tcW w:w="1180" w:type="dxa"/>
            <w:vAlign w:val="bottom"/>
            <w:shd w:val="clear" w:color="auto" w:fill="DCDFED"/>
          </w:tcPr>
          <w:p>
            <w:pPr>
              <w:jc w:val="right"/>
              <w:spacing w:after="0"/>
              <w:rPr>
                <w:sz w:val="20"/>
                <w:szCs w:val="20"/>
                <w:color w:val="auto"/>
              </w:rPr>
            </w:pPr>
            <w:r>
              <w:rPr>
                <w:rFonts w:ascii="Arial" w:cs="Arial" w:eastAsia="Arial" w:hAnsi="Arial"/>
                <w:sz w:val="17"/>
                <w:szCs w:val="17"/>
                <w:color w:val="auto"/>
              </w:rPr>
              <w:t>7.7</w:t>
            </w:r>
          </w:p>
        </w:tc>
        <w:tc>
          <w:tcPr>
            <w:tcW w:w="100" w:type="dxa"/>
            <w:vAlign w:val="bottom"/>
            <w:shd w:val="clear" w:color="auto" w:fill="DCDFED"/>
          </w:tcPr>
          <w:p>
            <w:pPr>
              <w:spacing w:after="0"/>
              <w:rPr>
                <w:sz w:val="19"/>
                <w:szCs w:val="19"/>
                <w:color w:val="auto"/>
              </w:rPr>
            </w:pPr>
          </w:p>
        </w:tc>
        <w:tc>
          <w:tcPr>
            <w:tcW w:w="360" w:type="dxa"/>
            <w:vAlign w:val="bottom"/>
            <w:shd w:val="clear" w:color="auto" w:fill="DCDFED"/>
          </w:tcPr>
          <w:p>
            <w:pPr>
              <w:spacing w:after="0"/>
              <w:rPr>
                <w:sz w:val="19"/>
                <w:szCs w:val="19"/>
                <w:color w:val="auto"/>
              </w:rPr>
            </w:pPr>
          </w:p>
        </w:tc>
        <w:tc>
          <w:tcPr>
            <w:tcW w:w="1180" w:type="dxa"/>
            <w:vAlign w:val="bottom"/>
            <w:shd w:val="clear" w:color="auto" w:fill="DCDFED"/>
          </w:tcPr>
          <w:p>
            <w:pPr>
              <w:jc w:val="right"/>
              <w:spacing w:after="0"/>
              <w:rPr>
                <w:sz w:val="20"/>
                <w:szCs w:val="20"/>
                <w:color w:val="auto"/>
              </w:rPr>
            </w:pPr>
            <w:r>
              <w:rPr>
                <w:rFonts w:ascii="Arial" w:cs="Arial" w:eastAsia="Arial" w:hAnsi="Arial"/>
                <w:sz w:val="17"/>
                <w:szCs w:val="17"/>
                <w:color w:val="auto"/>
              </w:rPr>
              <w:t>17.5</w:t>
            </w:r>
          </w:p>
        </w:tc>
        <w:tc>
          <w:tcPr>
            <w:tcW w:w="140" w:type="dxa"/>
            <w:vAlign w:val="bottom"/>
          </w:tcPr>
          <w:p>
            <w:pPr>
              <w:spacing w:after="0"/>
              <w:rPr>
                <w:sz w:val="19"/>
                <w:szCs w:val="19"/>
                <w:color w:val="auto"/>
              </w:rPr>
            </w:pPr>
          </w:p>
        </w:tc>
      </w:tr>
      <w:tr>
        <w:trPr>
          <w:trHeight w:val="219"/>
        </w:trPr>
        <w:tc>
          <w:tcPr>
            <w:tcW w:w="4020" w:type="dxa"/>
            <w:vAlign w:val="bottom"/>
            <w:tcBorders>
              <w:bottom w:val="single" w:sz="8" w:color="DCDFED"/>
            </w:tcBorders>
          </w:tcPr>
          <w:p>
            <w:pPr>
              <w:ind w:left="20"/>
              <w:spacing w:after="0"/>
              <w:rPr>
                <w:sz w:val="20"/>
                <w:szCs w:val="20"/>
                <w:color w:val="auto"/>
              </w:rPr>
            </w:pPr>
            <w:r>
              <w:rPr>
                <w:rFonts w:ascii="Arial" w:cs="Arial" w:eastAsia="Arial" w:hAnsi="Arial"/>
                <w:sz w:val="17"/>
                <w:szCs w:val="17"/>
                <w:color w:val="auto"/>
              </w:rPr>
              <w:t>Corporate</w:t>
            </w:r>
          </w:p>
        </w:tc>
        <w:tc>
          <w:tcPr>
            <w:tcW w:w="2320" w:type="dxa"/>
            <w:vAlign w:val="bottom"/>
            <w:tcBorders>
              <w:bottom w:val="single" w:sz="8" w:color="DCDFED"/>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13.1</w:t>
            </w: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15.0</w:t>
            </w: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13.1</w:t>
            </w:r>
          </w:p>
        </w:tc>
        <w:tc>
          <w:tcPr>
            <w:tcW w:w="140" w:type="dxa"/>
            <w:vAlign w:val="bottom"/>
          </w:tcPr>
          <w:p>
            <w:pPr>
              <w:spacing w:after="0"/>
              <w:rPr>
                <w:sz w:val="19"/>
                <w:szCs w:val="19"/>
                <w:color w:val="auto"/>
              </w:rPr>
            </w:pPr>
          </w:p>
        </w:tc>
      </w:tr>
      <w:tr>
        <w:trPr>
          <w:trHeight w:val="212"/>
        </w:trPr>
        <w:tc>
          <w:tcPr>
            <w:tcW w:w="4020" w:type="dxa"/>
            <w:vAlign w:val="bottom"/>
            <w:shd w:val="clear" w:color="auto" w:fill="DCDFED"/>
          </w:tcPr>
          <w:p>
            <w:pPr>
              <w:spacing w:after="0"/>
              <w:rPr>
                <w:sz w:val="18"/>
                <w:szCs w:val="18"/>
                <w:color w:val="auto"/>
              </w:rPr>
            </w:pPr>
          </w:p>
        </w:tc>
        <w:tc>
          <w:tcPr>
            <w:tcW w:w="2320" w:type="dxa"/>
            <w:vAlign w:val="bottom"/>
            <w:shd w:val="clear" w:color="auto" w:fill="DCDFED"/>
          </w:tcPr>
          <w:p>
            <w:pPr>
              <w:spacing w:after="0"/>
              <w:rPr>
                <w:sz w:val="18"/>
                <w:szCs w:val="18"/>
                <w:color w:val="auto"/>
              </w:rPr>
            </w:pPr>
          </w:p>
        </w:tc>
        <w:tc>
          <w:tcPr>
            <w:tcW w:w="960" w:type="dxa"/>
            <w:vAlign w:val="bottom"/>
            <w:shd w:val="clear" w:color="auto" w:fill="DCDFED"/>
          </w:tcPr>
          <w:p>
            <w:pPr>
              <w:jc w:val="right"/>
              <w:ind w:right="774"/>
              <w:spacing w:after="0"/>
              <w:rPr>
                <w:sz w:val="20"/>
                <w:szCs w:val="20"/>
                <w:color w:val="auto"/>
              </w:rPr>
            </w:pPr>
            <w:r>
              <w:rPr>
                <w:rFonts w:ascii="Arial" w:cs="Arial" w:eastAsia="Arial" w:hAnsi="Arial"/>
                <w:sz w:val="17"/>
                <w:szCs w:val="17"/>
                <w:color w:val="auto"/>
                <w:w w:val="84"/>
              </w:rPr>
              <w:t>$</w:t>
            </w:r>
          </w:p>
        </w:tc>
        <w:tc>
          <w:tcPr>
            <w:tcW w:w="540" w:type="dxa"/>
            <w:vAlign w:val="bottom"/>
            <w:shd w:val="clear" w:color="auto" w:fill="DCDFED"/>
          </w:tcPr>
          <w:p>
            <w:pPr>
              <w:jc w:val="right"/>
              <w:spacing w:after="0"/>
              <w:rPr>
                <w:sz w:val="20"/>
                <w:szCs w:val="20"/>
                <w:color w:val="auto"/>
              </w:rPr>
            </w:pPr>
            <w:r>
              <w:rPr>
                <w:rFonts w:ascii="Arial" w:cs="Arial" w:eastAsia="Arial" w:hAnsi="Arial"/>
                <w:sz w:val="17"/>
                <w:szCs w:val="17"/>
                <w:color w:val="auto"/>
              </w:rPr>
              <w:t>105.6</w:t>
            </w:r>
          </w:p>
        </w:tc>
        <w:tc>
          <w:tcPr>
            <w:tcW w:w="100" w:type="dxa"/>
            <w:vAlign w:val="bottom"/>
            <w:shd w:val="clear" w:color="auto" w:fill="DCDFED"/>
          </w:tcPr>
          <w:p>
            <w:pPr>
              <w:spacing w:after="0"/>
              <w:rPr>
                <w:sz w:val="18"/>
                <w:szCs w:val="18"/>
                <w:color w:val="auto"/>
              </w:rPr>
            </w:pPr>
          </w:p>
        </w:tc>
        <w:tc>
          <w:tcPr>
            <w:tcW w:w="340" w:type="dxa"/>
            <w:vAlign w:val="bottom"/>
            <w:shd w:val="clear" w:color="auto" w:fill="DCDFED"/>
          </w:tcPr>
          <w:p>
            <w:pPr>
              <w:jc w:val="right"/>
              <w:ind w:right="134"/>
              <w:spacing w:after="0"/>
              <w:rPr>
                <w:sz w:val="20"/>
                <w:szCs w:val="20"/>
                <w:color w:val="auto"/>
              </w:rPr>
            </w:pPr>
            <w:r>
              <w:rPr>
                <w:rFonts w:ascii="Arial" w:cs="Arial" w:eastAsia="Arial" w:hAnsi="Arial"/>
                <w:sz w:val="17"/>
                <w:szCs w:val="17"/>
                <w:color w:val="auto"/>
              </w:rPr>
              <w:t>$</w:t>
            </w:r>
          </w:p>
        </w:tc>
        <w:tc>
          <w:tcPr>
            <w:tcW w:w="1180" w:type="dxa"/>
            <w:vAlign w:val="bottom"/>
            <w:shd w:val="clear" w:color="auto" w:fill="DCDFED"/>
          </w:tcPr>
          <w:p>
            <w:pPr>
              <w:jc w:val="right"/>
              <w:spacing w:after="0"/>
              <w:rPr>
                <w:sz w:val="20"/>
                <w:szCs w:val="20"/>
                <w:color w:val="auto"/>
              </w:rPr>
            </w:pPr>
            <w:r>
              <w:rPr>
                <w:rFonts w:ascii="Arial" w:cs="Arial" w:eastAsia="Arial" w:hAnsi="Arial"/>
                <w:sz w:val="17"/>
                <w:szCs w:val="17"/>
                <w:color w:val="auto"/>
              </w:rPr>
              <w:t>106.6</w:t>
            </w:r>
          </w:p>
        </w:tc>
        <w:tc>
          <w:tcPr>
            <w:tcW w:w="100" w:type="dxa"/>
            <w:vAlign w:val="bottom"/>
            <w:shd w:val="clear" w:color="auto" w:fill="DCDFED"/>
          </w:tcPr>
          <w:p>
            <w:pPr>
              <w:spacing w:after="0"/>
              <w:rPr>
                <w:sz w:val="18"/>
                <w:szCs w:val="18"/>
                <w:color w:val="auto"/>
              </w:rPr>
            </w:pPr>
          </w:p>
        </w:tc>
        <w:tc>
          <w:tcPr>
            <w:tcW w:w="360" w:type="dxa"/>
            <w:vAlign w:val="bottom"/>
            <w:shd w:val="clear" w:color="auto" w:fill="DCDFED"/>
          </w:tcPr>
          <w:p>
            <w:pPr>
              <w:jc w:val="right"/>
              <w:ind w:right="154"/>
              <w:spacing w:after="0"/>
              <w:rPr>
                <w:sz w:val="20"/>
                <w:szCs w:val="20"/>
                <w:color w:val="auto"/>
              </w:rPr>
            </w:pPr>
            <w:r>
              <w:rPr>
                <w:rFonts w:ascii="Arial" w:cs="Arial" w:eastAsia="Arial" w:hAnsi="Arial"/>
                <w:sz w:val="17"/>
                <w:szCs w:val="17"/>
                <w:color w:val="auto"/>
              </w:rPr>
              <w:t>$</w:t>
            </w:r>
          </w:p>
        </w:tc>
        <w:tc>
          <w:tcPr>
            <w:tcW w:w="1180" w:type="dxa"/>
            <w:vAlign w:val="bottom"/>
            <w:shd w:val="clear" w:color="auto" w:fill="DCDFED"/>
          </w:tcPr>
          <w:p>
            <w:pPr>
              <w:jc w:val="right"/>
              <w:spacing w:after="0"/>
              <w:rPr>
                <w:sz w:val="20"/>
                <w:szCs w:val="20"/>
                <w:color w:val="auto"/>
              </w:rPr>
            </w:pPr>
            <w:r>
              <w:rPr>
                <w:rFonts w:ascii="Arial" w:cs="Arial" w:eastAsia="Arial" w:hAnsi="Arial"/>
                <w:sz w:val="17"/>
                <w:szCs w:val="17"/>
                <w:color w:val="auto"/>
              </w:rPr>
              <w:t>120.7</w:t>
            </w:r>
          </w:p>
        </w:tc>
        <w:tc>
          <w:tcPr>
            <w:tcW w:w="140" w:type="dxa"/>
            <w:vAlign w:val="bottom"/>
          </w:tcPr>
          <w:p>
            <w:pPr>
              <w:spacing w:after="0"/>
              <w:rPr>
                <w:sz w:val="18"/>
                <w:szCs w:val="18"/>
                <w:color w:val="auto"/>
              </w:rPr>
            </w:pPr>
          </w:p>
        </w:tc>
      </w:tr>
      <w:tr>
        <w:trPr>
          <w:trHeight w:val="828"/>
        </w:trPr>
        <w:tc>
          <w:tcPr>
            <w:tcW w:w="4020" w:type="dxa"/>
            <w:vAlign w:val="bottom"/>
          </w:tcPr>
          <w:p>
            <w:pPr>
              <w:spacing w:after="0"/>
              <w:rPr>
                <w:sz w:val="24"/>
                <w:szCs w:val="24"/>
                <w:color w:val="auto"/>
              </w:rPr>
            </w:pPr>
          </w:p>
        </w:tc>
        <w:tc>
          <w:tcPr>
            <w:tcW w:w="2320" w:type="dxa"/>
            <w:vAlign w:val="bottom"/>
          </w:tcPr>
          <w:p>
            <w:pPr>
              <w:jc w:val="right"/>
              <w:ind w:right="534"/>
              <w:spacing w:after="0"/>
              <w:rPr>
                <w:sz w:val="20"/>
                <w:szCs w:val="20"/>
                <w:color w:val="auto"/>
              </w:rPr>
            </w:pPr>
            <w:r>
              <w:rPr>
                <w:rFonts w:ascii="Arial" w:cs="Arial" w:eastAsia="Arial" w:hAnsi="Arial"/>
                <w:sz w:val="17"/>
                <w:szCs w:val="17"/>
                <w:color w:val="auto"/>
              </w:rPr>
              <w:t>89</w:t>
            </w:r>
          </w:p>
        </w:tc>
        <w:tc>
          <w:tcPr>
            <w:tcW w:w="9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06"/>
        </w:trPr>
        <w:tc>
          <w:tcPr>
            <w:tcW w:w="4020" w:type="dxa"/>
            <w:vAlign w:val="bottom"/>
            <w:tcBorders>
              <w:bottom w:val="single" w:sz="8" w:color="9A9A9A"/>
            </w:tcBorders>
          </w:tcPr>
          <w:p>
            <w:pPr>
              <w:spacing w:after="0"/>
              <w:rPr>
                <w:sz w:val="9"/>
                <w:szCs w:val="9"/>
                <w:color w:val="auto"/>
              </w:rPr>
            </w:pPr>
          </w:p>
        </w:tc>
        <w:tc>
          <w:tcPr>
            <w:tcW w:w="232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04" w:right="339" w:bottom="1440" w:gutter="0" w:footer="0" w:header="0"/>
        </w:sectPr>
      </w:pPr>
    </w:p>
    <w:bookmarkStart w:id="92" w:name="page93"/>
    <w:bookmarkEnd w:id="92"/>
    <w:p>
      <w:pPr>
        <w:spacing w:after="0"/>
        <w:rPr>
          <w:sz w:val="20"/>
          <w:szCs w:val="20"/>
          <w:color w:val="auto"/>
        </w:rPr>
      </w:pPr>
      <w:r>
        <w:rPr>
          <w:rFonts w:ascii="Arial" w:cs="Arial" w:eastAsia="Arial" w:hAnsi="Arial"/>
          <w:sz w:val="17"/>
          <w:szCs w:val="17"/>
          <w:b w:val="1"/>
          <w:bCs w:val="1"/>
          <w:color w:val="0046AD"/>
        </w:rPr>
        <w:t>Geographic Information Based on the Country in Which the Sale Originated</w:t>
      </w:r>
      <w:r>
        <w:rPr>
          <w:rFonts w:ascii="Arial" w:cs="Arial" w:eastAsia="Arial" w:hAnsi="Arial"/>
          <w:sz w:val="10"/>
          <w:szCs w:val="10"/>
          <w:color w:val="0046AD"/>
        </w:rPr>
        <w:t>(1)</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7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3280" w:type="dxa"/>
            <w:vAlign w:val="bottom"/>
            <w:tcBorders>
              <w:bottom w:val="single" w:sz="8" w:color="auto"/>
            </w:tcBorders>
            <w:gridSpan w:val="6"/>
          </w:tcPr>
          <w:p>
            <w:pPr>
              <w:jc w:val="right"/>
              <w:ind w:right="154"/>
              <w:spacing w:after="0"/>
              <w:rPr>
                <w:sz w:val="20"/>
                <w:szCs w:val="20"/>
                <w:color w:val="auto"/>
              </w:rPr>
            </w:pPr>
            <w:r>
              <w:rPr>
                <w:rFonts w:ascii="Arial" w:cs="Arial" w:eastAsia="Arial" w:hAnsi="Arial"/>
                <w:sz w:val="17"/>
                <w:szCs w:val="17"/>
                <w:b w:val="1"/>
                <w:bCs w:val="1"/>
                <w:color w:val="auto"/>
              </w:rPr>
              <w:t>Year Ended October 31,</w:t>
            </w:r>
          </w:p>
        </w:tc>
        <w:tc>
          <w:tcPr>
            <w:tcW w:w="1200" w:type="dxa"/>
            <w:vAlign w:val="bottom"/>
            <w:tcBorders>
              <w:bottom w:val="single" w:sz="8" w:color="auto"/>
            </w:tcBorders>
          </w:tcPr>
          <w:p>
            <w:pPr>
              <w:spacing w:after="0"/>
              <w:rPr>
                <w:sz w:val="19"/>
                <w:szCs w:val="19"/>
                <w:color w:val="auto"/>
              </w:rPr>
            </w:pPr>
          </w:p>
        </w:tc>
      </w:tr>
      <w:tr>
        <w:trPr>
          <w:trHeight w:val="160"/>
        </w:trPr>
        <w:tc>
          <w:tcPr>
            <w:tcW w:w="6420" w:type="dxa"/>
            <w:vAlign w:val="bottom"/>
            <w:gridSpan w:val="3"/>
          </w:tcPr>
          <w:p>
            <w:pPr>
              <w:ind w:left="20"/>
              <w:spacing w:after="0" w:line="148" w:lineRule="exact"/>
              <w:rPr>
                <w:sz w:val="20"/>
                <w:szCs w:val="20"/>
                <w:color w:val="auto"/>
              </w:rPr>
            </w:pPr>
            <w:r>
              <w:rPr>
                <w:rFonts w:ascii="Times New Roman" w:cs="Times New Roman" w:eastAsia="Times New Roman" w:hAnsi="Times New Roman"/>
                <w:sz w:val="14"/>
                <w:szCs w:val="14"/>
                <w:i w:val="1"/>
                <w:iCs w:val="1"/>
                <w:color w:val="auto"/>
              </w:rPr>
              <w:t>(in millions)</w:t>
            </w:r>
          </w:p>
        </w:tc>
        <w:tc>
          <w:tcPr>
            <w:tcW w:w="340" w:type="dxa"/>
            <w:vAlign w:val="bottom"/>
          </w:tcPr>
          <w:p>
            <w:pPr>
              <w:spacing w:after="0"/>
              <w:rPr>
                <w:sz w:val="13"/>
                <w:szCs w:val="13"/>
                <w:color w:val="auto"/>
              </w:rPr>
            </w:pPr>
          </w:p>
        </w:tc>
        <w:tc>
          <w:tcPr>
            <w:tcW w:w="1200" w:type="dxa"/>
            <w:vAlign w:val="bottom"/>
          </w:tcPr>
          <w:p>
            <w:pPr>
              <w:jc w:val="right"/>
              <w:ind w:right="494"/>
              <w:spacing w:after="0" w:line="148" w:lineRule="exact"/>
              <w:rPr>
                <w:sz w:val="20"/>
                <w:szCs w:val="20"/>
                <w:color w:val="auto"/>
              </w:rPr>
            </w:pPr>
            <w:r>
              <w:rPr>
                <w:rFonts w:ascii="Arial" w:cs="Arial" w:eastAsia="Arial" w:hAnsi="Arial"/>
                <w:sz w:val="17"/>
                <w:szCs w:val="17"/>
                <w:b w:val="1"/>
                <w:bCs w:val="1"/>
                <w:color w:val="auto"/>
              </w:rPr>
              <w:t>2025</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0" w:type="dxa"/>
            <w:vAlign w:val="bottom"/>
          </w:tcPr>
          <w:p>
            <w:pPr>
              <w:jc w:val="right"/>
              <w:ind w:right="494"/>
              <w:spacing w:after="0" w:line="148" w:lineRule="exact"/>
              <w:rPr>
                <w:sz w:val="20"/>
                <w:szCs w:val="20"/>
                <w:color w:val="auto"/>
              </w:rPr>
            </w:pPr>
            <w:r>
              <w:rPr>
                <w:rFonts w:ascii="Arial" w:cs="Arial" w:eastAsia="Arial" w:hAnsi="Arial"/>
                <w:sz w:val="17"/>
                <w:szCs w:val="17"/>
                <w:b w:val="1"/>
                <w:bCs w:val="1"/>
                <w:color w:val="auto"/>
              </w:rPr>
              <w:t>2024</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0" w:type="dxa"/>
            <w:vAlign w:val="bottom"/>
          </w:tcPr>
          <w:p>
            <w:pPr>
              <w:jc w:val="right"/>
              <w:ind w:right="494"/>
              <w:spacing w:after="0" w:line="148" w:lineRule="exact"/>
              <w:rPr>
                <w:sz w:val="20"/>
                <w:szCs w:val="20"/>
                <w:color w:val="auto"/>
              </w:rPr>
            </w:pPr>
            <w:r>
              <w:rPr>
                <w:rFonts w:ascii="Arial" w:cs="Arial" w:eastAsia="Arial" w:hAnsi="Arial"/>
                <w:sz w:val="17"/>
                <w:szCs w:val="17"/>
                <w:b w:val="1"/>
                <w:bCs w:val="1"/>
                <w:color w:val="auto"/>
              </w:rPr>
              <w:t>2023</w:t>
            </w:r>
          </w:p>
        </w:tc>
      </w:tr>
      <w:tr>
        <w:trPr>
          <w:trHeight w:val="32"/>
        </w:trPr>
        <w:tc>
          <w:tcPr>
            <w:tcW w:w="20" w:type="dxa"/>
            <w:vAlign w:val="bottom"/>
            <w:tcBorders>
              <w:bottom w:val="single" w:sz="8" w:color="DCE2EF"/>
            </w:tcBorders>
          </w:tcPr>
          <w:p>
            <w:pPr>
              <w:spacing w:after="0"/>
              <w:rPr>
                <w:sz w:val="2"/>
                <w:szCs w:val="2"/>
                <w:color w:val="auto"/>
              </w:rPr>
            </w:pPr>
          </w:p>
        </w:tc>
        <w:tc>
          <w:tcPr>
            <w:tcW w:w="680" w:type="dxa"/>
            <w:vAlign w:val="bottom"/>
            <w:tcBorders>
              <w:top w:val="single" w:sz="8" w:color="auto"/>
              <w:bottom w:val="single" w:sz="8" w:color="DCE2EF"/>
            </w:tcBorders>
          </w:tcPr>
          <w:p>
            <w:pPr>
              <w:spacing w:after="0"/>
              <w:rPr>
                <w:sz w:val="2"/>
                <w:szCs w:val="2"/>
                <w:color w:val="auto"/>
              </w:rPr>
            </w:pPr>
          </w:p>
        </w:tc>
        <w:tc>
          <w:tcPr>
            <w:tcW w:w="5720" w:type="dxa"/>
            <w:vAlign w:val="bottom"/>
            <w:tcBorders>
              <w:bottom w:val="single" w:sz="8" w:color="DCE2E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99"/>
        </w:trPr>
        <w:tc>
          <w:tcPr>
            <w:tcW w:w="6420" w:type="dxa"/>
            <w:vAlign w:val="bottom"/>
            <w:gridSpan w:val="3"/>
            <w:shd w:val="clear" w:color="auto" w:fill="DCE2EF"/>
          </w:tcPr>
          <w:p>
            <w:pPr>
              <w:ind w:left="20"/>
              <w:spacing w:after="0"/>
              <w:rPr>
                <w:sz w:val="20"/>
                <w:szCs w:val="20"/>
                <w:color w:val="auto"/>
              </w:rPr>
            </w:pPr>
            <w:r>
              <w:rPr>
                <w:rFonts w:ascii="Arial" w:cs="Arial" w:eastAsia="Arial" w:hAnsi="Arial"/>
                <w:sz w:val="17"/>
                <w:szCs w:val="17"/>
                <w:b w:val="1"/>
                <w:bCs w:val="1"/>
                <w:color w:val="auto"/>
              </w:rPr>
              <w:t>Revenues</w:t>
            </w:r>
          </w:p>
        </w:tc>
        <w:tc>
          <w:tcPr>
            <w:tcW w:w="340" w:type="dxa"/>
            <w:vAlign w:val="bottom"/>
            <w:shd w:val="clear" w:color="auto" w:fill="DCE2EF"/>
          </w:tcPr>
          <w:p>
            <w:pPr>
              <w:spacing w:after="0"/>
              <w:rPr>
                <w:sz w:val="17"/>
                <w:szCs w:val="17"/>
                <w:color w:val="auto"/>
              </w:rPr>
            </w:pPr>
          </w:p>
        </w:tc>
        <w:tc>
          <w:tcPr>
            <w:tcW w:w="1200" w:type="dxa"/>
            <w:vAlign w:val="bottom"/>
            <w:shd w:val="clear" w:color="auto" w:fill="DCE2EF"/>
          </w:tcPr>
          <w:p>
            <w:pPr>
              <w:spacing w:after="0"/>
              <w:rPr>
                <w:sz w:val="17"/>
                <w:szCs w:val="17"/>
                <w:color w:val="auto"/>
              </w:rPr>
            </w:pPr>
          </w:p>
        </w:tc>
        <w:tc>
          <w:tcPr>
            <w:tcW w:w="100" w:type="dxa"/>
            <w:vAlign w:val="bottom"/>
            <w:shd w:val="clear" w:color="auto" w:fill="DCE2EF"/>
          </w:tcPr>
          <w:p>
            <w:pPr>
              <w:spacing w:after="0"/>
              <w:rPr>
                <w:sz w:val="17"/>
                <w:szCs w:val="17"/>
                <w:color w:val="auto"/>
              </w:rPr>
            </w:pPr>
          </w:p>
        </w:tc>
        <w:tc>
          <w:tcPr>
            <w:tcW w:w="340" w:type="dxa"/>
            <w:vAlign w:val="bottom"/>
            <w:shd w:val="clear" w:color="auto" w:fill="DCE2EF"/>
          </w:tcPr>
          <w:p>
            <w:pPr>
              <w:spacing w:after="0"/>
              <w:rPr>
                <w:sz w:val="17"/>
                <w:szCs w:val="17"/>
                <w:color w:val="auto"/>
              </w:rPr>
            </w:pPr>
          </w:p>
        </w:tc>
        <w:tc>
          <w:tcPr>
            <w:tcW w:w="1200" w:type="dxa"/>
            <w:vAlign w:val="bottom"/>
            <w:shd w:val="clear" w:color="auto" w:fill="DCE2EF"/>
          </w:tcPr>
          <w:p>
            <w:pPr>
              <w:spacing w:after="0"/>
              <w:rPr>
                <w:sz w:val="17"/>
                <w:szCs w:val="17"/>
                <w:color w:val="auto"/>
              </w:rPr>
            </w:pPr>
          </w:p>
        </w:tc>
        <w:tc>
          <w:tcPr>
            <w:tcW w:w="100" w:type="dxa"/>
            <w:vAlign w:val="bottom"/>
            <w:shd w:val="clear" w:color="auto" w:fill="DCE2EF"/>
          </w:tcPr>
          <w:p>
            <w:pPr>
              <w:spacing w:after="0"/>
              <w:rPr>
                <w:sz w:val="17"/>
                <w:szCs w:val="17"/>
                <w:color w:val="auto"/>
              </w:rPr>
            </w:pPr>
          </w:p>
        </w:tc>
        <w:tc>
          <w:tcPr>
            <w:tcW w:w="340" w:type="dxa"/>
            <w:vAlign w:val="bottom"/>
            <w:shd w:val="clear" w:color="auto" w:fill="DCE2EF"/>
          </w:tcPr>
          <w:p>
            <w:pPr>
              <w:spacing w:after="0"/>
              <w:rPr>
                <w:sz w:val="17"/>
                <w:szCs w:val="17"/>
                <w:color w:val="auto"/>
              </w:rPr>
            </w:pPr>
          </w:p>
        </w:tc>
        <w:tc>
          <w:tcPr>
            <w:tcW w:w="1200" w:type="dxa"/>
            <w:vAlign w:val="bottom"/>
            <w:shd w:val="clear" w:color="auto" w:fill="DCE2EF"/>
          </w:tcPr>
          <w:p>
            <w:pPr>
              <w:spacing w:after="0"/>
              <w:rPr>
                <w:sz w:val="17"/>
                <w:szCs w:val="17"/>
                <w:color w:val="auto"/>
              </w:rPr>
            </w:pPr>
          </w:p>
        </w:tc>
      </w:tr>
      <w:tr>
        <w:trPr>
          <w:trHeight w:val="219"/>
        </w:trPr>
        <w:tc>
          <w:tcPr>
            <w:tcW w:w="6420" w:type="dxa"/>
            <w:vAlign w:val="bottom"/>
            <w:gridSpan w:val="3"/>
          </w:tcPr>
          <w:p>
            <w:pPr>
              <w:ind w:left="20"/>
              <w:spacing w:after="0"/>
              <w:rPr>
                <w:sz w:val="20"/>
                <w:szCs w:val="20"/>
                <w:color w:val="auto"/>
              </w:rPr>
            </w:pPr>
            <w:r>
              <w:rPr>
                <w:rFonts w:ascii="Arial" w:cs="Arial" w:eastAsia="Arial" w:hAnsi="Arial"/>
                <w:sz w:val="17"/>
                <w:szCs w:val="17"/>
                <w:color w:val="auto"/>
              </w:rPr>
              <w:t>United States</w:t>
            </w:r>
          </w:p>
        </w:tc>
        <w:tc>
          <w:tcPr>
            <w:tcW w:w="340" w:type="dxa"/>
            <w:vAlign w:val="bottom"/>
          </w:tcPr>
          <w:p>
            <w:pPr>
              <w:jc w:val="right"/>
              <w:ind w:right="134"/>
              <w:spacing w:after="0"/>
              <w:rPr>
                <w:sz w:val="20"/>
                <w:szCs w:val="20"/>
                <w:color w:val="auto"/>
              </w:rPr>
            </w:pPr>
            <w:r>
              <w:rPr>
                <w:rFonts w:ascii="Arial" w:cs="Arial" w:eastAsia="Arial" w:hAnsi="Arial"/>
                <w:sz w:val="17"/>
                <w:szCs w:val="17"/>
                <w:color w:val="auto"/>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8,025.4</w:t>
            </w:r>
          </w:p>
        </w:tc>
        <w:tc>
          <w:tcPr>
            <w:tcW w:w="100" w:type="dxa"/>
            <w:vAlign w:val="bottom"/>
          </w:tcPr>
          <w:p>
            <w:pPr>
              <w:spacing w:after="0"/>
              <w:rPr>
                <w:sz w:val="19"/>
                <w:szCs w:val="19"/>
                <w:color w:val="auto"/>
              </w:rPr>
            </w:pPr>
          </w:p>
        </w:tc>
        <w:tc>
          <w:tcPr>
            <w:tcW w:w="340" w:type="dxa"/>
            <w:vAlign w:val="bottom"/>
          </w:tcPr>
          <w:p>
            <w:pPr>
              <w:jc w:val="right"/>
              <w:ind w:right="134"/>
              <w:spacing w:after="0"/>
              <w:rPr>
                <w:sz w:val="20"/>
                <w:szCs w:val="20"/>
                <w:color w:val="auto"/>
              </w:rPr>
            </w:pPr>
            <w:r>
              <w:rPr>
                <w:rFonts w:ascii="Arial" w:cs="Arial" w:eastAsia="Arial" w:hAnsi="Arial"/>
                <w:sz w:val="17"/>
                <w:szCs w:val="17"/>
                <w:color w:val="auto"/>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7,760.9</w:t>
            </w:r>
          </w:p>
        </w:tc>
        <w:tc>
          <w:tcPr>
            <w:tcW w:w="100" w:type="dxa"/>
            <w:vAlign w:val="bottom"/>
          </w:tcPr>
          <w:p>
            <w:pPr>
              <w:spacing w:after="0"/>
              <w:rPr>
                <w:sz w:val="19"/>
                <w:szCs w:val="19"/>
                <w:color w:val="auto"/>
              </w:rPr>
            </w:pPr>
          </w:p>
        </w:tc>
        <w:tc>
          <w:tcPr>
            <w:tcW w:w="340" w:type="dxa"/>
            <w:vAlign w:val="bottom"/>
          </w:tcPr>
          <w:p>
            <w:pPr>
              <w:jc w:val="right"/>
              <w:ind w:right="134"/>
              <w:spacing w:after="0"/>
              <w:rPr>
                <w:sz w:val="20"/>
                <w:szCs w:val="20"/>
                <w:color w:val="auto"/>
              </w:rPr>
            </w:pPr>
            <w:r>
              <w:rPr>
                <w:rFonts w:ascii="Arial" w:cs="Arial" w:eastAsia="Arial" w:hAnsi="Arial"/>
                <w:sz w:val="17"/>
                <w:szCs w:val="17"/>
                <w:color w:val="auto"/>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7,565.6</w:t>
            </w:r>
          </w:p>
        </w:tc>
      </w:tr>
      <w:tr>
        <w:trPr>
          <w:trHeight w:val="219"/>
        </w:trPr>
        <w:tc>
          <w:tcPr>
            <w:tcW w:w="6420" w:type="dxa"/>
            <w:vAlign w:val="bottom"/>
            <w:gridSpan w:val="3"/>
            <w:shd w:val="clear" w:color="auto" w:fill="DCE2EF"/>
          </w:tcPr>
          <w:p>
            <w:pPr>
              <w:ind w:left="20"/>
              <w:spacing w:after="0"/>
              <w:rPr>
                <w:sz w:val="20"/>
                <w:szCs w:val="20"/>
                <w:color w:val="auto"/>
              </w:rPr>
            </w:pPr>
            <w:r>
              <w:rPr>
                <w:rFonts w:ascii="Arial" w:cs="Arial" w:eastAsia="Arial" w:hAnsi="Arial"/>
                <w:sz w:val="17"/>
                <w:szCs w:val="17"/>
                <w:color w:val="auto"/>
              </w:rPr>
              <w:t>All other countries</w:t>
            </w:r>
          </w:p>
        </w:tc>
        <w:tc>
          <w:tcPr>
            <w:tcW w:w="340" w:type="dxa"/>
            <w:vAlign w:val="bottom"/>
            <w:tcBorders>
              <w:bottom w:val="single" w:sz="8" w:color="auto"/>
            </w:tcBorders>
            <w:shd w:val="clear" w:color="auto" w:fill="DCE2EF"/>
          </w:tcPr>
          <w:p>
            <w:pPr>
              <w:spacing w:after="0"/>
              <w:rPr>
                <w:sz w:val="19"/>
                <w:szCs w:val="19"/>
                <w:color w:val="auto"/>
              </w:rPr>
            </w:pPr>
          </w:p>
        </w:tc>
        <w:tc>
          <w:tcPr>
            <w:tcW w:w="120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7"/>
                <w:szCs w:val="17"/>
                <w:color w:val="auto"/>
              </w:rPr>
              <w:t>720.5</w:t>
            </w:r>
          </w:p>
        </w:tc>
        <w:tc>
          <w:tcPr>
            <w:tcW w:w="100" w:type="dxa"/>
            <w:vAlign w:val="bottom"/>
            <w:shd w:val="clear" w:color="auto" w:fill="DCE2EF"/>
          </w:tcPr>
          <w:p>
            <w:pPr>
              <w:spacing w:after="0"/>
              <w:rPr>
                <w:sz w:val="19"/>
                <w:szCs w:val="19"/>
                <w:color w:val="auto"/>
              </w:rPr>
            </w:pPr>
          </w:p>
        </w:tc>
        <w:tc>
          <w:tcPr>
            <w:tcW w:w="340" w:type="dxa"/>
            <w:vAlign w:val="bottom"/>
            <w:tcBorders>
              <w:bottom w:val="single" w:sz="8" w:color="auto"/>
            </w:tcBorders>
            <w:shd w:val="clear" w:color="auto" w:fill="DCE2EF"/>
          </w:tcPr>
          <w:p>
            <w:pPr>
              <w:spacing w:after="0"/>
              <w:rPr>
                <w:sz w:val="19"/>
                <w:szCs w:val="19"/>
                <w:color w:val="auto"/>
              </w:rPr>
            </w:pPr>
          </w:p>
        </w:tc>
        <w:tc>
          <w:tcPr>
            <w:tcW w:w="120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7"/>
                <w:szCs w:val="17"/>
                <w:color w:val="auto"/>
              </w:rPr>
              <w:t>598.4</w:t>
            </w:r>
          </w:p>
        </w:tc>
        <w:tc>
          <w:tcPr>
            <w:tcW w:w="100" w:type="dxa"/>
            <w:vAlign w:val="bottom"/>
            <w:shd w:val="clear" w:color="auto" w:fill="DCE2EF"/>
          </w:tcPr>
          <w:p>
            <w:pPr>
              <w:spacing w:after="0"/>
              <w:rPr>
                <w:sz w:val="19"/>
                <w:szCs w:val="19"/>
                <w:color w:val="auto"/>
              </w:rPr>
            </w:pPr>
          </w:p>
        </w:tc>
        <w:tc>
          <w:tcPr>
            <w:tcW w:w="340" w:type="dxa"/>
            <w:vAlign w:val="bottom"/>
            <w:tcBorders>
              <w:bottom w:val="single" w:sz="8" w:color="auto"/>
            </w:tcBorders>
            <w:shd w:val="clear" w:color="auto" w:fill="DCE2EF"/>
          </w:tcPr>
          <w:p>
            <w:pPr>
              <w:spacing w:after="0"/>
              <w:rPr>
                <w:sz w:val="19"/>
                <w:szCs w:val="19"/>
                <w:color w:val="auto"/>
              </w:rPr>
            </w:pPr>
          </w:p>
        </w:tc>
        <w:tc>
          <w:tcPr>
            <w:tcW w:w="120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7"/>
                <w:szCs w:val="17"/>
                <w:color w:val="auto"/>
              </w:rPr>
              <w:t>530.8</w:t>
            </w:r>
          </w:p>
        </w:tc>
      </w:tr>
      <w:tr>
        <w:trPr>
          <w:trHeight w:val="212"/>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720" w:type="dxa"/>
            <w:vAlign w:val="bottom"/>
          </w:tcPr>
          <w:p>
            <w:pPr>
              <w:spacing w:after="0"/>
              <w:rPr>
                <w:sz w:val="18"/>
                <w:szCs w:val="18"/>
                <w:color w:val="auto"/>
              </w:rPr>
            </w:pPr>
          </w:p>
        </w:tc>
        <w:tc>
          <w:tcPr>
            <w:tcW w:w="3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8,745.9</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8,359.4</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8,096.4</w:t>
            </w:r>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70" w:lineRule="exact"/>
        <w:rPr>
          <w:sz w:val="20"/>
          <w:szCs w:val="20"/>
          <w:color w:val="auto"/>
        </w:rPr>
      </w:pPr>
    </w:p>
    <w:p>
      <w:pPr>
        <w:ind w:left="160" w:hanging="157"/>
        <w:spacing w:after="0"/>
        <w:tabs>
          <w:tab w:leader="none" w:pos="160" w:val="left"/>
        </w:tabs>
        <w:numPr>
          <w:ilvl w:val="0"/>
          <w:numId w:val="43"/>
        </w:numPr>
        <w:rPr>
          <w:rFonts w:ascii="Arial" w:cs="Arial" w:eastAsia="Arial" w:hAnsi="Arial"/>
          <w:sz w:val="19"/>
          <w:szCs w:val="19"/>
          <w:color w:val="auto"/>
          <w:vertAlign w:val="superscript"/>
        </w:rPr>
      </w:pPr>
      <w:r>
        <w:rPr>
          <w:rFonts w:ascii="Arial" w:cs="Arial" w:eastAsia="Arial" w:hAnsi="Arial"/>
          <w:sz w:val="15"/>
          <w:szCs w:val="15"/>
          <w:color w:val="auto"/>
        </w:rPr>
        <w:t>Substantially all of our long-lived assets are related to U.S. operations.</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6" w:right="339" w:bottom="1440" w:gutter="0" w:footer="0" w:header="0"/>
        </w:sectPr>
      </w:pPr>
    </w:p>
    <w:bookmarkStart w:id="93" w:name="page94"/>
    <w:bookmarkEnd w:id="93"/>
    <w:p>
      <w:pPr>
        <w:spacing w:after="0"/>
        <w:rPr>
          <w:sz w:val="20"/>
          <w:szCs w:val="20"/>
          <w:color w:val="auto"/>
        </w:rPr>
      </w:pPr>
      <w:r>
        <w:rPr>
          <w:rFonts w:ascii="Arial" w:cs="Arial" w:eastAsia="Arial" w:hAnsi="Arial"/>
          <w:sz w:val="17"/>
          <w:szCs w:val="17"/>
          <w:b w:val="1"/>
          <w:bCs w:val="1"/>
          <w:color w:val="0046AD"/>
        </w:rPr>
        <w:t>19. SUBSEQUENT EVENT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wp:posOffset>
            </wp:positionV>
            <wp:extent cx="707326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073265" cy="8255"/>
                    </a:xfrm>
                    <a:prstGeom prst="rect">
                      <a:avLst/>
                    </a:prstGeom>
                    <a:noFill/>
                  </pic:spPr>
                </pic:pic>
              </a:graphicData>
            </a:graphic>
          </wp:anchor>
        </w:drawing>
      </w:r>
    </w:p>
    <w:p>
      <w:pPr>
        <w:spacing w:after="0" w:line="315" w:lineRule="exact"/>
        <w:rPr>
          <w:sz w:val="20"/>
          <w:szCs w:val="20"/>
          <w:color w:val="auto"/>
        </w:rPr>
      </w:pPr>
    </w:p>
    <w:p>
      <w:pPr>
        <w:jc w:val="both"/>
        <w:ind w:firstLine="619"/>
        <w:spacing w:after="0" w:line="260" w:lineRule="auto"/>
        <w:rPr>
          <w:sz w:val="20"/>
          <w:szCs w:val="20"/>
          <w:color w:val="auto"/>
        </w:rPr>
      </w:pPr>
      <w:r>
        <w:rPr>
          <w:rFonts w:ascii="Arial" w:cs="Arial" w:eastAsia="Arial" w:hAnsi="Arial"/>
          <w:sz w:val="17"/>
          <w:szCs w:val="17"/>
          <w:color w:val="auto"/>
        </w:rPr>
        <w:t>On December 15, 2025, we entered into a Share Purchase Agreement with PW Red October S.À R.L, Watchman Investment Holdings Unlimited Company, and certain Management Sellers, as defined in the Purchase Agreement (the “Sellers”), pursuant to which ABM will acquire all of the issued and outstanding share capital of Iveagh New Opportunities Limited, a company incorporated in Ireland, and its direct and indirect wholly-owned subsidiaries (collectively, “WGNSTAR”) for an aggregate purchase price of approximately $275 million in cash, payable in accordance with the terms of the Purchase Agreement and subject to the adjustments set forth therein (the transaction, the “Acquisition”). We will finance the Acquisition with cash on hand and borrowings under our Amended Credit Facility.</w:t>
      </w:r>
    </w:p>
    <w:p>
      <w:pPr>
        <w:spacing w:after="0" w:line="122"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17"/>
          <w:szCs w:val="17"/>
          <w:color w:val="auto"/>
        </w:rPr>
        <w:t>The closing of the Acquisition is subject to the satisfaction or waiver of customary closing conditions, including the expiration or termination of the waiting period under the Hart-Scott-Rodino Antitrust Improvements Act of 1976, as well as certain other regulatory approvals in Ireland.</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65" w:right="339" w:bottom="1440" w:gutter="0" w:footer="0" w:header="0"/>
        </w:sectPr>
      </w:pPr>
    </w:p>
    <w:bookmarkStart w:id="94" w:name="page95"/>
    <w:bookmarkEnd w:id="94"/>
    <w:p>
      <w:pPr>
        <w:spacing w:after="0"/>
        <w:rPr>
          <w:sz w:val="20"/>
          <w:szCs w:val="20"/>
          <w:color w:val="auto"/>
        </w:rPr>
      </w:pPr>
      <w:r>
        <w:rPr>
          <w:rFonts w:ascii="Arial" w:cs="Arial" w:eastAsia="Arial" w:hAnsi="Arial"/>
          <w:sz w:val="17"/>
          <w:szCs w:val="17"/>
          <w:b w:val="1"/>
          <w:bCs w:val="1"/>
          <w:color w:val="0046AD"/>
        </w:rPr>
        <w:t>ITEM 9. CHANGES IN AND DISAGREEMENTS WITH ACCOUNTANTS ON ACCOUNTING AND FINANCIAL DISCLOSURE.</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ITEM 9A. CONTROLS AND PROCEDURES.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a. Disclosure Controls and Procedures.</w:t>
      </w:r>
    </w:p>
    <w:p>
      <w:pPr>
        <w:spacing w:after="0" w:line="168"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As of the end of the period covered by this report, our Principal Executive Officer and Principal Financial Officer evaluated our disclosure controls and procedures, as such term is defined in Rules 13a-15(e) and 15d-15(e) of the Exchange Act. Based upon that evaluation, our Principal Executive Officer and Principal Financial Officer concluded that as of the end of the period covered by this report, our disclosure controls and procedures were effective to ensure that information required to be disclosed by us in reports we file or submit under the Exchange Act is (1) recorded, processed, summarized, and reported within the time periods specified in the rules and forms of the Securities and Exchange Commission and (2) accumulated and communicated to our management, including our Principal Executive Officer and Principal Financial Officer, to allow timely decisions regarding required disclosure.</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b. Management’s Report on Internal Control Over Financial Reporting.</w:t>
      </w:r>
    </w:p>
    <w:p>
      <w:pPr>
        <w:spacing w:after="0" w:line="168" w:lineRule="exact"/>
        <w:rPr>
          <w:sz w:val="20"/>
          <w:szCs w:val="20"/>
          <w:color w:val="auto"/>
        </w:rPr>
      </w:pPr>
    </w:p>
    <w:p>
      <w:pPr>
        <w:jc w:val="both"/>
        <w:ind w:firstLine="619"/>
        <w:spacing w:after="0" w:line="260"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as such term is defined in Rules 13a-15(f) and 15d-15(f) of the Exchange Act. Under the supervision and with the participation of our management, including our Principal Executive Officer and Principal Financial Officer, we conducted an evaluation of the effectiveness of our internal control over financial reporting based upon the framework in Internal Control – Integrated Framework (2013), issued by the Committee of Sponsoring Organizations of the Treadway Commission. Based on that evaluation, our management concluded that our internal control over financial reporting was effective as of October 31, 2025.</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46AD"/>
        </w:rPr>
        <w:t>Audit Report on Internal Controls Over Financial Reporting of the Registered Public Accounting Firm</w:t>
      </w:r>
    </w:p>
    <w:p>
      <w:pPr>
        <w:spacing w:after="0" w:line="165"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7"/>
          <w:szCs w:val="17"/>
          <w:color w:val="auto"/>
        </w:rPr>
        <w:t>KPMG LLP, an independent registered public accounting firm, has audited the consolidated financial statements included in this Annual Report on Form 10-K and, as part of its audit, has issued its report, included herein, on the effectiveness of our internal control over financial reporting.</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c. Changes in Internal Control Over Financial Reporting.</w:t>
      </w:r>
    </w:p>
    <w:p>
      <w:pPr>
        <w:spacing w:after="0" w:line="167" w:lineRule="exact"/>
        <w:rPr>
          <w:sz w:val="20"/>
          <w:szCs w:val="20"/>
          <w:color w:val="auto"/>
        </w:rPr>
      </w:pPr>
    </w:p>
    <w:p>
      <w:pPr>
        <w:jc w:val="both"/>
        <w:ind w:firstLine="619"/>
        <w:spacing w:after="0" w:line="256" w:lineRule="auto"/>
        <w:rPr>
          <w:sz w:val="20"/>
          <w:szCs w:val="20"/>
          <w:color w:val="auto"/>
        </w:rPr>
      </w:pPr>
      <w:r>
        <w:rPr>
          <w:rFonts w:ascii="Arial" w:cs="Arial" w:eastAsia="Arial" w:hAnsi="Arial"/>
          <w:sz w:val="17"/>
          <w:szCs w:val="17"/>
          <w:color w:val="auto"/>
        </w:rPr>
        <w:t>To support the growth of our financial shared service capabilities and standardize our financial systems, we continue to update several key platforms, including our HR information systems, enterprise resource planning system, and labor management system. The implementation of several key platforms involves changes in the systems that include internal controls. During the third quarter of 2023 and first quarter of 2025, we had a change in our internal control over financial reporting as a result of our implementation of a new ERP system and key boundary systems for the Education, B&amp;I, and M&amp;D industry groups that has materially affected our internal control over financial reporting. The new ERP system and key boundary systems for these industry groups is replacing our legacy system in which a significant portion of our business transactions originate, are processed, and recorded. The rest of our industry groups will transition to our new ERP system and key boundary systems over the next several years. Our new ERP system and key boundary systems are intended to provide us with enhanced transactional processing and management tools, as compared with our legacy system, and is intended to enhance internal controls over financial reporting. We believe our new ERP system and key boundary systems will facilitate better transactional reporting and oversight, enhance our internal control over financial reporting, and function as an important component of our disclosure controls and procedures. Although some of the transitions have proceeded to date without material adverse effects, the possibility exists that they could adversely affect our internal controls over financial reporting and procedures.</w:t>
      </w:r>
    </w:p>
    <w:p>
      <w:pPr>
        <w:spacing w:after="0" w:line="128"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7"/>
          <w:szCs w:val="17"/>
          <w:color w:val="auto"/>
        </w:rPr>
        <w:t>There were no other changes in our internal control over financial reporting during the fiscal year 2025 identified in connection with the evaluation required by Rules 13a-15(d) and 15d-15(d) of the Exchange Act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65" w:right="339" w:bottom="1440" w:gutter="0" w:footer="0" w:header="0"/>
        </w:sectPr>
      </w:pPr>
    </w:p>
    <w:bookmarkStart w:id="95" w:name="page96"/>
    <w:bookmarkEnd w:id="95"/>
    <w:p>
      <w:pPr>
        <w:spacing w:after="0"/>
        <w:rPr>
          <w:sz w:val="20"/>
          <w:szCs w:val="20"/>
          <w:color w:val="auto"/>
        </w:rPr>
      </w:pPr>
      <w:r>
        <w:rPr>
          <w:rFonts w:ascii="Arial" w:cs="Arial" w:eastAsia="Arial" w:hAnsi="Arial"/>
          <w:sz w:val="17"/>
          <w:szCs w:val="17"/>
          <w:b w:val="1"/>
          <w:bCs w:val="1"/>
          <w:color w:val="0046AD"/>
        </w:rPr>
        <w:t>ITEM 9B. OTHER INFORMATION.</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Trading Arrangements</w:t>
      </w:r>
    </w:p>
    <w:p>
      <w:pPr>
        <w:spacing w:after="0" w:line="168" w:lineRule="exact"/>
        <w:rPr>
          <w:sz w:val="20"/>
          <w:szCs w:val="20"/>
          <w:color w:val="auto"/>
        </w:rPr>
      </w:pPr>
    </w:p>
    <w:p>
      <w:pPr>
        <w:jc w:val="both"/>
        <w:ind w:right="20" w:firstLine="619"/>
        <w:spacing w:after="0" w:line="271" w:lineRule="auto"/>
        <w:rPr>
          <w:sz w:val="20"/>
          <w:szCs w:val="20"/>
          <w:color w:val="auto"/>
        </w:rPr>
      </w:pPr>
      <w:r>
        <w:rPr>
          <w:rFonts w:ascii="Arial" w:cs="Arial" w:eastAsia="Arial" w:hAnsi="Arial"/>
          <w:sz w:val="17"/>
          <w:szCs w:val="17"/>
          <w:color w:val="auto"/>
        </w:rPr>
        <w:t>During the quarter ended October 31, 2025, certain of our “officers,” as defined in Rule 16a-1(f) of the Exchange Act, and directors adopted, modified, or terminated a “Rule 10b5-1 trading arrangement” or a “non-Rule 10b5-1 trading arrangement,” as each term is defined in Item 408 of Regulation S-K,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97790</wp:posOffset>
            </wp:positionV>
            <wp:extent cx="7146925" cy="109728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46925" cy="1097280"/>
                    </a:xfrm>
                    <a:prstGeom prst="rect">
                      <a:avLst/>
                    </a:prstGeom>
                    <a:noFill/>
                  </pic:spPr>
                </pic:pic>
              </a:graphicData>
            </a:graphic>
          </wp:anchor>
        </w:drawing>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Trading Arrangements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9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6"/>
              </w:rPr>
              <w:t>Name and Title</w:t>
            </w:r>
          </w:p>
        </w:tc>
        <w:tc>
          <w:tcPr>
            <w:tcW w:w="9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7"/>
              </w:rPr>
              <w:t>Action</w:t>
            </w:r>
          </w:p>
        </w:tc>
        <w:tc>
          <w:tcPr>
            <w:tcW w:w="12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7"/>
              </w:rPr>
              <w:t>Date of Action</w:t>
            </w:r>
          </w:p>
        </w:tc>
        <w:tc>
          <w:tcPr>
            <w:tcW w:w="13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7"/>
              </w:rPr>
              <w:t>Rule 10b5-1 Trading</w:t>
            </w:r>
          </w:p>
        </w:tc>
        <w:tc>
          <w:tcPr>
            <w:tcW w:w="13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Non-Rule 10b5-1</w:t>
            </w:r>
          </w:p>
        </w:tc>
        <w:tc>
          <w:tcPr>
            <w:tcW w:w="13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Aggregate Number</w:t>
            </w:r>
          </w:p>
        </w:tc>
        <w:tc>
          <w:tcPr>
            <w:tcW w:w="13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8"/>
              </w:rPr>
              <w:t>Aggregate Number</w:t>
            </w:r>
          </w:p>
        </w:tc>
        <w:tc>
          <w:tcPr>
            <w:tcW w:w="190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8"/>
              </w:rPr>
              <w:t>Duration</w:t>
            </w:r>
          </w:p>
        </w:tc>
      </w:tr>
      <w:tr>
        <w:trPr>
          <w:trHeight w:val="172"/>
        </w:trPr>
        <w:tc>
          <w:tcPr>
            <w:tcW w:w="1940" w:type="dxa"/>
            <w:vAlign w:val="bottom"/>
            <w:tcBorders>
              <w:right w:val="single" w:sz="8" w:color="auto"/>
            </w:tcBorders>
          </w:tcPr>
          <w:p>
            <w:pPr>
              <w:spacing w:after="0"/>
              <w:rPr>
                <w:sz w:val="14"/>
                <w:szCs w:val="14"/>
                <w:color w:val="auto"/>
              </w:rPr>
            </w:pPr>
          </w:p>
        </w:tc>
        <w:tc>
          <w:tcPr>
            <w:tcW w:w="960" w:type="dxa"/>
            <w:vAlign w:val="bottom"/>
            <w:tcBorders>
              <w:right w:val="single" w:sz="8" w:color="auto"/>
            </w:tcBorders>
          </w:tcPr>
          <w:p>
            <w:pPr>
              <w:spacing w:after="0"/>
              <w:rPr>
                <w:sz w:val="14"/>
                <w:szCs w:val="14"/>
                <w:color w:val="auto"/>
              </w:rPr>
            </w:pPr>
          </w:p>
        </w:tc>
        <w:tc>
          <w:tcPr>
            <w:tcW w:w="1240" w:type="dxa"/>
            <w:vAlign w:val="bottom"/>
            <w:tcBorders>
              <w:right w:val="single" w:sz="8" w:color="auto"/>
            </w:tcBorders>
          </w:tcPr>
          <w:p>
            <w:pPr>
              <w:spacing w:after="0"/>
              <w:rPr>
                <w:sz w:val="14"/>
                <w:szCs w:val="14"/>
                <w:color w:val="auto"/>
              </w:rPr>
            </w:pPr>
          </w:p>
        </w:tc>
        <w:tc>
          <w:tcPr>
            <w:tcW w:w="1320" w:type="dxa"/>
            <w:vAlign w:val="bottom"/>
            <w:tcBorders>
              <w:right w:val="single" w:sz="8" w:color="auto"/>
            </w:tcBorders>
          </w:tcPr>
          <w:p>
            <w:pPr>
              <w:jc w:val="center"/>
              <w:spacing w:after="0" w:line="172" w:lineRule="exact"/>
              <w:rPr>
                <w:sz w:val="20"/>
                <w:szCs w:val="20"/>
                <w:color w:val="auto"/>
              </w:rPr>
            </w:pPr>
            <w:r>
              <w:rPr>
                <w:rFonts w:ascii="Arial" w:cs="Arial" w:eastAsia="Arial" w:hAnsi="Arial"/>
                <w:sz w:val="14"/>
                <w:szCs w:val="14"/>
                <w:color w:val="auto"/>
                <w:w w:val="96"/>
              </w:rPr>
              <w:t>Arrangement</w:t>
            </w:r>
            <w:r>
              <w:rPr>
                <w:rFonts w:ascii="Arial" w:cs="Arial" w:eastAsia="Arial" w:hAnsi="Arial"/>
                <w:sz w:val="17"/>
                <w:szCs w:val="17"/>
                <w:color w:val="auto"/>
                <w:w w:val="96"/>
                <w:vertAlign w:val="superscript"/>
              </w:rPr>
              <w:t>1</w:t>
            </w:r>
          </w:p>
        </w:tc>
        <w:tc>
          <w:tcPr>
            <w:tcW w:w="13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6"/>
              </w:rPr>
              <w:t>Trading</w:t>
            </w:r>
          </w:p>
        </w:tc>
        <w:tc>
          <w:tcPr>
            <w:tcW w:w="13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6"/>
              </w:rPr>
              <w:t>of Securities to Be</w:t>
            </w:r>
          </w:p>
        </w:tc>
        <w:tc>
          <w:tcPr>
            <w:tcW w:w="13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6"/>
              </w:rPr>
              <w:t>of Securities to Be</w:t>
            </w:r>
          </w:p>
        </w:tc>
        <w:tc>
          <w:tcPr>
            <w:tcW w:w="1900" w:type="dxa"/>
            <w:vAlign w:val="bottom"/>
          </w:tcPr>
          <w:p>
            <w:pPr>
              <w:spacing w:after="0"/>
              <w:rPr>
                <w:sz w:val="14"/>
                <w:szCs w:val="14"/>
                <w:color w:val="auto"/>
              </w:rPr>
            </w:pPr>
          </w:p>
        </w:tc>
      </w:tr>
      <w:tr>
        <w:trPr>
          <w:trHeight w:val="184"/>
        </w:trPr>
        <w:tc>
          <w:tcPr>
            <w:tcW w:w="1940" w:type="dxa"/>
            <w:vAlign w:val="bottom"/>
            <w:tcBorders>
              <w:bottom w:val="single" w:sz="8" w:color="auto"/>
              <w:right w:val="single" w:sz="8" w:color="auto"/>
            </w:tcBorders>
          </w:tcPr>
          <w:p>
            <w:pPr>
              <w:spacing w:after="0"/>
              <w:rPr>
                <w:sz w:val="16"/>
                <w:szCs w:val="16"/>
                <w:color w:val="auto"/>
              </w:rPr>
            </w:pPr>
          </w:p>
        </w:tc>
        <w:tc>
          <w:tcPr>
            <w:tcW w:w="960" w:type="dxa"/>
            <w:vAlign w:val="bottom"/>
            <w:tcBorders>
              <w:bottom w:val="single" w:sz="8" w:color="auto"/>
              <w:right w:val="single" w:sz="8" w:color="auto"/>
            </w:tcBorders>
          </w:tcPr>
          <w:p>
            <w:pPr>
              <w:spacing w:after="0"/>
              <w:rPr>
                <w:sz w:val="16"/>
                <w:szCs w:val="16"/>
                <w:color w:val="auto"/>
              </w:rPr>
            </w:pPr>
          </w:p>
        </w:tc>
        <w:tc>
          <w:tcPr>
            <w:tcW w:w="1240" w:type="dxa"/>
            <w:vAlign w:val="bottom"/>
            <w:tcBorders>
              <w:bottom w:val="single" w:sz="8" w:color="auto"/>
              <w:right w:val="single" w:sz="8" w:color="auto"/>
            </w:tcBorders>
          </w:tcPr>
          <w:p>
            <w:pPr>
              <w:spacing w:after="0"/>
              <w:rPr>
                <w:sz w:val="16"/>
                <w:szCs w:val="16"/>
                <w:color w:val="auto"/>
              </w:rPr>
            </w:pPr>
          </w:p>
        </w:tc>
        <w:tc>
          <w:tcPr>
            <w:tcW w:w="1320" w:type="dxa"/>
            <w:vAlign w:val="bottom"/>
            <w:tcBorders>
              <w:bottom w:val="single" w:sz="8" w:color="auto"/>
              <w:right w:val="single" w:sz="8" w:color="auto"/>
            </w:tcBorders>
          </w:tcPr>
          <w:p>
            <w:pPr>
              <w:spacing w:after="0"/>
              <w:rPr>
                <w:sz w:val="16"/>
                <w:szCs w:val="16"/>
                <w:color w:val="auto"/>
              </w:rPr>
            </w:pPr>
          </w:p>
        </w:tc>
        <w:tc>
          <w:tcPr>
            <w:tcW w:w="1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6"/>
              </w:rPr>
              <w:t>Arrangement</w:t>
            </w:r>
          </w:p>
        </w:tc>
        <w:tc>
          <w:tcPr>
            <w:tcW w:w="1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2"/>
              </w:rPr>
              <w:t>Sold</w:t>
            </w:r>
          </w:p>
        </w:tc>
        <w:tc>
          <w:tcPr>
            <w:tcW w:w="1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8"/>
              </w:rPr>
              <w:t>Purchased</w:t>
            </w:r>
          </w:p>
        </w:tc>
        <w:tc>
          <w:tcPr>
            <w:tcW w:w="1900" w:type="dxa"/>
            <w:vAlign w:val="bottom"/>
            <w:tcBorders>
              <w:bottom w:val="single" w:sz="8" w:color="auto"/>
            </w:tcBorders>
          </w:tcPr>
          <w:p>
            <w:pPr>
              <w:spacing w:after="0"/>
              <w:rPr>
                <w:sz w:val="16"/>
                <w:szCs w:val="16"/>
                <w:color w:val="auto"/>
              </w:rPr>
            </w:pPr>
          </w:p>
        </w:tc>
      </w:tr>
      <w:tr>
        <w:trPr>
          <w:trHeight w:val="166"/>
        </w:trPr>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7"/>
              </w:rPr>
              <w:t>Rene Jacobsen, Executive</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Adoption</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7"/>
              </w:rPr>
              <w:t>October 15, 2025</w:t>
            </w:r>
          </w:p>
        </w:tc>
        <w:tc>
          <w:tcPr>
            <w:tcW w:w="13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X</w:t>
            </w:r>
          </w:p>
        </w:tc>
        <w:tc>
          <w:tcPr>
            <w:tcW w:w="13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3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7"/>
              </w:rPr>
              <w:t>86,273 shares of</w:t>
            </w:r>
          </w:p>
        </w:tc>
        <w:tc>
          <w:tcPr>
            <w:tcW w:w="13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900" w:type="dxa"/>
            <w:vAlign w:val="bottom"/>
          </w:tcPr>
          <w:p>
            <w:pPr>
              <w:jc w:val="center"/>
              <w:spacing w:after="0"/>
              <w:rPr>
                <w:sz w:val="20"/>
                <w:szCs w:val="20"/>
                <w:color w:val="auto"/>
              </w:rPr>
            </w:pPr>
            <w:r>
              <w:rPr>
                <w:rFonts w:ascii="Arial" w:cs="Arial" w:eastAsia="Arial" w:hAnsi="Arial"/>
                <w:sz w:val="14"/>
                <w:szCs w:val="14"/>
                <w:color w:val="auto"/>
                <w:w w:val="98"/>
              </w:rPr>
              <w:t>From January 13, 2026, until</w:t>
            </w:r>
          </w:p>
        </w:tc>
      </w:tr>
      <w:tr>
        <w:trPr>
          <w:trHeight w:val="184"/>
        </w:trPr>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8"/>
              </w:rPr>
              <w:t>Vice President and Chief</w:t>
            </w:r>
          </w:p>
        </w:tc>
        <w:tc>
          <w:tcPr>
            <w:tcW w:w="960" w:type="dxa"/>
            <w:vAlign w:val="bottom"/>
            <w:tcBorders>
              <w:right w:val="single" w:sz="8" w:color="auto"/>
            </w:tcBorders>
          </w:tcPr>
          <w:p>
            <w:pPr>
              <w:spacing w:after="0"/>
              <w:rPr>
                <w:sz w:val="15"/>
                <w:szCs w:val="15"/>
                <w:color w:val="auto"/>
              </w:rPr>
            </w:pPr>
          </w:p>
        </w:tc>
        <w:tc>
          <w:tcPr>
            <w:tcW w:w="1240" w:type="dxa"/>
            <w:vAlign w:val="bottom"/>
            <w:tcBorders>
              <w:right w:val="single" w:sz="8" w:color="auto"/>
            </w:tcBorders>
          </w:tcPr>
          <w:p>
            <w:pPr>
              <w:spacing w:after="0"/>
              <w:rPr>
                <w:sz w:val="15"/>
                <w:szCs w:val="15"/>
                <w:color w:val="auto"/>
              </w:rPr>
            </w:pPr>
          </w:p>
        </w:tc>
        <w:tc>
          <w:tcPr>
            <w:tcW w:w="1320" w:type="dxa"/>
            <w:vAlign w:val="bottom"/>
            <w:tcBorders>
              <w:right w:val="single" w:sz="8" w:color="auto"/>
            </w:tcBorders>
          </w:tcPr>
          <w:p>
            <w:pPr>
              <w:spacing w:after="0"/>
              <w:rPr>
                <w:sz w:val="15"/>
                <w:szCs w:val="15"/>
                <w:color w:val="auto"/>
              </w:rPr>
            </w:pPr>
          </w:p>
        </w:tc>
        <w:tc>
          <w:tcPr>
            <w:tcW w:w="1300" w:type="dxa"/>
            <w:vAlign w:val="bottom"/>
            <w:tcBorders>
              <w:right w:val="single" w:sz="8" w:color="auto"/>
            </w:tcBorders>
          </w:tcPr>
          <w:p>
            <w:pPr>
              <w:spacing w:after="0"/>
              <w:rPr>
                <w:sz w:val="15"/>
                <w:szCs w:val="15"/>
                <w:color w:val="auto"/>
              </w:rPr>
            </w:pPr>
          </w:p>
        </w:tc>
        <w:tc>
          <w:tcPr>
            <w:tcW w:w="1300" w:type="dxa"/>
            <w:vAlign w:val="bottom"/>
            <w:tcBorders>
              <w:right w:val="single" w:sz="8" w:color="auto"/>
            </w:tcBorders>
          </w:tcPr>
          <w:p>
            <w:pPr>
              <w:jc w:val="center"/>
              <w:spacing w:after="0" w:line="184" w:lineRule="exact"/>
              <w:rPr>
                <w:sz w:val="20"/>
                <w:szCs w:val="20"/>
                <w:color w:val="auto"/>
              </w:rPr>
            </w:pPr>
            <w:r>
              <w:rPr>
                <w:rFonts w:ascii="Arial" w:cs="Arial" w:eastAsia="Arial" w:hAnsi="Arial"/>
                <w:sz w:val="14"/>
                <w:szCs w:val="14"/>
                <w:color w:val="auto"/>
                <w:w w:val="95"/>
              </w:rPr>
              <w:t>common stock</w:t>
            </w:r>
            <w:r>
              <w:rPr>
                <w:rFonts w:ascii="Arial" w:cs="Arial" w:eastAsia="Arial" w:hAnsi="Arial"/>
                <w:sz w:val="20"/>
                <w:szCs w:val="20"/>
                <w:color w:val="auto"/>
                <w:w w:val="95"/>
                <w:vertAlign w:val="superscript"/>
              </w:rPr>
              <w:t>(2)</w:t>
            </w:r>
          </w:p>
        </w:tc>
        <w:tc>
          <w:tcPr>
            <w:tcW w:w="1300" w:type="dxa"/>
            <w:vAlign w:val="bottom"/>
            <w:tcBorders>
              <w:right w:val="single" w:sz="8" w:color="auto"/>
            </w:tcBorders>
          </w:tcPr>
          <w:p>
            <w:pPr>
              <w:spacing w:after="0"/>
              <w:rPr>
                <w:sz w:val="15"/>
                <w:szCs w:val="15"/>
                <w:color w:val="auto"/>
              </w:rPr>
            </w:pPr>
          </w:p>
        </w:tc>
        <w:tc>
          <w:tcPr>
            <w:tcW w:w="1900" w:type="dxa"/>
            <w:vAlign w:val="bottom"/>
          </w:tcPr>
          <w:p>
            <w:pPr>
              <w:jc w:val="center"/>
              <w:spacing w:after="0"/>
              <w:rPr>
                <w:sz w:val="20"/>
                <w:szCs w:val="20"/>
                <w:color w:val="auto"/>
              </w:rPr>
            </w:pPr>
            <w:r>
              <w:rPr>
                <w:rFonts w:ascii="Arial" w:cs="Arial" w:eastAsia="Arial" w:hAnsi="Arial"/>
                <w:sz w:val="14"/>
                <w:szCs w:val="14"/>
                <w:color w:val="auto"/>
                <w:w w:val="98"/>
              </w:rPr>
              <w:t>the earlier of (i) the date when</w:t>
            </w:r>
          </w:p>
        </w:tc>
      </w:tr>
      <w:tr>
        <w:trPr>
          <w:trHeight w:val="155"/>
        </w:trPr>
        <w:tc>
          <w:tcPr>
            <w:tcW w:w="1940" w:type="dxa"/>
            <w:vAlign w:val="bottom"/>
            <w:tcBorders>
              <w:right w:val="single" w:sz="8" w:color="auto"/>
            </w:tcBorders>
          </w:tcPr>
          <w:p>
            <w:pPr>
              <w:jc w:val="center"/>
              <w:spacing w:after="0" w:line="155" w:lineRule="exact"/>
              <w:rPr>
                <w:sz w:val="20"/>
                <w:szCs w:val="20"/>
                <w:color w:val="auto"/>
              </w:rPr>
            </w:pPr>
            <w:r>
              <w:rPr>
                <w:rFonts w:ascii="Arial" w:cs="Arial" w:eastAsia="Arial" w:hAnsi="Arial"/>
                <w:sz w:val="14"/>
                <w:szCs w:val="14"/>
                <w:color w:val="auto"/>
                <w:w w:val="97"/>
              </w:rPr>
              <w:t>Operating Officer</w:t>
            </w:r>
          </w:p>
        </w:tc>
        <w:tc>
          <w:tcPr>
            <w:tcW w:w="960" w:type="dxa"/>
            <w:vAlign w:val="bottom"/>
            <w:tcBorders>
              <w:right w:val="single" w:sz="8" w:color="auto"/>
            </w:tcBorders>
          </w:tcPr>
          <w:p>
            <w:pPr>
              <w:spacing w:after="0"/>
              <w:rPr>
                <w:sz w:val="13"/>
                <w:szCs w:val="13"/>
                <w:color w:val="auto"/>
              </w:rPr>
            </w:pPr>
          </w:p>
        </w:tc>
        <w:tc>
          <w:tcPr>
            <w:tcW w:w="1240" w:type="dxa"/>
            <w:vAlign w:val="bottom"/>
            <w:tcBorders>
              <w:right w:val="single" w:sz="8" w:color="auto"/>
            </w:tcBorders>
          </w:tcPr>
          <w:p>
            <w:pPr>
              <w:spacing w:after="0"/>
              <w:rPr>
                <w:sz w:val="13"/>
                <w:szCs w:val="13"/>
                <w:color w:val="auto"/>
              </w:rPr>
            </w:pPr>
          </w:p>
        </w:tc>
        <w:tc>
          <w:tcPr>
            <w:tcW w:w="1320" w:type="dxa"/>
            <w:vAlign w:val="bottom"/>
            <w:tcBorders>
              <w:right w:val="single" w:sz="8" w:color="auto"/>
            </w:tcBorders>
          </w:tcPr>
          <w:p>
            <w:pPr>
              <w:spacing w:after="0"/>
              <w:rPr>
                <w:sz w:val="13"/>
                <w:szCs w:val="13"/>
                <w:color w:val="auto"/>
              </w:rPr>
            </w:pPr>
          </w:p>
        </w:tc>
        <w:tc>
          <w:tcPr>
            <w:tcW w:w="1300" w:type="dxa"/>
            <w:vAlign w:val="bottom"/>
            <w:tcBorders>
              <w:right w:val="single" w:sz="8" w:color="auto"/>
            </w:tcBorders>
          </w:tcPr>
          <w:p>
            <w:pPr>
              <w:spacing w:after="0"/>
              <w:rPr>
                <w:sz w:val="13"/>
                <w:szCs w:val="13"/>
                <w:color w:val="auto"/>
              </w:rPr>
            </w:pPr>
          </w:p>
        </w:tc>
        <w:tc>
          <w:tcPr>
            <w:tcW w:w="1300" w:type="dxa"/>
            <w:vAlign w:val="bottom"/>
            <w:tcBorders>
              <w:right w:val="single" w:sz="8" w:color="auto"/>
            </w:tcBorders>
          </w:tcPr>
          <w:p>
            <w:pPr>
              <w:spacing w:after="0"/>
              <w:rPr>
                <w:sz w:val="13"/>
                <w:szCs w:val="13"/>
                <w:color w:val="auto"/>
              </w:rPr>
            </w:pPr>
          </w:p>
        </w:tc>
        <w:tc>
          <w:tcPr>
            <w:tcW w:w="1300" w:type="dxa"/>
            <w:vAlign w:val="bottom"/>
            <w:tcBorders>
              <w:right w:val="single" w:sz="8" w:color="auto"/>
            </w:tcBorders>
          </w:tcPr>
          <w:p>
            <w:pPr>
              <w:spacing w:after="0"/>
              <w:rPr>
                <w:sz w:val="13"/>
                <w:szCs w:val="13"/>
                <w:color w:val="auto"/>
              </w:rPr>
            </w:pPr>
          </w:p>
        </w:tc>
        <w:tc>
          <w:tcPr>
            <w:tcW w:w="1900" w:type="dxa"/>
            <w:vAlign w:val="bottom"/>
          </w:tcPr>
          <w:p>
            <w:pPr>
              <w:jc w:val="center"/>
              <w:spacing w:after="0" w:line="155" w:lineRule="exact"/>
              <w:rPr>
                <w:sz w:val="20"/>
                <w:szCs w:val="20"/>
                <w:color w:val="auto"/>
              </w:rPr>
            </w:pPr>
            <w:r>
              <w:rPr>
                <w:rFonts w:ascii="Arial" w:cs="Arial" w:eastAsia="Arial" w:hAnsi="Arial"/>
                <w:sz w:val="14"/>
                <w:szCs w:val="14"/>
                <w:color w:val="auto"/>
                <w:w w:val="97"/>
              </w:rPr>
              <w:t>all the shares under the plan</w:t>
            </w:r>
          </w:p>
        </w:tc>
      </w:tr>
      <w:tr>
        <w:trPr>
          <w:trHeight w:val="168"/>
        </w:trPr>
        <w:tc>
          <w:tcPr>
            <w:tcW w:w="1940" w:type="dxa"/>
            <w:vAlign w:val="bottom"/>
            <w:tcBorders>
              <w:right w:val="single" w:sz="8" w:color="auto"/>
            </w:tcBorders>
          </w:tcPr>
          <w:p>
            <w:pPr>
              <w:spacing w:after="0"/>
              <w:rPr>
                <w:sz w:val="14"/>
                <w:szCs w:val="14"/>
                <w:color w:val="auto"/>
              </w:rPr>
            </w:pPr>
          </w:p>
        </w:tc>
        <w:tc>
          <w:tcPr>
            <w:tcW w:w="960" w:type="dxa"/>
            <w:vAlign w:val="bottom"/>
            <w:tcBorders>
              <w:right w:val="single" w:sz="8" w:color="auto"/>
            </w:tcBorders>
          </w:tcPr>
          <w:p>
            <w:pPr>
              <w:spacing w:after="0"/>
              <w:rPr>
                <w:sz w:val="14"/>
                <w:szCs w:val="14"/>
                <w:color w:val="auto"/>
              </w:rPr>
            </w:pPr>
          </w:p>
        </w:tc>
        <w:tc>
          <w:tcPr>
            <w:tcW w:w="1240" w:type="dxa"/>
            <w:vAlign w:val="bottom"/>
            <w:tcBorders>
              <w:right w:val="single" w:sz="8" w:color="auto"/>
            </w:tcBorders>
          </w:tcPr>
          <w:p>
            <w:pPr>
              <w:spacing w:after="0"/>
              <w:rPr>
                <w:sz w:val="14"/>
                <w:szCs w:val="14"/>
                <w:color w:val="auto"/>
              </w:rPr>
            </w:pPr>
          </w:p>
        </w:tc>
        <w:tc>
          <w:tcPr>
            <w:tcW w:w="1320" w:type="dxa"/>
            <w:vAlign w:val="bottom"/>
            <w:tcBorders>
              <w:right w:val="single" w:sz="8" w:color="auto"/>
            </w:tcBorders>
          </w:tcPr>
          <w:p>
            <w:pPr>
              <w:spacing w:after="0"/>
              <w:rPr>
                <w:sz w:val="14"/>
                <w:szCs w:val="14"/>
                <w:color w:val="auto"/>
              </w:rPr>
            </w:pPr>
          </w:p>
        </w:tc>
        <w:tc>
          <w:tcPr>
            <w:tcW w:w="1300" w:type="dxa"/>
            <w:vAlign w:val="bottom"/>
            <w:tcBorders>
              <w:right w:val="single" w:sz="8" w:color="auto"/>
            </w:tcBorders>
          </w:tcPr>
          <w:p>
            <w:pPr>
              <w:spacing w:after="0"/>
              <w:rPr>
                <w:sz w:val="14"/>
                <w:szCs w:val="14"/>
                <w:color w:val="auto"/>
              </w:rPr>
            </w:pPr>
          </w:p>
        </w:tc>
        <w:tc>
          <w:tcPr>
            <w:tcW w:w="1300" w:type="dxa"/>
            <w:vAlign w:val="bottom"/>
            <w:tcBorders>
              <w:right w:val="single" w:sz="8" w:color="auto"/>
            </w:tcBorders>
          </w:tcPr>
          <w:p>
            <w:pPr>
              <w:spacing w:after="0"/>
              <w:rPr>
                <w:sz w:val="14"/>
                <w:szCs w:val="14"/>
                <w:color w:val="auto"/>
              </w:rPr>
            </w:pPr>
          </w:p>
        </w:tc>
        <w:tc>
          <w:tcPr>
            <w:tcW w:w="1300" w:type="dxa"/>
            <w:vAlign w:val="bottom"/>
            <w:tcBorders>
              <w:right w:val="single" w:sz="8" w:color="auto"/>
            </w:tcBorders>
          </w:tcPr>
          <w:p>
            <w:pPr>
              <w:spacing w:after="0"/>
              <w:rPr>
                <w:sz w:val="14"/>
                <w:szCs w:val="14"/>
                <w:color w:val="auto"/>
              </w:rPr>
            </w:pPr>
          </w:p>
        </w:tc>
        <w:tc>
          <w:tcPr>
            <w:tcW w:w="1900" w:type="dxa"/>
            <w:vAlign w:val="bottom"/>
          </w:tcPr>
          <w:p>
            <w:pPr>
              <w:jc w:val="center"/>
              <w:spacing w:after="0"/>
              <w:rPr>
                <w:sz w:val="20"/>
                <w:szCs w:val="20"/>
                <w:color w:val="auto"/>
              </w:rPr>
            </w:pPr>
            <w:r>
              <w:rPr>
                <w:rFonts w:ascii="Arial" w:cs="Arial" w:eastAsia="Arial" w:hAnsi="Arial"/>
                <w:sz w:val="14"/>
                <w:szCs w:val="14"/>
                <w:color w:val="auto"/>
                <w:w w:val="97"/>
              </w:rPr>
              <w:t>are sold and (ii) December 31,</w:t>
            </w:r>
          </w:p>
        </w:tc>
      </w:tr>
      <w:tr>
        <w:trPr>
          <w:trHeight w:val="180"/>
        </w:trPr>
        <w:tc>
          <w:tcPr>
            <w:tcW w:w="1940" w:type="dxa"/>
            <w:vAlign w:val="bottom"/>
            <w:tcBorders>
              <w:right w:val="single" w:sz="8" w:color="auto"/>
            </w:tcBorders>
          </w:tcPr>
          <w:p>
            <w:pPr>
              <w:spacing w:after="0"/>
              <w:rPr>
                <w:sz w:val="15"/>
                <w:szCs w:val="15"/>
                <w:color w:val="auto"/>
              </w:rPr>
            </w:pPr>
          </w:p>
        </w:tc>
        <w:tc>
          <w:tcPr>
            <w:tcW w:w="960" w:type="dxa"/>
            <w:vAlign w:val="bottom"/>
            <w:tcBorders>
              <w:right w:val="single" w:sz="8" w:color="auto"/>
            </w:tcBorders>
          </w:tcPr>
          <w:p>
            <w:pPr>
              <w:spacing w:after="0"/>
              <w:rPr>
                <w:sz w:val="15"/>
                <w:szCs w:val="15"/>
                <w:color w:val="auto"/>
              </w:rPr>
            </w:pPr>
          </w:p>
        </w:tc>
        <w:tc>
          <w:tcPr>
            <w:tcW w:w="1240" w:type="dxa"/>
            <w:vAlign w:val="bottom"/>
            <w:tcBorders>
              <w:right w:val="single" w:sz="8" w:color="auto"/>
            </w:tcBorders>
          </w:tcPr>
          <w:p>
            <w:pPr>
              <w:spacing w:after="0"/>
              <w:rPr>
                <w:sz w:val="15"/>
                <w:szCs w:val="15"/>
                <w:color w:val="auto"/>
              </w:rPr>
            </w:pPr>
          </w:p>
        </w:tc>
        <w:tc>
          <w:tcPr>
            <w:tcW w:w="1320" w:type="dxa"/>
            <w:vAlign w:val="bottom"/>
            <w:tcBorders>
              <w:right w:val="single" w:sz="8" w:color="auto"/>
            </w:tcBorders>
          </w:tcPr>
          <w:p>
            <w:pPr>
              <w:spacing w:after="0"/>
              <w:rPr>
                <w:sz w:val="15"/>
                <w:szCs w:val="15"/>
                <w:color w:val="auto"/>
              </w:rPr>
            </w:pPr>
          </w:p>
        </w:tc>
        <w:tc>
          <w:tcPr>
            <w:tcW w:w="1300" w:type="dxa"/>
            <w:vAlign w:val="bottom"/>
            <w:tcBorders>
              <w:right w:val="single" w:sz="8" w:color="auto"/>
            </w:tcBorders>
          </w:tcPr>
          <w:p>
            <w:pPr>
              <w:spacing w:after="0"/>
              <w:rPr>
                <w:sz w:val="15"/>
                <w:szCs w:val="15"/>
                <w:color w:val="auto"/>
              </w:rPr>
            </w:pPr>
          </w:p>
        </w:tc>
        <w:tc>
          <w:tcPr>
            <w:tcW w:w="1300" w:type="dxa"/>
            <w:vAlign w:val="bottom"/>
            <w:tcBorders>
              <w:right w:val="single" w:sz="8" w:color="auto"/>
            </w:tcBorders>
          </w:tcPr>
          <w:p>
            <w:pPr>
              <w:spacing w:after="0"/>
              <w:rPr>
                <w:sz w:val="15"/>
                <w:szCs w:val="15"/>
                <w:color w:val="auto"/>
              </w:rPr>
            </w:pPr>
          </w:p>
        </w:tc>
        <w:tc>
          <w:tcPr>
            <w:tcW w:w="1300" w:type="dxa"/>
            <w:vAlign w:val="bottom"/>
            <w:tcBorders>
              <w:right w:val="single" w:sz="8" w:color="auto"/>
            </w:tcBorders>
          </w:tcPr>
          <w:p>
            <w:pPr>
              <w:spacing w:after="0"/>
              <w:rPr>
                <w:sz w:val="15"/>
                <w:szCs w:val="15"/>
                <w:color w:val="auto"/>
              </w:rPr>
            </w:pPr>
          </w:p>
        </w:tc>
        <w:tc>
          <w:tcPr>
            <w:tcW w:w="1900" w:type="dxa"/>
            <w:vAlign w:val="bottom"/>
          </w:tcPr>
          <w:p>
            <w:pPr>
              <w:jc w:val="center"/>
              <w:spacing w:after="0"/>
              <w:rPr>
                <w:sz w:val="20"/>
                <w:szCs w:val="20"/>
                <w:color w:val="auto"/>
              </w:rPr>
            </w:pPr>
            <w:r>
              <w:rPr>
                <w:rFonts w:ascii="Arial" w:cs="Arial" w:eastAsia="Arial" w:hAnsi="Arial"/>
                <w:sz w:val="14"/>
                <w:szCs w:val="14"/>
                <w:color w:val="auto"/>
              </w:rPr>
              <w:t>2026</w:t>
            </w:r>
          </w:p>
        </w:tc>
      </w:tr>
      <w:tr>
        <w:trPr>
          <w:trHeight w:val="20"/>
        </w:trPr>
        <w:tc>
          <w:tcPr>
            <w:tcW w:w="1940" w:type="dxa"/>
            <w:vAlign w:val="bottom"/>
            <w:tcBorders>
              <w:bottom w:val="single" w:sz="8" w:color="auto"/>
              <w:right w:val="single" w:sz="8" w:color="auto"/>
            </w:tcBorders>
          </w:tcPr>
          <w:p>
            <w:pPr>
              <w:spacing w:after="0" w:line="20" w:lineRule="exact"/>
              <w:rPr>
                <w:sz w:val="1"/>
                <w:szCs w:val="1"/>
                <w:color w:val="auto"/>
              </w:rPr>
            </w:pPr>
          </w:p>
        </w:tc>
        <w:tc>
          <w:tcPr>
            <w:tcW w:w="960" w:type="dxa"/>
            <w:vAlign w:val="bottom"/>
            <w:tcBorders>
              <w:bottom w:val="single" w:sz="8" w:color="auto"/>
              <w:right w:val="single" w:sz="8" w:color="auto"/>
            </w:tcBorders>
          </w:tcPr>
          <w:p>
            <w:pPr>
              <w:spacing w:after="0" w:line="20" w:lineRule="exact"/>
              <w:rPr>
                <w:sz w:val="1"/>
                <w:szCs w:val="1"/>
                <w:color w:val="auto"/>
              </w:rPr>
            </w:pPr>
          </w:p>
        </w:tc>
        <w:tc>
          <w:tcPr>
            <w:tcW w:w="1240" w:type="dxa"/>
            <w:vAlign w:val="bottom"/>
            <w:tcBorders>
              <w:bottom w:val="single" w:sz="8" w:color="auto"/>
              <w:right w:val="single" w:sz="8" w:color="auto"/>
            </w:tcBorders>
          </w:tcPr>
          <w:p>
            <w:pPr>
              <w:spacing w:after="0" w:line="20" w:lineRule="exact"/>
              <w:rPr>
                <w:sz w:val="1"/>
                <w:szCs w:val="1"/>
                <w:color w:val="auto"/>
              </w:rPr>
            </w:pPr>
          </w:p>
        </w:tc>
        <w:tc>
          <w:tcPr>
            <w:tcW w:w="1320" w:type="dxa"/>
            <w:vAlign w:val="bottom"/>
            <w:tcBorders>
              <w:bottom w:val="single" w:sz="8" w:color="auto"/>
              <w:right w:val="single" w:sz="8" w:color="auto"/>
            </w:tcBorders>
          </w:tcPr>
          <w:p>
            <w:pPr>
              <w:spacing w:after="0" w:line="20" w:lineRule="exact"/>
              <w:rPr>
                <w:sz w:val="1"/>
                <w:szCs w:val="1"/>
                <w:color w:val="auto"/>
              </w:rPr>
            </w:pPr>
          </w:p>
        </w:tc>
        <w:tc>
          <w:tcPr>
            <w:tcW w:w="1300" w:type="dxa"/>
            <w:vAlign w:val="bottom"/>
            <w:tcBorders>
              <w:bottom w:val="single" w:sz="8" w:color="auto"/>
              <w:right w:val="single" w:sz="8" w:color="auto"/>
            </w:tcBorders>
          </w:tcPr>
          <w:p>
            <w:pPr>
              <w:spacing w:after="0" w:line="20" w:lineRule="exact"/>
              <w:rPr>
                <w:sz w:val="1"/>
                <w:szCs w:val="1"/>
                <w:color w:val="auto"/>
              </w:rPr>
            </w:pPr>
          </w:p>
        </w:tc>
        <w:tc>
          <w:tcPr>
            <w:tcW w:w="1300" w:type="dxa"/>
            <w:vAlign w:val="bottom"/>
            <w:tcBorders>
              <w:bottom w:val="single" w:sz="8" w:color="auto"/>
              <w:right w:val="single" w:sz="8" w:color="auto"/>
            </w:tcBorders>
          </w:tcPr>
          <w:p>
            <w:pPr>
              <w:spacing w:after="0" w:line="20" w:lineRule="exact"/>
              <w:rPr>
                <w:sz w:val="1"/>
                <w:szCs w:val="1"/>
                <w:color w:val="auto"/>
              </w:rPr>
            </w:pPr>
          </w:p>
        </w:tc>
        <w:tc>
          <w:tcPr>
            <w:tcW w:w="1300" w:type="dxa"/>
            <w:vAlign w:val="bottom"/>
            <w:tcBorders>
              <w:bottom w:val="single" w:sz="8" w:color="auto"/>
              <w:right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left="160" w:hanging="157"/>
        <w:spacing w:after="0"/>
        <w:tabs>
          <w:tab w:leader="none" w:pos="160" w:val="left"/>
        </w:tabs>
        <w:numPr>
          <w:ilvl w:val="0"/>
          <w:numId w:val="44"/>
        </w:numPr>
        <w:rPr>
          <w:rFonts w:ascii="Arial" w:cs="Arial" w:eastAsia="Arial" w:hAnsi="Arial"/>
          <w:sz w:val="19"/>
          <w:szCs w:val="19"/>
          <w:color w:val="auto"/>
          <w:vertAlign w:val="superscript"/>
        </w:rPr>
      </w:pPr>
      <w:r>
        <w:rPr>
          <w:rFonts w:ascii="Arial" w:cs="Arial" w:eastAsia="Arial" w:hAnsi="Arial"/>
          <w:sz w:val="15"/>
          <w:szCs w:val="15"/>
          <w:color w:val="auto"/>
        </w:rPr>
        <w:t>Intended to satisfy the affirmative defense conditions of Rule 10b5-1(c).</w:t>
      </w:r>
    </w:p>
    <w:p>
      <w:pPr>
        <w:spacing w:after="0" w:line="182" w:lineRule="exact"/>
        <w:rPr>
          <w:rFonts w:ascii="Arial" w:cs="Arial" w:eastAsia="Arial" w:hAnsi="Arial"/>
          <w:sz w:val="19"/>
          <w:szCs w:val="19"/>
          <w:color w:val="auto"/>
          <w:vertAlign w:val="superscript"/>
        </w:rPr>
      </w:pPr>
    </w:p>
    <w:p>
      <w:pPr>
        <w:jc w:val="both"/>
        <w:ind w:left="160" w:right="20" w:hanging="157"/>
        <w:spacing w:after="0" w:line="225" w:lineRule="auto"/>
        <w:tabs>
          <w:tab w:leader="none" w:pos="169" w:val="left"/>
        </w:tabs>
        <w:numPr>
          <w:ilvl w:val="0"/>
          <w:numId w:val="44"/>
        </w:numPr>
        <w:rPr>
          <w:rFonts w:ascii="Arial" w:cs="Arial" w:eastAsia="Arial" w:hAnsi="Arial"/>
          <w:sz w:val="20"/>
          <w:szCs w:val="20"/>
          <w:color w:val="auto"/>
          <w:vertAlign w:val="superscript"/>
        </w:rPr>
      </w:pPr>
      <w:r>
        <w:rPr>
          <w:rFonts w:ascii="Arial" w:cs="Arial" w:eastAsia="Arial" w:hAnsi="Arial"/>
          <w:sz w:val="15"/>
          <w:szCs w:val="15"/>
          <w:color w:val="auto"/>
        </w:rPr>
        <w:t>Mr. Jacobsen’s trading plan provides for the sale of approximately 86,273 gross shares (with any shares underlying performance-based equity awards being calculated at target), plus any related dividend-equivalent shares earned with respect to such shares, and excluding, as applicable, any shares withheld to satisfy tax withholding obligations in connection with the net settlement of the equity awards.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ITEM 9C. DISCLOSURE REGARDING FOREIGN JURISDICTIONS THAT PREVENT INSPECTIONS</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color w:val="auto"/>
        </w:rPr>
        <w:t>Not applicable.</w:t>
      </w:r>
    </w:p>
    <w:p>
      <w:pPr>
        <w:spacing w:after="0" w:line="200" w:lineRule="exact"/>
        <w:rPr>
          <w:sz w:val="20"/>
          <w:szCs w:val="20"/>
          <w:color w:val="auto"/>
        </w:rPr>
      </w:pPr>
    </w:p>
    <w:p>
      <w:pPr>
        <w:spacing w:after="0" w:line="339"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60"/>
          </w:cols>
          <w:pgMar w:left="320" w:top="1165" w:right="319" w:bottom="1440" w:gutter="0" w:footer="0" w:header="0"/>
        </w:sectPr>
      </w:pPr>
    </w:p>
    <w:bookmarkStart w:id="96" w:name="page97"/>
    <w:bookmarkEnd w:id="96"/>
    <w:p>
      <w:pPr>
        <w:ind w:left="5300"/>
        <w:spacing w:after="0"/>
        <w:rPr>
          <w:sz w:val="20"/>
          <w:szCs w:val="20"/>
          <w:color w:val="auto"/>
        </w:rPr>
      </w:pPr>
      <w:r>
        <w:rPr>
          <w:rFonts w:ascii="Arial" w:cs="Arial" w:eastAsia="Arial" w:hAnsi="Arial"/>
          <w:sz w:val="17"/>
          <w:szCs w:val="17"/>
          <w:b w:val="1"/>
          <w:bCs w:val="1"/>
          <w:color w:val="0046AD"/>
        </w:rPr>
        <w:t>PART III</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ITEM 10. DIRECTORS, EXECUTIVE OFFICERS, AND CORPORATE GOVERNANCE.</w:t>
      </w:r>
    </w:p>
    <w:p>
      <w:pPr>
        <w:spacing w:after="0" w:line="168" w:lineRule="exact"/>
        <w:rPr>
          <w:sz w:val="20"/>
          <w:szCs w:val="20"/>
          <w:color w:val="auto"/>
        </w:rPr>
      </w:pPr>
    </w:p>
    <w:p>
      <w:pPr>
        <w:jc w:val="both"/>
        <w:ind w:firstLine="619"/>
        <w:spacing w:after="0" w:line="258" w:lineRule="auto"/>
        <w:rPr>
          <w:sz w:val="20"/>
          <w:szCs w:val="20"/>
          <w:color w:val="auto"/>
        </w:rPr>
      </w:pPr>
      <w:r>
        <w:rPr>
          <w:rFonts w:ascii="Arial" w:cs="Arial" w:eastAsia="Arial" w:hAnsi="Arial"/>
          <w:sz w:val="17"/>
          <w:szCs w:val="17"/>
          <w:color w:val="auto"/>
        </w:rPr>
        <w:t>Information about our executive officers is found in Part I, Item 1, of this Annual Report on Form 10-K under “Executive Officers of Registrant.” Additional information required by this Item will be set forth under the captions “Proposal No. 1—Election of Directors,” “Corporate Governance and Board Matters,” and “Audit-Related Matters” in our Definitive Proxy Statement for our 2026 Annual Meeting of Stockholders (the “2026 Proxy Statement”). Such information is incorporated herein by reference. Our 2026 Proxy Statement will be filed with the Securities and Exchange Commission within 120 days after the conclusion of our fiscal year ended October 31, 2025. We have adopted an Insider Trading Policy governing the purchase, sale, and other dispositions of our securities by directors, officers, and employees that is reasonably designed to promote compliance with insider trading laws, rules and regulations, and any applicable listing standards. A copy of our policy is filed with this Annual Report on Form 10-K as Exhibit 19.</w:t>
      </w:r>
    </w:p>
    <w:p>
      <w:pPr>
        <w:spacing w:after="0" w:line="124" w:lineRule="exact"/>
        <w:rPr>
          <w:sz w:val="20"/>
          <w:szCs w:val="20"/>
          <w:color w:val="auto"/>
        </w:rPr>
      </w:pPr>
    </w:p>
    <w:p>
      <w:pPr>
        <w:ind w:left="620"/>
        <w:spacing w:after="0"/>
        <w:rPr>
          <w:sz w:val="20"/>
          <w:szCs w:val="20"/>
          <w:color w:val="auto"/>
        </w:rPr>
      </w:pPr>
      <w:r>
        <w:rPr>
          <w:rFonts w:ascii="Arial" w:cs="Arial" w:eastAsia="Arial" w:hAnsi="Arial"/>
          <w:sz w:val="17"/>
          <w:szCs w:val="17"/>
          <w:color w:val="auto"/>
        </w:rPr>
        <w:t>On April 4, 2025, we filed our Annual CEO Certification as required by Section 303A.12 of the NYSE Listed Company Manual.</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Code of Business Conduct</w:t>
      </w:r>
    </w:p>
    <w:p>
      <w:pPr>
        <w:spacing w:after="0" w:line="168" w:lineRule="exact"/>
        <w:rPr>
          <w:sz w:val="20"/>
          <w:szCs w:val="20"/>
          <w:color w:val="auto"/>
        </w:rPr>
      </w:pPr>
    </w:p>
    <w:p>
      <w:pPr>
        <w:jc w:val="both"/>
        <w:ind w:firstLine="619"/>
        <w:spacing w:after="0" w:line="260" w:lineRule="auto"/>
        <w:rPr>
          <w:sz w:val="20"/>
          <w:szCs w:val="20"/>
          <w:color w:val="auto"/>
        </w:rPr>
      </w:pPr>
      <w:r>
        <w:rPr>
          <w:rFonts w:ascii="Arial" w:cs="Arial" w:eastAsia="Arial" w:hAnsi="Arial"/>
          <w:sz w:val="17"/>
          <w:szCs w:val="17"/>
          <w:color w:val="auto"/>
        </w:rPr>
        <w:t>We have adopted and posted on our website (www.abm.com) the ABM Code of Business Conduct. Our Code of Business Conduct qualifies as a “code of ethics” within the meaning of Item 406 of Regulation S-K. Our Code of Business Conduct applies to all of our directors, officers, and employees, including our Principal Executive Officer, Principal Financial Officer, and Principal Accounting Officer. If any amendments are made to the Code of Business Conduct or if any waiver, including any implicit waiver, from a provision of the Code of Business Conduct is granted to our Principal Executive Officer, Principal Financial Officer, or Principal Accounting Officer, we will disclose the nature of such amendment or waiver on our website at the address specified above.</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ITEM 11. EXECUTIVE COMPENSATION.</w:t>
      </w:r>
    </w:p>
    <w:p>
      <w:pPr>
        <w:spacing w:after="0" w:line="168"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7"/>
          <w:szCs w:val="17"/>
          <w:color w:val="auto"/>
        </w:rPr>
        <w:t>Information with respect to executive compensation required by this Item will be set forth under the captions “Director Compensation for Fiscal Year 2025,” “Executive Compensation,” and “Corporate Governance and Board Matters—Compensation Committee Interlocks and Insider Participation” in our 2026 Proxy Statement and is incorporated herein by reference.</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ITEM 12. SECURITY OWNERSHIP OF CERTAIN BENEFICIAL OWNERS AND MANAGEMENT AND RELATED STOCKHOLDER MATTERS.</w:t>
      </w:r>
    </w:p>
    <w:p>
      <w:pPr>
        <w:spacing w:after="0" w:line="167"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Information with respect to security ownership of certain beneficial owners and management and equity compensation plan information and related stockholder matters required by this Item will be set forth under the captions “General Information—Security Ownership of Certain Beneficial Owners,” “General Information—Security Ownership of Directors and Executive Officers,” and “General Information—Equity Compensation Plan Information” in our 2026 Proxy Statement and is incorporated herein by reference.</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ITEM 13. CERTAIN RELATIONSHIPS AND RELATED TRANSACTIONS AND DIRECTOR INDEPENDENCE.</w:t>
      </w:r>
    </w:p>
    <w:p>
      <w:pPr>
        <w:spacing w:after="0" w:line="167"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7"/>
          <w:szCs w:val="17"/>
          <w:color w:val="auto"/>
        </w:rPr>
        <w:t>Information with respect to certain relationships and related transactions and with respect to director independence required by this Item will be set forth under the captions “General Information—Certain Relationships and Transactions with Related Persons” and “Corporate Governance and Board Matters” in our 2026 Proxy Statement and is incorporated herein by reference.</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ITEM 14. PRINCIPAL ACCOUNTING FEES AND SERVICES.</w:t>
      </w:r>
    </w:p>
    <w:p>
      <w:pPr>
        <w:spacing w:after="0" w:line="168"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7"/>
          <w:szCs w:val="17"/>
          <w:color w:val="auto"/>
        </w:rPr>
        <w:t>Information with respect to our Audit Committee’s pre-approval policy for audit services performed by KPMG LLP (PCAOB ID 185) and our principal accounting fees and services required by this Item will be set forth under the caption “Audit-Related Matters” in our 2026 Proxy Statement and is incorporated herein by reference.</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65" w:right="339" w:bottom="1440" w:gutter="0" w:footer="0" w:header="0"/>
        </w:sectPr>
      </w:pPr>
    </w:p>
    <w:bookmarkStart w:id="97" w:name="page98"/>
    <w:bookmarkEnd w:id="97"/>
    <w:p>
      <w:pPr>
        <w:ind w:left="5280"/>
        <w:spacing w:after="0"/>
        <w:rPr>
          <w:sz w:val="20"/>
          <w:szCs w:val="20"/>
          <w:color w:val="auto"/>
        </w:rPr>
      </w:pPr>
      <w:r>
        <w:rPr>
          <w:rFonts w:ascii="Arial" w:cs="Arial" w:eastAsia="Arial" w:hAnsi="Arial"/>
          <w:sz w:val="17"/>
          <w:szCs w:val="17"/>
          <w:b w:val="1"/>
          <w:bCs w:val="1"/>
          <w:color w:val="0046AD"/>
        </w:rPr>
        <w:t>PART IV</w:t>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ITEM 15. EXHIBITS, FINANCIAL STATEMENT SCHEDULES.</w:t>
      </w:r>
    </w:p>
    <w:p>
      <w:pPr>
        <w:spacing w:after="0" w:line="172" w:lineRule="exact"/>
        <w:rPr>
          <w:sz w:val="20"/>
          <w:szCs w:val="20"/>
          <w:color w:val="auto"/>
        </w:rPr>
      </w:pPr>
    </w:p>
    <w:p>
      <w:pPr>
        <w:ind w:left="320"/>
        <w:spacing w:after="0"/>
        <w:rPr>
          <w:sz w:val="20"/>
          <w:szCs w:val="20"/>
          <w:color w:val="auto"/>
        </w:rPr>
      </w:pPr>
      <w:r>
        <w:rPr>
          <w:rFonts w:ascii="Arial" w:cs="Arial" w:eastAsia="Arial" w:hAnsi="Arial"/>
          <w:sz w:val="17"/>
          <w:szCs w:val="17"/>
          <w:color w:val="auto"/>
        </w:rPr>
        <w:t>(a) The following documents are filed as part of this report:</w:t>
      </w:r>
    </w:p>
    <w:p>
      <w:pPr>
        <w:spacing w:after="0" w:line="193" w:lineRule="exact"/>
        <w:rPr>
          <w:sz w:val="20"/>
          <w:szCs w:val="20"/>
          <w:color w:val="auto"/>
        </w:rPr>
      </w:pPr>
    </w:p>
    <w:p>
      <w:pPr>
        <w:ind w:left="640" w:right="4459" w:hanging="308"/>
        <w:spacing w:after="0" w:line="269" w:lineRule="auto"/>
        <w:rPr>
          <w:sz w:val="20"/>
          <w:szCs w:val="20"/>
          <w:color w:val="auto"/>
        </w:rPr>
      </w:pPr>
      <w:r>
        <w:rPr>
          <w:rFonts w:ascii="Arial" w:cs="Arial" w:eastAsia="Arial" w:hAnsi="Arial"/>
          <w:sz w:val="17"/>
          <w:szCs w:val="17"/>
          <w:color w:val="auto"/>
        </w:rPr>
        <w:t>1</w:t>
      </w:r>
      <w:r>
        <w:rPr>
          <w:rFonts w:ascii="Arial" w:cs="Arial" w:eastAsia="Arial" w:hAnsi="Arial"/>
          <w:sz w:val="17"/>
          <w:szCs w:val="17"/>
          <w:i w:val="1"/>
          <w:iCs w:val="1"/>
          <w:color w:val="auto"/>
        </w:rPr>
        <w:t>.</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Financial Statements</w:t>
      </w:r>
      <w:r>
        <w:rPr>
          <w:rFonts w:ascii="Arial" w:cs="Arial" w:eastAsia="Arial" w:hAnsi="Arial"/>
          <w:sz w:val="17"/>
          <w:szCs w:val="17"/>
          <w:i w:val="1"/>
          <w:iCs w:val="1"/>
          <w:color w:val="auto"/>
        </w:rPr>
        <w:t>:</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Index to Consolidated Financial Statements</w:t>
      </w:r>
      <w:r>
        <w:rPr>
          <w:rFonts w:ascii="Arial" w:cs="Arial" w:eastAsia="Arial" w:hAnsi="Arial"/>
          <w:sz w:val="17"/>
          <w:szCs w:val="17"/>
          <w:color w:val="auto"/>
        </w:rPr>
        <w:t xml:space="preserve"> </w:t>
      </w:r>
      <w:r>
        <w:rPr>
          <w:rFonts w:ascii="Arial" w:cs="Arial" w:eastAsia="Arial" w:hAnsi="Arial"/>
          <w:sz w:val="17"/>
          <w:szCs w:val="17"/>
          <w:u w:val="single" w:color="auto"/>
          <w:color w:val="0000FF"/>
        </w:rPr>
        <w:t>Report of Independent Registered Public Accounting Firm Consolidated Balance Sheets at October 31, 2025 and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wp:posOffset>
            </wp:positionH>
            <wp:positionV relativeFrom="paragraph">
              <wp:posOffset>-410210</wp:posOffset>
            </wp:positionV>
            <wp:extent cx="7002145" cy="13906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002145" cy="139065"/>
                    </a:xfrm>
                    <a:prstGeom prst="rect">
                      <a:avLst/>
                    </a:prstGeom>
                    <a:noFill/>
                  </pic:spPr>
                </pic:pic>
              </a:graphicData>
            </a:graphic>
          </wp:anchor>
        </w:drawing>
        <w:drawing>
          <wp:anchor simplePos="0" relativeHeight="251657728" behindDoc="1" locked="0" layoutInCell="0" allowOverlap="1">
            <wp:simplePos x="0" y="0"/>
            <wp:positionH relativeFrom="column">
              <wp:posOffset>198755</wp:posOffset>
            </wp:positionH>
            <wp:positionV relativeFrom="paragraph">
              <wp:posOffset>-131445</wp:posOffset>
            </wp:positionV>
            <wp:extent cx="7002145" cy="13906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002145" cy="139065"/>
                    </a:xfrm>
                    <a:prstGeom prst="rect">
                      <a:avLst/>
                    </a:prstGeom>
                    <a:noFill/>
                  </pic:spPr>
                </pic:pic>
              </a:graphicData>
            </a:graphic>
          </wp:anchor>
        </w:drawing>
      </w:r>
    </w:p>
    <w:p>
      <w:pPr>
        <w:ind w:left="640"/>
        <w:spacing w:after="0"/>
        <w:rPr>
          <w:sz w:val="20"/>
          <w:szCs w:val="20"/>
          <w:color w:val="auto"/>
        </w:rPr>
      </w:pPr>
      <w:r>
        <w:rPr>
          <w:rFonts w:ascii="Arial" w:cs="Arial" w:eastAsia="Arial" w:hAnsi="Arial"/>
          <w:sz w:val="15"/>
          <w:szCs w:val="15"/>
          <w:u w:val="single" w:color="auto"/>
          <w:color w:val="0000FF"/>
        </w:rPr>
        <w:t>Consolidated Statements of Comprehensive Income for the Years Ended October 31, 2025, 2024, and 2023</w:t>
      </w:r>
    </w:p>
    <w:p>
      <w:pPr>
        <w:spacing w:after="0" w:line="47" w:lineRule="exact"/>
        <w:rPr>
          <w:sz w:val="20"/>
          <w:szCs w:val="20"/>
          <w:color w:val="auto"/>
        </w:rPr>
      </w:pPr>
    </w:p>
    <w:p>
      <w:pPr>
        <w:ind w:left="640"/>
        <w:spacing w:after="0"/>
        <w:rPr>
          <w:sz w:val="20"/>
          <w:szCs w:val="20"/>
          <w:color w:val="auto"/>
        </w:rPr>
      </w:pPr>
      <w:r>
        <w:rPr>
          <w:rFonts w:ascii="Arial" w:cs="Arial" w:eastAsia="Arial" w:hAnsi="Arial"/>
          <w:sz w:val="17"/>
          <w:szCs w:val="17"/>
          <w:u w:val="single" w:color="auto"/>
          <w:color w:val="0000FF"/>
        </w:rPr>
        <w:t>Consolidated Statements of Stockholders’ Equity for the Years Ended October 31, 2025, 2024, and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wp:posOffset>
            </wp:positionH>
            <wp:positionV relativeFrom="paragraph">
              <wp:posOffset>-116840</wp:posOffset>
            </wp:positionV>
            <wp:extent cx="7002145" cy="13906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002145" cy="139065"/>
                    </a:xfrm>
                    <a:prstGeom prst="rect">
                      <a:avLst/>
                    </a:prstGeom>
                    <a:noFill/>
                  </pic:spPr>
                </pic:pic>
              </a:graphicData>
            </a:graphic>
          </wp:anchor>
        </w:drawing>
      </w:r>
    </w:p>
    <w:p>
      <w:pPr>
        <w:spacing w:after="0" w:line="4" w:lineRule="exact"/>
        <w:rPr>
          <w:sz w:val="20"/>
          <w:szCs w:val="20"/>
          <w:color w:val="auto"/>
        </w:rPr>
      </w:pPr>
    </w:p>
    <w:p>
      <w:pPr>
        <w:ind w:left="640"/>
        <w:spacing w:after="0"/>
        <w:rPr>
          <w:sz w:val="20"/>
          <w:szCs w:val="20"/>
          <w:color w:val="auto"/>
        </w:rPr>
      </w:pPr>
      <w:r>
        <w:rPr>
          <w:rFonts w:ascii="Arial" w:cs="Arial" w:eastAsia="Arial" w:hAnsi="Arial"/>
          <w:sz w:val="17"/>
          <w:szCs w:val="17"/>
          <w:u w:val="single" w:color="auto"/>
          <w:color w:val="0000FF"/>
        </w:rPr>
        <w:t>Consolidated Statements of Cash Flows for the Years Ended October 31, 2025, 2024, and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wp:posOffset>
            </wp:positionH>
            <wp:positionV relativeFrom="paragraph">
              <wp:posOffset>21590</wp:posOffset>
            </wp:positionV>
            <wp:extent cx="7002145" cy="13081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002145" cy="130810"/>
                    </a:xfrm>
                    <a:prstGeom prst="rect">
                      <a:avLst/>
                    </a:prstGeom>
                    <a:noFill/>
                  </pic:spPr>
                </pic:pic>
              </a:graphicData>
            </a:graphic>
          </wp:anchor>
        </w:drawing>
      </w:r>
    </w:p>
    <w:p>
      <w:pPr>
        <w:spacing w:after="0" w:line="212" w:lineRule="exact"/>
        <w:rPr>
          <w:sz w:val="20"/>
          <w:szCs w:val="20"/>
          <w:color w:val="auto"/>
        </w:rPr>
      </w:pPr>
    </w:p>
    <w:p>
      <w:pPr>
        <w:ind w:left="520" w:hanging="190"/>
        <w:spacing w:after="0"/>
        <w:tabs>
          <w:tab w:leader="none" w:pos="520" w:val="left"/>
        </w:tabs>
        <w:numPr>
          <w:ilvl w:val="0"/>
          <w:numId w:val="45"/>
        </w:numPr>
        <w:rPr>
          <w:rFonts w:ascii="Arial" w:cs="Arial" w:eastAsia="Arial" w:hAnsi="Arial"/>
          <w:sz w:val="17"/>
          <w:szCs w:val="17"/>
          <w:color w:val="auto"/>
        </w:rPr>
      </w:pPr>
      <w:r>
        <w:rPr>
          <w:rFonts w:ascii="Arial" w:cs="Arial" w:eastAsia="Arial" w:hAnsi="Arial"/>
          <w:sz w:val="17"/>
          <w:szCs w:val="17"/>
          <w:b w:val="1"/>
          <w:bCs w:val="1"/>
          <w:i w:val="1"/>
          <w:iCs w:val="1"/>
          <w:color w:val="auto"/>
        </w:rPr>
        <w:t>Financial Statement Schedule</w:t>
      </w:r>
    </w:p>
    <w:p>
      <w:pPr>
        <w:spacing w:after="0" w:line="28" w:lineRule="exact"/>
        <w:rPr>
          <w:sz w:val="20"/>
          <w:szCs w:val="20"/>
          <w:color w:val="auto"/>
        </w:rPr>
      </w:pPr>
    </w:p>
    <w:p>
      <w:pPr>
        <w:ind w:left="640"/>
        <w:spacing w:after="0"/>
        <w:rPr>
          <w:sz w:val="20"/>
          <w:szCs w:val="20"/>
          <w:color w:val="auto"/>
        </w:rPr>
      </w:pPr>
      <w:r>
        <w:rPr>
          <w:rFonts w:ascii="Arial" w:cs="Arial" w:eastAsia="Arial" w:hAnsi="Arial"/>
          <w:sz w:val="17"/>
          <w:szCs w:val="17"/>
          <w:u w:val="single" w:color="auto"/>
          <w:color w:val="0000FF"/>
        </w:rPr>
        <w:t>Valuation and Qualifying Accounts for the Years Ended October 31, 2025, 2024, and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wp:posOffset>
            </wp:positionH>
            <wp:positionV relativeFrom="paragraph">
              <wp:posOffset>-120650</wp:posOffset>
            </wp:positionV>
            <wp:extent cx="7002145" cy="13906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002145" cy="139065"/>
                    </a:xfrm>
                    <a:prstGeom prst="rect">
                      <a:avLst/>
                    </a:prstGeom>
                    <a:noFill/>
                  </pic:spPr>
                </pic:pic>
              </a:graphicData>
            </a:graphic>
          </wp:anchor>
        </w:drawing>
      </w:r>
    </w:p>
    <w:p>
      <w:pPr>
        <w:spacing w:after="0" w:line="206" w:lineRule="exact"/>
        <w:rPr>
          <w:sz w:val="20"/>
          <w:szCs w:val="20"/>
          <w:color w:val="auto"/>
        </w:rPr>
      </w:pPr>
    </w:p>
    <w:p>
      <w:pPr>
        <w:ind w:left="640" w:right="8559" w:hanging="310"/>
        <w:spacing w:after="0" w:line="364" w:lineRule="auto"/>
        <w:tabs>
          <w:tab w:leader="none" w:pos="514" w:val="left"/>
        </w:tabs>
        <w:numPr>
          <w:ilvl w:val="0"/>
          <w:numId w:val="46"/>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Exhibits </w:t>
      </w:r>
      <w:r>
        <w:rPr>
          <w:rFonts w:ascii="Arial" w:cs="Arial" w:eastAsia="Arial" w:hAnsi="Arial"/>
          <w:sz w:val="15"/>
          <w:szCs w:val="15"/>
          <w:u w:val="single" w:color="auto"/>
          <w:color w:val="0000FF"/>
        </w:rPr>
        <w:t>Exhibit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wp:posOffset>
            </wp:positionH>
            <wp:positionV relativeFrom="paragraph">
              <wp:posOffset>-326390</wp:posOffset>
            </wp:positionV>
            <wp:extent cx="7002145" cy="13906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002145" cy="139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5520"/>
        <w:spacing w:after="0"/>
        <w:rPr>
          <w:sz w:val="20"/>
          <w:szCs w:val="20"/>
          <w:color w:val="auto"/>
        </w:rPr>
      </w:pPr>
      <w:r>
        <w:rPr>
          <w:rFonts w:ascii="Arial" w:cs="Arial" w:eastAsia="Arial" w:hAnsi="Arial"/>
          <w:sz w:val="17"/>
          <w:szCs w:val="17"/>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139"/>
          </w:cols>
          <w:pgMar w:left="320" w:top="1165" w:right="1440" w:bottom="1440" w:gutter="0" w:footer="0" w:header="0"/>
        </w:sectPr>
      </w:pPr>
    </w:p>
    <w:bookmarkStart w:id="98" w:name="page99"/>
    <w:bookmarkEnd w:id="98"/>
    <w:tbl>
      <w:tblPr>
        <w:tblLayout w:type="fixed"/>
        <w:tblInd w:w="0" w:type="dxa"/>
        <w:tblCellMar>
          <w:top w:w="0" w:type="dxa"/>
          <w:left w:w="0" w:type="dxa"/>
          <w:bottom w:w="0" w:type="dxa"/>
          <w:right w:w="0" w:type="dxa"/>
        </w:tblCellMar>
      </w:tblPr>
      <w:tr>
        <w:trPr>
          <w:trHeight w:val="238"/>
        </w:trPr>
        <w:tc>
          <w:tcPr>
            <w:tcW w:w="6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120" w:type="dxa"/>
            <w:vAlign w:val="bottom"/>
            <w:gridSpan w:val="8"/>
          </w:tcPr>
          <w:p>
            <w:pPr>
              <w:ind w:left="840"/>
              <w:spacing w:after="0"/>
              <w:rPr>
                <w:sz w:val="20"/>
                <w:szCs w:val="20"/>
                <w:color w:val="auto"/>
              </w:rPr>
            </w:pPr>
            <w:r>
              <w:rPr>
                <w:rFonts w:ascii="Arial" w:cs="Arial" w:eastAsia="Arial" w:hAnsi="Arial"/>
                <w:sz w:val="17"/>
                <w:szCs w:val="17"/>
                <w:b w:val="1"/>
                <w:bCs w:val="1"/>
                <w:color w:val="0046AD"/>
              </w:rPr>
              <w:t>ABM INDUSTRIES INCORPORATED AND SUBSIDIARIES</w:t>
            </w: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2"/>
        </w:trPr>
        <w:tc>
          <w:tcPr>
            <w:tcW w:w="6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120" w:type="dxa"/>
            <w:vAlign w:val="bottom"/>
            <w:gridSpan w:val="8"/>
          </w:tcPr>
          <w:p>
            <w:pPr>
              <w:ind w:left="760"/>
              <w:spacing w:after="0"/>
              <w:rPr>
                <w:sz w:val="20"/>
                <w:szCs w:val="20"/>
                <w:color w:val="auto"/>
              </w:rPr>
            </w:pPr>
            <w:r>
              <w:rPr>
                <w:rFonts w:ascii="Arial" w:cs="Arial" w:eastAsia="Arial" w:hAnsi="Arial"/>
                <w:sz w:val="17"/>
                <w:szCs w:val="17"/>
                <w:b w:val="1"/>
                <w:bCs w:val="1"/>
                <w:color w:val="0046AD"/>
              </w:rPr>
              <w:t>SCHEDULE II—VALUATION AND QUALIFYING ACCOUNTS</w:t>
            </w: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64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580" w:type="dxa"/>
            <w:vAlign w:val="bottom"/>
            <w:gridSpan w:val="2"/>
            <w:vMerge w:val="restart"/>
          </w:tcPr>
          <w:p>
            <w:pPr>
              <w:ind w:left="160"/>
              <w:spacing w:after="0"/>
              <w:rPr>
                <w:sz w:val="20"/>
                <w:szCs w:val="20"/>
                <w:color w:val="auto"/>
              </w:rPr>
            </w:pPr>
            <w:r>
              <w:rPr>
                <w:rFonts w:ascii="Arial" w:cs="Arial" w:eastAsia="Arial" w:hAnsi="Arial"/>
                <w:sz w:val="17"/>
                <w:szCs w:val="17"/>
                <w:b w:val="1"/>
                <w:bCs w:val="1"/>
                <w:color w:val="auto"/>
              </w:rPr>
              <w:t>Balance</w:t>
            </w:r>
          </w:p>
        </w:tc>
        <w:tc>
          <w:tcPr>
            <w:tcW w:w="1840" w:type="dxa"/>
            <w:vAlign w:val="bottom"/>
            <w:gridSpan w:val="2"/>
            <w:vMerge w:val="restart"/>
          </w:tcPr>
          <w:p>
            <w:pPr>
              <w:jc w:val="center"/>
              <w:ind w:right="340"/>
              <w:spacing w:after="0"/>
              <w:rPr>
                <w:sz w:val="20"/>
                <w:szCs w:val="20"/>
                <w:color w:val="auto"/>
              </w:rPr>
            </w:pPr>
            <w:r>
              <w:rPr>
                <w:rFonts w:ascii="Arial" w:cs="Arial" w:eastAsia="Arial" w:hAnsi="Arial"/>
                <w:sz w:val="17"/>
                <w:szCs w:val="17"/>
                <w:b w:val="1"/>
                <w:bCs w:val="1"/>
                <w:color w:val="auto"/>
              </w:rPr>
              <w:t>Additions from</w:t>
            </w:r>
          </w:p>
        </w:tc>
        <w:tc>
          <w:tcPr>
            <w:tcW w:w="1860" w:type="dxa"/>
            <w:vAlign w:val="bottom"/>
            <w:gridSpan w:val="2"/>
          </w:tcPr>
          <w:p>
            <w:pPr>
              <w:jc w:val="center"/>
              <w:ind w:right="360"/>
              <w:spacing w:after="0"/>
              <w:rPr>
                <w:sz w:val="20"/>
                <w:szCs w:val="20"/>
                <w:color w:val="auto"/>
              </w:rPr>
            </w:pPr>
            <w:r>
              <w:rPr>
                <w:rFonts w:ascii="Arial" w:cs="Arial" w:eastAsia="Arial" w:hAnsi="Arial"/>
                <w:sz w:val="17"/>
                <w:szCs w:val="17"/>
                <w:b w:val="1"/>
                <w:bCs w:val="1"/>
                <w:color w:val="auto"/>
              </w:rPr>
              <w:t>Charges to</w:t>
            </w:r>
          </w:p>
        </w:tc>
        <w:tc>
          <w:tcPr>
            <w:tcW w:w="1840" w:type="dxa"/>
            <w:vAlign w:val="bottom"/>
            <w:gridSpan w:val="2"/>
            <w:vMerge w:val="restart"/>
          </w:tcPr>
          <w:p>
            <w:pPr>
              <w:jc w:val="center"/>
              <w:ind w:right="360"/>
              <w:spacing w:after="0"/>
              <w:rPr>
                <w:sz w:val="20"/>
                <w:szCs w:val="20"/>
                <w:color w:val="auto"/>
              </w:rPr>
            </w:pPr>
            <w:r>
              <w:rPr>
                <w:rFonts w:ascii="Arial" w:cs="Arial" w:eastAsia="Arial" w:hAnsi="Arial"/>
                <w:sz w:val="17"/>
                <w:szCs w:val="17"/>
                <w:b w:val="1"/>
                <w:bCs w:val="1"/>
                <w:color w:val="auto"/>
                <w:w w:val="98"/>
              </w:rPr>
              <w:t>Write-offs</w:t>
            </w:r>
            <w:r>
              <w:rPr>
                <w:rFonts w:ascii="Arial" w:cs="Arial" w:eastAsia="Arial" w:hAnsi="Arial"/>
                <w:sz w:val="22"/>
                <w:szCs w:val="22"/>
                <w:b w:val="1"/>
                <w:bCs w:val="1"/>
                <w:color w:val="auto"/>
                <w:w w:val="98"/>
                <w:vertAlign w:val="superscript"/>
              </w:rPr>
              <w:t>(2)</w:t>
            </w:r>
            <w:r>
              <w:rPr>
                <w:rFonts w:ascii="Arial" w:cs="Arial" w:eastAsia="Arial" w:hAnsi="Arial"/>
                <w:sz w:val="17"/>
                <w:szCs w:val="17"/>
                <w:b w:val="1"/>
                <w:bCs w:val="1"/>
                <w:color w:val="auto"/>
                <w:w w:val="98"/>
              </w:rPr>
              <w:t>/</w:t>
            </w:r>
          </w:p>
        </w:tc>
        <w:tc>
          <w:tcPr>
            <w:tcW w:w="180" w:type="dxa"/>
            <w:vAlign w:val="bottom"/>
          </w:tcPr>
          <w:p>
            <w:pPr>
              <w:spacing w:after="0"/>
              <w:rPr>
                <w:sz w:val="23"/>
                <w:szCs w:val="23"/>
                <w:color w:val="auto"/>
              </w:rPr>
            </w:pPr>
          </w:p>
        </w:tc>
        <w:tc>
          <w:tcPr>
            <w:tcW w:w="1320" w:type="dxa"/>
            <w:vAlign w:val="bottom"/>
            <w:vMerge w:val="restart"/>
          </w:tcPr>
          <w:p>
            <w:pPr>
              <w:jc w:val="right"/>
              <w:ind w:right="334"/>
              <w:spacing w:after="0"/>
              <w:rPr>
                <w:sz w:val="20"/>
                <w:szCs w:val="20"/>
                <w:color w:val="auto"/>
              </w:rPr>
            </w:pPr>
            <w:r>
              <w:rPr>
                <w:rFonts w:ascii="Arial" w:cs="Arial" w:eastAsia="Arial" w:hAnsi="Arial"/>
                <w:sz w:val="17"/>
                <w:szCs w:val="17"/>
                <w:b w:val="1"/>
                <w:bCs w:val="1"/>
                <w:color w:val="auto"/>
              </w:rPr>
              <w:t>Balance</w:t>
            </w:r>
          </w:p>
        </w:tc>
        <w:tc>
          <w:tcPr>
            <w:tcW w:w="0" w:type="dxa"/>
            <w:vAlign w:val="bottom"/>
          </w:tcPr>
          <w:p>
            <w:pPr>
              <w:spacing w:after="0"/>
              <w:rPr>
                <w:sz w:val="1"/>
                <w:szCs w:val="1"/>
                <w:color w:val="auto"/>
              </w:rPr>
            </w:pPr>
          </w:p>
        </w:tc>
      </w:tr>
      <w:tr>
        <w:trPr>
          <w:trHeight w:val="168"/>
        </w:trPr>
        <w:tc>
          <w:tcPr>
            <w:tcW w:w="6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80" w:type="dxa"/>
            <w:vAlign w:val="bottom"/>
            <w:gridSpan w:val="2"/>
            <w:vMerge w:val="continue"/>
          </w:tcPr>
          <w:p>
            <w:pPr>
              <w:spacing w:after="0"/>
              <w:rPr>
                <w:sz w:val="14"/>
                <w:szCs w:val="14"/>
                <w:color w:val="auto"/>
              </w:rPr>
            </w:pPr>
          </w:p>
        </w:tc>
        <w:tc>
          <w:tcPr>
            <w:tcW w:w="1840" w:type="dxa"/>
            <w:vAlign w:val="bottom"/>
            <w:gridSpan w:val="2"/>
            <w:vMerge w:val="continue"/>
          </w:tcPr>
          <w:p>
            <w:pPr>
              <w:spacing w:after="0"/>
              <w:rPr>
                <w:sz w:val="14"/>
                <w:szCs w:val="14"/>
                <w:color w:val="auto"/>
              </w:rPr>
            </w:pPr>
          </w:p>
        </w:tc>
        <w:tc>
          <w:tcPr>
            <w:tcW w:w="1860" w:type="dxa"/>
            <w:vAlign w:val="bottom"/>
            <w:gridSpan w:val="2"/>
          </w:tcPr>
          <w:p>
            <w:pPr>
              <w:jc w:val="center"/>
              <w:ind w:right="340"/>
              <w:spacing w:after="0" w:line="167" w:lineRule="exact"/>
              <w:rPr>
                <w:sz w:val="20"/>
                <w:szCs w:val="20"/>
                <w:color w:val="auto"/>
              </w:rPr>
            </w:pPr>
            <w:r>
              <w:rPr>
                <w:rFonts w:ascii="Arial" w:cs="Arial" w:eastAsia="Arial" w:hAnsi="Arial"/>
                <w:sz w:val="17"/>
                <w:szCs w:val="17"/>
                <w:b w:val="1"/>
                <w:bCs w:val="1"/>
                <w:color w:val="auto"/>
              </w:rPr>
              <w:t>Costs and</w:t>
            </w:r>
          </w:p>
        </w:tc>
        <w:tc>
          <w:tcPr>
            <w:tcW w:w="18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32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840" w:type="dxa"/>
            <w:vAlign w:val="bottom"/>
            <w:gridSpan w:val="3"/>
          </w:tcPr>
          <w:p>
            <w:pPr>
              <w:ind w:left="20"/>
              <w:spacing w:after="0" w:line="180" w:lineRule="exact"/>
              <w:rPr>
                <w:sz w:val="20"/>
                <w:szCs w:val="20"/>
                <w:color w:val="auto"/>
              </w:rPr>
            </w:pPr>
            <w:r>
              <w:rPr>
                <w:rFonts w:ascii="Arial" w:cs="Arial" w:eastAsia="Arial" w:hAnsi="Arial"/>
                <w:sz w:val="17"/>
                <w:szCs w:val="17"/>
                <w:b w:val="1"/>
                <w:bCs w:val="1"/>
                <w:color w:val="auto"/>
              </w:rPr>
              <w:t>Beginning of Year</w:t>
            </w:r>
          </w:p>
        </w:tc>
        <w:tc>
          <w:tcPr>
            <w:tcW w:w="1840" w:type="dxa"/>
            <w:vAlign w:val="bottom"/>
            <w:gridSpan w:val="2"/>
          </w:tcPr>
          <w:p>
            <w:pPr>
              <w:jc w:val="center"/>
              <w:ind w:right="340"/>
              <w:spacing w:after="0" w:line="180" w:lineRule="exact"/>
              <w:rPr>
                <w:sz w:val="20"/>
                <w:szCs w:val="20"/>
                <w:color w:val="auto"/>
              </w:rPr>
            </w:pPr>
            <w:r>
              <w:rPr>
                <w:rFonts w:ascii="Arial" w:cs="Arial" w:eastAsia="Arial" w:hAnsi="Arial"/>
                <w:sz w:val="17"/>
                <w:szCs w:val="17"/>
                <w:b w:val="1"/>
                <w:bCs w:val="1"/>
                <w:color w:val="auto"/>
                <w:w w:val="99"/>
              </w:rPr>
              <w:t>Acquisitions</w:t>
            </w:r>
          </w:p>
        </w:tc>
        <w:tc>
          <w:tcPr>
            <w:tcW w:w="1860" w:type="dxa"/>
            <w:vAlign w:val="bottom"/>
            <w:gridSpan w:val="2"/>
          </w:tcPr>
          <w:p>
            <w:pPr>
              <w:jc w:val="center"/>
              <w:ind w:right="360"/>
              <w:spacing w:after="0" w:line="181" w:lineRule="exact"/>
              <w:rPr>
                <w:sz w:val="20"/>
                <w:szCs w:val="20"/>
                <w:color w:val="auto"/>
              </w:rPr>
            </w:pPr>
            <w:r>
              <w:rPr>
                <w:rFonts w:ascii="Arial" w:cs="Arial" w:eastAsia="Arial" w:hAnsi="Arial"/>
                <w:sz w:val="16"/>
                <w:szCs w:val="16"/>
                <w:b w:val="1"/>
                <w:bCs w:val="1"/>
                <w:color w:val="auto"/>
              </w:rPr>
              <w:t>Expenses</w:t>
            </w:r>
            <w:r>
              <w:rPr>
                <w:rFonts w:ascii="Arial" w:cs="Arial" w:eastAsia="Arial" w:hAnsi="Arial"/>
                <w:sz w:val="20"/>
                <w:szCs w:val="20"/>
                <w:b w:val="1"/>
                <w:bCs w:val="1"/>
                <w:color w:val="auto"/>
                <w:vertAlign w:val="superscript"/>
              </w:rPr>
              <w:t>(1)</w:t>
            </w:r>
          </w:p>
        </w:tc>
        <w:tc>
          <w:tcPr>
            <w:tcW w:w="1840" w:type="dxa"/>
            <w:vAlign w:val="bottom"/>
            <w:gridSpan w:val="2"/>
          </w:tcPr>
          <w:p>
            <w:pPr>
              <w:jc w:val="center"/>
              <w:ind w:right="380"/>
              <w:spacing w:after="0" w:line="180" w:lineRule="exact"/>
              <w:rPr>
                <w:sz w:val="20"/>
                <w:szCs w:val="20"/>
                <w:color w:val="auto"/>
              </w:rPr>
            </w:pPr>
            <w:r>
              <w:rPr>
                <w:rFonts w:ascii="Arial" w:cs="Arial" w:eastAsia="Arial" w:hAnsi="Arial"/>
                <w:sz w:val="17"/>
                <w:szCs w:val="17"/>
                <w:b w:val="1"/>
                <w:bCs w:val="1"/>
                <w:color w:val="auto"/>
              </w:rPr>
              <w:t>Allowance Taken</w:t>
            </w:r>
          </w:p>
        </w:tc>
        <w:tc>
          <w:tcPr>
            <w:tcW w:w="180" w:type="dxa"/>
            <w:vAlign w:val="bottom"/>
          </w:tcPr>
          <w:p>
            <w:pPr>
              <w:spacing w:after="0"/>
              <w:rPr>
                <w:sz w:val="15"/>
                <w:szCs w:val="15"/>
                <w:color w:val="auto"/>
              </w:rPr>
            </w:pPr>
          </w:p>
        </w:tc>
        <w:tc>
          <w:tcPr>
            <w:tcW w:w="1320" w:type="dxa"/>
            <w:vAlign w:val="bottom"/>
          </w:tcPr>
          <w:p>
            <w:pPr>
              <w:jc w:val="right"/>
              <w:ind w:right="194"/>
              <w:spacing w:after="0" w:line="180" w:lineRule="exact"/>
              <w:rPr>
                <w:sz w:val="20"/>
                <w:szCs w:val="20"/>
                <w:color w:val="auto"/>
              </w:rPr>
            </w:pPr>
            <w:r>
              <w:rPr>
                <w:rFonts w:ascii="Arial" w:cs="Arial" w:eastAsia="Arial" w:hAnsi="Arial"/>
                <w:sz w:val="17"/>
                <w:szCs w:val="17"/>
                <w:b w:val="1"/>
                <w:bCs w:val="1"/>
                <w:color w:val="auto"/>
              </w:rPr>
              <w:t>End of Year</w:t>
            </w:r>
          </w:p>
        </w:tc>
        <w:tc>
          <w:tcPr>
            <w:tcW w:w="0" w:type="dxa"/>
            <w:vAlign w:val="bottom"/>
          </w:tcPr>
          <w:p>
            <w:pPr>
              <w:spacing w:after="0"/>
              <w:rPr>
                <w:sz w:val="1"/>
                <w:szCs w:val="1"/>
                <w:color w:val="auto"/>
              </w:rPr>
            </w:pPr>
          </w:p>
        </w:tc>
      </w:tr>
      <w:tr>
        <w:trPr>
          <w:trHeight w:val="20"/>
        </w:trPr>
        <w:tc>
          <w:tcPr>
            <w:tcW w:w="640" w:type="dxa"/>
            <w:vAlign w:val="bottom"/>
            <w:shd w:val="clear" w:color="auto" w:fill="000000"/>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
        </w:trPr>
        <w:tc>
          <w:tcPr>
            <w:tcW w:w="232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Accounts receivable and</w:t>
            </w: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8"/>
        </w:trPr>
        <w:tc>
          <w:tcPr>
            <w:tcW w:w="232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2"/>
        </w:trPr>
        <w:tc>
          <w:tcPr>
            <w:tcW w:w="2320" w:type="dxa"/>
            <w:vAlign w:val="bottom"/>
            <w:gridSpan w:val="2"/>
          </w:tcPr>
          <w:p>
            <w:pPr>
              <w:spacing w:after="0"/>
              <w:rPr>
                <w:sz w:val="20"/>
                <w:szCs w:val="20"/>
                <w:color w:val="auto"/>
              </w:rPr>
            </w:pPr>
            <w:r>
              <w:rPr>
                <w:rFonts w:ascii="Arial" w:cs="Arial" w:eastAsia="Arial" w:hAnsi="Arial"/>
                <w:sz w:val="17"/>
                <w:szCs w:val="17"/>
                <w:b w:val="1"/>
                <w:bCs w:val="1"/>
                <w:color w:val="auto"/>
              </w:rPr>
              <w:t>sales allowances</w:t>
            </w: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640" w:type="dxa"/>
            <w:vAlign w:val="bottom"/>
            <w:shd w:val="clear" w:color="auto" w:fill="DCE2EF"/>
          </w:tcPr>
          <w:p>
            <w:pPr>
              <w:spacing w:after="0"/>
              <w:rPr>
                <w:sz w:val="20"/>
                <w:szCs w:val="20"/>
                <w:color w:val="auto"/>
              </w:rPr>
            </w:pPr>
            <w:r>
              <w:rPr>
                <w:rFonts w:ascii="Arial" w:cs="Arial" w:eastAsia="Arial" w:hAnsi="Arial"/>
                <w:sz w:val="17"/>
                <w:szCs w:val="17"/>
                <w:color w:val="auto"/>
              </w:rPr>
              <w:t>2025</w:t>
            </w:r>
          </w:p>
        </w:tc>
        <w:tc>
          <w:tcPr>
            <w:tcW w:w="1680" w:type="dxa"/>
            <w:vAlign w:val="bottom"/>
            <w:shd w:val="clear" w:color="auto" w:fill="DCE2EF"/>
          </w:tcPr>
          <w:p>
            <w:pPr>
              <w:spacing w:after="0"/>
              <w:rPr>
                <w:sz w:val="19"/>
                <w:szCs w:val="19"/>
                <w:color w:val="auto"/>
              </w:rPr>
            </w:pPr>
          </w:p>
        </w:tc>
        <w:tc>
          <w:tcPr>
            <w:tcW w:w="260" w:type="dxa"/>
            <w:vAlign w:val="bottom"/>
            <w:shd w:val="clear" w:color="auto" w:fill="DCE2EF"/>
          </w:tcPr>
          <w:p>
            <w:pPr>
              <w:ind w:left="20"/>
              <w:spacing w:after="0"/>
              <w:rPr>
                <w:sz w:val="20"/>
                <w:szCs w:val="20"/>
                <w:color w:val="auto"/>
              </w:rPr>
            </w:pPr>
            <w:r>
              <w:rPr>
                <w:rFonts w:ascii="Arial" w:cs="Arial" w:eastAsia="Arial" w:hAnsi="Arial"/>
                <w:sz w:val="17"/>
                <w:szCs w:val="17"/>
                <w:color w:val="auto"/>
              </w:rPr>
              <w:t>$</w:t>
            </w:r>
          </w:p>
        </w:tc>
        <w:tc>
          <w:tcPr>
            <w:tcW w:w="1240" w:type="dxa"/>
            <w:vAlign w:val="bottom"/>
            <w:shd w:val="clear" w:color="auto" w:fill="DCE2EF"/>
          </w:tcPr>
          <w:p>
            <w:pPr>
              <w:ind w:left="820"/>
              <w:spacing w:after="0"/>
              <w:rPr>
                <w:sz w:val="20"/>
                <w:szCs w:val="20"/>
                <w:color w:val="auto"/>
              </w:rPr>
            </w:pPr>
            <w:r>
              <w:rPr>
                <w:rFonts w:ascii="Arial" w:cs="Arial" w:eastAsia="Arial" w:hAnsi="Arial"/>
                <w:sz w:val="17"/>
                <w:szCs w:val="17"/>
                <w:color w:val="auto"/>
              </w:rPr>
              <w:t>22.8</w:t>
            </w:r>
          </w:p>
        </w:tc>
        <w:tc>
          <w:tcPr>
            <w:tcW w:w="340" w:type="dxa"/>
            <w:vAlign w:val="bottom"/>
            <w:shd w:val="clear" w:color="auto" w:fill="DCE2EF"/>
          </w:tcPr>
          <w:p>
            <w:pPr>
              <w:spacing w:after="0"/>
              <w:rPr>
                <w:sz w:val="19"/>
                <w:szCs w:val="19"/>
                <w:color w:val="auto"/>
              </w:rPr>
            </w:pPr>
          </w:p>
        </w:tc>
        <w:tc>
          <w:tcPr>
            <w:tcW w:w="1840" w:type="dxa"/>
            <w:vAlign w:val="bottom"/>
            <w:gridSpan w:val="2"/>
            <w:shd w:val="clear" w:color="auto" w:fill="DCE2EF"/>
          </w:tcPr>
          <w:p>
            <w:pPr>
              <w:jc w:val="right"/>
              <w:ind w:right="420"/>
              <w:spacing w:after="0"/>
              <w:rPr>
                <w:sz w:val="20"/>
                <w:szCs w:val="20"/>
                <w:color w:val="auto"/>
              </w:rPr>
            </w:pPr>
            <w:r>
              <w:rPr>
                <w:rFonts w:ascii="Arial" w:cs="Arial" w:eastAsia="Arial" w:hAnsi="Arial"/>
                <w:sz w:val="17"/>
                <w:szCs w:val="17"/>
                <w:color w:val="auto"/>
              </w:rPr>
              <w:t>—</w:t>
            </w:r>
          </w:p>
        </w:tc>
        <w:tc>
          <w:tcPr>
            <w:tcW w:w="1500" w:type="dxa"/>
            <w:vAlign w:val="bottom"/>
            <w:shd w:val="clear" w:color="auto" w:fill="DCE2EF"/>
          </w:tcPr>
          <w:p>
            <w:pPr>
              <w:jc w:val="right"/>
              <w:spacing w:after="0"/>
              <w:rPr>
                <w:sz w:val="20"/>
                <w:szCs w:val="20"/>
                <w:color w:val="auto"/>
              </w:rPr>
            </w:pPr>
            <w:r>
              <w:rPr>
                <w:rFonts w:ascii="Arial" w:cs="Arial" w:eastAsia="Arial" w:hAnsi="Arial"/>
                <w:sz w:val="17"/>
                <w:szCs w:val="17"/>
                <w:color w:val="auto"/>
              </w:rPr>
              <w:t>58.8</w:t>
            </w:r>
          </w:p>
        </w:tc>
        <w:tc>
          <w:tcPr>
            <w:tcW w:w="360" w:type="dxa"/>
            <w:vAlign w:val="bottom"/>
            <w:shd w:val="clear" w:color="auto" w:fill="DCE2EF"/>
          </w:tcPr>
          <w:p>
            <w:pPr>
              <w:spacing w:after="0"/>
              <w:rPr>
                <w:sz w:val="19"/>
                <w:szCs w:val="19"/>
                <w:color w:val="auto"/>
              </w:rPr>
            </w:pPr>
          </w:p>
        </w:tc>
        <w:tc>
          <w:tcPr>
            <w:tcW w:w="1480" w:type="dxa"/>
            <w:vAlign w:val="bottom"/>
            <w:shd w:val="clear" w:color="auto" w:fill="DCE2EF"/>
          </w:tcPr>
          <w:p>
            <w:pPr>
              <w:jc w:val="right"/>
              <w:spacing w:after="0"/>
              <w:rPr>
                <w:sz w:val="20"/>
                <w:szCs w:val="20"/>
                <w:color w:val="auto"/>
              </w:rPr>
            </w:pPr>
            <w:r>
              <w:rPr>
                <w:rFonts w:ascii="Arial" w:cs="Arial" w:eastAsia="Arial" w:hAnsi="Arial"/>
                <w:sz w:val="17"/>
                <w:szCs w:val="17"/>
                <w:color w:val="auto"/>
              </w:rPr>
              <w:t>(56.1)</w:t>
            </w:r>
          </w:p>
        </w:tc>
        <w:tc>
          <w:tcPr>
            <w:tcW w:w="360" w:type="dxa"/>
            <w:vAlign w:val="bottom"/>
            <w:shd w:val="clear" w:color="auto" w:fill="DCE2EF"/>
          </w:tcPr>
          <w:p>
            <w:pPr>
              <w:spacing w:after="0"/>
              <w:rPr>
                <w:sz w:val="19"/>
                <w:szCs w:val="19"/>
                <w:color w:val="auto"/>
              </w:rPr>
            </w:pPr>
          </w:p>
        </w:tc>
        <w:tc>
          <w:tcPr>
            <w:tcW w:w="180" w:type="dxa"/>
            <w:vAlign w:val="bottom"/>
            <w:shd w:val="clear" w:color="auto" w:fill="DCE2EF"/>
          </w:tcPr>
          <w:p>
            <w:pPr>
              <w:jc w:val="right"/>
              <w:spacing w:after="0"/>
              <w:rPr>
                <w:sz w:val="20"/>
                <w:szCs w:val="20"/>
                <w:color w:val="auto"/>
              </w:rPr>
            </w:pPr>
            <w:r>
              <w:rPr>
                <w:rFonts w:ascii="Arial" w:cs="Arial" w:eastAsia="Arial" w:hAnsi="Arial"/>
                <w:sz w:val="17"/>
                <w:szCs w:val="17"/>
                <w:color w:val="auto"/>
                <w:w w:val="84"/>
              </w:rPr>
              <w:t>$</w:t>
            </w:r>
          </w:p>
        </w:tc>
        <w:tc>
          <w:tcPr>
            <w:tcW w:w="1320" w:type="dxa"/>
            <w:vAlign w:val="bottom"/>
            <w:shd w:val="clear" w:color="auto" w:fill="DCE2EF"/>
          </w:tcPr>
          <w:p>
            <w:pPr>
              <w:jc w:val="right"/>
              <w:spacing w:after="0"/>
              <w:rPr>
                <w:sz w:val="20"/>
                <w:szCs w:val="20"/>
                <w:color w:val="auto"/>
              </w:rPr>
            </w:pPr>
            <w:r>
              <w:rPr>
                <w:rFonts w:ascii="Arial" w:cs="Arial" w:eastAsia="Arial" w:hAnsi="Arial"/>
                <w:sz w:val="17"/>
                <w:szCs w:val="17"/>
                <w:color w:val="auto"/>
              </w:rPr>
              <w:t>25.5</w:t>
            </w:r>
          </w:p>
        </w:tc>
        <w:tc>
          <w:tcPr>
            <w:tcW w:w="0" w:type="dxa"/>
            <w:vAlign w:val="bottom"/>
          </w:tcPr>
          <w:p>
            <w:pPr>
              <w:spacing w:after="0"/>
              <w:rPr>
                <w:sz w:val="1"/>
                <w:szCs w:val="1"/>
                <w:color w:val="auto"/>
              </w:rPr>
            </w:pPr>
          </w:p>
        </w:tc>
      </w:tr>
      <w:tr>
        <w:trPr>
          <w:trHeight w:val="219"/>
        </w:trPr>
        <w:tc>
          <w:tcPr>
            <w:tcW w:w="640" w:type="dxa"/>
            <w:vAlign w:val="bottom"/>
          </w:tcPr>
          <w:p>
            <w:pPr>
              <w:spacing w:after="0"/>
              <w:rPr>
                <w:sz w:val="20"/>
                <w:szCs w:val="20"/>
                <w:color w:val="auto"/>
              </w:rPr>
            </w:pPr>
            <w:r>
              <w:rPr>
                <w:rFonts w:ascii="Arial" w:cs="Arial" w:eastAsia="Arial" w:hAnsi="Arial"/>
                <w:sz w:val="17"/>
                <w:szCs w:val="17"/>
                <w:color w:val="auto"/>
              </w:rPr>
              <w:t>2024</w:t>
            </w:r>
          </w:p>
        </w:tc>
        <w:tc>
          <w:tcPr>
            <w:tcW w:w="1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ind w:left="820"/>
              <w:spacing w:after="0"/>
              <w:rPr>
                <w:sz w:val="20"/>
                <w:szCs w:val="20"/>
                <w:color w:val="auto"/>
              </w:rPr>
            </w:pPr>
            <w:r>
              <w:rPr>
                <w:rFonts w:ascii="Arial" w:cs="Arial" w:eastAsia="Arial" w:hAnsi="Arial"/>
                <w:sz w:val="17"/>
                <w:szCs w:val="17"/>
                <w:color w:val="auto"/>
              </w:rPr>
              <w:t>25.0</w:t>
            </w:r>
          </w:p>
        </w:tc>
        <w:tc>
          <w:tcPr>
            <w:tcW w:w="3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0.3</w:t>
            </w:r>
          </w:p>
        </w:tc>
        <w:tc>
          <w:tcPr>
            <w:tcW w:w="3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88.7</w:t>
            </w:r>
          </w:p>
        </w:tc>
        <w:tc>
          <w:tcPr>
            <w:tcW w:w="3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(91.3)</w:t>
            </w: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22.8</w:t>
            </w:r>
          </w:p>
        </w:tc>
        <w:tc>
          <w:tcPr>
            <w:tcW w:w="0" w:type="dxa"/>
            <w:vAlign w:val="bottom"/>
          </w:tcPr>
          <w:p>
            <w:pPr>
              <w:spacing w:after="0"/>
              <w:rPr>
                <w:sz w:val="1"/>
                <w:szCs w:val="1"/>
                <w:color w:val="auto"/>
              </w:rPr>
            </w:pPr>
          </w:p>
        </w:tc>
      </w:tr>
      <w:tr>
        <w:trPr>
          <w:trHeight w:val="219"/>
        </w:trPr>
        <w:tc>
          <w:tcPr>
            <w:tcW w:w="640" w:type="dxa"/>
            <w:vAlign w:val="bottom"/>
            <w:shd w:val="clear" w:color="auto" w:fill="DCE2EF"/>
          </w:tcPr>
          <w:p>
            <w:pPr>
              <w:spacing w:after="0"/>
              <w:rPr>
                <w:sz w:val="20"/>
                <w:szCs w:val="20"/>
                <w:color w:val="auto"/>
              </w:rPr>
            </w:pPr>
            <w:r>
              <w:rPr>
                <w:rFonts w:ascii="Arial" w:cs="Arial" w:eastAsia="Arial" w:hAnsi="Arial"/>
                <w:sz w:val="17"/>
                <w:szCs w:val="17"/>
                <w:color w:val="auto"/>
              </w:rPr>
              <w:t>2023</w:t>
            </w:r>
          </w:p>
        </w:tc>
        <w:tc>
          <w:tcPr>
            <w:tcW w:w="1680" w:type="dxa"/>
            <w:vAlign w:val="bottom"/>
            <w:shd w:val="clear" w:color="auto" w:fill="DCE2EF"/>
          </w:tcPr>
          <w:p>
            <w:pPr>
              <w:spacing w:after="0"/>
              <w:rPr>
                <w:sz w:val="19"/>
                <w:szCs w:val="19"/>
                <w:color w:val="auto"/>
              </w:rPr>
            </w:pPr>
          </w:p>
        </w:tc>
        <w:tc>
          <w:tcPr>
            <w:tcW w:w="260" w:type="dxa"/>
            <w:vAlign w:val="bottom"/>
            <w:shd w:val="clear" w:color="auto" w:fill="DCE2EF"/>
          </w:tcPr>
          <w:p>
            <w:pPr>
              <w:spacing w:after="0"/>
              <w:rPr>
                <w:sz w:val="19"/>
                <w:szCs w:val="19"/>
                <w:color w:val="auto"/>
              </w:rPr>
            </w:pPr>
          </w:p>
        </w:tc>
        <w:tc>
          <w:tcPr>
            <w:tcW w:w="1240" w:type="dxa"/>
            <w:vAlign w:val="bottom"/>
            <w:shd w:val="clear" w:color="auto" w:fill="DCE2EF"/>
          </w:tcPr>
          <w:p>
            <w:pPr>
              <w:ind w:left="820"/>
              <w:spacing w:after="0"/>
              <w:rPr>
                <w:sz w:val="20"/>
                <w:szCs w:val="20"/>
                <w:color w:val="auto"/>
              </w:rPr>
            </w:pPr>
            <w:r>
              <w:rPr>
                <w:rFonts w:ascii="Arial" w:cs="Arial" w:eastAsia="Arial" w:hAnsi="Arial"/>
                <w:sz w:val="17"/>
                <w:szCs w:val="17"/>
                <w:color w:val="auto"/>
              </w:rPr>
              <w:t>22.6</w:t>
            </w:r>
          </w:p>
        </w:tc>
        <w:tc>
          <w:tcPr>
            <w:tcW w:w="340" w:type="dxa"/>
            <w:vAlign w:val="bottom"/>
            <w:shd w:val="clear" w:color="auto" w:fill="DCE2EF"/>
          </w:tcPr>
          <w:p>
            <w:pPr>
              <w:spacing w:after="0"/>
              <w:rPr>
                <w:sz w:val="19"/>
                <w:szCs w:val="19"/>
                <w:color w:val="auto"/>
              </w:rPr>
            </w:pPr>
          </w:p>
        </w:tc>
        <w:tc>
          <w:tcPr>
            <w:tcW w:w="1840" w:type="dxa"/>
            <w:vAlign w:val="bottom"/>
            <w:gridSpan w:val="2"/>
            <w:shd w:val="clear" w:color="auto" w:fill="DCE2EF"/>
          </w:tcPr>
          <w:p>
            <w:pPr>
              <w:jc w:val="right"/>
              <w:ind w:right="420"/>
              <w:spacing w:after="0"/>
              <w:rPr>
                <w:sz w:val="20"/>
                <w:szCs w:val="20"/>
                <w:color w:val="auto"/>
              </w:rPr>
            </w:pPr>
            <w:r>
              <w:rPr>
                <w:rFonts w:ascii="Arial" w:cs="Arial" w:eastAsia="Arial" w:hAnsi="Arial"/>
                <w:sz w:val="17"/>
                <w:szCs w:val="17"/>
                <w:color w:val="auto"/>
              </w:rPr>
              <w:t>—</w:t>
            </w:r>
          </w:p>
        </w:tc>
        <w:tc>
          <w:tcPr>
            <w:tcW w:w="1500" w:type="dxa"/>
            <w:vAlign w:val="bottom"/>
            <w:shd w:val="clear" w:color="auto" w:fill="DCE2EF"/>
          </w:tcPr>
          <w:p>
            <w:pPr>
              <w:jc w:val="right"/>
              <w:spacing w:after="0"/>
              <w:rPr>
                <w:sz w:val="20"/>
                <w:szCs w:val="20"/>
                <w:color w:val="auto"/>
              </w:rPr>
            </w:pPr>
            <w:r>
              <w:rPr>
                <w:rFonts w:ascii="Arial" w:cs="Arial" w:eastAsia="Arial" w:hAnsi="Arial"/>
                <w:sz w:val="17"/>
                <w:szCs w:val="17"/>
                <w:color w:val="auto"/>
              </w:rPr>
              <w:t>76.0</w:t>
            </w:r>
          </w:p>
        </w:tc>
        <w:tc>
          <w:tcPr>
            <w:tcW w:w="360" w:type="dxa"/>
            <w:vAlign w:val="bottom"/>
            <w:shd w:val="clear" w:color="auto" w:fill="DCE2EF"/>
          </w:tcPr>
          <w:p>
            <w:pPr>
              <w:spacing w:after="0"/>
              <w:rPr>
                <w:sz w:val="19"/>
                <w:szCs w:val="19"/>
                <w:color w:val="auto"/>
              </w:rPr>
            </w:pPr>
          </w:p>
        </w:tc>
        <w:tc>
          <w:tcPr>
            <w:tcW w:w="1480" w:type="dxa"/>
            <w:vAlign w:val="bottom"/>
            <w:shd w:val="clear" w:color="auto" w:fill="DCE2EF"/>
          </w:tcPr>
          <w:p>
            <w:pPr>
              <w:jc w:val="right"/>
              <w:spacing w:after="0"/>
              <w:rPr>
                <w:sz w:val="20"/>
                <w:szCs w:val="20"/>
                <w:color w:val="auto"/>
              </w:rPr>
            </w:pPr>
            <w:r>
              <w:rPr>
                <w:rFonts w:ascii="Arial" w:cs="Arial" w:eastAsia="Arial" w:hAnsi="Arial"/>
                <w:sz w:val="17"/>
                <w:szCs w:val="17"/>
                <w:color w:val="auto"/>
              </w:rPr>
              <w:t>(73.6)</w:t>
            </w:r>
          </w:p>
        </w:tc>
        <w:tc>
          <w:tcPr>
            <w:tcW w:w="360" w:type="dxa"/>
            <w:vAlign w:val="bottom"/>
            <w:shd w:val="clear" w:color="auto" w:fill="DCE2EF"/>
          </w:tcPr>
          <w:p>
            <w:pPr>
              <w:spacing w:after="0"/>
              <w:rPr>
                <w:sz w:val="19"/>
                <w:szCs w:val="19"/>
                <w:color w:val="auto"/>
              </w:rPr>
            </w:pPr>
          </w:p>
        </w:tc>
        <w:tc>
          <w:tcPr>
            <w:tcW w:w="180" w:type="dxa"/>
            <w:vAlign w:val="bottom"/>
            <w:shd w:val="clear" w:color="auto" w:fill="DCE2EF"/>
          </w:tcPr>
          <w:p>
            <w:pPr>
              <w:spacing w:after="0"/>
              <w:rPr>
                <w:sz w:val="19"/>
                <w:szCs w:val="19"/>
                <w:color w:val="auto"/>
              </w:rPr>
            </w:pPr>
          </w:p>
        </w:tc>
        <w:tc>
          <w:tcPr>
            <w:tcW w:w="1320" w:type="dxa"/>
            <w:vAlign w:val="bottom"/>
            <w:shd w:val="clear" w:color="auto" w:fill="DCE2EF"/>
          </w:tcPr>
          <w:p>
            <w:pPr>
              <w:jc w:val="right"/>
              <w:spacing w:after="0"/>
              <w:rPr>
                <w:sz w:val="20"/>
                <w:szCs w:val="20"/>
                <w:color w:val="auto"/>
              </w:rPr>
            </w:pPr>
            <w:r>
              <w:rPr>
                <w:rFonts w:ascii="Arial" w:cs="Arial" w:eastAsia="Arial" w:hAnsi="Arial"/>
                <w:sz w:val="17"/>
                <w:szCs w:val="17"/>
                <w:color w:val="auto"/>
              </w:rPr>
              <w:t>25.0</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260" w:hanging="157"/>
        <w:spacing w:after="0"/>
        <w:tabs>
          <w:tab w:leader="none" w:pos="260" w:val="left"/>
        </w:tabs>
        <w:numPr>
          <w:ilvl w:val="0"/>
          <w:numId w:val="47"/>
        </w:numPr>
        <w:rPr>
          <w:rFonts w:ascii="Arial" w:cs="Arial" w:eastAsia="Arial" w:hAnsi="Arial"/>
          <w:sz w:val="19"/>
          <w:szCs w:val="19"/>
          <w:color w:val="auto"/>
          <w:vertAlign w:val="superscript"/>
        </w:rPr>
      </w:pPr>
      <w:r>
        <w:rPr>
          <w:rFonts w:ascii="Arial" w:cs="Arial" w:eastAsia="Arial" w:hAnsi="Arial"/>
          <w:sz w:val="15"/>
          <w:szCs w:val="15"/>
          <w:color w:val="auto"/>
        </w:rPr>
        <w:t>Majority of charges to costs and expenses relates to sales allowance.</w:t>
      </w:r>
    </w:p>
    <w:p>
      <w:pPr>
        <w:spacing w:after="0" w:line="78" w:lineRule="exact"/>
        <w:rPr>
          <w:rFonts w:ascii="Arial" w:cs="Arial" w:eastAsia="Arial" w:hAnsi="Arial"/>
          <w:sz w:val="19"/>
          <w:szCs w:val="19"/>
          <w:color w:val="auto"/>
          <w:vertAlign w:val="superscript"/>
        </w:rPr>
      </w:pPr>
    </w:p>
    <w:p>
      <w:pPr>
        <w:ind w:left="260" w:hanging="157"/>
        <w:spacing w:after="0"/>
        <w:tabs>
          <w:tab w:leader="none" w:pos="260" w:val="left"/>
        </w:tabs>
        <w:numPr>
          <w:ilvl w:val="0"/>
          <w:numId w:val="47"/>
        </w:numPr>
        <w:rPr>
          <w:rFonts w:ascii="Arial" w:cs="Arial" w:eastAsia="Arial" w:hAnsi="Arial"/>
          <w:sz w:val="19"/>
          <w:szCs w:val="19"/>
          <w:color w:val="auto"/>
          <w:vertAlign w:val="superscript"/>
        </w:rPr>
      </w:pPr>
      <w:r>
        <w:rPr>
          <w:rFonts w:ascii="Arial" w:cs="Arial" w:eastAsia="Arial" w:hAnsi="Arial"/>
          <w:sz w:val="15"/>
          <w:szCs w:val="15"/>
          <w:color w:val="auto"/>
        </w:rPr>
        <w:t>Write-offs are net of recoveries.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239"/>
        <w:spacing w:after="0"/>
        <w:rPr>
          <w:sz w:val="20"/>
          <w:szCs w:val="20"/>
          <w:color w:val="auto"/>
        </w:rPr>
      </w:pPr>
      <w:r>
        <w:rPr>
          <w:rFonts w:ascii="Arial" w:cs="Arial" w:eastAsia="Arial" w:hAnsi="Arial"/>
          <w:sz w:val="17"/>
          <w:szCs w:val="17"/>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52705</wp:posOffset>
            </wp:positionH>
            <wp:positionV relativeFrom="paragraph">
              <wp:posOffset>70485</wp:posOffset>
            </wp:positionV>
            <wp:extent cx="7164070" cy="4191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220" w:top="1152" w:right="479" w:bottom="1440" w:gutter="0" w:footer="0" w:header="0"/>
        </w:sectPr>
      </w:pPr>
    </w:p>
    <w:bookmarkStart w:id="99" w:name="page100"/>
    <w:bookmarkEnd w:id="99"/>
    <w:tbl>
      <w:tblPr>
        <w:tblLayout w:type="fixed"/>
        <w:tblInd w:w="0" w:type="dxa"/>
        <w:tblCellMar>
          <w:top w:w="0" w:type="dxa"/>
          <w:left w:w="0" w:type="dxa"/>
          <w:bottom w:w="0" w:type="dxa"/>
          <w:right w:w="0" w:type="dxa"/>
        </w:tblCellMar>
      </w:tblPr>
      <w:tr>
        <w:trPr>
          <w:trHeight w:val="238"/>
        </w:trPr>
        <w:tc>
          <w:tcPr>
            <w:tcW w:w="1300" w:type="dxa"/>
            <w:vAlign w:val="bottom"/>
            <w:gridSpan w:val="2"/>
          </w:tcPr>
          <w:p>
            <w:pPr>
              <w:spacing w:after="0"/>
              <w:rPr>
                <w:sz w:val="20"/>
                <w:szCs w:val="20"/>
                <w:color w:val="auto"/>
              </w:rPr>
            </w:pPr>
            <w:r>
              <w:rPr>
                <w:rFonts w:ascii="Arial" w:cs="Arial" w:eastAsia="Arial" w:hAnsi="Arial"/>
                <w:sz w:val="17"/>
                <w:szCs w:val="17"/>
                <w:b w:val="1"/>
                <w:bCs w:val="1"/>
                <w:color w:val="0046AD"/>
              </w:rPr>
              <w:t>EXHIBIT INDEX</w:t>
            </w:r>
          </w:p>
        </w:tc>
        <w:tc>
          <w:tcPr>
            <w:tcW w:w="1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1300" w:type="dxa"/>
            <w:vAlign w:val="bottom"/>
            <w:gridSpan w:val="2"/>
          </w:tcPr>
          <w:p>
            <w:pPr>
              <w:ind w:left="300"/>
              <w:spacing w:after="0"/>
              <w:rPr>
                <w:sz w:val="20"/>
                <w:szCs w:val="20"/>
                <w:color w:val="auto"/>
              </w:rPr>
            </w:pPr>
            <w:r>
              <w:rPr>
                <w:rFonts w:ascii="Arial" w:cs="Arial" w:eastAsia="Arial" w:hAnsi="Arial"/>
                <w:sz w:val="17"/>
                <w:szCs w:val="17"/>
                <w:b w:val="1"/>
                <w:bCs w:val="1"/>
                <w:color w:val="auto"/>
              </w:rPr>
              <w:t>Exhibit</w:t>
            </w:r>
          </w:p>
        </w:tc>
        <w:tc>
          <w:tcPr>
            <w:tcW w:w="4640" w:type="dxa"/>
            <w:vAlign w:val="bottom"/>
            <w:gridSpan w:val="32"/>
          </w:tcPr>
          <w:p>
            <w:pPr>
              <w:ind w:left="1480"/>
              <w:spacing w:after="0"/>
              <w:rPr>
                <w:sz w:val="20"/>
                <w:szCs w:val="20"/>
                <w:color w:val="auto"/>
              </w:rPr>
            </w:pPr>
            <w:r>
              <w:rPr>
                <w:rFonts w:ascii="Arial" w:cs="Arial" w:eastAsia="Arial" w:hAnsi="Arial"/>
                <w:sz w:val="17"/>
                <w:szCs w:val="17"/>
                <w:b w:val="1"/>
                <w:bCs w:val="1"/>
                <w:color w:val="auto"/>
              </w:rPr>
              <w:t>Exhibit Description</w:t>
            </w: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520" w:type="dxa"/>
            <w:vAlign w:val="bottom"/>
            <w:gridSpan w:val="5"/>
          </w:tcPr>
          <w:p>
            <w:pPr>
              <w:ind w:left="780"/>
              <w:spacing w:after="0"/>
              <w:rPr>
                <w:sz w:val="20"/>
                <w:szCs w:val="20"/>
                <w:color w:val="auto"/>
              </w:rPr>
            </w:pPr>
            <w:r>
              <w:rPr>
                <w:rFonts w:ascii="Arial" w:cs="Arial" w:eastAsia="Arial" w:hAnsi="Arial"/>
                <w:sz w:val="17"/>
                <w:szCs w:val="17"/>
                <w:b w:val="1"/>
                <w:bCs w:val="1"/>
                <w:color w:val="auto"/>
              </w:rPr>
              <w:t>Incorporated by Reference</w:t>
            </w:r>
          </w:p>
        </w:tc>
        <w:tc>
          <w:tcPr>
            <w:tcW w:w="0" w:type="dxa"/>
            <w:vAlign w:val="bottom"/>
          </w:tcPr>
          <w:p>
            <w:pPr>
              <w:spacing w:after="0"/>
              <w:rPr>
                <w:sz w:val="1"/>
                <w:szCs w:val="1"/>
                <w:color w:val="auto"/>
              </w:rPr>
            </w:pPr>
          </w:p>
        </w:tc>
      </w:tr>
      <w:tr>
        <w:trPr>
          <w:trHeight w:val="26"/>
        </w:trPr>
        <w:tc>
          <w:tcPr>
            <w:tcW w:w="1300" w:type="dxa"/>
            <w:vAlign w:val="bottom"/>
            <w:gridSpan w:val="2"/>
            <w:vMerge w:val="restart"/>
          </w:tcPr>
          <w:p>
            <w:pPr>
              <w:ind w:left="460"/>
              <w:spacing w:after="0"/>
              <w:rPr>
                <w:sz w:val="20"/>
                <w:szCs w:val="20"/>
                <w:color w:val="auto"/>
              </w:rPr>
            </w:pPr>
            <w:r>
              <w:rPr>
                <w:rFonts w:ascii="Arial" w:cs="Arial" w:eastAsia="Arial" w:hAnsi="Arial"/>
                <w:sz w:val="17"/>
                <w:szCs w:val="17"/>
                <w:b w:val="1"/>
                <w:bCs w:val="1"/>
                <w:color w:val="auto"/>
              </w:rPr>
              <w:t>No.</w:t>
            </w:r>
          </w:p>
        </w:tc>
        <w:tc>
          <w:tcPr>
            <w:tcW w:w="1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Borders>
              <w:bottom w:val="single" w:sz="8" w:color="auto"/>
            </w:tcBorders>
            <w:gridSpan w:val="2"/>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4"/>
        </w:trPr>
        <w:tc>
          <w:tcPr>
            <w:tcW w:w="1300" w:type="dxa"/>
            <w:vAlign w:val="bottom"/>
            <w:gridSpan w:val="2"/>
            <w:vMerge w:val="continue"/>
          </w:tcPr>
          <w:p>
            <w:pPr>
              <w:spacing w:after="0"/>
              <w:rPr>
                <w:sz w:val="20"/>
                <w:szCs w:val="20"/>
                <w:color w:val="auto"/>
              </w:rPr>
            </w:pPr>
          </w:p>
        </w:tc>
        <w:tc>
          <w:tcPr>
            <w:tcW w:w="1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rPr>
              <w:t>Form</w:t>
            </w:r>
          </w:p>
        </w:tc>
        <w:tc>
          <w:tcPr>
            <w:tcW w:w="136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rPr>
              <w:t>File No.</w:t>
            </w:r>
          </w:p>
        </w:tc>
        <w:tc>
          <w:tcPr>
            <w:tcW w:w="1020" w:type="dxa"/>
            <w:vAlign w:val="bottom"/>
            <w:gridSpan w:val="2"/>
          </w:tcPr>
          <w:p>
            <w:pPr>
              <w:ind w:left="180"/>
              <w:spacing w:after="0"/>
              <w:rPr>
                <w:sz w:val="20"/>
                <w:szCs w:val="20"/>
                <w:color w:val="auto"/>
              </w:rPr>
            </w:pPr>
            <w:r>
              <w:rPr>
                <w:rFonts w:ascii="Arial" w:cs="Arial" w:eastAsia="Arial" w:hAnsi="Arial"/>
                <w:sz w:val="17"/>
                <w:szCs w:val="17"/>
                <w:b w:val="1"/>
                <w:bCs w:val="1"/>
                <w:color w:val="auto"/>
              </w:rPr>
              <w:t>Exhibit</w:t>
            </w:r>
          </w:p>
        </w:tc>
        <w:tc>
          <w:tcPr>
            <w:tcW w:w="2140" w:type="dxa"/>
            <w:vAlign w:val="bottom"/>
          </w:tcPr>
          <w:p>
            <w:pPr>
              <w:jc w:val="center"/>
              <w:spacing w:after="0"/>
              <w:rPr>
                <w:sz w:val="20"/>
                <w:szCs w:val="20"/>
                <w:color w:val="auto"/>
              </w:rPr>
            </w:pPr>
            <w:r>
              <w:rPr>
                <w:rFonts w:ascii="Arial" w:cs="Arial" w:eastAsia="Arial" w:hAnsi="Arial"/>
                <w:sz w:val="17"/>
                <w:szCs w:val="17"/>
                <w:b w:val="1"/>
                <w:bCs w:val="1"/>
                <w:color w:val="auto"/>
              </w:rPr>
              <w:t>Filing Date</w:t>
            </w:r>
          </w:p>
        </w:tc>
        <w:tc>
          <w:tcPr>
            <w:tcW w:w="0" w:type="dxa"/>
            <w:vAlign w:val="bottom"/>
          </w:tcPr>
          <w:p>
            <w:pPr>
              <w:spacing w:after="0"/>
              <w:rPr>
                <w:sz w:val="1"/>
                <w:szCs w:val="1"/>
                <w:color w:val="auto"/>
              </w:rPr>
            </w:pPr>
          </w:p>
        </w:tc>
      </w:tr>
      <w:tr>
        <w:trPr>
          <w:trHeight w:val="177"/>
        </w:trPr>
        <w:tc>
          <w:tcPr>
            <w:tcW w:w="1180" w:type="dxa"/>
            <w:vAlign w:val="bottom"/>
            <w:tcBorders>
              <w:top w:val="single" w:sz="8" w:color="auto"/>
              <w:bottom w:val="single" w:sz="8" w:color="DCE2EF"/>
            </w:tcBorders>
            <w:shd w:val="clear" w:color="auto" w:fill="DCE2EF"/>
          </w:tcPr>
          <w:p>
            <w:pPr>
              <w:ind w:left="20"/>
              <w:spacing w:after="0" w:line="177" w:lineRule="exact"/>
              <w:rPr>
                <w:sz w:val="20"/>
                <w:szCs w:val="20"/>
                <w:color w:val="auto"/>
              </w:rPr>
            </w:pPr>
            <w:r>
              <w:rPr>
                <w:rFonts w:ascii="Arial" w:cs="Arial" w:eastAsia="Arial" w:hAnsi="Arial"/>
                <w:sz w:val="17"/>
                <w:szCs w:val="17"/>
                <w:color w:val="auto"/>
              </w:rPr>
              <w:t>2.1</w:t>
            </w:r>
          </w:p>
        </w:tc>
        <w:tc>
          <w:tcPr>
            <w:tcW w:w="120" w:type="dxa"/>
            <w:vAlign w:val="bottom"/>
            <w:tcBorders>
              <w:top w:val="single" w:sz="8" w:color="DCE2EF"/>
              <w:bottom w:val="single" w:sz="8" w:color="DCE2EF"/>
              <w:right w:val="single" w:sz="8" w:color="DCE2EF"/>
            </w:tcBorders>
            <w:shd w:val="clear" w:color="auto" w:fill="DCE2EF"/>
          </w:tcPr>
          <w:p>
            <w:pPr>
              <w:spacing w:after="0"/>
              <w:rPr>
                <w:sz w:val="15"/>
                <w:szCs w:val="15"/>
                <w:color w:val="auto"/>
              </w:rPr>
            </w:pPr>
          </w:p>
        </w:tc>
        <w:tc>
          <w:tcPr>
            <w:tcW w:w="3980" w:type="dxa"/>
            <w:vAlign w:val="bottom"/>
            <w:tcBorders>
              <w:top w:val="single" w:sz="8" w:color="auto"/>
              <w:bottom w:val="single" w:sz="8" w:color="0000FF"/>
            </w:tcBorders>
            <w:gridSpan w:val="14"/>
            <w:shd w:val="clear" w:color="auto" w:fill="DCE2EF"/>
          </w:tcPr>
          <w:p>
            <w:pPr>
              <w:spacing w:after="0" w:line="177" w:lineRule="exact"/>
              <w:rPr>
                <w:rFonts w:ascii="Arial" w:cs="Arial" w:eastAsia="Arial" w:hAnsi="Arial"/>
                <w:sz w:val="17"/>
                <w:szCs w:val="17"/>
                <w:color w:val="0000FF"/>
              </w:rPr>
            </w:pPr>
            <w:hyperlink r:id="rId165">
              <w:r>
                <w:rPr>
                  <w:rFonts w:ascii="Arial" w:cs="Arial" w:eastAsia="Arial" w:hAnsi="Arial"/>
                  <w:sz w:val="17"/>
                  <w:szCs w:val="17"/>
                  <w:color w:val="0000FF"/>
                </w:rPr>
                <w:t>Agreement and Plan of Merger, dated July 11, 2017,</w:t>
              </w:r>
            </w:hyperlink>
          </w:p>
        </w:tc>
        <w:tc>
          <w:tcPr>
            <w:tcW w:w="580" w:type="dxa"/>
            <w:vAlign w:val="bottom"/>
            <w:tcBorders>
              <w:top w:val="single" w:sz="8" w:color="auto"/>
              <w:bottom w:val="single" w:sz="8" w:color="DCE2EF"/>
            </w:tcBorders>
            <w:gridSpan w:val="17"/>
            <w:shd w:val="clear" w:color="auto" w:fill="DCE2EF"/>
          </w:tcPr>
          <w:p>
            <w:pPr>
              <w:spacing w:after="0"/>
              <w:rPr>
                <w:sz w:val="15"/>
                <w:szCs w:val="15"/>
                <w:color w:val="auto"/>
              </w:rPr>
            </w:pPr>
          </w:p>
        </w:tc>
        <w:tc>
          <w:tcPr>
            <w:tcW w:w="80" w:type="dxa"/>
            <w:vAlign w:val="bottom"/>
            <w:tcBorders>
              <w:top w:val="single" w:sz="8" w:color="DCE2EF"/>
              <w:bottom w:val="single" w:sz="8" w:color="DCE2EF"/>
            </w:tcBorders>
            <w:shd w:val="clear" w:color="auto" w:fill="DCE2EF"/>
          </w:tcPr>
          <w:p>
            <w:pPr>
              <w:spacing w:after="0"/>
              <w:rPr>
                <w:sz w:val="15"/>
                <w:szCs w:val="15"/>
                <w:color w:val="auto"/>
              </w:rPr>
            </w:pPr>
          </w:p>
        </w:tc>
        <w:tc>
          <w:tcPr>
            <w:tcW w:w="680" w:type="dxa"/>
            <w:vAlign w:val="bottom"/>
            <w:tcBorders>
              <w:top w:val="single" w:sz="8" w:color="auto"/>
              <w:bottom w:val="single" w:sz="8" w:color="DCE2EF"/>
            </w:tcBorders>
            <w:shd w:val="clear" w:color="auto" w:fill="DCE2EF"/>
          </w:tcPr>
          <w:p>
            <w:pPr>
              <w:jc w:val="center"/>
              <w:spacing w:after="0" w:line="177" w:lineRule="exact"/>
              <w:rPr>
                <w:sz w:val="20"/>
                <w:szCs w:val="20"/>
                <w:color w:val="auto"/>
              </w:rPr>
            </w:pPr>
            <w:r>
              <w:rPr>
                <w:rFonts w:ascii="Arial" w:cs="Arial" w:eastAsia="Arial" w:hAnsi="Arial"/>
                <w:sz w:val="17"/>
                <w:szCs w:val="17"/>
                <w:color w:val="auto"/>
              </w:rPr>
              <w:t>8-K</w:t>
            </w:r>
          </w:p>
        </w:tc>
        <w:tc>
          <w:tcPr>
            <w:tcW w:w="100" w:type="dxa"/>
            <w:vAlign w:val="bottom"/>
            <w:tcBorders>
              <w:top w:val="single" w:sz="8" w:color="DCE2EF"/>
              <w:bottom w:val="single" w:sz="8" w:color="DCE2EF"/>
            </w:tcBorders>
            <w:shd w:val="clear" w:color="auto" w:fill="DCE2EF"/>
          </w:tcPr>
          <w:p>
            <w:pPr>
              <w:spacing w:after="0"/>
              <w:rPr>
                <w:sz w:val="15"/>
                <w:szCs w:val="15"/>
                <w:color w:val="auto"/>
              </w:rPr>
            </w:pPr>
          </w:p>
        </w:tc>
        <w:tc>
          <w:tcPr>
            <w:tcW w:w="1260" w:type="dxa"/>
            <w:vAlign w:val="bottom"/>
            <w:tcBorders>
              <w:top w:val="single" w:sz="8" w:color="auto"/>
              <w:bottom w:val="single" w:sz="8" w:color="DCE2EF"/>
            </w:tcBorders>
            <w:shd w:val="clear" w:color="auto" w:fill="DCE2EF"/>
          </w:tcPr>
          <w:p>
            <w:pPr>
              <w:jc w:val="center"/>
              <w:spacing w:after="0" w:line="177" w:lineRule="exact"/>
              <w:rPr>
                <w:sz w:val="20"/>
                <w:szCs w:val="20"/>
                <w:color w:val="auto"/>
              </w:rPr>
            </w:pPr>
            <w:r>
              <w:rPr>
                <w:rFonts w:ascii="Arial" w:cs="Arial" w:eastAsia="Arial" w:hAnsi="Arial"/>
                <w:sz w:val="17"/>
                <w:szCs w:val="17"/>
                <w:color w:val="auto"/>
              </w:rPr>
              <w:t>001-08929</w:t>
            </w:r>
          </w:p>
        </w:tc>
        <w:tc>
          <w:tcPr>
            <w:tcW w:w="100" w:type="dxa"/>
            <w:vAlign w:val="bottom"/>
            <w:tcBorders>
              <w:top w:val="single" w:sz="8" w:color="DCE2EF"/>
              <w:bottom w:val="single" w:sz="8" w:color="DCE2EF"/>
            </w:tcBorders>
            <w:shd w:val="clear" w:color="auto" w:fill="DCE2EF"/>
          </w:tcPr>
          <w:p>
            <w:pPr>
              <w:spacing w:after="0"/>
              <w:rPr>
                <w:sz w:val="15"/>
                <w:szCs w:val="15"/>
                <w:color w:val="auto"/>
              </w:rPr>
            </w:pPr>
          </w:p>
        </w:tc>
        <w:tc>
          <w:tcPr>
            <w:tcW w:w="920" w:type="dxa"/>
            <w:vAlign w:val="bottom"/>
            <w:tcBorders>
              <w:top w:val="single" w:sz="8" w:color="auto"/>
              <w:bottom w:val="single" w:sz="8" w:color="DCE2EF"/>
            </w:tcBorders>
            <w:shd w:val="clear" w:color="auto" w:fill="DCE2EF"/>
          </w:tcPr>
          <w:p>
            <w:pPr>
              <w:jc w:val="center"/>
              <w:spacing w:after="0" w:line="177" w:lineRule="exact"/>
              <w:rPr>
                <w:sz w:val="20"/>
                <w:szCs w:val="20"/>
                <w:color w:val="auto"/>
              </w:rPr>
            </w:pPr>
            <w:r>
              <w:rPr>
                <w:rFonts w:ascii="Arial" w:cs="Arial" w:eastAsia="Arial" w:hAnsi="Arial"/>
                <w:sz w:val="17"/>
                <w:szCs w:val="17"/>
                <w:color w:val="auto"/>
              </w:rPr>
              <w:t>2.1</w:t>
            </w:r>
          </w:p>
        </w:tc>
        <w:tc>
          <w:tcPr>
            <w:tcW w:w="100" w:type="dxa"/>
            <w:vAlign w:val="bottom"/>
            <w:tcBorders>
              <w:top w:val="single" w:sz="8" w:color="DCE2EF"/>
              <w:bottom w:val="single" w:sz="8" w:color="DCE2EF"/>
            </w:tcBorders>
            <w:shd w:val="clear" w:color="auto" w:fill="DCE2EF"/>
          </w:tcPr>
          <w:p>
            <w:pPr>
              <w:spacing w:after="0"/>
              <w:rPr>
                <w:sz w:val="15"/>
                <w:szCs w:val="15"/>
                <w:color w:val="auto"/>
              </w:rPr>
            </w:pPr>
          </w:p>
        </w:tc>
        <w:tc>
          <w:tcPr>
            <w:tcW w:w="2140" w:type="dxa"/>
            <w:vAlign w:val="bottom"/>
            <w:tcBorders>
              <w:top w:val="single" w:sz="8" w:color="auto"/>
              <w:bottom w:val="single" w:sz="8" w:color="DCE2EF"/>
            </w:tcBorders>
            <w:shd w:val="clear" w:color="auto" w:fill="DCE2EF"/>
          </w:tcPr>
          <w:p>
            <w:pPr>
              <w:jc w:val="center"/>
              <w:spacing w:after="0" w:line="177" w:lineRule="exact"/>
              <w:rPr>
                <w:sz w:val="20"/>
                <w:szCs w:val="20"/>
                <w:color w:val="auto"/>
              </w:rPr>
            </w:pPr>
            <w:r>
              <w:rPr>
                <w:rFonts w:ascii="Arial" w:cs="Arial" w:eastAsia="Arial" w:hAnsi="Arial"/>
                <w:sz w:val="17"/>
                <w:szCs w:val="17"/>
                <w:color w:val="auto"/>
              </w:rPr>
              <w:t>July 14, 2017</w:t>
            </w:r>
          </w:p>
        </w:tc>
        <w:tc>
          <w:tcPr>
            <w:tcW w:w="0" w:type="dxa"/>
            <w:vAlign w:val="bottom"/>
          </w:tcPr>
          <w:p>
            <w:pPr>
              <w:spacing w:after="0"/>
              <w:rPr>
                <w:sz w:val="1"/>
                <w:szCs w:val="1"/>
                <w:color w:val="auto"/>
              </w:rPr>
            </w:pPr>
          </w:p>
        </w:tc>
      </w:tr>
      <w:tr>
        <w:trPr>
          <w:trHeight w:val="148"/>
        </w:trPr>
        <w:tc>
          <w:tcPr>
            <w:tcW w:w="1180" w:type="dxa"/>
            <w:vAlign w:val="bottom"/>
            <w:shd w:val="clear" w:color="auto" w:fill="DCE2EF"/>
          </w:tcPr>
          <w:p>
            <w:pPr>
              <w:spacing w:after="0"/>
              <w:rPr>
                <w:sz w:val="12"/>
                <w:szCs w:val="12"/>
                <w:color w:val="auto"/>
              </w:rPr>
            </w:pPr>
          </w:p>
        </w:tc>
        <w:tc>
          <w:tcPr>
            <w:tcW w:w="120" w:type="dxa"/>
            <w:vAlign w:val="bottom"/>
            <w:tcBorders>
              <w:right w:val="single" w:sz="8" w:color="DCE2EF"/>
            </w:tcBorders>
            <w:shd w:val="clear" w:color="auto" w:fill="DCE2EF"/>
          </w:tcPr>
          <w:p>
            <w:pPr>
              <w:spacing w:after="0"/>
              <w:rPr>
                <w:sz w:val="12"/>
                <w:szCs w:val="12"/>
                <w:color w:val="auto"/>
              </w:rPr>
            </w:pPr>
          </w:p>
        </w:tc>
        <w:tc>
          <w:tcPr>
            <w:tcW w:w="4640" w:type="dxa"/>
            <w:vAlign w:val="bottom"/>
            <w:gridSpan w:val="32"/>
            <w:shd w:val="clear" w:color="auto" w:fill="DCE2EF"/>
          </w:tcPr>
          <w:p>
            <w:pPr>
              <w:spacing w:after="0" w:line="148" w:lineRule="exact"/>
              <w:rPr>
                <w:rFonts w:ascii="Arial" w:cs="Arial" w:eastAsia="Arial" w:hAnsi="Arial"/>
                <w:sz w:val="17"/>
                <w:szCs w:val="17"/>
                <w:color w:val="0000FF"/>
              </w:rPr>
            </w:pPr>
            <w:hyperlink r:id="rId165">
              <w:r>
                <w:rPr>
                  <w:rFonts w:ascii="Arial" w:cs="Arial" w:eastAsia="Arial" w:hAnsi="Arial"/>
                  <w:sz w:val="17"/>
                  <w:szCs w:val="17"/>
                  <w:color w:val="0000FF"/>
                </w:rPr>
                <w:t>among GCA Holding Corp., ABM Industries Incorporated,</w:t>
              </w:r>
            </w:hyperlink>
          </w:p>
        </w:tc>
        <w:tc>
          <w:tcPr>
            <w:tcW w:w="680" w:type="dxa"/>
            <w:vAlign w:val="bottom"/>
            <w:shd w:val="clear" w:color="auto" w:fill="DCE2EF"/>
          </w:tcPr>
          <w:p>
            <w:pPr>
              <w:spacing w:after="0"/>
              <w:rPr>
                <w:sz w:val="12"/>
                <w:szCs w:val="12"/>
                <w:color w:val="auto"/>
              </w:rPr>
            </w:pPr>
          </w:p>
        </w:tc>
        <w:tc>
          <w:tcPr>
            <w:tcW w:w="100" w:type="dxa"/>
            <w:vAlign w:val="bottom"/>
            <w:shd w:val="clear" w:color="auto" w:fill="DCE2EF"/>
          </w:tcPr>
          <w:p>
            <w:pPr>
              <w:spacing w:after="0"/>
              <w:rPr>
                <w:sz w:val="12"/>
                <w:szCs w:val="12"/>
                <w:color w:val="auto"/>
              </w:rPr>
            </w:pPr>
          </w:p>
        </w:tc>
        <w:tc>
          <w:tcPr>
            <w:tcW w:w="1260" w:type="dxa"/>
            <w:vAlign w:val="bottom"/>
            <w:shd w:val="clear" w:color="auto" w:fill="DCE2EF"/>
          </w:tcPr>
          <w:p>
            <w:pPr>
              <w:spacing w:after="0"/>
              <w:rPr>
                <w:sz w:val="12"/>
                <w:szCs w:val="12"/>
                <w:color w:val="auto"/>
              </w:rPr>
            </w:pPr>
          </w:p>
        </w:tc>
        <w:tc>
          <w:tcPr>
            <w:tcW w:w="100" w:type="dxa"/>
            <w:vAlign w:val="bottom"/>
            <w:shd w:val="clear" w:color="auto" w:fill="DCE2EF"/>
          </w:tcPr>
          <w:p>
            <w:pPr>
              <w:spacing w:after="0"/>
              <w:rPr>
                <w:sz w:val="12"/>
                <w:szCs w:val="12"/>
                <w:color w:val="auto"/>
              </w:rPr>
            </w:pPr>
          </w:p>
        </w:tc>
        <w:tc>
          <w:tcPr>
            <w:tcW w:w="920" w:type="dxa"/>
            <w:vAlign w:val="bottom"/>
            <w:shd w:val="clear" w:color="auto" w:fill="DCE2EF"/>
          </w:tcPr>
          <w:p>
            <w:pPr>
              <w:spacing w:after="0"/>
              <w:rPr>
                <w:sz w:val="12"/>
                <w:szCs w:val="12"/>
                <w:color w:val="auto"/>
              </w:rPr>
            </w:pPr>
          </w:p>
        </w:tc>
        <w:tc>
          <w:tcPr>
            <w:tcW w:w="100" w:type="dxa"/>
            <w:vAlign w:val="bottom"/>
            <w:shd w:val="clear" w:color="auto" w:fill="DCE2EF"/>
          </w:tcPr>
          <w:p>
            <w:pPr>
              <w:spacing w:after="0"/>
              <w:rPr>
                <w:sz w:val="12"/>
                <w:szCs w:val="12"/>
                <w:color w:val="auto"/>
              </w:rPr>
            </w:pPr>
          </w:p>
        </w:tc>
        <w:tc>
          <w:tcPr>
            <w:tcW w:w="2140" w:type="dxa"/>
            <w:vAlign w:val="bottom"/>
            <w:shd w:val="clear" w:color="auto" w:fill="DCE2EF"/>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180" w:type="dxa"/>
            <w:vAlign w:val="bottom"/>
            <w:tcBorders>
              <w:top w:val="single" w:sz="8" w:color="DCE2EF"/>
            </w:tcBorders>
            <w:shd w:val="clear" w:color="auto" w:fill="DCE2EF"/>
          </w:tcPr>
          <w:p>
            <w:pPr>
              <w:spacing w:after="0"/>
              <w:rPr>
                <w:sz w:val="13"/>
                <w:szCs w:val="13"/>
                <w:color w:val="auto"/>
              </w:rPr>
            </w:pPr>
          </w:p>
        </w:tc>
        <w:tc>
          <w:tcPr>
            <w:tcW w:w="120" w:type="dxa"/>
            <w:vAlign w:val="bottom"/>
            <w:tcBorders>
              <w:top w:val="single" w:sz="8" w:color="DCE2EF"/>
              <w:right w:val="single" w:sz="8" w:color="DCE2EF"/>
            </w:tcBorders>
            <w:shd w:val="clear" w:color="auto" w:fill="DCE2EF"/>
          </w:tcPr>
          <w:p>
            <w:pPr>
              <w:spacing w:after="0"/>
              <w:rPr>
                <w:sz w:val="13"/>
                <w:szCs w:val="13"/>
                <w:color w:val="auto"/>
              </w:rPr>
            </w:pPr>
          </w:p>
        </w:tc>
        <w:tc>
          <w:tcPr>
            <w:tcW w:w="4360" w:type="dxa"/>
            <w:vAlign w:val="bottom"/>
            <w:tcBorders>
              <w:top w:val="single" w:sz="8" w:color="0000FF"/>
            </w:tcBorders>
            <w:gridSpan w:val="22"/>
            <w:shd w:val="clear" w:color="auto" w:fill="DCE2EF"/>
          </w:tcPr>
          <w:p>
            <w:pPr>
              <w:spacing w:after="0" w:line="161" w:lineRule="exact"/>
              <w:rPr>
                <w:rFonts w:ascii="Arial" w:cs="Arial" w:eastAsia="Arial" w:hAnsi="Arial"/>
                <w:sz w:val="17"/>
                <w:szCs w:val="17"/>
                <w:color w:val="0000FF"/>
              </w:rPr>
            </w:pPr>
            <w:hyperlink r:id="rId165">
              <w:r>
                <w:rPr>
                  <w:rFonts w:ascii="Arial" w:cs="Arial" w:eastAsia="Arial" w:hAnsi="Arial"/>
                  <w:sz w:val="17"/>
                  <w:szCs w:val="17"/>
                  <w:color w:val="0000FF"/>
                </w:rPr>
                <w:t>Grade Sub One, Inc., Grade Sub Two, LLC and Thomas</w:t>
              </w:r>
            </w:hyperlink>
          </w:p>
        </w:tc>
        <w:tc>
          <w:tcPr>
            <w:tcW w:w="280" w:type="dxa"/>
            <w:vAlign w:val="bottom"/>
            <w:tcBorders>
              <w:top w:val="single" w:sz="8" w:color="DCE2EF"/>
            </w:tcBorders>
            <w:gridSpan w:val="10"/>
            <w:shd w:val="clear" w:color="auto" w:fill="DCE2EF"/>
          </w:tcPr>
          <w:p>
            <w:pPr>
              <w:spacing w:after="0" w:line="161" w:lineRule="exact"/>
              <w:rPr>
                <w:rFonts w:ascii="Arial" w:cs="Arial" w:eastAsia="Arial" w:hAnsi="Arial"/>
                <w:sz w:val="17"/>
                <w:szCs w:val="17"/>
                <w:color w:val="0000FF"/>
              </w:rPr>
            </w:pPr>
            <w:hyperlink r:id="rId165">
              <w:r>
                <w:rPr>
                  <w:rFonts w:ascii="Arial" w:cs="Arial" w:eastAsia="Arial" w:hAnsi="Arial"/>
                  <w:sz w:val="17"/>
                  <w:szCs w:val="17"/>
                  <w:color w:val="0000FF"/>
                </w:rPr>
                <w:t>H.</w:t>
              </w:r>
            </w:hyperlink>
          </w:p>
        </w:tc>
        <w:tc>
          <w:tcPr>
            <w:tcW w:w="680" w:type="dxa"/>
            <w:vAlign w:val="bottom"/>
            <w:tcBorders>
              <w:top w:val="single" w:sz="8" w:color="DCE2EF"/>
            </w:tcBorders>
            <w:shd w:val="clear" w:color="auto" w:fill="DCE2EF"/>
          </w:tcPr>
          <w:p>
            <w:pPr>
              <w:spacing w:after="0"/>
              <w:rPr>
                <w:sz w:val="13"/>
                <w:szCs w:val="13"/>
                <w:color w:val="auto"/>
              </w:rPr>
            </w:pPr>
          </w:p>
        </w:tc>
        <w:tc>
          <w:tcPr>
            <w:tcW w:w="100" w:type="dxa"/>
            <w:vAlign w:val="bottom"/>
            <w:tcBorders>
              <w:top w:val="single" w:sz="8" w:color="DCE2EF"/>
            </w:tcBorders>
            <w:shd w:val="clear" w:color="auto" w:fill="DCE2EF"/>
          </w:tcPr>
          <w:p>
            <w:pPr>
              <w:spacing w:after="0"/>
              <w:rPr>
                <w:sz w:val="13"/>
                <w:szCs w:val="13"/>
                <w:color w:val="auto"/>
              </w:rPr>
            </w:pPr>
          </w:p>
        </w:tc>
        <w:tc>
          <w:tcPr>
            <w:tcW w:w="1260" w:type="dxa"/>
            <w:vAlign w:val="bottom"/>
            <w:tcBorders>
              <w:top w:val="single" w:sz="8" w:color="DCE2EF"/>
            </w:tcBorders>
            <w:shd w:val="clear" w:color="auto" w:fill="DCE2EF"/>
          </w:tcPr>
          <w:p>
            <w:pPr>
              <w:spacing w:after="0"/>
              <w:rPr>
                <w:sz w:val="13"/>
                <w:szCs w:val="13"/>
                <w:color w:val="auto"/>
              </w:rPr>
            </w:pPr>
          </w:p>
        </w:tc>
        <w:tc>
          <w:tcPr>
            <w:tcW w:w="100" w:type="dxa"/>
            <w:vAlign w:val="bottom"/>
            <w:tcBorders>
              <w:top w:val="single" w:sz="8" w:color="DCE2EF"/>
            </w:tcBorders>
            <w:shd w:val="clear" w:color="auto" w:fill="DCE2EF"/>
          </w:tcPr>
          <w:p>
            <w:pPr>
              <w:spacing w:after="0"/>
              <w:rPr>
                <w:sz w:val="13"/>
                <w:szCs w:val="13"/>
                <w:color w:val="auto"/>
              </w:rPr>
            </w:pPr>
          </w:p>
        </w:tc>
        <w:tc>
          <w:tcPr>
            <w:tcW w:w="920" w:type="dxa"/>
            <w:vAlign w:val="bottom"/>
            <w:tcBorders>
              <w:top w:val="single" w:sz="8" w:color="DCE2EF"/>
            </w:tcBorders>
            <w:shd w:val="clear" w:color="auto" w:fill="DCE2EF"/>
          </w:tcPr>
          <w:p>
            <w:pPr>
              <w:spacing w:after="0"/>
              <w:rPr>
                <w:sz w:val="13"/>
                <w:szCs w:val="13"/>
                <w:color w:val="auto"/>
              </w:rPr>
            </w:pPr>
          </w:p>
        </w:tc>
        <w:tc>
          <w:tcPr>
            <w:tcW w:w="100" w:type="dxa"/>
            <w:vAlign w:val="bottom"/>
            <w:tcBorders>
              <w:top w:val="single" w:sz="8" w:color="DCE2EF"/>
            </w:tcBorders>
            <w:shd w:val="clear" w:color="auto" w:fill="DCE2EF"/>
          </w:tcPr>
          <w:p>
            <w:pPr>
              <w:spacing w:after="0"/>
              <w:rPr>
                <w:sz w:val="13"/>
                <w:szCs w:val="13"/>
                <w:color w:val="auto"/>
              </w:rPr>
            </w:pPr>
          </w:p>
        </w:tc>
        <w:tc>
          <w:tcPr>
            <w:tcW w:w="2140" w:type="dxa"/>
            <w:vAlign w:val="bottom"/>
            <w:tcBorders>
              <w:top w:val="single" w:sz="8" w:color="DCE2EF"/>
            </w:tcBorders>
            <w:shd w:val="clear" w:color="auto" w:fill="DCE2E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180" w:type="dxa"/>
            <w:vAlign w:val="bottom"/>
            <w:tcBorders>
              <w:top w:val="single" w:sz="8" w:color="DCE2EF"/>
            </w:tcBorders>
            <w:shd w:val="clear" w:color="auto" w:fill="DCE2EF"/>
          </w:tcPr>
          <w:p>
            <w:pPr>
              <w:spacing w:after="0"/>
              <w:rPr>
                <w:sz w:val="12"/>
                <w:szCs w:val="12"/>
                <w:color w:val="auto"/>
              </w:rPr>
            </w:pPr>
          </w:p>
        </w:tc>
        <w:tc>
          <w:tcPr>
            <w:tcW w:w="120" w:type="dxa"/>
            <w:vAlign w:val="bottom"/>
            <w:tcBorders>
              <w:top w:val="single" w:sz="8" w:color="DCE2EF"/>
              <w:right w:val="single" w:sz="8" w:color="DCE2EF"/>
            </w:tcBorders>
            <w:shd w:val="clear" w:color="auto" w:fill="DCE2EF"/>
          </w:tcPr>
          <w:p>
            <w:pPr>
              <w:spacing w:after="0"/>
              <w:rPr>
                <w:sz w:val="12"/>
                <w:szCs w:val="12"/>
                <w:color w:val="auto"/>
              </w:rPr>
            </w:pPr>
          </w:p>
        </w:tc>
        <w:tc>
          <w:tcPr>
            <w:tcW w:w="4540" w:type="dxa"/>
            <w:vAlign w:val="bottom"/>
            <w:tcBorders>
              <w:top w:val="single" w:sz="8" w:color="0000FF"/>
            </w:tcBorders>
            <w:gridSpan w:val="30"/>
            <w:shd w:val="clear" w:color="auto" w:fill="DCE2EF"/>
          </w:tcPr>
          <w:p>
            <w:pPr>
              <w:spacing w:after="0" w:line="148" w:lineRule="exact"/>
              <w:rPr>
                <w:rFonts w:ascii="Arial" w:cs="Arial" w:eastAsia="Arial" w:hAnsi="Arial"/>
                <w:sz w:val="17"/>
                <w:szCs w:val="17"/>
                <w:color w:val="0000FF"/>
              </w:rPr>
            </w:pPr>
            <w:hyperlink r:id="rId165">
              <w:r>
                <w:rPr>
                  <w:rFonts w:ascii="Arial" w:cs="Arial" w:eastAsia="Arial" w:hAnsi="Arial"/>
                  <w:sz w:val="17"/>
                  <w:szCs w:val="17"/>
                  <w:color w:val="0000FF"/>
                </w:rPr>
                <w:t>Lee Equity Fund VII, L.P. and Broad Street Principal</w:t>
              </w:r>
            </w:hyperlink>
          </w:p>
        </w:tc>
        <w:tc>
          <w:tcPr>
            <w:tcW w:w="100" w:type="dxa"/>
            <w:vAlign w:val="bottom"/>
            <w:tcBorders>
              <w:top w:val="single" w:sz="8" w:color="DCE2EF"/>
            </w:tcBorders>
            <w:gridSpan w:val="2"/>
            <w:shd w:val="clear" w:color="auto" w:fill="DCE2EF"/>
          </w:tcPr>
          <w:p>
            <w:pPr>
              <w:spacing w:after="0"/>
              <w:rPr>
                <w:sz w:val="12"/>
                <w:szCs w:val="12"/>
                <w:color w:val="auto"/>
              </w:rPr>
            </w:pPr>
          </w:p>
        </w:tc>
        <w:tc>
          <w:tcPr>
            <w:tcW w:w="680" w:type="dxa"/>
            <w:vAlign w:val="bottom"/>
            <w:tcBorders>
              <w:top w:val="single" w:sz="8" w:color="DCE2EF"/>
            </w:tcBorders>
            <w:shd w:val="clear" w:color="auto" w:fill="DCE2EF"/>
          </w:tcPr>
          <w:p>
            <w:pPr>
              <w:spacing w:after="0"/>
              <w:rPr>
                <w:sz w:val="12"/>
                <w:szCs w:val="12"/>
                <w:color w:val="auto"/>
              </w:rPr>
            </w:pPr>
          </w:p>
        </w:tc>
        <w:tc>
          <w:tcPr>
            <w:tcW w:w="100" w:type="dxa"/>
            <w:vAlign w:val="bottom"/>
            <w:tcBorders>
              <w:top w:val="single" w:sz="8" w:color="DCE2EF"/>
            </w:tcBorders>
            <w:shd w:val="clear" w:color="auto" w:fill="DCE2EF"/>
          </w:tcPr>
          <w:p>
            <w:pPr>
              <w:spacing w:after="0"/>
              <w:rPr>
                <w:sz w:val="12"/>
                <w:szCs w:val="12"/>
                <w:color w:val="auto"/>
              </w:rPr>
            </w:pPr>
          </w:p>
        </w:tc>
        <w:tc>
          <w:tcPr>
            <w:tcW w:w="1260" w:type="dxa"/>
            <w:vAlign w:val="bottom"/>
            <w:tcBorders>
              <w:top w:val="single" w:sz="8" w:color="DCE2EF"/>
            </w:tcBorders>
            <w:shd w:val="clear" w:color="auto" w:fill="DCE2EF"/>
          </w:tcPr>
          <w:p>
            <w:pPr>
              <w:spacing w:after="0"/>
              <w:rPr>
                <w:sz w:val="12"/>
                <w:szCs w:val="12"/>
                <w:color w:val="auto"/>
              </w:rPr>
            </w:pPr>
          </w:p>
        </w:tc>
        <w:tc>
          <w:tcPr>
            <w:tcW w:w="100" w:type="dxa"/>
            <w:vAlign w:val="bottom"/>
            <w:tcBorders>
              <w:top w:val="single" w:sz="8" w:color="DCE2EF"/>
            </w:tcBorders>
            <w:shd w:val="clear" w:color="auto" w:fill="DCE2EF"/>
          </w:tcPr>
          <w:p>
            <w:pPr>
              <w:spacing w:after="0"/>
              <w:rPr>
                <w:sz w:val="12"/>
                <w:szCs w:val="12"/>
                <w:color w:val="auto"/>
              </w:rPr>
            </w:pPr>
          </w:p>
        </w:tc>
        <w:tc>
          <w:tcPr>
            <w:tcW w:w="920" w:type="dxa"/>
            <w:vAlign w:val="bottom"/>
            <w:tcBorders>
              <w:top w:val="single" w:sz="8" w:color="DCE2EF"/>
            </w:tcBorders>
            <w:shd w:val="clear" w:color="auto" w:fill="DCE2EF"/>
          </w:tcPr>
          <w:p>
            <w:pPr>
              <w:spacing w:after="0"/>
              <w:rPr>
                <w:sz w:val="12"/>
                <w:szCs w:val="12"/>
                <w:color w:val="auto"/>
              </w:rPr>
            </w:pPr>
          </w:p>
        </w:tc>
        <w:tc>
          <w:tcPr>
            <w:tcW w:w="100" w:type="dxa"/>
            <w:vAlign w:val="bottom"/>
            <w:tcBorders>
              <w:top w:val="single" w:sz="8" w:color="DCE2EF"/>
            </w:tcBorders>
            <w:shd w:val="clear" w:color="auto" w:fill="DCE2EF"/>
          </w:tcPr>
          <w:p>
            <w:pPr>
              <w:spacing w:after="0"/>
              <w:rPr>
                <w:sz w:val="12"/>
                <w:szCs w:val="12"/>
                <w:color w:val="auto"/>
              </w:rPr>
            </w:pPr>
          </w:p>
        </w:tc>
        <w:tc>
          <w:tcPr>
            <w:tcW w:w="2140" w:type="dxa"/>
            <w:vAlign w:val="bottom"/>
            <w:tcBorders>
              <w:top w:val="single" w:sz="8" w:color="DCE2EF"/>
            </w:tcBorders>
            <w:shd w:val="clear" w:color="auto" w:fill="DCE2E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80" w:type="dxa"/>
            <w:vAlign w:val="bottom"/>
            <w:tcBorders>
              <w:top w:val="single" w:sz="8" w:color="DCE2EF"/>
            </w:tcBorders>
            <w:shd w:val="clear" w:color="auto" w:fill="DCE2EF"/>
          </w:tcPr>
          <w:p>
            <w:pPr>
              <w:spacing w:after="0"/>
              <w:rPr>
                <w:sz w:val="12"/>
                <w:szCs w:val="12"/>
                <w:color w:val="auto"/>
              </w:rPr>
            </w:pPr>
          </w:p>
        </w:tc>
        <w:tc>
          <w:tcPr>
            <w:tcW w:w="120" w:type="dxa"/>
            <w:vAlign w:val="bottom"/>
            <w:tcBorders>
              <w:top w:val="single" w:sz="8" w:color="DCE2EF"/>
              <w:right w:val="single" w:sz="8" w:color="DCE2EF"/>
            </w:tcBorders>
            <w:shd w:val="clear" w:color="auto" w:fill="DCE2EF"/>
          </w:tcPr>
          <w:p>
            <w:pPr>
              <w:spacing w:after="0"/>
              <w:rPr>
                <w:sz w:val="12"/>
                <w:szCs w:val="12"/>
                <w:color w:val="auto"/>
              </w:rPr>
            </w:pPr>
          </w:p>
        </w:tc>
        <w:tc>
          <w:tcPr>
            <w:tcW w:w="3940" w:type="dxa"/>
            <w:vAlign w:val="bottom"/>
            <w:tcBorders>
              <w:top w:val="single" w:sz="8" w:color="0000FF"/>
            </w:tcBorders>
            <w:gridSpan w:val="12"/>
            <w:shd w:val="clear" w:color="auto" w:fill="DCE2EF"/>
          </w:tcPr>
          <w:p>
            <w:pPr>
              <w:spacing w:after="0" w:line="148" w:lineRule="exact"/>
              <w:rPr>
                <w:rFonts w:ascii="Arial" w:cs="Arial" w:eastAsia="Arial" w:hAnsi="Arial"/>
                <w:sz w:val="17"/>
                <w:szCs w:val="17"/>
                <w:color w:val="0000FF"/>
              </w:rPr>
            </w:pPr>
            <w:hyperlink r:id="rId165">
              <w:r>
                <w:rPr>
                  <w:rFonts w:ascii="Arial" w:cs="Arial" w:eastAsia="Arial" w:hAnsi="Arial"/>
                  <w:sz w:val="17"/>
                  <w:szCs w:val="17"/>
                  <w:color w:val="0000FF"/>
                </w:rPr>
                <w:t>Investments Holdings, L.P., acting jointly as the</w:t>
              </w:r>
            </w:hyperlink>
          </w:p>
        </w:tc>
        <w:tc>
          <w:tcPr>
            <w:tcW w:w="20" w:type="dxa"/>
            <w:vAlign w:val="bottom"/>
            <w:tcBorders>
              <w:top w:val="single" w:sz="8" w:color="DCE2EF"/>
            </w:tcBorders>
            <w:shd w:val="clear" w:color="auto" w:fill="DCE2EF"/>
          </w:tcPr>
          <w:p>
            <w:pPr>
              <w:spacing w:after="0"/>
              <w:rPr>
                <w:sz w:val="12"/>
                <w:szCs w:val="12"/>
                <w:color w:val="auto"/>
              </w:rPr>
            </w:pPr>
          </w:p>
        </w:tc>
        <w:tc>
          <w:tcPr>
            <w:tcW w:w="20" w:type="dxa"/>
            <w:vAlign w:val="bottom"/>
            <w:tcBorders>
              <w:top w:val="single" w:sz="8" w:color="DCE2EF"/>
            </w:tcBorders>
            <w:shd w:val="clear" w:color="auto" w:fill="DCE2EF"/>
          </w:tcPr>
          <w:p>
            <w:pPr>
              <w:spacing w:after="0"/>
              <w:rPr>
                <w:sz w:val="12"/>
                <w:szCs w:val="12"/>
                <w:color w:val="auto"/>
              </w:rPr>
            </w:pPr>
          </w:p>
        </w:tc>
        <w:tc>
          <w:tcPr>
            <w:tcW w:w="60" w:type="dxa"/>
            <w:vAlign w:val="bottom"/>
            <w:tcBorders>
              <w:top w:val="single" w:sz="8" w:color="DCE2EF"/>
            </w:tcBorders>
            <w:shd w:val="clear" w:color="auto" w:fill="DCE2EF"/>
          </w:tcPr>
          <w:p>
            <w:pPr>
              <w:spacing w:after="0"/>
              <w:rPr>
                <w:sz w:val="12"/>
                <w:szCs w:val="12"/>
                <w:color w:val="auto"/>
              </w:rPr>
            </w:pPr>
          </w:p>
        </w:tc>
        <w:tc>
          <w:tcPr>
            <w:tcW w:w="20" w:type="dxa"/>
            <w:vAlign w:val="bottom"/>
            <w:tcBorders>
              <w:top w:val="single" w:sz="8" w:color="DCE2EF"/>
            </w:tcBorders>
            <w:shd w:val="clear" w:color="auto" w:fill="DCE2EF"/>
          </w:tcPr>
          <w:p>
            <w:pPr>
              <w:spacing w:after="0"/>
              <w:rPr>
                <w:sz w:val="12"/>
                <w:szCs w:val="12"/>
                <w:color w:val="auto"/>
              </w:rPr>
            </w:pPr>
          </w:p>
        </w:tc>
        <w:tc>
          <w:tcPr>
            <w:tcW w:w="40" w:type="dxa"/>
            <w:vAlign w:val="bottom"/>
            <w:tcBorders>
              <w:top w:val="single" w:sz="8" w:color="DCE2EF"/>
            </w:tcBorders>
            <w:shd w:val="clear" w:color="auto" w:fill="DCE2EF"/>
          </w:tcPr>
          <w:p>
            <w:pPr>
              <w:spacing w:after="0"/>
              <w:rPr>
                <w:sz w:val="12"/>
                <w:szCs w:val="12"/>
                <w:color w:val="auto"/>
              </w:rPr>
            </w:pPr>
          </w:p>
        </w:tc>
        <w:tc>
          <w:tcPr>
            <w:tcW w:w="60" w:type="dxa"/>
            <w:vAlign w:val="bottom"/>
            <w:tcBorders>
              <w:top w:val="single" w:sz="8" w:color="DCE2EF"/>
            </w:tcBorders>
            <w:shd w:val="clear" w:color="auto" w:fill="DCE2EF"/>
          </w:tcPr>
          <w:p>
            <w:pPr>
              <w:spacing w:after="0"/>
              <w:rPr>
                <w:sz w:val="12"/>
                <w:szCs w:val="12"/>
                <w:color w:val="auto"/>
              </w:rPr>
            </w:pPr>
          </w:p>
        </w:tc>
        <w:tc>
          <w:tcPr>
            <w:tcW w:w="20" w:type="dxa"/>
            <w:vAlign w:val="bottom"/>
            <w:tcBorders>
              <w:top w:val="single" w:sz="8" w:color="DCE2EF"/>
            </w:tcBorders>
            <w:shd w:val="clear" w:color="auto" w:fill="DCE2EF"/>
          </w:tcPr>
          <w:p>
            <w:pPr>
              <w:spacing w:after="0"/>
              <w:rPr>
                <w:sz w:val="12"/>
                <w:szCs w:val="12"/>
                <w:color w:val="auto"/>
              </w:rPr>
            </w:pPr>
          </w:p>
        </w:tc>
        <w:tc>
          <w:tcPr>
            <w:tcW w:w="20" w:type="dxa"/>
            <w:vAlign w:val="bottom"/>
            <w:tcBorders>
              <w:top w:val="single" w:sz="8" w:color="DCE2EF"/>
            </w:tcBorders>
            <w:shd w:val="clear" w:color="auto" w:fill="DCE2EF"/>
          </w:tcPr>
          <w:p>
            <w:pPr>
              <w:spacing w:after="0"/>
              <w:rPr>
                <w:sz w:val="12"/>
                <w:szCs w:val="12"/>
                <w:color w:val="auto"/>
              </w:rPr>
            </w:pPr>
          </w:p>
        </w:tc>
        <w:tc>
          <w:tcPr>
            <w:tcW w:w="100" w:type="dxa"/>
            <w:vAlign w:val="bottom"/>
            <w:tcBorders>
              <w:top w:val="single" w:sz="8" w:color="DCE2EF"/>
              <w:right w:val="single" w:sz="8" w:color="DCE2EF"/>
            </w:tcBorders>
            <w:shd w:val="clear" w:color="auto" w:fill="DCE2EF"/>
          </w:tcPr>
          <w:p>
            <w:pPr>
              <w:spacing w:after="0"/>
              <w:rPr>
                <w:sz w:val="12"/>
                <w:szCs w:val="12"/>
                <w:color w:val="auto"/>
              </w:rPr>
            </w:pPr>
          </w:p>
        </w:tc>
        <w:tc>
          <w:tcPr>
            <w:tcW w:w="100" w:type="dxa"/>
            <w:vAlign w:val="bottom"/>
            <w:tcBorders>
              <w:top w:val="single" w:sz="8" w:color="DCE2EF"/>
            </w:tcBorders>
            <w:gridSpan w:val="2"/>
            <w:shd w:val="clear" w:color="auto" w:fill="DCE2EF"/>
          </w:tcPr>
          <w:p>
            <w:pPr>
              <w:spacing w:after="0"/>
              <w:rPr>
                <w:sz w:val="12"/>
                <w:szCs w:val="12"/>
                <w:color w:val="auto"/>
              </w:rPr>
            </w:pPr>
          </w:p>
        </w:tc>
        <w:tc>
          <w:tcPr>
            <w:tcW w:w="20" w:type="dxa"/>
            <w:vAlign w:val="bottom"/>
            <w:tcBorders>
              <w:top w:val="single" w:sz="8" w:color="DCE2EF"/>
            </w:tcBorders>
            <w:shd w:val="clear" w:color="auto" w:fill="DCE2EF"/>
          </w:tcPr>
          <w:p>
            <w:pPr>
              <w:spacing w:after="0"/>
              <w:rPr>
                <w:sz w:val="12"/>
                <w:szCs w:val="12"/>
                <w:color w:val="auto"/>
              </w:rPr>
            </w:pPr>
          </w:p>
        </w:tc>
        <w:tc>
          <w:tcPr>
            <w:tcW w:w="20" w:type="dxa"/>
            <w:vAlign w:val="bottom"/>
            <w:tcBorders>
              <w:top w:val="single" w:sz="8" w:color="DCE2EF"/>
            </w:tcBorders>
            <w:shd w:val="clear" w:color="auto" w:fill="DCE2EF"/>
          </w:tcPr>
          <w:p>
            <w:pPr>
              <w:spacing w:after="0"/>
              <w:rPr>
                <w:sz w:val="12"/>
                <w:szCs w:val="12"/>
                <w:color w:val="auto"/>
              </w:rPr>
            </w:pPr>
          </w:p>
        </w:tc>
        <w:tc>
          <w:tcPr>
            <w:tcW w:w="20" w:type="dxa"/>
            <w:vAlign w:val="bottom"/>
            <w:tcBorders>
              <w:top w:val="single" w:sz="8" w:color="DCE2EF"/>
            </w:tcBorders>
            <w:shd w:val="clear" w:color="auto" w:fill="DCE2EF"/>
          </w:tcPr>
          <w:p>
            <w:pPr>
              <w:spacing w:after="0"/>
              <w:rPr>
                <w:sz w:val="12"/>
                <w:szCs w:val="12"/>
                <w:color w:val="auto"/>
              </w:rPr>
            </w:pPr>
          </w:p>
        </w:tc>
        <w:tc>
          <w:tcPr>
            <w:tcW w:w="20" w:type="dxa"/>
            <w:vAlign w:val="bottom"/>
            <w:tcBorders>
              <w:top w:val="single" w:sz="8" w:color="DCE2EF"/>
            </w:tcBorders>
            <w:shd w:val="clear" w:color="auto" w:fill="DCE2EF"/>
          </w:tcPr>
          <w:p>
            <w:pPr>
              <w:spacing w:after="0"/>
              <w:rPr>
                <w:sz w:val="12"/>
                <w:szCs w:val="12"/>
                <w:color w:val="auto"/>
              </w:rPr>
            </w:pPr>
          </w:p>
        </w:tc>
        <w:tc>
          <w:tcPr>
            <w:tcW w:w="20" w:type="dxa"/>
            <w:vAlign w:val="bottom"/>
            <w:tcBorders>
              <w:top w:val="single" w:sz="8" w:color="DCE2EF"/>
            </w:tcBorders>
            <w:shd w:val="clear" w:color="auto" w:fill="DCE2EF"/>
          </w:tcPr>
          <w:p>
            <w:pPr>
              <w:spacing w:after="0"/>
              <w:rPr>
                <w:sz w:val="12"/>
                <w:szCs w:val="12"/>
                <w:color w:val="auto"/>
              </w:rPr>
            </w:pPr>
          </w:p>
        </w:tc>
        <w:tc>
          <w:tcPr>
            <w:tcW w:w="20" w:type="dxa"/>
            <w:vAlign w:val="bottom"/>
            <w:tcBorders>
              <w:top w:val="single" w:sz="8" w:color="DCE2EF"/>
            </w:tcBorders>
            <w:shd w:val="clear" w:color="auto" w:fill="DCE2EF"/>
          </w:tcPr>
          <w:p>
            <w:pPr>
              <w:spacing w:after="0"/>
              <w:rPr>
                <w:sz w:val="12"/>
                <w:szCs w:val="12"/>
                <w:color w:val="auto"/>
              </w:rPr>
            </w:pPr>
          </w:p>
        </w:tc>
        <w:tc>
          <w:tcPr>
            <w:tcW w:w="20" w:type="dxa"/>
            <w:vAlign w:val="bottom"/>
            <w:tcBorders>
              <w:top w:val="single" w:sz="8" w:color="DCE2EF"/>
            </w:tcBorders>
            <w:shd w:val="clear" w:color="auto" w:fill="DCE2EF"/>
          </w:tcPr>
          <w:p>
            <w:pPr>
              <w:spacing w:after="0"/>
              <w:rPr>
                <w:sz w:val="12"/>
                <w:szCs w:val="12"/>
                <w:color w:val="auto"/>
              </w:rPr>
            </w:pPr>
          </w:p>
        </w:tc>
        <w:tc>
          <w:tcPr>
            <w:tcW w:w="100" w:type="dxa"/>
            <w:vAlign w:val="bottom"/>
            <w:tcBorders>
              <w:top w:val="single" w:sz="8" w:color="DCE2EF"/>
            </w:tcBorders>
            <w:gridSpan w:val="2"/>
            <w:shd w:val="clear" w:color="auto" w:fill="DCE2EF"/>
          </w:tcPr>
          <w:p>
            <w:pPr>
              <w:spacing w:after="0"/>
              <w:rPr>
                <w:sz w:val="12"/>
                <w:szCs w:val="12"/>
                <w:color w:val="auto"/>
              </w:rPr>
            </w:pPr>
          </w:p>
        </w:tc>
        <w:tc>
          <w:tcPr>
            <w:tcW w:w="680" w:type="dxa"/>
            <w:vAlign w:val="bottom"/>
            <w:tcBorders>
              <w:top w:val="single" w:sz="8" w:color="DCE2EF"/>
            </w:tcBorders>
            <w:shd w:val="clear" w:color="auto" w:fill="DCE2EF"/>
          </w:tcPr>
          <w:p>
            <w:pPr>
              <w:spacing w:after="0"/>
              <w:rPr>
                <w:sz w:val="12"/>
                <w:szCs w:val="12"/>
                <w:color w:val="auto"/>
              </w:rPr>
            </w:pPr>
          </w:p>
        </w:tc>
        <w:tc>
          <w:tcPr>
            <w:tcW w:w="100" w:type="dxa"/>
            <w:vAlign w:val="bottom"/>
            <w:tcBorders>
              <w:top w:val="single" w:sz="8" w:color="DCE2EF"/>
            </w:tcBorders>
            <w:shd w:val="clear" w:color="auto" w:fill="DCE2EF"/>
          </w:tcPr>
          <w:p>
            <w:pPr>
              <w:spacing w:after="0"/>
              <w:rPr>
                <w:sz w:val="12"/>
                <w:szCs w:val="12"/>
                <w:color w:val="auto"/>
              </w:rPr>
            </w:pPr>
          </w:p>
        </w:tc>
        <w:tc>
          <w:tcPr>
            <w:tcW w:w="1260" w:type="dxa"/>
            <w:vAlign w:val="bottom"/>
            <w:tcBorders>
              <w:top w:val="single" w:sz="8" w:color="DCE2EF"/>
            </w:tcBorders>
            <w:shd w:val="clear" w:color="auto" w:fill="DCE2EF"/>
          </w:tcPr>
          <w:p>
            <w:pPr>
              <w:spacing w:after="0"/>
              <w:rPr>
                <w:sz w:val="12"/>
                <w:szCs w:val="12"/>
                <w:color w:val="auto"/>
              </w:rPr>
            </w:pPr>
          </w:p>
        </w:tc>
        <w:tc>
          <w:tcPr>
            <w:tcW w:w="100" w:type="dxa"/>
            <w:vAlign w:val="bottom"/>
            <w:tcBorders>
              <w:top w:val="single" w:sz="8" w:color="DCE2EF"/>
            </w:tcBorders>
            <w:shd w:val="clear" w:color="auto" w:fill="DCE2EF"/>
          </w:tcPr>
          <w:p>
            <w:pPr>
              <w:spacing w:after="0"/>
              <w:rPr>
                <w:sz w:val="12"/>
                <w:szCs w:val="12"/>
                <w:color w:val="auto"/>
              </w:rPr>
            </w:pPr>
          </w:p>
        </w:tc>
        <w:tc>
          <w:tcPr>
            <w:tcW w:w="920" w:type="dxa"/>
            <w:vAlign w:val="bottom"/>
            <w:tcBorders>
              <w:top w:val="single" w:sz="8" w:color="DCE2EF"/>
            </w:tcBorders>
            <w:shd w:val="clear" w:color="auto" w:fill="DCE2EF"/>
          </w:tcPr>
          <w:p>
            <w:pPr>
              <w:spacing w:after="0"/>
              <w:rPr>
                <w:sz w:val="12"/>
                <w:szCs w:val="12"/>
                <w:color w:val="auto"/>
              </w:rPr>
            </w:pPr>
          </w:p>
        </w:tc>
        <w:tc>
          <w:tcPr>
            <w:tcW w:w="100" w:type="dxa"/>
            <w:vAlign w:val="bottom"/>
            <w:tcBorders>
              <w:top w:val="single" w:sz="8" w:color="DCE2EF"/>
            </w:tcBorders>
            <w:shd w:val="clear" w:color="auto" w:fill="DCE2EF"/>
          </w:tcPr>
          <w:p>
            <w:pPr>
              <w:spacing w:after="0"/>
              <w:rPr>
                <w:sz w:val="12"/>
                <w:szCs w:val="12"/>
                <w:color w:val="auto"/>
              </w:rPr>
            </w:pPr>
          </w:p>
        </w:tc>
        <w:tc>
          <w:tcPr>
            <w:tcW w:w="2140" w:type="dxa"/>
            <w:vAlign w:val="bottom"/>
            <w:tcBorders>
              <w:top w:val="single" w:sz="8" w:color="DCE2EF"/>
            </w:tcBorders>
            <w:shd w:val="clear" w:color="auto" w:fill="DCE2EF"/>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1180" w:type="dxa"/>
            <w:vAlign w:val="bottom"/>
            <w:tcBorders>
              <w:top w:val="single" w:sz="8" w:color="DCE2EF"/>
              <w:bottom w:val="single" w:sz="8" w:color="DCE2EF"/>
            </w:tcBorders>
            <w:shd w:val="clear" w:color="auto" w:fill="DCE2EF"/>
          </w:tcPr>
          <w:p>
            <w:pPr>
              <w:spacing w:after="0"/>
              <w:rPr>
                <w:sz w:val="15"/>
                <w:szCs w:val="15"/>
                <w:color w:val="auto"/>
              </w:rPr>
            </w:pPr>
          </w:p>
        </w:tc>
        <w:tc>
          <w:tcPr>
            <w:tcW w:w="120" w:type="dxa"/>
            <w:vAlign w:val="bottom"/>
            <w:tcBorders>
              <w:top w:val="single" w:sz="8" w:color="DCE2EF"/>
              <w:bottom w:val="single" w:sz="8" w:color="DCE2EF"/>
              <w:right w:val="single" w:sz="8" w:color="DCE2EF"/>
            </w:tcBorders>
            <w:shd w:val="clear" w:color="auto" w:fill="DCE2EF"/>
          </w:tcPr>
          <w:p>
            <w:pPr>
              <w:spacing w:after="0"/>
              <w:rPr>
                <w:sz w:val="15"/>
                <w:szCs w:val="15"/>
                <w:color w:val="auto"/>
              </w:rPr>
            </w:pPr>
          </w:p>
        </w:tc>
        <w:tc>
          <w:tcPr>
            <w:tcW w:w="2300" w:type="dxa"/>
            <w:vAlign w:val="bottom"/>
            <w:tcBorders>
              <w:top w:val="single" w:sz="8" w:color="0000FF"/>
              <w:bottom w:val="single" w:sz="8" w:color="0000FF"/>
            </w:tcBorders>
            <w:gridSpan w:val="4"/>
            <w:shd w:val="clear" w:color="auto" w:fill="DCE2EF"/>
          </w:tcPr>
          <w:p>
            <w:pPr>
              <w:spacing w:after="0" w:line="161" w:lineRule="exact"/>
              <w:rPr>
                <w:rFonts w:ascii="Arial" w:cs="Arial" w:eastAsia="Arial" w:hAnsi="Arial"/>
                <w:sz w:val="17"/>
                <w:szCs w:val="17"/>
                <w:color w:val="0000FF"/>
              </w:rPr>
            </w:pPr>
            <w:hyperlink r:id="rId165">
              <w:r>
                <w:rPr>
                  <w:rFonts w:ascii="Arial" w:cs="Arial" w:eastAsia="Arial" w:hAnsi="Arial"/>
                  <w:sz w:val="17"/>
                  <w:szCs w:val="17"/>
                  <w:color w:val="0000FF"/>
                </w:rPr>
                <w:t>Securityholder Representative</w:t>
              </w:r>
            </w:hyperlink>
          </w:p>
        </w:tc>
        <w:tc>
          <w:tcPr>
            <w:tcW w:w="1280" w:type="dxa"/>
            <w:vAlign w:val="bottom"/>
            <w:tcBorders>
              <w:top w:val="single" w:sz="8" w:color="0000FF"/>
              <w:bottom w:val="single" w:sz="8" w:color="DCE2EF"/>
            </w:tcBorders>
            <w:gridSpan w:val="4"/>
            <w:shd w:val="clear" w:color="auto" w:fill="DCE2EF"/>
          </w:tcPr>
          <w:p>
            <w:pPr>
              <w:spacing w:after="0"/>
              <w:rPr>
                <w:sz w:val="15"/>
                <w:szCs w:val="15"/>
                <w:color w:val="auto"/>
              </w:rPr>
            </w:pPr>
          </w:p>
        </w:tc>
        <w:tc>
          <w:tcPr>
            <w:tcW w:w="140" w:type="dxa"/>
            <w:vAlign w:val="bottom"/>
            <w:tcBorders>
              <w:top w:val="single" w:sz="8" w:color="DCE2EF"/>
              <w:bottom w:val="single" w:sz="8" w:color="DCE2EF"/>
            </w:tcBorders>
            <w:shd w:val="clear" w:color="auto" w:fill="DCE2EF"/>
          </w:tcPr>
          <w:p>
            <w:pPr>
              <w:spacing w:after="0"/>
              <w:rPr>
                <w:sz w:val="15"/>
                <w:szCs w:val="15"/>
                <w:color w:val="auto"/>
              </w:rPr>
            </w:pPr>
          </w:p>
        </w:tc>
        <w:tc>
          <w:tcPr>
            <w:tcW w:w="80" w:type="dxa"/>
            <w:vAlign w:val="bottom"/>
            <w:tcBorders>
              <w:top w:val="single" w:sz="8" w:color="DCE2EF"/>
              <w:bottom w:val="single" w:sz="8" w:color="DCE2EF"/>
            </w:tcBorders>
            <w:shd w:val="clear" w:color="auto" w:fill="DCE2EF"/>
          </w:tcPr>
          <w:p>
            <w:pPr>
              <w:spacing w:after="0"/>
              <w:rPr>
                <w:sz w:val="15"/>
                <w:szCs w:val="15"/>
                <w:color w:val="auto"/>
              </w:rPr>
            </w:pPr>
          </w:p>
        </w:tc>
        <w:tc>
          <w:tcPr>
            <w:tcW w:w="20" w:type="dxa"/>
            <w:vAlign w:val="bottom"/>
            <w:tcBorders>
              <w:top w:val="single" w:sz="8" w:color="DCE2EF"/>
              <w:bottom w:val="single" w:sz="8" w:color="DCE2EF"/>
            </w:tcBorders>
            <w:shd w:val="clear" w:color="auto" w:fill="DCE2EF"/>
          </w:tcPr>
          <w:p>
            <w:pPr>
              <w:spacing w:after="0"/>
              <w:rPr>
                <w:sz w:val="15"/>
                <w:szCs w:val="15"/>
                <w:color w:val="auto"/>
              </w:rPr>
            </w:pPr>
          </w:p>
        </w:tc>
        <w:tc>
          <w:tcPr>
            <w:tcW w:w="140" w:type="dxa"/>
            <w:vAlign w:val="bottom"/>
            <w:tcBorders>
              <w:top w:val="single" w:sz="8" w:color="DCE2EF"/>
              <w:bottom w:val="single" w:sz="8" w:color="DCE2EF"/>
            </w:tcBorders>
            <w:gridSpan w:val="2"/>
            <w:shd w:val="clear" w:color="auto" w:fill="DCE2EF"/>
          </w:tcPr>
          <w:p>
            <w:pPr>
              <w:spacing w:after="0"/>
              <w:rPr>
                <w:sz w:val="15"/>
                <w:szCs w:val="15"/>
                <w:color w:val="auto"/>
              </w:rPr>
            </w:pPr>
          </w:p>
        </w:tc>
        <w:tc>
          <w:tcPr>
            <w:tcW w:w="20" w:type="dxa"/>
            <w:vAlign w:val="bottom"/>
            <w:tcBorders>
              <w:top w:val="single" w:sz="8" w:color="DCE2EF"/>
              <w:bottom w:val="single" w:sz="8" w:color="DCE2EF"/>
            </w:tcBorders>
            <w:shd w:val="clear" w:color="auto" w:fill="DCE2EF"/>
          </w:tcPr>
          <w:p>
            <w:pPr>
              <w:spacing w:after="0"/>
              <w:rPr>
                <w:sz w:val="15"/>
                <w:szCs w:val="15"/>
                <w:color w:val="auto"/>
              </w:rPr>
            </w:pPr>
          </w:p>
        </w:tc>
        <w:tc>
          <w:tcPr>
            <w:tcW w:w="60" w:type="dxa"/>
            <w:vAlign w:val="bottom"/>
            <w:tcBorders>
              <w:top w:val="single" w:sz="8" w:color="DCE2EF"/>
              <w:bottom w:val="single" w:sz="8" w:color="DCE2EF"/>
            </w:tcBorders>
            <w:shd w:val="clear" w:color="auto" w:fill="DCE2EF"/>
          </w:tcPr>
          <w:p>
            <w:pPr>
              <w:spacing w:after="0"/>
              <w:rPr>
                <w:sz w:val="15"/>
                <w:szCs w:val="15"/>
                <w:color w:val="auto"/>
              </w:rPr>
            </w:pPr>
          </w:p>
        </w:tc>
        <w:tc>
          <w:tcPr>
            <w:tcW w:w="20" w:type="dxa"/>
            <w:vAlign w:val="bottom"/>
            <w:tcBorders>
              <w:top w:val="single" w:sz="8" w:color="DCE2EF"/>
              <w:bottom w:val="single" w:sz="8" w:color="DCE2EF"/>
            </w:tcBorders>
            <w:shd w:val="clear" w:color="auto" w:fill="DCE2EF"/>
          </w:tcPr>
          <w:p>
            <w:pPr>
              <w:spacing w:after="0"/>
              <w:rPr>
                <w:sz w:val="15"/>
                <w:szCs w:val="15"/>
                <w:color w:val="auto"/>
              </w:rPr>
            </w:pPr>
          </w:p>
        </w:tc>
        <w:tc>
          <w:tcPr>
            <w:tcW w:w="40" w:type="dxa"/>
            <w:vAlign w:val="bottom"/>
            <w:tcBorders>
              <w:top w:val="single" w:sz="8" w:color="DCE2EF"/>
              <w:bottom w:val="single" w:sz="8" w:color="DCE2EF"/>
            </w:tcBorders>
            <w:shd w:val="clear" w:color="auto" w:fill="DCE2EF"/>
          </w:tcPr>
          <w:p>
            <w:pPr>
              <w:spacing w:after="0"/>
              <w:rPr>
                <w:sz w:val="15"/>
                <w:szCs w:val="15"/>
                <w:color w:val="auto"/>
              </w:rPr>
            </w:pPr>
          </w:p>
        </w:tc>
        <w:tc>
          <w:tcPr>
            <w:tcW w:w="60" w:type="dxa"/>
            <w:vAlign w:val="bottom"/>
            <w:tcBorders>
              <w:top w:val="single" w:sz="8" w:color="DCE2EF"/>
              <w:bottom w:val="single" w:sz="8" w:color="DCE2EF"/>
            </w:tcBorders>
            <w:shd w:val="clear" w:color="auto" w:fill="DCE2EF"/>
          </w:tcPr>
          <w:p>
            <w:pPr>
              <w:spacing w:after="0"/>
              <w:rPr>
                <w:sz w:val="15"/>
                <w:szCs w:val="15"/>
                <w:color w:val="auto"/>
              </w:rPr>
            </w:pPr>
          </w:p>
        </w:tc>
        <w:tc>
          <w:tcPr>
            <w:tcW w:w="20" w:type="dxa"/>
            <w:vAlign w:val="bottom"/>
            <w:tcBorders>
              <w:top w:val="single" w:sz="8" w:color="DCE2EF"/>
              <w:bottom w:val="single" w:sz="8" w:color="DCE2EF"/>
            </w:tcBorders>
            <w:shd w:val="clear" w:color="auto" w:fill="DCE2EF"/>
          </w:tcPr>
          <w:p>
            <w:pPr>
              <w:spacing w:after="0"/>
              <w:rPr>
                <w:sz w:val="15"/>
                <w:szCs w:val="15"/>
                <w:color w:val="auto"/>
              </w:rPr>
            </w:pPr>
          </w:p>
        </w:tc>
        <w:tc>
          <w:tcPr>
            <w:tcW w:w="20" w:type="dxa"/>
            <w:vAlign w:val="bottom"/>
            <w:tcBorders>
              <w:top w:val="single" w:sz="8" w:color="DCE2EF"/>
              <w:bottom w:val="single" w:sz="8" w:color="DCE2EF"/>
            </w:tcBorders>
            <w:shd w:val="clear" w:color="auto" w:fill="DCE2EF"/>
          </w:tcPr>
          <w:p>
            <w:pPr>
              <w:spacing w:after="0"/>
              <w:rPr>
                <w:sz w:val="15"/>
                <w:szCs w:val="15"/>
                <w:color w:val="auto"/>
              </w:rPr>
            </w:pPr>
          </w:p>
        </w:tc>
        <w:tc>
          <w:tcPr>
            <w:tcW w:w="100" w:type="dxa"/>
            <w:vAlign w:val="bottom"/>
            <w:tcBorders>
              <w:top w:val="single" w:sz="8" w:color="DCE2EF"/>
              <w:bottom w:val="single" w:sz="8" w:color="DCE2EF"/>
              <w:right w:val="single" w:sz="8" w:color="DCE2EF"/>
            </w:tcBorders>
            <w:shd w:val="clear" w:color="auto" w:fill="DCE2EF"/>
          </w:tcPr>
          <w:p>
            <w:pPr>
              <w:spacing w:after="0"/>
              <w:rPr>
                <w:sz w:val="15"/>
                <w:szCs w:val="15"/>
                <w:color w:val="auto"/>
              </w:rPr>
            </w:pPr>
          </w:p>
        </w:tc>
        <w:tc>
          <w:tcPr>
            <w:tcW w:w="100" w:type="dxa"/>
            <w:vAlign w:val="bottom"/>
            <w:tcBorders>
              <w:top w:val="single" w:sz="8" w:color="DCE2EF"/>
              <w:bottom w:val="single" w:sz="8" w:color="DCE2EF"/>
            </w:tcBorders>
            <w:gridSpan w:val="2"/>
            <w:shd w:val="clear" w:color="auto" w:fill="DCE2EF"/>
          </w:tcPr>
          <w:p>
            <w:pPr>
              <w:spacing w:after="0"/>
              <w:rPr>
                <w:sz w:val="15"/>
                <w:szCs w:val="15"/>
                <w:color w:val="auto"/>
              </w:rPr>
            </w:pPr>
          </w:p>
        </w:tc>
        <w:tc>
          <w:tcPr>
            <w:tcW w:w="20" w:type="dxa"/>
            <w:vAlign w:val="bottom"/>
            <w:tcBorders>
              <w:top w:val="single" w:sz="8" w:color="DCE2EF"/>
              <w:bottom w:val="single" w:sz="8" w:color="DCE2EF"/>
            </w:tcBorders>
            <w:shd w:val="clear" w:color="auto" w:fill="DCE2EF"/>
          </w:tcPr>
          <w:p>
            <w:pPr>
              <w:spacing w:after="0"/>
              <w:rPr>
                <w:sz w:val="15"/>
                <w:szCs w:val="15"/>
                <w:color w:val="auto"/>
              </w:rPr>
            </w:pPr>
          </w:p>
        </w:tc>
        <w:tc>
          <w:tcPr>
            <w:tcW w:w="20" w:type="dxa"/>
            <w:vAlign w:val="bottom"/>
            <w:tcBorders>
              <w:top w:val="single" w:sz="8" w:color="DCE2EF"/>
              <w:bottom w:val="single" w:sz="8" w:color="DCE2EF"/>
            </w:tcBorders>
            <w:shd w:val="clear" w:color="auto" w:fill="DCE2EF"/>
          </w:tcPr>
          <w:p>
            <w:pPr>
              <w:spacing w:after="0"/>
              <w:rPr>
                <w:sz w:val="15"/>
                <w:szCs w:val="15"/>
                <w:color w:val="auto"/>
              </w:rPr>
            </w:pPr>
          </w:p>
        </w:tc>
        <w:tc>
          <w:tcPr>
            <w:tcW w:w="20" w:type="dxa"/>
            <w:vAlign w:val="bottom"/>
            <w:tcBorders>
              <w:top w:val="single" w:sz="8" w:color="DCE2EF"/>
              <w:bottom w:val="single" w:sz="8" w:color="DCE2EF"/>
            </w:tcBorders>
            <w:shd w:val="clear" w:color="auto" w:fill="DCE2EF"/>
          </w:tcPr>
          <w:p>
            <w:pPr>
              <w:spacing w:after="0"/>
              <w:rPr>
                <w:sz w:val="15"/>
                <w:szCs w:val="15"/>
                <w:color w:val="auto"/>
              </w:rPr>
            </w:pPr>
          </w:p>
        </w:tc>
        <w:tc>
          <w:tcPr>
            <w:tcW w:w="20" w:type="dxa"/>
            <w:vAlign w:val="bottom"/>
            <w:tcBorders>
              <w:top w:val="single" w:sz="8" w:color="DCE2EF"/>
              <w:bottom w:val="single" w:sz="8" w:color="DCE2EF"/>
            </w:tcBorders>
            <w:shd w:val="clear" w:color="auto" w:fill="DCE2EF"/>
          </w:tcPr>
          <w:p>
            <w:pPr>
              <w:spacing w:after="0"/>
              <w:rPr>
                <w:sz w:val="15"/>
                <w:szCs w:val="15"/>
                <w:color w:val="auto"/>
              </w:rPr>
            </w:pPr>
          </w:p>
        </w:tc>
        <w:tc>
          <w:tcPr>
            <w:tcW w:w="20" w:type="dxa"/>
            <w:vAlign w:val="bottom"/>
            <w:tcBorders>
              <w:top w:val="single" w:sz="8" w:color="DCE2EF"/>
              <w:bottom w:val="single" w:sz="8" w:color="DCE2EF"/>
            </w:tcBorders>
            <w:shd w:val="clear" w:color="auto" w:fill="DCE2EF"/>
          </w:tcPr>
          <w:p>
            <w:pPr>
              <w:spacing w:after="0"/>
              <w:rPr>
                <w:sz w:val="15"/>
                <w:szCs w:val="15"/>
                <w:color w:val="auto"/>
              </w:rPr>
            </w:pPr>
          </w:p>
        </w:tc>
        <w:tc>
          <w:tcPr>
            <w:tcW w:w="20" w:type="dxa"/>
            <w:vAlign w:val="bottom"/>
            <w:tcBorders>
              <w:top w:val="single" w:sz="8" w:color="DCE2EF"/>
              <w:bottom w:val="single" w:sz="8" w:color="DCE2EF"/>
            </w:tcBorders>
            <w:shd w:val="clear" w:color="auto" w:fill="DCE2EF"/>
          </w:tcPr>
          <w:p>
            <w:pPr>
              <w:spacing w:after="0"/>
              <w:rPr>
                <w:sz w:val="15"/>
                <w:szCs w:val="15"/>
                <w:color w:val="auto"/>
              </w:rPr>
            </w:pPr>
          </w:p>
        </w:tc>
        <w:tc>
          <w:tcPr>
            <w:tcW w:w="20" w:type="dxa"/>
            <w:vAlign w:val="bottom"/>
            <w:tcBorders>
              <w:top w:val="single" w:sz="8" w:color="DCE2EF"/>
              <w:bottom w:val="single" w:sz="8" w:color="DCE2EF"/>
            </w:tcBorders>
            <w:shd w:val="clear" w:color="auto" w:fill="DCE2EF"/>
          </w:tcPr>
          <w:p>
            <w:pPr>
              <w:spacing w:after="0"/>
              <w:rPr>
                <w:sz w:val="15"/>
                <w:szCs w:val="15"/>
                <w:color w:val="auto"/>
              </w:rPr>
            </w:pPr>
          </w:p>
        </w:tc>
        <w:tc>
          <w:tcPr>
            <w:tcW w:w="100" w:type="dxa"/>
            <w:vAlign w:val="bottom"/>
            <w:tcBorders>
              <w:top w:val="single" w:sz="8" w:color="DCE2EF"/>
              <w:bottom w:val="single" w:sz="8" w:color="DCE2EF"/>
            </w:tcBorders>
            <w:gridSpan w:val="2"/>
            <w:shd w:val="clear" w:color="auto" w:fill="DCE2EF"/>
          </w:tcPr>
          <w:p>
            <w:pPr>
              <w:spacing w:after="0"/>
              <w:rPr>
                <w:sz w:val="15"/>
                <w:szCs w:val="15"/>
                <w:color w:val="auto"/>
              </w:rPr>
            </w:pPr>
          </w:p>
        </w:tc>
        <w:tc>
          <w:tcPr>
            <w:tcW w:w="680" w:type="dxa"/>
            <w:vAlign w:val="bottom"/>
            <w:tcBorders>
              <w:top w:val="single" w:sz="8" w:color="DCE2EF"/>
              <w:bottom w:val="single" w:sz="8" w:color="DCE2EF"/>
            </w:tcBorders>
            <w:shd w:val="clear" w:color="auto" w:fill="DCE2EF"/>
          </w:tcPr>
          <w:p>
            <w:pPr>
              <w:spacing w:after="0"/>
              <w:rPr>
                <w:sz w:val="15"/>
                <w:szCs w:val="15"/>
                <w:color w:val="auto"/>
              </w:rPr>
            </w:pPr>
          </w:p>
        </w:tc>
        <w:tc>
          <w:tcPr>
            <w:tcW w:w="100" w:type="dxa"/>
            <w:vAlign w:val="bottom"/>
            <w:tcBorders>
              <w:top w:val="single" w:sz="8" w:color="DCE2EF"/>
              <w:bottom w:val="single" w:sz="8" w:color="DCE2EF"/>
            </w:tcBorders>
            <w:shd w:val="clear" w:color="auto" w:fill="DCE2EF"/>
          </w:tcPr>
          <w:p>
            <w:pPr>
              <w:spacing w:after="0"/>
              <w:rPr>
                <w:sz w:val="15"/>
                <w:szCs w:val="15"/>
                <w:color w:val="auto"/>
              </w:rPr>
            </w:pPr>
          </w:p>
        </w:tc>
        <w:tc>
          <w:tcPr>
            <w:tcW w:w="1260" w:type="dxa"/>
            <w:vAlign w:val="bottom"/>
            <w:tcBorders>
              <w:top w:val="single" w:sz="8" w:color="DCE2EF"/>
              <w:bottom w:val="single" w:sz="8" w:color="DCE2EF"/>
            </w:tcBorders>
            <w:shd w:val="clear" w:color="auto" w:fill="DCE2EF"/>
          </w:tcPr>
          <w:p>
            <w:pPr>
              <w:spacing w:after="0"/>
              <w:rPr>
                <w:sz w:val="15"/>
                <w:szCs w:val="15"/>
                <w:color w:val="auto"/>
              </w:rPr>
            </w:pPr>
          </w:p>
        </w:tc>
        <w:tc>
          <w:tcPr>
            <w:tcW w:w="100" w:type="dxa"/>
            <w:vAlign w:val="bottom"/>
            <w:tcBorders>
              <w:top w:val="single" w:sz="8" w:color="DCE2EF"/>
              <w:bottom w:val="single" w:sz="8" w:color="DCE2EF"/>
            </w:tcBorders>
            <w:shd w:val="clear" w:color="auto" w:fill="DCE2EF"/>
          </w:tcPr>
          <w:p>
            <w:pPr>
              <w:spacing w:after="0"/>
              <w:rPr>
                <w:sz w:val="15"/>
                <w:szCs w:val="15"/>
                <w:color w:val="auto"/>
              </w:rPr>
            </w:pPr>
          </w:p>
        </w:tc>
        <w:tc>
          <w:tcPr>
            <w:tcW w:w="920" w:type="dxa"/>
            <w:vAlign w:val="bottom"/>
            <w:tcBorders>
              <w:top w:val="single" w:sz="8" w:color="DCE2EF"/>
              <w:bottom w:val="single" w:sz="8" w:color="DCE2EF"/>
            </w:tcBorders>
            <w:shd w:val="clear" w:color="auto" w:fill="DCE2EF"/>
          </w:tcPr>
          <w:p>
            <w:pPr>
              <w:spacing w:after="0"/>
              <w:rPr>
                <w:sz w:val="15"/>
                <w:szCs w:val="15"/>
                <w:color w:val="auto"/>
              </w:rPr>
            </w:pPr>
          </w:p>
        </w:tc>
        <w:tc>
          <w:tcPr>
            <w:tcW w:w="100" w:type="dxa"/>
            <w:vAlign w:val="bottom"/>
            <w:tcBorders>
              <w:top w:val="single" w:sz="8" w:color="DCE2EF"/>
              <w:bottom w:val="single" w:sz="8" w:color="DCE2EF"/>
            </w:tcBorders>
            <w:shd w:val="clear" w:color="auto" w:fill="DCE2EF"/>
          </w:tcPr>
          <w:p>
            <w:pPr>
              <w:spacing w:after="0"/>
              <w:rPr>
                <w:sz w:val="15"/>
                <w:szCs w:val="15"/>
                <w:color w:val="auto"/>
              </w:rPr>
            </w:pPr>
          </w:p>
        </w:tc>
        <w:tc>
          <w:tcPr>
            <w:tcW w:w="2140" w:type="dxa"/>
            <w:vAlign w:val="bottom"/>
            <w:tcBorders>
              <w:top w:val="single" w:sz="8" w:color="DCE2EF"/>
              <w:bottom w:val="single" w:sz="8" w:color="DCE2EF"/>
            </w:tcBorders>
            <w:shd w:val="clear" w:color="auto" w:fill="DCE2E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1180" w:type="dxa"/>
            <w:vAlign w:val="bottom"/>
          </w:tcPr>
          <w:p>
            <w:pPr>
              <w:ind w:left="20"/>
              <w:spacing w:after="0" w:line="194" w:lineRule="exact"/>
              <w:rPr>
                <w:sz w:val="20"/>
                <w:szCs w:val="20"/>
                <w:color w:val="auto"/>
              </w:rPr>
            </w:pPr>
            <w:r>
              <w:rPr>
                <w:rFonts w:ascii="Arial" w:cs="Arial" w:eastAsia="Arial" w:hAnsi="Arial"/>
                <w:sz w:val="17"/>
                <w:szCs w:val="17"/>
                <w:color w:val="auto"/>
              </w:rPr>
              <w:t>2.2</w:t>
            </w:r>
          </w:p>
        </w:tc>
        <w:tc>
          <w:tcPr>
            <w:tcW w:w="120" w:type="dxa"/>
            <w:vAlign w:val="bottom"/>
          </w:tcPr>
          <w:p>
            <w:pPr>
              <w:spacing w:after="0"/>
              <w:rPr>
                <w:sz w:val="16"/>
                <w:szCs w:val="16"/>
                <w:color w:val="auto"/>
              </w:rPr>
            </w:pPr>
          </w:p>
        </w:tc>
        <w:tc>
          <w:tcPr>
            <w:tcW w:w="4060" w:type="dxa"/>
            <w:vAlign w:val="bottom"/>
            <w:tcBorders>
              <w:bottom w:val="single" w:sz="8" w:color="0000FF"/>
            </w:tcBorders>
            <w:gridSpan w:val="16"/>
          </w:tcPr>
          <w:p>
            <w:pPr>
              <w:spacing w:after="0" w:line="194" w:lineRule="exact"/>
              <w:rPr>
                <w:rFonts w:ascii="Arial" w:cs="Arial" w:eastAsia="Arial" w:hAnsi="Arial"/>
                <w:sz w:val="17"/>
                <w:szCs w:val="17"/>
                <w:color w:val="0000FF"/>
              </w:rPr>
            </w:pPr>
            <w:hyperlink r:id="rId166">
              <w:r>
                <w:rPr>
                  <w:rFonts w:ascii="Arial" w:cs="Arial" w:eastAsia="Arial" w:hAnsi="Arial"/>
                  <w:sz w:val="17"/>
                  <w:szCs w:val="17"/>
                  <w:color w:val="0000FF"/>
                </w:rPr>
                <w:t>Purchase Agreement, dated August 25, 2021, among</w:t>
              </w:r>
            </w:hyperlink>
          </w:p>
        </w:tc>
        <w:tc>
          <w:tcPr>
            <w:tcW w:w="580" w:type="dxa"/>
            <w:vAlign w:val="bottom"/>
            <w:gridSpan w:val="16"/>
          </w:tcPr>
          <w:p>
            <w:pPr>
              <w:spacing w:after="0"/>
              <w:rPr>
                <w:sz w:val="16"/>
                <w:szCs w:val="16"/>
                <w:color w:val="auto"/>
              </w:rPr>
            </w:pPr>
          </w:p>
        </w:tc>
        <w:tc>
          <w:tcPr>
            <w:tcW w:w="780" w:type="dxa"/>
            <w:vAlign w:val="bottom"/>
            <w:gridSpan w:val="2"/>
          </w:tcPr>
          <w:p>
            <w:pPr>
              <w:jc w:val="center"/>
              <w:ind w:right="100"/>
              <w:spacing w:after="0" w:line="194" w:lineRule="exact"/>
              <w:rPr>
                <w:sz w:val="20"/>
                <w:szCs w:val="20"/>
                <w:color w:val="auto"/>
              </w:rPr>
            </w:pPr>
            <w:r>
              <w:rPr>
                <w:rFonts w:ascii="Arial" w:cs="Arial" w:eastAsia="Arial" w:hAnsi="Arial"/>
                <w:sz w:val="17"/>
                <w:szCs w:val="17"/>
                <w:color w:val="auto"/>
              </w:rPr>
              <w:t>8-K</w:t>
            </w:r>
          </w:p>
        </w:tc>
        <w:tc>
          <w:tcPr>
            <w:tcW w:w="1260" w:type="dxa"/>
            <w:vAlign w:val="bottom"/>
          </w:tcPr>
          <w:p>
            <w:pPr>
              <w:jc w:val="center"/>
              <w:spacing w:after="0" w:line="194" w:lineRule="exact"/>
              <w:rPr>
                <w:sz w:val="20"/>
                <w:szCs w:val="20"/>
                <w:color w:val="auto"/>
              </w:rPr>
            </w:pPr>
            <w:r>
              <w:rPr>
                <w:rFonts w:ascii="Arial" w:cs="Arial" w:eastAsia="Arial" w:hAnsi="Arial"/>
                <w:sz w:val="17"/>
                <w:szCs w:val="17"/>
                <w:color w:val="auto"/>
              </w:rPr>
              <w:t>001-08929</w:t>
            </w:r>
          </w:p>
        </w:tc>
        <w:tc>
          <w:tcPr>
            <w:tcW w:w="100" w:type="dxa"/>
            <w:vAlign w:val="bottom"/>
          </w:tcPr>
          <w:p>
            <w:pPr>
              <w:spacing w:after="0"/>
              <w:rPr>
                <w:sz w:val="16"/>
                <w:szCs w:val="16"/>
                <w:color w:val="auto"/>
              </w:rPr>
            </w:pPr>
          </w:p>
        </w:tc>
        <w:tc>
          <w:tcPr>
            <w:tcW w:w="920" w:type="dxa"/>
            <w:vAlign w:val="bottom"/>
          </w:tcPr>
          <w:p>
            <w:pPr>
              <w:jc w:val="center"/>
              <w:spacing w:after="0" w:line="194" w:lineRule="exact"/>
              <w:rPr>
                <w:sz w:val="20"/>
                <w:szCs w:val="20"/>
                <w:color w:val="auto"/>
              </w:rPr>
            </w:pPr>
            <w:r>
              <w:rPr>
                <w:rFonts w:ascii="Arial" w:cs="Arial" w:eastAsia="Arial" w:hAnsi="Arial"/>
                <w:sz w:val="17"/>
                <w:szCs w:val="17"/>
                <w:color w:val="auto"/>
              </w:rPr>
              <w:t>2.1</w:t>
            </w:r>
          </w:p>
        </w:tc>
        <w:tc>
          <w:tcPr>
            <w:tcW w:w="100" w:type="dxa"/>
            <w:vAlign w:val="bottom"/>
          </w:tcPr>
          <w:p>
            <w:pPr>
              <w:spacing w:after="0"/>
              <w:rPr>
                <w:sz w:val="16"/>
                <w:szCs w:val="16"/>
                <w:color w:val="auto"/>
              </w:rPr>
            </w:pPr>
          </w:p>
        </w:tc>
        <w:tc>
          <w:tcPr>
            <w:tcW w:w="2140" w:type="dxa"/>
            <w:vAlign w:val="bottom"/>
          </w:tcPr>
          <w:p>
            <w:pPr>
              <w:jc w:val="center"/>
              <w:spacing w:after="0" w:line="194" w:lineRule="exact"/>
              <w:rPr>
                <w:sz w:val="20"/>
                <w:szCs w:val="20"/>
                <w:color w:val="auto"/>
              </w:rPr>
            </w:pPr>
            <w:r>
              <w:rPr>
                <w:rFonts w:ascii="Arial" w:cs="Arial" w:eastAsia="Arial" w:hAnsi="Arial"/>
                <w:sz w:val="17"/>
                <w:szCs w:val="17"/>
                <w:color w:val="auto"/>
              </w:rPr>
              <w:t>August 25, 2021</w:t>
            </w:r>
          </w:p>
        </w:tc>
        <w:tc>
          <w:tcPr>
            <w:tcW w:w="0" w:type="dxa"/>
            <w:vAlign w:val="bottom"/>
          </w:tcPr>
          <w:p>
            <w:pPr>
              <w:spacing w:after="0"/>
              <w:rPr>
                <w:sz w:val="1"/>
                <w:szCs w:val="1"/>
                <w:color w:val="auto"/>
              </w:rPr>
            </w:pPr>
          </w:p>
        </w:tc>
      </w:tr>
      <w:tr>
        <w:trPr>
          <w:trHeight w:val="173"/>
        </w:trPr>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500" w:type="dxa"/>
            <w:vAlign w:val="bottom"/>
            <w:tcBorders>
              <w:bottom w:val="single" w:sz="8" w:color="0000FF"/>
            </w:tcBorders>
            <w:gridSpan w:val="28"/>
          </w:tcPr>
          <w:p>
            <w:pPr>
              <w:spacing w:after="0" w:line="173" w:lineRule="exact"/>
              <w:rPr>
                <w:rFonts w:ascii="Arial" w:cs="Arial" w:eastAsia="Arial" w:hAnsi="Arial"/>
                <w:sz w:val="17"/>
                <w:szCs w:val="17"/>
                <w:color w:val="0000FF"/>
              </w:rPr>
            </w:pPr>
            <w:hyperlink r:id="rId166">
              <w:r>
                <w:rPr>
                  <w:rFonts w:ascii="Arial" w:cs="Arial" w:eastAsia="Arial" w:hAnsi="Arial"/>
                  <w:sz w:val="17"/>
                  <w:szCs w:val="17"/>
                  <w:color w:val="0000FF"/>
                </w:rPr>
                <w:t>Crown Building Maintenance Co., Crown Energy Services,</w:t>
              </w:r>
            </w:hyperlink>
          </w:p>
        </w:tc>
        <w:tc>
          <w:tcPr>
            <w:tcW w:w="140" w:type="dxa"/>
            <w:vAlign w:val="bottom"/>
            <w:gridSpan w:val="4"/>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40" w:type="dxa"/>
            <w:vAlign w:val="bottom"/>
            <w:gridSpan w:val="32"/>
          </w:tcPr>
          <w:p>
            <w:pPr>
              <w:spacing w:after="0" w:line="186" w:lineRule="exact"/>
              <w:rPr>
                <w:rFonts w:ascii="Arial" w:cs="Arial" w:eastAsia="Arial" w:hAnsi="Arial"/>
                <w:sz w:val="17"/>
                <w:szCs w:val="17"/>
                <w:color w:val="0000FF"/>
              </w:rPr>
            </w:pPr>
            <w:hyperlink r:id="rId166">
              <w:r>
                <w:rPr>
                  <w:rFonts w:ascii="Arial" w:cs="Arial" w:eastAsia="Arial" w:hAnsi="Arial"/>
                  <w:sz w:val="17"/>
                  <w:szCs w:val="17"/>
                  <w:color w:val="0000FF"/>
                </w:rPr>
                <w:t>Inc., ABM Industries Incorporated and the sellers and</w:t>
              </w:r>
            </w:hyperlink>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40" w:type="dxa"/>
            <w:vAlign w:val="bottom"/>
            <w:tcBorders>
              <w:top w:val="single" w:sz="8" w:color="0000FF"/>
            </w:tcBorders>
            <w:gridSpan w:val="15"/>
          </w:tcPr>
          <w:p>
            <w:pPr>
              <w:spacing w:after="0" w:line="173" w:lineRule="exact"/>
              <w:rPr>
                <w:rFonts w:ascii="Arial" w:cs="Arial" w:eastAsia="Arial" w:hAnsi="Arial"/>
                <w:sz w:val="17"/>
                <w:szCs w:val="17"/>
                <w:color w:val="0000FF"/>
              </w:rPr>
            </w:pPr>
            <w:hyperlink r:id="rId166">
              <w:r>
                <w:rPr>
                  <w:rFonts w:ascii="Arial" w:cs="Arial" w:eastAsia="Arial" w:hAnsi="Arial"/>
                  <w:sz w:val="17"/>
                  <w:szCs w:val="17"/>
                  <w:color w:val="0000FF"/>
                </w:rPr>
                <w:t>sellers’ representative party thereto</w:t>
              </w:r>
            </w:hyperlink>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gridSpan w:val="2"/>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
        </w:trPr>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1180" w:type="dxa"/>
            <w:vAlign w:val="bottom"/>
            <w:shd w:val="clear" w:color="auto" w:fill="DCE2EF"/>
          </w:tcPr>
          <w:p>
            <w:pPr>
              <w:ind w:left="20"/>
              <w:spacing w:after="0" w:line="194" w:lineRule="exact"/>
              <w:rPr>
                <w:sz w:val="20"/>
                <w:szCs w:val="20"/>
                <w:color w:val="auto"/>
              </w:rPr>
            </w:pPr>
            <w:r>
              <w:rPr>
                <w:rFonts w:ascii="Arial" w:cs="Arial" w:eastAsia="Arial" w:hAnsi="Arial"/>
                <w:sz w:val="17"/>
                <w:szCs w:val="17"/>
                <w:color w:val="auto"/>
              </w:rPr>
              <w:t>2.3</w:t>
            </w:r>
          </w:p>
        </w:tc>
        <w:tc>
          <w:tcPr>
            <w:tcW w:w="120" w:type="dxa"/>
            <w:vAlign w:val="bottom"/>
            <w:tcBorders>
              <w:right w:val="single" w:sz="8" w:color="DCE2EF"/>
            </w:tcBorders>
            <w:shd w:val="clear" w:color="auto" w:fill="DCE2EF"/>
          </w:tcPr>
          <w:p>
            <w:pPr>
              <w:spacing w:after="0"/>
              <w:rPr>
                <w:sz w:val="16"/>
                <w:szCs w:val="16"/>
                <w:color w:val="auto"/>
              </w:rPr>
            </w:pPr>
          </w:p>
        </w:tc>
        <w:tc>
          <w:tcPr>
            <w:tcW w:w="4640" w:type="dxa"/>
            <w:vAlign w:val="bottom"/>
            <w:gridSpan w:val="32"/>
            <w:shd w:val="clear" w:color="auto" w:fill="DCE2EF"/>
          </w:tcPr>
          <w:p>
            <w:pPr>
              <w:spacing w:after="0" w:line="194" w:lineRule="exact"/>
              <w:rPr>
                <w:rFonts w:ascii="Arial" w:cs="Arial" w:eastAsia="Arial" w:hAnsi="Arial"/>
                <w:sz w:val="17"/>
                <w:szCs w:val="17"/>
                <w:color w:val="0000FF"/>
              </w:rPr>
            </w:pPr>
            <w:hyperlink r:id="rId167">
              <w:r>
                <w:rPr>
                  <w:rFonts w:ascii="Arial" w:cs="Arial" w:eastAsia="Arial" w:hAnsi="Arial"/>
                  <w:sz w:val="17"/>
                  <w:szCs w:val="17"/>
                  <w:color w:val="0000FF"/>
                </w:rPr>
                <w:t>Agreement and Plan of Merger, dated August 17, 2022, by</w:t>
              </w:r>
            </w:hyperlink>
          </w:p>
        </w:tc>
        <w:tc>
          <w:tcPr>
            <w:tcW w:w="780" w:type="dxa"/>
            <w:vAlign w:val="bottom"/>
            <w:gridSpan w:val="2"/>
            <w:shd w:val="clear" w:color="auto" w:fill="DCE2EF"/>
          </w:tcPr>
          <w:p>
            <w:pPr>
              <w:jc w:val="center"/>
              <w:ind w:right="100"/>
              <w:spacing w:after="0" w:line="194" w:lineRule="exact"/>
              <w:rPr>
                <w:sz w:val="20"/>
                <w:szCs w:val="20"/>
                <w:color w:val="auto"/>
              </w:rPr>
            </w:pPr>
            <w:r>
              <w:rPr>
                <w:rFonts w:ascii="Arial" w:cs="Arial" w:eastAsia="Arial" w:hAnsi="Arial"/>
                <w:sz w:val="17"/>
                <w:szCs w:val="17"/>
                <w:color w:val="auto"/>
              </w:rPr>
              <w:t>8-K</w:t>
            </w:r>
          </w:p>
        </w:tc>
        <w:tc>
          <w:tcPr>
            <w:tcW w:w="1260" w:type="dxa"/>
            <w:vAlign w:val="bottom"/>
            <w:shd w:val="clear" w:color="auto" w:fill="DCE2EF"/>
          </w:tcPr>
          <w:p>
            <w:pPr>
              <w:jc w:val="center"/>
              <w:spacing w:after="0" w:line="194" w:lineRule="exact"/>
              <w:rPr>
                <w:sz w:val="20"/>
                <w:szCs w:val="20"/>
                <w:color w:val="auto"/>
              </w:rPr>
            </w:pPr>
            <w:r>
              <w:rPr>
                <w:rFonts w:ascii="Arial" w:cs="Arial" w:eastAsia="Arial" w:hAnsi="Arial"/>
                <w:sz w:val="17"/>
                <w:szCs w:val="17"/>
                <w:color w:val="auto"/>
              </w:rPr>
              <w:t>001-08929</w:t>
            </w:r>
          </w:p>
        </w:tc>
        <w:tc>
          <w:tcPr>
            <w:tcW w:w="100" w:type="dxa"/>
            <w:vAlign w:val="bottom"/>
            <w:shd w:val="clear" w:color="auto" w:fill="DCE2EF"/>
          </w:tcPr>
          <w:p>
            <w:pPr>
              <w:spacing w:after="0"/>
              <w:rPr>
                <w:sz w:val="16"/>
                <w:szCs w:val="16"/>
                <w:color w:val="auto"/>
              </w:rPr>
            </w:pPr>
          </w:p>
        </w:tc>
        <w:tc>
          <w:tcPr>
            <w:tcW w:w="920" w:type="dxa"/>
            <w:vAlign w:val="bottom"/>
            <w:shd w:val="clear" w:color="auto" w:fill="DCE2EF"/>
          </w:tcPr>
          <w:p>
            <w:pPr>
              <w:jc w:val="center"/>
              <w:spacing w:after="0" w:line="194" w:lineRule="exact"/>
              <w:rPr>
                <w:sz w:val="20"/>
                <w:szCs w:val="20"/>
                <w:color w:val="auto"/>
              </w:rPr>
            </w:pPr>
            <w:r>
              <w:rPr>
                <w:rFonts w:ascii="Arial" w:cs="Arial" w:eastAsia="Arial" w:hAnsi="Arial"/>
                <w:sz w:val="17"/>
                <w:szCs w:val="17"/>
                <w:color w:val="auto"/>
              </w:rPr>
              <w:t>2.1</w:t>
            </w:r>
          </w:p>
        </w:tc>
        <w:tc>
          <w:tcPr>
            <w:tcW w:w="100" w:type="dxa"/>
            <w:vAlign w:val="bottom"/>
            <w:shd w:val="clear" w:color="auto" w:fill="DCE2EF"/>
          </w:tcPr>
          <w:p>
            <w:pPr>
              <w:spacing w:after="0"/>
              <w:rPr>
                <w:sz w:val="16"/>
                <w:szCs w:val="16"/>
                <w:color w:val="auto"/>
              </w:rPr>
            </w:pPr>
          </w:p>
        </w:tc>
        <w:tc>
          <w:tcPr>
            <w:tcW w:w="2140" w:type="dxa"/>
            <w:vAlign w:val="bottom"/>
            <w:shd w:val="clear" w:color="auto" w:fill="DCE2EF"/>
          </w:tcPr>
          <w:p>
            <w:pPr>
              <w:jc w:val="center"/>
              <w:spacing w:after="0" w:line="194" w:lineRule="exact"/>
              <w:rPr>
                <w:sz w:val="20"/>
                <w:szCs w:val="20"/>
                <w:color w:val="auto"/>
              </w:rPr>
            </w:pPr>
            <w:r>
              <w:rPr>
                <w:rFonts w:ascii="Arial" w:cs="Arial" w:eastAsia="Arial" w:hAnsi="Arial"/>
                <w:sz w:val="17"/>
                <w:szCs w:val="17"/>
                <w:color w:val="auto"/>
              </w:rPr>
              <w:t>August 18, 2022</w:t>
            </w:r>
          </w:p>
        </w:tc>
        <w:tc>
          <w:tcPr>
            <w:tcW w:w="0" w:type="dxa"/>
            <w:vAlign w:val="bottom"/>
          </w:tcPr>
          <w:p>
            <w:pPr>
              <w:spacing w:after="0"/>
              <w:rPr>
                <w:sz w:val="1"/>
                <w:szCs w:val="1"/>
                <w:color w:val="auto"/>
              </w:rPr>
            </w:pPr>
          </w:p>
        </w:tc>
      </w:tr>
      <w:tr>
        <w:trPr>
          <w:trHeight w:val="173"/>
        </w:trPr>
        <w:tc>
          <w:tcPr>
            <w:tcW w:w="1180" w:type="dxa"/>
            <w:vAlign w:val="bottom"/>
            <w:tcBorders>
              <w:top w:val="single" w:sz="8" w:color="DCE2EF"/>
              <w:bottom w:val="single" w:sz="8" w:color="DCE2EF"/>
            </w:tcBorders>
            <w:shd w:val="clear" w:color="auto" w:fill="DCE2EF"/>
          </w:tcPr>
          <w:p>
            <w:pPr>
              <w:spacing w:after="0"/>
              <w:rPr>
                <w:sz w:val="15"/>
                <w:szCs w:val="15"/>
                <w:color w:val="auto"/>
              </w:rPr>
            </w:pPr>
          </w:p>
        </w:tc>
        <w:tc>
          <w:tcPr>
            <w:tcW w:w="120" w:type="dxa"/>
            <w:vAlign w:val="bottom"/>
            <w:tcBorders>
              <w:top w:val="single" w:sz="8" w:color="DCE2EF"/>
              <w:bottom w:val="single" w:sz="8" w:color="DCE2EF"/>
              <w:right w:val="single" w:sz="8" w:color="DCE2EF"/>
            </w:tcBorders>
            <w:shd w:val="clear" w:color="auto" w:fill="DCE2EF"/>
          </w:tcPr>
          <w:p>
            <w:pPr>
              <w:spacing w:after="0"/>
              <w:rPr>
                <w:sz w:val="15"/>
                <w:szCs w:val="15"/>
                <w:color w:val="auto"/>
              </w:rPr>
            </w:pPr>
          </w:p>
        </w:tc>
        <w:tc>
          <w:tcPr>
            <w:tcW w:w="3980" w:type="dxa"/>
            <w:vAlign w:val="bottom"/>
            <w:tcBorders>
              <w:top w:val="single" w:sz="8" w:color="0000FF"/>
              <w:bottom w:val="single" w:sz="8" w:color="0000FF"/>
            </w:tcBorders>
            <w:gridSpan w:val="14"/>
            <w:shd w:val="clear" w:color="auto" w:fill="DCE2EF"/>
          </w:tcPr>
          <w:p>
            <w:pPr>
              <w:spacing w:after="0" w:line="173" w:lineRule="exact"/>
              <w:rPr>
                <w:rFonts w:ascii="Arial" w:cs="Arial" w:eastAsia="Arial" w:hAnsi="Arial"/>
                <w:sz w:val="17"/>
                <w:szCs w:val="17"/>
                <w:color w:val="0000FF"/>
              </w:rPr>
            </w:pPr>
            <w:hyperlink r:id="rId167">
              <w:r>
                <w:rPr>
                  <w:rFonts w:ascii="Arial" w:cs="Arial" w:eastAsia="Arial" w:hAnsi="Arial"/>
                  <w:sz w:val="17"/>
                  <w:szCs w:val="17"/>
                  <w:color w:val="0000FF"/>
                </w:rPr>
                <w:t>and among ABM Industries Incorporated, RavenVolt</w:t>
              </w:r>
            </w:hyperlink>
          </w:p>
        </w:tc>
        <w:tc>
          <w:tcPr>
            <w:tcW w:w="520" w:type="dxa"/>
            <w:vAlign w:val="bottom"/>
            <w:tcBorders>
              <w:top w:val="single" w:sz="8" w:color="0000FF"/>
              <w:bottom w:val="single" w:sz="8" w:color="DCE2EF"/>
            </w:tcBorders>
            <w:gridSpan w:val="14"/>
            <w:shd w:val="clear" w:color="auto" w:fill="DCE2EF"/>
          </w:tcPr>
          <w:p>
            <w:pPr>
              <w:spacing w:after="0"/>
              <w:rPr>
                <w:sz w:val="15"/>
                <w:szCs w:val="15"/>
                <w:color w:val="auto"/>
              </w:rPr>
            </w:pPr>
          </w:p>
        </w:tc>
        <w:tc>
          <w:tcPr>
            <w:tcW w:w="20" w:type="dxa"/>
            <w:vAlign w:val="bottom"/>
            <w:tcBorders>
              <w:top w:val="single" w:sz="8" w:color="DCE2EF"/>
              <w:bottom w:val="single" w:sz="8" w:color="DCE2EF"/>
            </w:tcBorders>
            <w:shd w:val="clear" w:color="auto" w:fill="DCE2EF"/>
          </w:tcPr>
          <w:p>
            <w:pPr>
              <w:spacing w:after="0"/>
              <w:rPr>
                <w:sz w:val="15"/>
                <w:szCs w:val="15"/>
                <w:color w:val="auto"/>
              </w:rPr>
            </w:pPr>
          </w:p>
        </w:tc>
        <w:tc>
          <w:tcPr>
            <w:tcW w:w="20" w:type="dxa"/>
            <w:vAlign w:val="bottom"/>
            <w:tcBorders>
              <w:top w:val="single" w:sz="8" w:color="DCE2EF"/>
              <w:bottom w:val="single" w:sz="8" w:color="DCE2EF"/>
            </w:tcBorders>
            <w:shd w:val="clear" w:color="auto" w:fill="DCE2EF"/>
          </w:tcPr>
          <w:p>
            <w:pPr>
              <w:spacing w:after="0"/>
              <w:rPr>
                <w:sz w:val="15"/>
                <w:szCs w:val="15"/>
                <w:color w:val="auto"/>
              </w:rPr>
            </w:pPr>
          </w:p>
        </w:tc>
        <w:tc>
          <w:tcPr>
            <w:tcW w:w="100" w:type="dxa"/>
            <w:vAlign w:val="bottom"/>
            <w:tcBorders>
              <w:top w:val="single" w:sz="8" w:color="DCE2EF"/>
              <w:bottom w:val="single" w:sz="8" w:color="DCE2EF"/>
            </w:tcBorders>
            <w:gridSpan w:val="2"/>
            <w:shd w:val="clear" w:color="auto" w:fill="DCE2EF"/>
          </w:tcPr>
          <w:p>
            <w:pPr>
              <w:spacing w:after="0"/>
              <w:rPr>
                <w:sz w:val="15"/>
                <w:szCs w:val="15"/>
                <w:color w:val="auto"/>
              </w:rPr>
            </w:pPr>
          </w:p>
        </w:tc>
        <w:tc>
          <w:tcPr>
            <w:tcW w:w="680" w:type="dxa"/>
            <w:vAlign w:val="bottom"/>
            <w:tcBorders>
              <w:top w:val="single" w:sz="8" w:color="DCE2EF"/>
              <w:bottom w:val="single" w:sz="8" w:color="DCE2EF"/>
            </w:tcBorders>
            <w:shd w:val="clear" w:color="auto" w:fill="DCE2EF"/>
          </w:tcPr>
          <w:p>
            <w:pPr>
              <w:spacing w:after="0"/>
              <w:rPr>
                <w:sz w:val="15"/>
                <w:szCs w:val="15"/>
                <w:color w:val="auto"/>
              </w:rPr>
            </w:pPr>
          </w:p>
        </w:tc>
        <w:tc>
          <w:tcPr>
            <w:tcW w:w="100" w:type="dxa"/>
            <w:vAlign w:val="bottom"/>
            <w:tcBorders>
              <w:top w:val="single" w:sz="8" w:color="DCE2EF"/>
              <w:bottom w:val="single" w:sz="8" w:color="DCE2EF"/>
            </w:tcBorders>
            <w:shd w:val="clear" w:color="auto" w:fill="DCE2EF"/>
          </w:tcPr>
          <w:p>
            <w:pPr>
              <w:spacing w:after="0"/>
              <w:rPr>
                <w:sz w:val="15"/>
                <w:szCs w:val="15"/>
                <w:color w:val="auto"/>
              </w:rPr>
            </w:pPr>
          </w:p>
        </w:tc>
        <w:tc>
          <w:tcPr>
            <w:tcW w:w="1260" w:type="dxa"/>
            <w:vAlign w:val="bottom"/>
            <w:tcBorders>
              <w:top w:val="single" w:sz="8" w:color="DCE2EF"/>
              <w:bottom w:val="single" w:sz="8" w:color="DCE2EF"/>
            </w:tcBorders>
            <w:shd w:val="clear" w:color="auto" w:fill="DCE2EF"/>
          </w:tcPr>
          <w:p>
            <w:pPr>
              <w:spacing w:after="0"/>
              <w:rPr>
                <w:sz w:val="15"/>
                <w:szCs w:val="15"/>
                <w:color w:val="auto"/>
              </w:rPr>
            </w:pPr>
          </w:p>
        </w:tc>
        <w:tc>
          <w:tcPr>
            <w:tcW w:w="100" w:type="dxa"/>
            <w:vAlign w:val="bottom"/>
            <w:tcBorders>
              <w:top w:val="single" w:sz="8" w:color="DCE2EF"/>
              <w:bottom w:val="single" w:sz="8" w:color="DCE2EF"/>
            </w:tcBorders>
            <w:shd w:val="clear" w:color="auto" w:fill="DCE2EF"/>
          </w:tcPr>
          <w:p>
            <w:pPr>
              <w:spacing w:after="0"/>
              <w:rPr>
                <w:sz w:val="15"/>
                <w:szCs w:val="15"/>
                <w:color w:val="auto"/>
              </w:rPr>
            </w:pPr>
          </w:p>
        </w:tc>
        <w:tc>
          <w:tcPr>
            <w:tcW w:w="920" w:type="dxa"/>
            <w:vAlign w:val="bottom"/>
            <w:tcBorders>
              <w:top w:val="single" w:sz="8" w:color="DCE2EF"/>
              <w:bottom w:val="single" w:sz="8" w:color="DCE2EF"/>
            </w:tcBorders>
            <w:shd w:val="clear" w:color="auto" w:fill="DCE2EF"/>
          </w:tcPr>
          <w:p>
            <w:pPr>
              <w:spacing w:after="0"/>
              <w:rPr>
                <w:sz w:val="15"/>
                <w:szCs w:val="15"/>
                <w:color w:val="auto"/>
              </w:rPr>
            </w:pPr>
          </w:p>
        </w:tc>
        <w:tc>
          <w:tcPr>
            <w:tcW w:w="100" w:type="dxa"/>
            <w:vAlign w:val="bottom"/>
            <w:tcBorders>
              <w:top w:val="single" w:sz="8" w:color="DCE2EF"/>
              <w:bottom w:val="single" w:sz="8" w:color="DCE2EF"/>
            </w:tcBorders>
            <w:shd w:val="clear" w:color="auto" w:fill="DCE2EF"/>
          </w:tcPr>
          <w:p>
            <w:pPr>
              <w:spacing w:after="0"/>
              <w:rPr>
                <w:sz w:val="15"/>
                <w:szCs w:val="15"/>
                <w:color w:val="auto"/>
              </w:rPr>
            </w:pPr>
          </w:p>
        </w:tc>
        <w:tc>
          <w:tcPr>
            <w:tcW w:w="2140" w:type="dxa"/>
            <w:vAlign w:val="bottom"/>
            <w:tcBorders>
              <w:top w:val="single" w:sz="8" w:color="DCE2EF"/>
              <w:bottom w:val="single" w:sz="8" w:color="DCE2EF"/>
            </w:tcBorders>
            <w:shd w:val="clear" w:color="auto" w:fill="DCE2E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1180" w:type="dxa"/>
            <w:vAlign w:val="bottom"/>
            <w:shd w:val="clear" w:color="auto" w:fill="DCE2EF"/>
          </w:tcPr>
          <w:p>
            <w:pPr>
              <w:spacing w:after="0"/>
              <w:rPr>
                <w:sz w:val="16"/>
                <w:szCs w:val="16"/>
                <w:color w:val="auto"/>
              </w:rPr>
            </w:pPr>
          </w:p>
        </w:tc>
        <w:tc>
          <w:tcPr>
            <w:tcW w:w="120" w:type="dxa"/>
            <w:vAlign w:val="bottom"/>
            <w:tcBorders>
              <w:right w:val="single" w:sz="8" w:color="DCE2EF"/>
            </w:tcBorders>
            <w:shd w:val="clear" w:color="auto" w:fill="DCE2EF"/>
          </w:tcPr>
          <w:p>
            <w:pPr>
              <w:spacing w:after="0"/>
              <w:rPr>
                <w:sz w:val="16"/>
                <w:szCs w:val="16"/>
                <w:color w:val="auto"/>
              </w:rPr>
            </w:pPr>
          </w:p>
        </w:tc>
        <w:tc>
          <w:tcPr>
            <w:tcW w:w="4640" w:type="dxa"/>
            <w:vAlign w:val="bottom"/>
            <w:gridSpan w:val="32"/>
            <w:shd w:val="clear" w:color="auto" w:fill="DCE2EF"/>
          </w:tcPr>
          <w:p>
            <w:pPr>
              <w:spacing w:after="0" w:line="186" w:lineRule="exact"/>
              <w:rPr>
                <w:rFonts w:ascii="Arial" w:cs="Arial" w:eastAsia="Arial" w:hAnsi="Arial"/>
                <w:sz w:val="17"/>
                <w:szCs w:val="17"/>
                <w:color w:val="0000FF"/>
              </w:rPr>
            </w:pPr>
            <w:hyperlink r:id="rId167">
              <w:r>
                <w:rPr>
                  <w:rFonts w:ascii="Arial" w:cs="Arial" w:eastAsia="Arial" w:hAnsi="Arial"/>
                  <w:sz w:val="17"/>
                  <w:szCs w:val="17"/>
                  <w:color w:val="0000FF"/>
                </w:rPr>
                <w:t>Merger Sub, Inc., RavenVolt, Inc. and Jonathan Hinton, as</w:t>
              </w:r>
            </w:hyperlink>
          </w:p>
        </w:tc>
        <w:tc>
          <w:tcPr>
            <w:tcW w:w="680" w:type="dxa"/>
            <w:vAlign w:val="bottom"/>
            <w:shd w:val="clear" w:color="auto" w:fill="DCE2EF"/>
          </w:tcPr>
          <w:p>
            <w:pPr>
              <w:spacing w:after="0"/>
              <w:rPr>
                <w:sz w:val="16"/>
                <w:szCs w:val="16"/>
                <w:color w:val="auto"/>
              </w:rPr>
            </w:pPr>
          </w:p>
        </w:tc>
        <w:tc>
          <w:tcPr>
            <w:tcW w:w="100" w:type="dxa"/>
            <w:vAlign w:val="bottom"/>
            <w:shd w:val="clear" w:color="auto" w:fill="DCE2EF"/>
          </w:tcPr>
          <w:p>
            <w:pPr>
              <w:spacing w:after="0"/>
              <w:rPr>
                <w:sz w:val="16"/>
                <w:szCs w:val="16"/>
                <w:color w:val="auto"/>
              </w:rPr>
            </w:pPr>
          </w:p>
        </w:tc>
        <w:tc>
          <w:tcPr>
            <w:tcW w:w="1260" w:type="dxa"/>
            <w:vAlign w:val="bottom"/>
            <w:shd w:val="clear" w:color="auto" w:fill="DCE2EF"/>
          </w:tcPr>
          <w:p>
            <w:pPr>
              <w:spacing w:after="0"/>
              <w:rPr>
                <w:sz w:val="16"/>
                <w:szCs w:val="16"/>
                <w:color w:val="auto"/>
              </w:rPr>
            </w:pPr>
          </w:p>
        </w:tc>
        <w:tc>
          <w:tcPr>
            <w:tcW w:w="100" w:type="dxa"/>
            <w:vAlign w:val="bottom"/>
            <w:shd w:val="clear" w:color="auto" w:fill="DCE2EF"/>
          </w:tcPr>
          <w:p>
            <w:pPr>
              <w:spacing w:after="0"/>
              <w:rPr>
                <w:sz w:val="16"/>
                <w:szCs w:val="16"/>
                <w:color w:val="auto"/>
              </w:rPr>
            </w:pPr>
          </w:p>
        </w:tc>
        <w:tc>
          <w:tcPr>
            <w:tcW w:w="920" w:type="dxa"/>
            <w:vAlign w:val="bottom"/>
            <w:shd w:val="clear" w:color="auto" w:fill="DCE2EF"/>
          </w:tcPr>
          <w:p>
            <w:pPr>
              <w:spacing w:after="0"/>
              <w:rPr>
                <w:sz w:val="16"/>
                <w:szCs w:val="16"/>
                <w:color w:val="auto"/>
              </w:rPr>
            </w:pPr>
          </w:p>
        </w:tc>
        <w:tc>
          <w:tcPr>
            <w:tcW w:w="100" w:type="dxa"/>
            <w:vAlign w:val="bottom"/>
            <w:shd w:val="clear" w:color="auto" w:fill="DCE2EF"/>
          </w:tcPr>
          <w:p>
            <w:pPr>
              <w:spacing w:after="0"/>
              <w:rPr>
                <w:sz w:val="16"/>
                <w:szCs w:val="16"/>
                <w:color w:val="auto"/>
              </w:rPr>
            </w:pPr>
          </w:p>
        </w:tc>
        <w:tc>
          <w:tcPr>
            <w:tcW w:w="2140" w:type="dxa"/>
            <w:vAlign w:val="bottom"/>
            <w:shd w:val="clear" w:color="auto" w:fill="DCE2EF"/>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1180" w:type="dxa"/>
            <w:vAlign w:val="bottom"/>
            <w:tcBorders>
              <w:top w:val="single" w:sz="8" w:color="DCE2EF"/>
            </w:tcBorders>
            <w:shd w:val="clear" w:color="auto" w:fill="DCE2EF"/>
          </w:tcPr>
          <w:p>
            <w:pPr>
              <w:spacing w:after="0"/>
              <w:rPr>
                <w:sz w:val="15"/>
                <w:szCs w:val="15"/>
                <w:color w:val="auto"/>
              </w:rPr>
            </w:pPr>
          </w:p>
        </w:tc>
        <w:tc>
          <w:tcPr>
            <w:tcW w:w="120" w:type="dxa"/>
            <w:vAlign w:val="bottom"/>
            <w:tcBorders>
              <w:top w:val="single" w:sz="8" w:color="DCE2EF"/>
              <w:right w:val="single" w:sz="8" w:color="DCE2EF"/>
            </w:tcBorders>
            <w:shd w:val="clear" w:color="auto" w:fill="DCE2EF"/>
          </w:tcPr>
          <w:p>
            <w:pPr>
              <w:spacing w:after="0"/>
              <w:rPr>
                <w:sz w:val="15"/>
                <w:szCs w:val="15"/>
                <w:color w:val="auto"/>
              </w:rPr>
            </w:pPr>
          </w:p>
        </w:tc>
        <w:tc>
          <w:tcPr>
            <w:tcW w:w="4460" w:type="dxa"/>
            <w:vAlign w:val="bottom"/>
            <w:tcBorders>
              <w:top w:val="single" w:sz="8" w:color="0000FF"/>
            </w:tcBorders>
            <w:gridSpan w:val="26"/>
            <w:shd w:val="clear" w:color="auto" w:fill="DCE2EF"/>
          </w:tcPr>
          <w:p>
            <w:pPr>
              <w:spacing w:after="0" w:line="173" w:lineRule="exact"/>
              <w:rPr>
                <w:rFonts w:ascii="Arial" w:cs="Arial" w:eastAsia="Arial" w:hAnsi="Arial"/>
                <w:sz w:val="17"/>
                <w:szCs w:val="17"/>
                <w:color w:val="0000FF"/>
              </w:rPr>
            </w:pPr>
            <w:hyperlink r:id="rId167">
              <w:r>
                <w:rPr>
                  <w:rFonts w:ascii="Arial" w:cs="Arial" w:eastAsia="Arial" w:hAnsi="Arial"/>
                  <w:sz w:val="17"/>
                  <w:szCs w:val="17"/>
                  <w:color w:val="0000FF"/>
                </w:rPr>
                <w:t>shareholders’ representative</w:t>
              </w:r>
            </w:hyperlink>
          </w:p>
        </w:tc>
        <w:tc>
          <w:tcPr>
            <w:tcW w:w="20" w:type="dxa"/>
            <w:vAlign w:val="bottom"/>
            <w:tcBorders>
              <w:top w:val="single" w:sz="8" w:color="DCE2EF"/>
            </w:tcBorders>
            <w:shd w:val="clear" w:color="auto" w:fill="DCE2EF"/>
          </w:tcPr>
          <w:p>
            <w:pPr>
              <w:spacing w:after="0"/>
              <w:rPr>
                <w:sz w:val="15"/>
                <w:szCs w:val="15"/>
                <w:color w:val="auto"/>
              </w:rPr>
            </w:pPr>
          </w:p>
        </w:tc>
        <w:tc>
          <w:tcPr>
            <w:tcW w:w="40" w:type="dxa"/>
            <w:vAlign w:val="bottom"/>
            <w:tcBorders>
              <w:top w:val="single" w:sz="8" w:color="DCE2EF"/>
            </w:tcBorders>
            <w:gridSpan w:val="2"/>
            <w:shd w:val="clear" w:color="auto" w:fill="DCE2EF"/>
          </w:tcPr>
          <w:p>
            <w:pPr>
              <w:spacing w:after="0"/>
              <w:rPr>
                <w:sz w:val="15"/>
                <w:szCs w:val="15"/>
                <w:color w:val="auto"/>
              </w:rPr>
            </w:pPr>
          </w:p>
        </w:tc>
        <w:tc>
          <w:tcPr>
            <w:tcW w:w="20" w:type="dxa"/>
            <w:vAlign w:val="bottom"/>
            <w:tcBorders>
              <w:top w:val="single" w:sz="8" w:color="DCE2EF"/>
            </w:tcBorders>
            <w:shd w:val="clear" w:color="auto" w:fill="DCE2EF"/>
          </w:tcPr>
          <w:p>
            <w:pPr>
              <w:spacing w:after="0"/>
              <w:rPr>
                <w:sz w:val="15"/>
                <w:szCs w:val="15"/>
                <w:color w:val="auto"/>
              </w:rPr>
            </w:pPr>
          </w:p>
        </w:tc>
        <w:tc>
          <w:tcPr>
            <w:tcW w:w="100" w:type="dxa"/>
            <w:vAlign w:val="bottom"/>
            <w:tcBorders>
              <w:top w:val="single" w:sz="8" w:color="DCE2EF"/>
            </w:tcBorders>
            <w:gridSpan w:val="2"/>
            <w:shd w:val="clear" w:color="auto" w:fill="DCE2EF"/>
          </w:tcPr>
          <w:p>
            <w:pPr>
              <w:spacing w:after="0"/>
              <w:rPr>
                <w:sz w:val="15"/>
                <w:szCs w:val="15"/>
                <w:color w:val="auto"/>
              </w:rPr>
            </w:pPr>
          </w:p>
        </w:tc>
        <w:tc>
          <w:tcPr>
            <w:tcW w:w="680" w:type="dxa"/>
            <w:vAlign w:val="bottom"/>
            <w:tcBorders>
              <w:top w:val="single" w:sz="8" w:color="DCE2EF"/>
            </w:tcBorders>
            <w:shd w:val="clear" w:color="auto" w:fill="DCE2EF"/>
          </w:tcPr>
          <w:p>
            <w:pPr>
              <w:spacing w:after="0"/>
              <w:rPr>
                <w:sz w:val="15"/>
                <w:szCs w:val="15"/>
                <w:color w:val="auto"/>
              </w:rPr>
            </w:pPr>
          </w:p>
        </w:tc>
        <w:tc>
          <w:tcPr>
            <w:tcW w:w="100" w:type="dxa"/>
            <w:vAlign w:val="bottom"/>
            <w:tcBorders>
              <w:top w:val="single" w:sz="8" w:color="DCE2EF"/>
            </w:tcBorders>
            <w:shd w:val="clear" w:color="auto" w:fill="DCE2EF"/>
          </w:tcPr>
          <w:p>
            <w:pPr>
              <w:spacing w:after="0"/>
              <w:rPr>
                <w:sz w:val="15"/>
                <w:szCs w:val="15"/>
                <w:color w:val="auto"/>
              </w:rPr>
            </w:pPr>
          </w:p>
        </w:tc>
        <w:tc>
          <w:tcPr>
            <w:tcW w:w="1260" w:type="dxa"/>
            <w:vAlign w:val="bottom"/>
            <w:tcBorders>
              <w:top w:val="single" w:sz="8" w:color="DCE2EF"/>
            </w:tcBorders>
            <w:shd w:val="clear" w:color="auto" w:fill="DCE2EF"/>
          </w:tcPr>
          <w:p>
            <w:pPr>
              <w:spacing w:after="0"/>
              <w:rPr>
                <w:sz w:val="15"/>
                <w:szCs w:val="15"/>
                <w:color w:val="auto"/>
              </w:rPr>
            </w:pPr>
          </w:p>
        </w:tc>
        <w:tc>
          <w:tcPr>
            <w:tcW w:w="100" w:type="dxa"/>
            <w:vAlign w:val="bottom"/>
            <w:tcBorders>
              <w:top w:val="single" w:sz="8" w:color="DCE2EF"/>
            </w:tcBorders>
            <w:shd w:val="clear" w:color="auto" w:fill="DCE2EF"/>
          </w:tcPr>
          <w:p>
            <w:pPr>
              <w:spacing w:after="0"/>
              <w:rPr>
                <w:sz w:val="15"/>
                <w:szCs w:val="15"/>
                <w:color w:val="auto"/>
              </w:rPr>
            </w:pPr>
          </w:p>
        </w:tc>
        <w:tc>
          <w:tcPr>
            <w:tcW w:w="920" w:type="dxa"/>
            <w:vAlign w:val="bottom"/>
            <w:tcBorders>
              <w:top w:val="single" w:sz="8" w:color="DCE2EF"/>
            </w:tcBorders>
            <w:shd w:val="clear" w:color="auto" w:fill="DCE2EF"/>
          </w:tcPr>
          <w:p>
            <w:pPr>
              <w:spacing w:after="0"/>
              <w:rPr>
                <w:sz w:val="15"/>
                <w:szCs w:val="15"/>
                <w:color w:val="auto"/>
              </w:rPr>
            </w:pPr>
          </w:p>
        </w:tc>
        <w:tc>
          <w:tcPr>
            <w:tcW w:w="100" w:type="dxa"/>
            <w:vAlign w:val="bottom"/>
            <w:tcBorders>
              <w:top w:val="single" w:sz="8" w:color="DCE2EF"/>
            </w:tcBorders>
            <w:shd w:val="clear" w:color="auto" w:fill="DCE2EF"/>
          </w:tcPr>
          <w:p>
            <w:pPr>
              <w:spacing w:after="0"/>
              <w:rPr>
                <w:sz w:val="15"/>
                <w:szCs w:val="15"/>
                <w:color w:val="auto"/>
              </w:rPr>
            </w:pPr>
          </w:p>
        </w:tc>
        <w:tc>
          <w:tcPr>
            <w:tcW w:w="2140" w:type="dxa"/>
            <w:vAlign w:val="bottom"/>
            <w:tcBorders>
              <w:top w:val="single" w:sz="8" w:color="DCE2EF"/>
            </w:tcBorders>
            <w:shd w:val="clear" w:color="auto" w:fill="DCE2EF"/>
          </w:tcPr>
          <w:p>
            <w:pPr>
              <w:spacing w:after="0"/>
              <w:rPr>
                <w:sz w:val="15"/>
                <w:szCs w:val="15"/>
                <w:color w:val="auto"/>
              </w:rPr>
            </w:pPr>
          </w:p>
        </w:tc>
        <w:tc>
          <w:tcPr>
            <w:tcW w:w="0" w:type="dxa"/>
            <w:vAlign w:val="bottom"/>
          </w:tcPr>
          <w:p>
            <w:pPr>
              <w:spacing w:after="0"/>
              <w:rPr>
                <w:sz w:val="1"/>
                <w:szCs w:val="1"/>
                <w:color w:val="auto"/>
              </w:rPr>
            </w:pPr>
          </w:p>
        </w:tc>
      </w:tr>
      <w:tr>
        <w:trPr>
          <w:trHeight w:val="32"/>
        </w:trPr>
        <w:tc>
          <w:tcPr>
            <w:tcW w:w="1180" w:type="dxa"/>
            <w:vAlign w:val="bottom"/>
            <w:tcBorders>
              <w:top w:val="single" w:sz="8" w:color="DCE2EF"/>
            </w:tcBorders>
            <w:shd w:val="clear" w:color="auto" w:fill="DCE2EF"/>
          </w:tcPr>
          <w:p>
            <w:pPr>
              <w:spacing w:after="0"/>
              <w:rPr>
                <w:sz w:val="2"/>
                <w:szCs w:val="2"/>
                <w:color w:val="auto"/>
              </w:rPr>
            </w:pPr>
          </w:p>
        </w:tc>
        <w:tc>
          <w:tcPr>
            <w:tcW w:w="120" w:type="dxa"/>
            <w:vAlign w:val="bottom"/>
            <w:tcBorders>
              <w:top w:val="single" w:sz="8" w:color="DCE2EF"/>
              <w:right w:val="single" w:sz="8" w:color="DCE2EF"/>
            </w:tcBorders>
            <w:shd w:val="clear" w:color="auto" w:fill="DCE2EF"/>
          </w:tcPr>
          <w:p>
            <w:pPr>
              <w:spacing w:after="0"/>
              <w:rPr>
                <w:sz w:val="2"/>
                <w:szCs w:val="2"/>
                <w:color w:val="auto"/>
              </w:rPr>
            </w:pPr>
          </w:p>
        </w:tc>
        <w:tc>
          <w:tcPr>
            <w:tcW w:w="1540" w:type="dxa"/>
            <w:vAlign w:val="bottom"/>
            <w:tcBorders>
              <w:top w:val="single" w:sz="8" w:color="0000FF"/>
            </w:tcBorders>
            <w:shd w:val="clear" w:color="auto" w:fill="DCE2EF"/>
          </w:tcPr>
          <w:p>
            <w:pPr>
              <w:spacing w:after="0"/>
              <w:rPr>
                <w:sz w:val="2"/>
                <w:szCs w:val="2"/>
                <w:color w:val="auto"/>
              </w:rPr>
            </w:pPr>
          </w:p>
        </w:tc>
        <w:tc>
          <w:tcPr>
            <w:tcW w:w="220" w:type="dxa"/>
            <w:vAlign w:val="bottom"/>
            <w:tcBorders>
              <w:top w:val="single" w:sz="8" w:color="0000FF"/>
            </w:tcBorders>
            <w:shd w:val="clear" w:color="auto" w:fill="DCE2EF"/>
          </w:tcPr>
          <w:p>
            <w:pPr>
              <w:spacing w:after="0"/>
              <w:rPr>
                <w:sz w:val="2"/>
                <w:szCs w:val="2"/>
                <w:color w:val="auto"/>
              </w:rPr>
            </w:pPr>
          </w:p>
        </w:tc>
        <w:tc>
          <w:tcPr>
            <w:tcW w:w="400" w:type="dxa"/>
            <w:vAlign w:val="bottom"/>
            <w:tcBorders>
              <w:top w:val="single" w:sz="8" w:color="0000FF"/>
            </w:tcBorders>
            <w:shd w:val="clear" w:color="auto" w:fill="DCE2EF"/>
          </w:tcPr>
          <w:p>
            <w:pPr>
              <w:spacing w:after="0"/>
              <w:rPr>
                <w:sz w:val="2"/>
                <w:szCs w:val="2"/>
                <w:color w:val="auto"/>
              </w:rPr>
            </w:pPr>
          </w:p>
        </w:tc>
        <w:tc>
          <w:tcPr>
            <w:tcW w:w="140" w:type="dxa"/>
            <w:vAlign w:val="bottom"/>
            <w:tcBorders>
              <w:top w:val="single" w:sz="8" w:color="DCE2EF"/>
            </w:tcBorders>
            <w:shd w:val="clear" w:color="auto" w:fill="DCE2EF"/>
          </w:tcPr>
          <w:p>
            <w:pPr>
              <w:spacing w:after="0"/>
              <w:rPr>
                <w:sz w:val="2"/>
                <w:szCs w:val="2"/>
                <w:color w:val="auto"/>
              </w:rPr>
            </w:pPr>
          </w:p>
        </w:tc>
        <w:tc>
          <w:tcPr>
            <w:tcW w:w="380" w:type="dxa"/>
            <w:vAlign w:val="bottom"/>
            <w:tcBorders>
              <w:top w:val="single" w:sz="8" w:color="DCE2EF"/>
            </w:tcBorders>
            <w:shd w:val="clear" w:color="auto" w:fill="DCE2EF"/>
          </w:tcPr>
          <w:p>
            <w:pPr>
              <w:spacing w:after="0"/>
              <w:rPr>
                <w:sz w:val="2"/>
                <w:szCs w:val="2"/>
                <w:color w:val="auto"/>
              </w:rPr>
            </w:pPr>
          </w:p>
        </w:tc>
        <w:tc>
          <w:tcPr>
            <w:tcW w:w="40" w:type="dxa"/>
            <w:vAlign w:val="bottom"/>
            <w:tcBorders>
              <w:top w:val="single" w:sz="8" w:color="DCE2EF"/>
            </w:tcBorders>
            <w:shd w:val="clear" w:color="auto" w:fill="DCE2EF"/>
          </w:tcPr>
          <w:p>
            <w:pPr>
              <w:spacing w:after="0"/>
              <w:rPr>
                <w:sz w:val="2"/>
                <w:szCs w:val="2"/>
                <w:color w:val="auto"/>
              </w:rPr>
            </w:pPr>
          </w:p>
        </w:tc>
        <w:tc>
          <w:tcPr>
            <w:tcW w:w="80" w:type="dxa"/>
            <w:vAlign w:val="bottom"/>
            <w:tcBorders>
              <w:top w:val="single" w:sz="8" w:color="DCE2EF"/>
            </w:tcBorders>
            <w:shd w:val="clear" w:color="auto" w:fill="DCE2EF"/>
          </w:tcPr>
          <w:p>
            <w:pPr>
              <w:spacing w:after="0"/>
              <w:rPr>
                <w:sz w:val="2"/>
                <w:szCs w:val="2"/>
                <w:color w:val="auto"/>
              </w:rPr>
            </w:pPr>
          </w:p>
        </w:tc>
        <w:tc>
          <w:tcPr>
            <w:tcW w:w="780" w:type="dxa"/>
            <w:vAlign w:val="bottom"/>
            <w:tcBorders>
              <w:top w:val="single" w:sz="8" w:color="DCE2EF"/>
            </w:tcBorders>
            <w:shd w:val="clear" w:color="auto" w:fill="DCE2EF"/>
          </w:tcPr>
          <w:p>
            <w:pPr>
              <w:spacing w:after="0"/>
              <w:rPr>
                <w:sz w:val="2"/>
                <w:szCs w:val="2"/>
                <w:color w:val="auto"/>
              </w:rPr>
            </w:pPr>
          </w:p>
        </w:tc>
        <w:tc>
          <w:tcPr>
            <w:tcW w:w="140" w:type="dxa"/>
            <w:vAlign w:val="bottom"/>
            <w:tcBorders>
              <w:top w:val="single" w:sz="8" w:color="DCE2EF"/>
            </w:tcBorders>
            <w:shd w:val="clear" w:color="auto" w:fill="DCE2EF"/>
          </w:tcPr>
          <w:p>
            <w:pPr>
              <w:spacing w:after="0"/>
              <w:rPr>
                <w:sz w:val="2"/>
                <w:szCs w:val="2"/>
                <w:color w:val="auto"/>
              </w:rPr>
            </w:pPr>
          </w:p>
        </w:tc>
        <w:tc>
          <w:tcPr>
            <w:tcW w:w="8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12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6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40" w:type="dxa"/>
            <w:vAlign w:val="bottom"/>
            <w:tcBorders>
              <w:top w:val="single" w:sz="8" w:color="DCE2EF"/>
            </w:tcBorders>
            <w:shd w:val="clear" w:color="auto" w:fill="DCE2EF"/>
          </w:tcPr>
          <w:p>
            <w:pPr>
              <w:spacing w:after="0"/>
              <w:rPr>
                <w:sz w:val="2"/>
                <w:szCs w:val="2"/>
                <w:color w:val="auto"/>
              </w:rPr>
            </w:pPr>
          </w:p>
        </w:tc>
        <w:tc>
          <w:tcPr>
            <w:tcW w:w="6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100" w:type="dxa"/>
            <w:vAlign w:val="bottom"/>
            <w:tcBorders>
              <w:top w:val="single" w:sz="8" w:color="DCE2EF"/>
              <w:right w:val="single" w:sz="8" w:color="DCE2EF"/>
            </w:tcBorders>
            <w:shd w:val="clear" w:color="auto" w:fill="DCE2EF"/>
          </w:tcPr>
          <w:p>
            <w:pPr>
              <w:spacing w:after="0"/>
              <w:rPr>
                <w:sz w:val="2"/>
                <w:szCs w:val="2"/>
                <w:color w:val="auto"/>
              </w:rPr>
            </w:pPr>
          </w:p>
        </w:tc>
        <w:tc>
          <w:tcPr>
            <w:tcW w:w="60" w:type="dxa"/>
            <w:vAlign w:val="bottom"/>
            <w:tcBorders>
              <w:top w:val="single" w:sz="8" w:color="DCE2EF"/>
            </w:tcBorders>
            <w:shd w:val="clear" w:color="auto" w:fill="DCE2EF"/>
          </w:tcPr>
          <w:p>
            <w:pPr>
              <w:spacing w:after="0"/>
              <w:rPr>
                <w:sz w:val="2"/>
                <w:szCs w:val="2"/>
                <w:color w:val="auto"/>
              </w:rPr>
            </w:pPr>
          </w:p>
        </w:tc>
        <w:tc>
          <w:tcPr>
            <w:tcW w:w="4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80" w:type="dxa"/>
            <w:vAlign w:val="bottom"/>
            <w:tcBorders>
              <w:top w:val="single" w:sz="8" w:color="DCE2EF"/>
            </w:tcBorders>
            <w:shd w:val="clear" w:color="auto" w:fill="DCE2EF"/>
          </w:tcPr>
          <w:p>
            <w:pPr>
              <w:spacing w:after="0"/>
              <w:rPr>
                <w:sz w:val="2"/>
                <w:szCs w:val="2"/>
                <w:color w:val="auto"/>
              </w:rPr>
            </w:pPr>
          </w:p>
        </w:tc>
        <w:tc>
          <w:tcPr>
            <w:tcW w:w="680" w:type="dxa"/>
            <w:vAlign w:val="bottom"/>
            <w:tcBorders>
              <w:top w:val="single" w:sz="8" w:color="DCE2EF"/>
            </w:tcBorders>
            <w:shd w:val="clear" w:color="auto" w:fill="DCE2EF"/>
          </w:tcPr>
          <w:p>
            <w:pPr>
              <w:spacing w:after="0"/>
              <w:rPr>
                <w:sz w:val="2"/>
                <w:szCs w:val="2"/>
                <w:color w:val="auto"/>
              </w:rPr>
            </w:pPr>
          </w:p>
        </w:tc>
        <w:tc>
          <w:tcPr>
            <w:tcW w:w="100" w:type="dxa"/>
            <w:vAlign w:val="bottom"/>
            <w:tcBorders>
              <w:top w:val="single" w:sz="8" w:color="DCE2EF"/>
            </w:tcBorders>
            <w:shd w:val="clear" w:color="auto" w:fill="DCE2EF"/>
          </w:tcPr>
          <w:p>
            <w:pPr>
              <w:spacing w:after="0"/>
              <w:rPr>
                <w:sz w:val="2"/>
                <w:szCs w:val="2"/>
                <w:color w:val="auto"/>
              </w:rPr>
            </w:pPr>
          </w:p>
        </w:tc>
        <w:tc>
          <w:tcPr>
            <w:tcW w:w="1260" w:type="dxa"/>
            <w:vAlign w:val="bottom"/>
            <w:tcBorders>
              <w:top w:val="single" w:sz="8" w:color="DCE2EF"/>
            </w:tcBorders>
            <w:shd w:val="clear" w:color="auto" w:fill="DCE2EF"/>
          </w:tcPr>
          <w:p>
            <w:pPr>
              <w:spacing w:after="0"/>
              <w:rPr>
                <w:sz w:val="2"/>
                <w:szCs w:val="2"/>
                <w:color w:val="auto"/>
              </w:rPr>
            </w:pPr>
          </w:p>
        </w:tc>
        <w:tc>
          <w:tcPr>
            <w:tcW w:w="100" w:type="dxa"/>
            <w:vAlign w:val="bottom"/>
            <w:tcBorders>
              <w:top w:val="single" w:sz="8" w:color="DCE2EF"/>
            </w:tcBorders>
            <w:shd w:val="clear" w:color="auto" w:fill="DCE2EF"/>
          </w:tcPr>
          <w:p>
            <w:pPr>
              <w:spacing w:after="0"/>
              <w:rPr>
                <w:sz w:val="2"/>
                <w:szCs w:val="2"/>
                <w:color w:val="auto"/>
              </w:rPr>
            </w:pPr>
          </w:p>
        </w:tc>
        <w:tc>
          <w:tcPr>
            <w:tcW w:w="920" w:type="dxa"/>
            <w:vAlign w:val="bottom"/>
            <w:tcBorders>
              <w:top w:val="single" w:sz="8" w:color="DCE2EF"/>
            </w:tcBorders>
            <w:shd w:val="clear" w:color="auto" w:fill="DCE2EF"/>
          </w:tcPr>
          <w:p>
            <w:pPr>
              <w:spacing w:after="0"/>
              <w:rPr>
                <w:sz w:val="2"/>
                <w:szCs w:val="2"/>
                <w:color w:val="auto"/>
              </w:rPr>
            </w:pPr>
          </w:p>
        </w:tc>
        <w:tc>
          <w:tcPr>
            <w:tcW w:w="100" w:type="dxa"/>
            <w:vAlign w:val="bottom"/>
            <w:tcBorders>
              <w:top w:val="single" w:sz="8" w:color="DCE2EF"/>
            </w:tcBorders>
            <w:shd w:val="clear" w:color="auto" w:fill="DCE2EF"/>
          </w:tcPr>
          <w:p>
            <w:pPr>
              <w:spacing w:after="0"/>
              <w:rPr>
                <w:sz w:val="2"/>
                <w:szCs w:val="2"/>
                <w:color w:val="auto"/>
              </w:rPr>
            </w:pPr>
          </w:p>
        </w:tc>
        <w:tc>
          <w:tcPr>
            <w:tcW w:w="2140" w:type="dxa"/>
            <w:vAlign w:val="bottom"/>
            <w:tcBorders>
              <w:top w:val="single" w:sz="8" w:color="DCE2EF"/>
            </w:tcBorders>
            <w:shd w:val="clear" w:color="auto" w:fill="DCE2E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1180" w:type="dxa"/>
            <w:vAlign w:val="bottom"/>
          </w:tcPr>
          <w:p>
            <w:pPr>
              <w:ind w:left="20"/>
              <w:spacing w:after="0" w:line="194" w:lineRule="exact"/>
              <w:rPr>
                <w:sz w:val="20"/>
                <w:szCs w:val="20"/>
                <w:color w:val="auto"/>
              </w:rPr>
            </w:pPr>
            <w:r>
              <w:rPr>
                <w:rFonts w:ascii="Arial" w:cs="Arial" w:eastAsia="Arial" w:hAnsi="Arial"/>
                <w:sz w:val="17"/>
                <w:szCs w:val="17"/>
                <w:color w:val="auto"/>
              </w:rPr>
              <w:t>3.1</w:t>
            </w:r>
          </w:p>
        </w:tc>
        <w:tc>
          <w:tcPr>
            <w:tcW w:w="120" w:type="dxa"/>
            <w:vAlign w:val="bottom"/>
          </w:tcPr>
          <w:p>
            <w:pPr>
              <w:spacing w:after="0"/>
              <w:rPr>
                <w:sz w:val="16"/>
                <w:szCs w:val="16"/>
                <w:color w:val="auto"/>
              </w:rPr>
            </w:pPr>
          </w:p>
        </w:tc>
        <w:tc>
          <w:tcPr>
            <w:tcW w:w="4640" w:type="dxa"/>
            <w:vAlign w:val="bottom"/>
            <w:gridSpan w:val="32"/>
          </w:tcPr>
          <w:p>
            <w:pPr>
              <w:spacing w:after="0" w:line="194" w:lineRule="exact"/>
              <w:rPr>
                <w:rFonts w:ascii="Arial" w:cs="Arial" w:eastAsia="Arial" w:hAnsi="Arial"/>
                <w:sz w:val="17"/>
                <w:szCs w:val="17"/>
                <w:color w:val="0000FF"/>
              </w:rPr>
            </w:pPr>
            <w:hyperlink r:id="rId168">
              <w:r>
                <w:rPr>
                  <w:rFonts w:ascii="Arial" w:cs="Arial" w:eastAsia="Arial" w:hAnsi="Arial"/>
                  <w:sz w:val="17"/>
                  <w:szCs w:val="17"/>
                  <w:color w:val="0000FF"/>
                </w:rPr>
                <w:t>Restated Certificate of Incorporation of ABM Industries</w:t>
              </w:r>
            </w:hyperlink>
          </w:p>
        </w:tc>
        <w:tc>
          <w:tcPr>
            <w:tcW w:w="780" w:type="dxa"/>
            <w:vAlign w:val="bottom"/>
            <w:gridSpan w:val="2"/>
          </w:tcPr>
          <w:p>
            <w:pPr>
              <w:jc w:val="center"/>
              <w:ind w:right="100"/>
              <w:spacing w:after="0" w:line="194" w:lineRule="exact"/>
              <w:rPr>
                <w:sz w:val="20"/>
                <w:szCs w:val="20"/>
                <w:color w:val="auto"/>
              </w:rPr>
            </w:pPr>
            <w:r>
              <w:rPr>
                <w:rFonts w:ascii="Arial" w:cs="Arial" w:eastAsia="Arial" w:hAnsi="Arial"/>
                <w:sz w:val="17"/>
                <w:szCs w:val="17"/>
                <w:color w:val="auto"/>
              </w:rPr>
              <w:t>8-K</w:t>
            </w:r>
          </w:p>
        </w:tc>
        <w:tc>
          <w:tcPr>
            <w:tcW w:w="1260" w:type="dxa"/>
            <w:vAlign w:val="bottom"/>
          </w:tcPr>
          <w:p>
            <w:pPr>
              <w:jc w:val="center"/>
              <w:spacing w:after="0" w:line="194" w:lineRule="exact"/>
              <w:rPr>
                <w:sz w:val="20"/>
                <w:szCs w:val="20"/>
                <w:color w:val="auto"/>
              </w:rPr>
            </w:pPr>
            <w:r>
              <w:rPr>
                <w:rFonts w:ascii="Arial" w:cs="Arial" w:eastAsia="Arial" w:hAnsi="Arial"/>
                <w:sz w:val="17"/>
                <w:szCs w:val="17"/>
                <w:color w:val="auto"/>
              </w:rPr>
              <w:t>001-08929</w:t>
            </w:r>
          </w:p>
        </w:tc>
        <w:tc>
          <w:tcPr>
            <w:tcW w:w="100" w:type="dxa"/>
            <w:vAlign w:val="bottom"/>
          </w:tcPr>
          <w:p>
            <w:pPr>
              <w:spacing w:after="0"/>
              <w:rPr>
                <w:sz w:val="16"/>
                <w:szCs w:val="16"/>
                <w:color w:val="auto"/>
              </w:rPr>
            </w:pPr>
          </w:p>
        </w:tc>
        <w:tc>
          <w:tcPr>
            <w:tcW w:w="920" w:type="dxa"/>
            <w:vAlign w:val="bottom"/>
          </w:tcPr>
          <w:p>
            <w:pPr>
              <w:jc w:val="center"/>
              <w:spacing w:after="0" w:line="194" w:lineRule="exact"/>
              <w:rPr>
                <w:sz w:val="20"/>
                <w:szCs w:val="20"/>
                <w:color w:val="auto"/>
              </w:rPr>
            </w:pPr>
            <w:r>
              <w:rPr>
                <w:rFonts w:ascii="Arial" w:cs="Arial" w:eastAsia="Arial" w:hAnsi="Arial"/>
                <w:sz w:val="17"/>
                <w:szCs w:val="17"/>
                <w:color w:val="auto"/>
              </w:rPr>
              <w:t>3.1</w:t>
            </w:r>
          </w:p>
        </w:tc>
        <w:tc>
          <w:tcPr>
            <w:tcW w:w="100" w:type="dxa"/>
            <w:vAlign w:val="bottom"/>
          </w:tcPr>
          <w:p>
            <w:pPr>
              <w:spacing w:after="0"/>
              <w:rPr>
                <w:sz w:val="16"/>
                <w:szCs w:val="16"/>
                <w:color w:val="auto"/>
              </w:rPr>
            </w:pPr>
          </w:p>
        </w:tc>
        <w:tc>
          <w:tcPr>
            <w:tcW w:w="2140" w:type="dxa"/>
            <w:vAlign w:val="bottom"/>
          </w:tcPr>
          <w:p>
            <w:pPr>
              <w:jc w:val="center"/>
              <w:spacing w:after="0" w:line="194" w:lineRule="exact"/>
              <w:rPr>
                <w:sz w:val="20"/>
                <w:szCs w:val="20"/>
                <w:color w:val="auto"/>
              </w:rPr>
            </w:pPr>
            <w:r>
              <w:rPr>
                <w:rFonts w:ascii="Arial" w:cs="Arial" w:eastAsia="Arial" w:hAnsi="Arial"/>
                <w:sz w:val="17"/>
                <w:szCs w:val="17"/>
                <w:color w:val="auto"/>
              </w:rPr>
              <w:t>March 27, 2020</w:t>
            </w:r>
          </w:p>
        </w:tc>
        <w:tc>
          <w:tcPr>
            <w:tcW w:w="0" w:type="dxa"/>
            <w:vAlign w:val="bottom"/>
          </w:tcPr>
          <w:p>
            <w:pPr>
              <w:spacing w:after="0"/>
              <w:rPr>
                <w:sz w:val="1"/>
                <w:szCs w:val="1"/>
                <w:color w:val="auto"/>
              </w:rPr>
            </w:pPr>
          </w:p>
        </w:tc>
      </w:tr>
      <w:tr>
        <w:trPr>
          <w:trHeight w:val="173"/>
        </w:trPr>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160" w:type="dxa"/>
            <w:vAlign w:val="bottom"/>
            <w:tcBorders>
              <w:top w:val="single" w:sz="8" w:color="0000FF"/>
            </w:tcBorders>
            <w:gridSpan w:val="18"/>
          </w:tcPr>
          <w:p>
            <w:pPr>
              <w:spacing w:after="0" w:line="173" w:lineRule="exact"/>
              <w:rPr>
                <w:rFonts w:ascii="Arial" w:cs="Arial" w:eastAsia="Arial" w:hAnsi="Arial"/>
                <w:sz w:val="17"/>
                <w:szCs w:val="17"/>
                <w:color w:val="0000FF"/>
              </w:rPr>
            </w:pPr>
            <w:hyperlink r:id="rId168">
              <w:r>
                <w:rPr>
                  <w:rFonts w:ascii="Arial" w:cs="Arial" w:eastAsia="Arial" w:hAnsi="Arial"/>
                  <w:sz w:val="17"/>
                  <w:szCs w:val="17"/>
                  <w:color w:val="0000FF"/>
                </w:rPr>
                <w:t>Incorporated, dated March 26, 2020</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gridSpan w:val="2"/>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540" w:type="dxa"/>
            <w:vAlign w:val="bottom"/>
            <w:tcBorders>
              <w:top w:val="single" w:sz="8" w:color="0000FF"/>
            </w:tcBorders>
          </w:tcPr>
          <w:p>
            <w:pPr>
              <w:spacing w:after="0"/>
              <w:rPr>
                <w:sz w:val="3"/>
                <w:szCs w:val="3"/>
                <w:color w:val="auto"/>
              </w:rPr>
            </w:pPr>
          </w:p>
        </w:tc>
        <w:tc>
          <w:tcPr>
            <w:tcW w:w="220" w:type="dxa"/>
            <w:vAlign w:val="bottom"/>
            <w:tcBorders>
              <w:top w:val="single" w:sz="8" w:color="0000FF"/>
            </w:tcBorders>
          </w:tcPr>
          <w:p>
            <w:pPr>
              <w:spacing w:after="0"/>
              <w:rPr>
                <w:sz w:val="3"/>
                <w:szCs w:val="3"/>
                <w:color w:val="auto"/>
              </w:rPr>
            </w:pPr>
          </w:p>
        </w:tc>
        <w:tc>
          <w:tcPr>
            <w:tcW w:w="400" w:type="dxa"/>
            <w:vAlign w:val="bottom"/>
            <w:tcBorders>
              <w:top w:val="single" w:sz="8" w:color="0000FF"/>
            </w:tcBorders>
          </w:tcPr>
          <w:p>
            <w:pPr>
              <w:spacing w:after="0"/>
              <w:rPr>
                <w:sz w:val="3"/>
                <w:szCs w:val="3"/>
                <w:color w:val="auto"/>
              </w:rPr>
            </w:pPr>
          </w:p>
        </w:tc>
        <w:tc>
          <w:tcPr>
            <w:tcW w:w="140" w:type="dxa"/>
            <w:vAlign w:val="bottom"/>
            <w:tcBorders>
              <w:top w:val="single" w:sz="8" w:color="0000FF"/>
            </w:tcBorders>
          </w:tcPr>
          <w:p>
            <w:pPr>
              <w:spacing w:after="0"/>
              <w:rPr>
                <w:sz w:val="3"/>
                <w:szCs w:val="3"/>
                <w:color w:val="auto"/>
              </w:rPr>
            </w:pPr>
          </w:p>
        </w:tc>
        <w:tc>
          <w:tcPr>
            <w:tcW w:w="38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3"/>
        </w:trPr>
        <w:tc>
          <w:tcPr>
            <w:tcW w:w="1180" w:type="dxa"/>
            <w:vAlign w:val="bottom"/>
            <w:shd w:val="clear" w:color="auto" w:fill="DCE2EF"/>
          </w:tcPr>
          <w:p>
            <w:pPr>
              <w:ind w:left="20"/>
              <w:spacing w:after="0" w:line="194" w:lineRule="exact"/>
              <w:rPr>
                <w:sz w:val="20"/>
                <w:szCs w:val="20"/>
                <w:color w:val="auto"/>
              </w:rPr>
            </w:pPr>
            <w:r>
              <w:rPr>
                <w:rFonts w:ascii="Arial" w:cs="Arial" w:eastAsia="Arial" w:hAnsi="Arial"/>
                <w:sz w:val="17"/>
                <w:szCs w:val="17"/>
                <w:color w:val="auto"/>
              </w:rPr>
              <w:t>3.2</w:t>
            </w:r>
          </w:p>
        </w:tc>
        <w:tc>
          <w:tcPr>
            <w:tcW w:w="120" w:type="dxa"/>
            <w:vAlign w:val="bottom"/>
            <w:tcBorders>
              <w:right w:val="single" w:sz="8" w:color="DCE2EF"/>
            </w:tcBorders>
            <w:shd w:val="clear" w:color="auto" w:fill="DCE2EF"/>
          </w:tcPr>
          <w:p>
            <w:pPr>
              <w:spacing w:after="0"/>
              <w:rPr>
                <w:sz w:val="16"/>
                <w:szCs w:val="16"/>
                <w:color w:val="auto"/>
              </w:rPr>
            </w:pPr>
          </w:p>
        </w:tc>
        <w:tc>
          <w:tcPr>
            <w:tcW w:w="4640" w:type="dxa"/>
            <w:vAlign w:val="bottom"/>
            <w:gridSpan w:val="32"/>
            <w:shd w:val="clear" w:color="auto" w:fill="DCE2EF"/>
          </w:tcPr>
          <w:p>
            <w:pPr>
              <w:spacing w:after="0" w:line="194" w:lineRule="exact"/>
              <w:rPr>
                <w:rFonts w:ascii="Arial" w:cs="Arial" w:eastAsia="Arial" w:hAnsi="Arial"/>
                <w:sz w:val="17"/>
                <w:szCs w:val="17"/>
                <w:color w:val="0000FF"/>
              </w:rPr>
            </w:pPr>
            <w:hyperlink r:id="rId169">
              <w:r>
                <w:rPr>
                  <w:rFonts w:ascii="Arial" w:cs="Arial" w:eastAsia="Arial" w:hAnsi="Arial"/>
                  <w:sz w:val="17"/>
                  <w:szCs w:val="17"/>
                  <w:color w:val="0000FF"/>
                </w:rPr>
                <w:t>Amended and Restated Bylaws of ABM Industries</w:t>
              </w:r>
            </w:hyperlink>
          </w:p>
        </w:tc>
        <w:tc>
          <w:tcPr>
            <w:tcW w:w="780" w:type="dxa"/>
            <w:vAlign w:val="bottom"/>
            <w:gridSpan w:val="2"/>
            <w:shd w:val="clear" w:color="auto" w:fill="DCE2EF"/>
          </w:tcPr>
          <w:p>
            <w:pPr>
              <w:jc w:val="center"/>
              <w:ind w:right="100"/>
              <w:spacing w:after="0" w:line="194" w:lineRule="exact"/>
              <w:rPr>
                <w:sz w:val="20"/>
                <w:szCs w:val="20"/>
                <w:color w:val="auto"/>
              </w:rPr>
            </w:pPr>
            <w:r>
              <w:rPr>
                <w:rFonts w:ascii="Arial" w:cs="Arial" w:eastAsia="Arial" w:hAnsi="Arial"/>
                <w:sz w:val="17"/>
                <w:szCs w:val="17"/>
                <w:color w:val="auto"/>
              </w:rPr>
              <w:t>8-K</w:t>
            </w:r>
          </w:p>
        </w:tc>
        <w:tc>
          <w:tcPr>
            <w:tcW w:w="1260" w:type="dxa"/>
            <w:vAlign w:val="bottom"/>
            <w:shd w:val="clear" w:color="auto" w:fill="DCE2EF"/>
          </w:tcPr>
          <w:p>
            <w:pPr>
              <w:jc w:val="center"/>
              <w:spacing w:after="0" w:line="194" w:lineRule="exact"/>
              <w:rPr>
                <w:sz w:val="20"/>
                <w:szCs w:val="20"/>
                <w:color w:val="auto"/>
              </w:rPr>
            </w:pPr>
            <w:r>
              <w:rPr>
                <w:rFonts w:ascii="Arial" w:cs="Arial" w:eastAsia="Arial" w:hAnsi="Arial"/>
                <w:sz w:val="17"/>
                <w:szCs w:val="17"/>
                <w:color w:val="auto"/>
              </w:rPr>
              <w:t>001-08929</w:t>
            </w:r>
          </w:p>
        </w:tc>
        <w:tc>
          <w:tcPr>
            <w:tcW w:w="100" w:type="dxa"/>
            <w:vAlign w:val="bottom"/>
            <w:shd w:val="clear" w:color="auto" w:fill="DCE2EF"/>
          </w:tcPr>
          <w:p>
            <w:pPr>
              <w:spacing w:after="0"/>
              <w:rPr>
                <w:sz w:val="16"/>
                <w:szCs w:val="16"/>
                <w:color w:val="auto"/>
              </w:rPr>
            </w:pPr>
          </w:p>
        </w:tc>
        <w:tc>
          <w:tcPr>
            <w:tcW w:w="920" w:type="dxa"/>
            <w:vAlign w:val="bottom"/>
            <w:shd w:val="clear" w:color="auto" w:fill="DCE2EF"/>
          </w:tcPr>
          <w:p>
            <w:pPr>
              <w:jc w:val="center"/>
              <w:spacing w:after="0" w:line="194" w:lineRule="exact"/>
              <w:rPr>
                <w:sz w:val="20"/>
                <w:szCs w:val="20"/>
                <w:color w:val="auto"/>
              </w:rPr>
            </w:pPr>
            <w:r>
              <w:rPr>
                <w:rFonts w:ascii="Arial" w:cs="Arial" w:eastAsia="Arial" w:hAnsi="Arial"/>
                <w:sz w:val="17"/>
                <w:szCs w:val="17"/>
                <w:color w:val="auto"/>
              </w:rPr>
              <w:t>3.1</w:t>
            </w:r>
          </w:p>
        </w:tc>
        <w:tc>
          <w:tcPr>
            <w:tcW w:w="100" w:type="dxa"/>
            <w:vAlign w:val="bottom"/>
            <w:shd w:val="clear" w:color="auto" w:fill="DCE2EF"/>
          </w:tcPr>
          <w:p>
            <w:pPr>
              <w:spacing w:after="0"/>
              <w:rPr>
                <w:sz w:val="16"/>
                <w:szCs w:val="16"/>
                <w:color w:val="auto"/>
              </w:rPr>
            </w:pPr>
          </w:p>
        </w:tc>
        <w:tc>
          <w:tcPr>
            <w:tcW w:w="2140" w:type="dxa"/>
            <w:vAlign w:val="bottom"/>
            <w:shd w:val="clear" w:color="auto" w:fill="DCE2EF"/>
          </w:tcPr>
          <w:p>
            <w:pPr>
              <w:jc w:val="center"/>
              <w:spacing w:after="0" w:line="194" w:lineRule="exact"/>
              <w:rPr>
                <w:sz w:val="20"/>
                <w:szCs w:val="20"/>
                <w:color w:val="auto"/>
              </w:rPr>
            </w:pPr>
            <w:r>
              <w:rPr>
                <w:rFonts w:ascii="Arial" w:cs="Arial" w:eastAsia="Arial" w:hAnsi="Arial"/>
                <w:sz w:val="17"/>
                <w:szCs w:val="17"/>
                <w:color w:val="auto"/>
              </w:rPr>
              <w:t>March 27, 2024</w:t>
            </w:r>
          </w:p>
        </w:tc>
        <w:tc>
          <w:tcPr>
            <w:tcW w:w="0" w:type="dxa"/>
            <w:vAlign w:val="bottom"/>
          </w:tcPr>
          <w:p>
            <w:pPr>
              <w:spacing w:after="0"/>
              <w:rPr>
                <w:sz w:val="1"/>
                <w:szCs w:val="1"/>
                <w:color w:val="auto"/>
              </w:rPr>
            </w:pPr>
          </w:p>
        </w:tc>
      </w:tr>
      <w:tr>
        <w:trPr>
          <w:trHeight w:val="173"/>
        </w:trPr>
        <w:tc>
          <w:tcPr>
            <w:tcW w:w="1180" w:type="dxa"/>
            <w:vAlign w:val="bottom"/>
            <w:tcBorders>
              <w:top w:val="single" w:sz="8" w:color="DCE2EF"/>
            </w:tcBorders>
            <w:shd w:val="clear" w:color="auto" w:fill="DCE2EF"/>
          </w:tcPr>
          <w:p>
            <w:pPr>
              <w:spacing w:after="0"/>
              <w:rPr>
                <w:sz w:val="15"/>
                <w:szCs w:val="15"/>
                <w:color w:val="auto"/>
              </w:rPr>
            </w:pPr>
          </w:p>
        </w:tc>
        <w:tc>
          <w:tcPr>
            <w:tcW w:w="120" w:type="dxa"/>
            <w:vAlign w:val="bottom"/>
            <w:tcBorders>
              <w:top w:val="single" w:sz="8" w:color="DCE2EF"/>
              <w:right w:val="single" w:sz="8" w:color="DCE2EF"/>
            </w:tcBorders>
            <w:shd w:val="clear" w:color="auto" w:fill="DCE2EF"/>
          </w:tcPr>
          <w:p>
            <w:pPr>
              <w:spacing w:after="0"/>
              <w:rPr>
                <w:sz w:val="15"/>
                <w:szCs w:val="15"/>
                <w:color w:val="auto"/>
              </w:rPr>
            </w:pPr>
          </w:p>
        </w:tc>
        <w:tc>
          <w:tcPr>
            <w:tcW w:w="3800" w:type="dxa"/>
            <w:vAlign w:val="bottom"/>
            <w:tcBorders>
              <w:top w:val="single" w:sz="8" w:color="0000FF"/>
            </w:tcBorders>
            <w:gridSpan w:val="10"/>
            <w:shd w:val="clear" w:color="auto" w:fill="DCE2EF"/>
          </w:tcPr>
          <w:p>
            <w:pPr>
              <w:spacing w:after="0" w:line="173" w:lineRule="exact"/>
              <w:rPr>
                <w:rFonts w:ascii="Arial" w:cs="Arial" w:eastAsia="Arial" w:hAnsi="Arial"/>
                <w:sz w:val="17"/>
                <w:szCs w:val="17"/>
                <w:color w:val="0000FF"/>
              </w:rPr>
            </w:pPr>
            <w:hyperlink r:id="rId169">
              <w:r>
                <w:rPr>
                  <w:rFonts w:ascii="Arial" w:cs="Arial" w:eastAsia="Arial" w:hAnsi="Arial"/>
                  <w:sz w:val="17"/>
                  <w:szCs w:val="17"/>
                  <w:color w:val="0000FF"/>
                </w:rPr>
                <w:t>Incorporated, dated March 27, 2024</w:t>
              </w:r>
            </w:hyperlink>
          </w:p>
        </w:tc>
        <w:tc>
          <w:tcPr>
            <w:tcW w:w="20" w:type="dxa"/>
            <w:vAlign w:val="bottom"/>
            <w:tcBorders>
              <w:top w:val="single" w:sz="8" w:color="DCE2EF"/>
            </w:tcBorders>
            <w:shd w:val="clear" w:color="auto" w:fill="DCE2EF"/>
          </w:tcPr>
          <w:p>
            <w:pPr>
              <w:spacing w:after="0"/>
              <w:rPr>
                <w:sz w:val="15"/>
                <w:szCs w:val="15"/>
                <w:color w:val="auto"/>
              </w:rPr>
            </w:pPr>
          </w:p>
        </w:tc>
        <w:tc>
          <w:tcPr>
            <w:tcW w:w="140" w:type="dxa"/>
            <w:vAlign w:val="bottom"/>
            <w:tcBorders>
              <w:top w:val="single" w:sz="8" w:color="DCE2EF"/>
            </w:tcBorders>
            <w:gridSpan w:val="2"/>
            <w:shd w:val="clear" w:color="auto" w:fill="DCE2EF"/>
          </w:tcPr>
          <w:p>
            <w:pPr>
              <w:spacing w:after="0"/>
              <w:rPr>
                <w:sz w:val="15"/>
                <w:szCs w:val="15"/>
                <w:color w:val="auto"/>
              </w:rPr>
            </w:pPr>
          </w:p>
        </w:tc>
        <w:tc>
          <w:tcPr>
            <w:tcW w:w="20" w:type="dxa"/>
            <w:vAlign w:val="bottom"/>
            <w:tcBorders>
              <w:top w:val="single" w:sz="8" w:color="DCE2EF"/>
            </w:tcBorders>
            <w:shd w:val="clear" w:color="auto" w:fill="DCE2EF"/>
          </w:tcPr>
          <w:p>
            <w:pPr>
              <w:spacing w:after="0"/>
              <w:rPr>
                <w:sz w:val="15"/>
                <w:szCs w:val="15"/>
                <w:color w:val="auto"/>
              </w:rPr>
            </w:pPr>
          </w:p>
        </w:tc>
        <w:tc>
          <w:tcPr>
            <w:tcW w:w="80" w:type="dxa"/>
            <w:vAlign w:val="bottom"/>
            <w:tcBorders>
              <w:top w:val="single" w:sz="8" w:color="DCE2EF"/>
            </w:tcBorders>
            <w:gridSpan w:val="2"/>
            <w:shd w:val="clear" w:color="auto" w:fill="DCE2EF"/>
          </w:tcPr>
          <w:p>
            <w:pPr>
              <w:spacing w:after="0"/>
              <w:rPr>
                <w:sz w:val="15"/>
                <w:szCs w:val="15"/>
                <w:color w:val="auto"/>
              </w:rPr>
            </w:pPr>
          </w:p>
        </w:tc>
        <w:tc>
          <w:tcPr>
            <w:tcW w:w="40" w:type="dxa"/>
            <w:vAlign w:val="bottom"/>
            <w:tcBorders>
              <w:top w:val="single" w:sz="8" w:color="DCE2EF"/>
            </w:tcBorders>
            <w:shd w:val="clear" w:color="auto" w:fill="DCE2EF"/>
          </w:tcPr>
          <w:p>
            <w:pPr>
              <w:spacing w:after="0"/>
              <w:rPr>
                <w:sz w:val="15"/>
                <w:szCs w:val="15"/>
                <w:color w:val="auto"/>
              </w:rPr>
            </w:pPr>
          </w:p>
        </w:tc>
        <w:tc>
          <w:tcPr>
            <w:tcW w:w="80" w:type="dxa"/>
            <w:vAlign w:val="bottom"/>
            <w:tcBorders>
              <w:top w:val="single" w:sz="8" w:color="DCE2EF"/>
            </w:tcBorders>
            <w:gridSpan w:val="2"/>
            <w:shd w:val="clear" w:color="auto" w:fill="DCE2EF"/>
          </w:tcPr>
          <w:p>
            <w:pPr>
              <w:spacing w:after="0"/>
              <w:rPr>
                <w:sz w:val="15"/>
                <w:szCs w:val="15"/>
                <w:color w:val="auto"/>
              </w:rPr>
            </w:pPr>
          </w:p>
        </w:tc>
        <w:tc>
          <w:tcPr>
            <w:tcW w:w="20" w:type="dxa"/>
            <w:vAlign w:val="bottom"/>
            <w:tcBorders>
              <w:top w:val="single" w:sz="8" w:color="DCE2EF"/>
            </w:tcBorders>
            <w:shd w:val="clear" w:color="auto" w:fill="DCE2EF"/>
          </w:tcPr>
          <w:p>
            <w:pPr>
              <w:spacing w:after="0"/>
              <w:rPr>
                <w:sz w:val="15"/>
                <w:szCs w:val="15"/>
                <w:color w:val="auto"/>
              </w:rPr>
            </w:pPr>
          </w:p>
        </w:tc>
        <w:tc>
          <w:tcPr>
            <w:tcW w:w="100" w:type="dxa"/>
            <w:vAlign w:val="bottom"/>
            <w:tcBorders>
              <w:top w:val="single" w:sz="8" w:color="DCE2EF"/>
              <w:right w:val="single" w:sz="8" w:color="DCE2EF"/>
            </w:tcBorders>
            <w:shd w:val="clear" w:color="auto" w:fill="DCE2EF"/>
          </w:tcPr>
          <w:p>
            <w:pPr>
              <w:spacing w:after="0"/>
              <w:rPr>
                <w:sz w:val="15"/>
                <w:szCs w:val="15"/>
                <w:color w:val="auto"/>
              </w:rPr>
            </w:pPr>
          </w:p>
        </w:tc>
        <w:tc>
          <w:tcPr>
            <w:tcW w:w="100" w:type="dxa"/>
            <w:vAlign w:val="bottom"/>
            <w:tcBorders>
              <w:top w:val="single" w:sz="8" w:color="DCE2EF"/>
            </w:tcBorders>
            <w:gridSpan w:val="2"/>
            <w:shd w:val="clear" w:color="auto" w:fill="DCE2EF"/>
          </w:tcPr>
          <w:p>
            <w:pPr>
              <w:spacing w:after="0"/>
              <w:rPr>
                <w:sz w:val="15"/>
                <w:szCs w:val="15"/>
                <w:color w:val="auto"/>
              </w:rPr>
            </w:pPr>
          </w:p>
        </w:tc>
        <w:tc>
          <w:tcPr>
            <w:tcW w:w="20" w:type="dxa"/>
            <w:vAlign w:val="bottom"/>
            <w:tcBorders>
              <w:top w:val="single" w:sz="8" w:color="DCE2EF"/>
            </w:tcBorders>
            <w:shd w:val="clear" w:color="auto" w:fill="DCE2EF"/>
          </w:tcPr>
          <w:p>
            <w:pPr>
              <w:spacing w:after="0"/>
              <w:rPr>
                <w:sz w:val="15"/>
                <w:szCs w:val="15"/>
                <w:color w:val="auto"/>
              </w:rPr>
            </w:pPr>
          </w:p>
        </w:tc>
        <w:tc>
          <w:tcPr>
            <w:tcW w:w="20" w:type="dxa"/>
            <w:vAlign w:val="bottom"/>
            <w:tcBorders>
              <w:top w:val="single" w:sz="8" w:color="DCE2EF"/>
            </w:tcBorders>
            <w:shd w:val="clear" w:color="auto" w:fill="DCE2EF"/>
          </w:tcPr>
          <w:p>
            <w:pPr>
              <w:spacing w:after="0"/>
              <w:rPr>
                <w:sz w:val="15"/>
                <w:szCs w:val="15"/>
                <w:color w:val="auto"/>
              </w:rPr>
            </w:pPr>
          </w:p>
        </w:tc>
        <w:tc>
          <w:tcPr>
            <w:tcW w:w="40" w:type="dxa"/>
            <w:vAlign w:val="bottom"/>
            <w:tcBorders>
              <w:top w:val="single" w:sz="8" w:color="DCE2EF"/>
            </w:tcBorders>
            <w:gridSpan w:val="2"/>
            <w:shd w:val="clear" w:color="auto" w:fill="DCE2EF"/>
          </w:tcPr>
          <w:p>
            <w:pPr>
              <w:spacing w:after="0"/>
              <w:rPr>
                <w:sz w:val="15"/>
                <w:szCs w:val="15"/>
                <w:color w:val="auto"/>
              </w:rPr>
            </w:pPr>
          </w:p>
        </w:tc>
        <w:tc>
          <w:tcPr>
            <w:tcW w:w="40" w:type="dxa"/>
            <w:vAlign w:val="bottom"/>
            <w:tcBorders>
              <w:top w:val="single" w:sz="8" w:color="DCE2EF"/>
            </w:tcBorders>
            <w:gridSpan w:val="2"/>
            <w:shd w:val="clear" w:color="auto" w:fill="DCE2EF"/>
          </w:tcPr>
          <w:p>
            <w:pPr>
              <w:spacing w:after="0"/>
              <w:rPr>
                <w:sz w:val="15"/>
                <w:szCs w:val="15"/>
                <w:color w:val="auto"/>
              </w:rPr>
            </w:pPr>
          </w:p>
        </w:tc>
        <w:tc>
          <w:tcPr>
            <w:tcW w:w="20" w:type="dxa"/>
            <w:vAlign w:val="bottom"/>
            <w:tcBorders>
              <w:top w:val="single" w:sz="8" w:color="DCE2EF"/>
            </w:tcBorders>
            <w:shd w:val="clear" w:color="auto" w:fill="DCE2EF"/>
          </w:tcPr>
          <w:p>
            <w:pPr>
              <w:spacing w:after="0"/>
              <w:rPr>
                <w:sz w:val="15"/>
                <w:szCs w:val="15"/>
                <w:color w:val="auto"/>
              </w:rPr>
            </w:pPr>
          </w:p>
        </w:tc>
        <w:tc>
          <w:tcPr>
            <w:tcW w:w="100" w:type="dxa"/>
            <w:vAlign w:val="bottom"/>
            <w:tcBorders>
              <w:top w:val="single" w:sz="8" w:color="DCE2EF"/>
            </w:tcBorders>
            <w:gridSpan w:val="2"/>
            <w:shd w:val="clear" w:color="auto" w:fill="DCE2EF"/>
          </w:tcPr>
          <w:p>
            <w:pPr>
              <w:spacing w:after="0"/>
              <w:rPr>
                <w:sz w:val="15"/>
                <w:szCs w:val="15"/>
                <w:color w:val="auto"/>
              </w:rPr>
            </w:pPr>
          </w:p>
        </w:tc>
        <w:tc>
          <w:tcPr>
            <w:tcW w:w="680" w:type="dxa"/>
            <w:vAlign w:val="bottom"/>
            <w:tcBorders>
              <w:top w:val="single" w:sz="8" w:color="DCE2EF"/>
            </w:tcBorders>
            <w:shd w:val="clear" w:color="auto" w:fill="DCE2EF"/>
          </w:tcPr>
          <w:p>
            <w:pPr>
              <w:spacing w:after="0"/>
              <w:rPr>
                <w:sz w:val="15"/>
                <w:szCs w:val="15"/>
                <w:color w:val="auto"/>
              </w:rPr>
            </w:pPr>
          </w:p>
        </w:tc>
        <w:tc>
          <w:tcPr>
            <w:tcW w:w="100" w:type="dxa"/>
            <w:vAlign w:val="bottom"/>
            <w:tcBorders>
              <w:top w:val="single" w:sz="8" w:color="DCE2EF"/>
            </w:tcBorders>
            <w:shd w:val="clear" w:color="auto" w:fill="DCE2EF"/>
          </w:tcPr>
          <w:p>
            <w:pPr>
              <w:spacing w:after="0"/>
              <w:rPr>
                <w:sz w:val="15"/>
                <w:szCs w:val="15"/>
                <w:color w:val="auto"/>
              </w:rPr>
            </w:pPr>
          </w:p>
        </w:tc>
        <w:tc>
          <w:tcPr>
            <w:tcW w:w="1260" w:type="dxa"/>
            <w:vAlign w:val="bottom"/>
            <w:tcBorders>
              <w:top w:val="single" w:sz="8" w:color="DCE2EF"/>
            </w:tcBorders>
            <w:shd w:val="clear" w:color="auto" w:fill="DCE2EF"/>
          </w:tcPr>
          <w:p>
            <w:pPr>
              <w:spacing w:after="0"/>
              <w:rPr>
                <w:sz w:val="15"/>
                <w:szCs w:val="15"/>
                <w:color w:val="auto"/>
              </w:rPr>
            </w:pPr>
          </w:p>
        </w:tc>
        <w:tc>
          <w:tcPr>
            <w:tcW w:w="100" w:type="dxa"/>
            <w:vAlign w:val="bottom"/>
            <w:tcBorders>
              <w:top w:val="single" w:sz="8" w:color="DCE2EF"/>
            </w:tcBorders>
            <w:shd w:val="clear" w:color="auto" w:fill="DCE2EF"/>
          </w:tcPr>
          <w:p>
            <w:pPr>
              <w:spacing w:after="0"/>
              <w:rPr>
                <w:sz w:val="15"/>
                <w:szCs w:val="15"/>
                <w:color w:val="auto"/>
              </w:rPr>
            </w:pPr>
          </w:p>
        </w:tc>
        <w:tc>
          <w:tcPr>
            <w:tcW w:w="920" w:type="dxa"/>
            <w:vAlign w:val="bottom"/>
            <w:tcBorders>
              <w:top w:val="single" w:sz="8" w:color="DCE2EF"/>
            </w:tcBorders>
            <w:shd w:val="clear" w:color="auto" w:fill="DCE2EF"/>
          </w:tcPr>
          <w:p>
            <w:pPr>
              <w:spacing w:after="0"/>
              <w:rPr>
                <w:sz w:val="15"/>
                <w:szCs w:val="15"/>
                <w:color w:val="auto"/>
              </w:rPr>
            </w:pPr>
          </w:p>
        </w:tc>
        <w:tc>
          <w:tcPr>
            <w:tcW w:w="100" w:type="dxa"/>
            <w:vAlign w:val="bottom"/>
            <w:tcBorders>
              <w:top w:val="single" w:sz="8" w:color="DCE2EF"/>
            </w:tcBorders>
            <w:shd w:val="clear" w:color="auto" w:fill="DCE2EF"/>
          </w:tcPr>
          <w:p>
            <w:pPr>
              <w:spacing w:after="0"/>
              <w:rPr>
                <w:sz w:val="15"/>
                <w:szCs w:val="15"/>
                <w:color w:val="auto"/>
              </w:rPr>
            </w:pPr>
          </w:p>
        </w:tc>
        <w:tc>
          <w:tcPr>
            <w:tcW w:w="2140" w:type="dxa"/>
            <w:vAlign w:val="bottom"/>
            <w:tcBorders>
              <w:top w:val="single" w:sz="8" w:color="DCE2EF"/>
            </w:tcBorders>
            <w:shd w:val="clear" w:color="auto" w:fill="DCE2EF"/>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1180" w:type="dxa"/>
            <w:vAlign w:val="bottom"/>
            <w:tcBorders>
              <w:top w:val="single" w:sz="8" w:color="DCE2EF"/>
            </w:tcBorders>
            <w:shd w:val="clear" w:color="auto" w:fill="DCE2EF"/>
          </w:tcPr>
          <w:p>
            <w:pPr>
              <w:spacing w:after="0"/>
              <w:rPr>
                <w:sz w:val="3"/>
                <w:szCs w:val="3"/>
                <w:color w:val="auto"/>
              </w:rPr>
            </w:pPr>
          </w:p>
        </w:tc>
        <w:tc>
          <w:tcPr>
            <w:tcW w:w="120" w:type="dxa"/>
            <w:vAlign w:val="bottom"/>
            <w:tcBorders>
              <w:top w:val="single" w:sz="8" w:color="DCE2EF"/>
              <w:right w:val="single" w:sz="8" w:color="DCE2EF"/>
            </w:tcBorders>
            <w:shd w:val="clear" w:color="auto" w:fill="DCE2EF"/>
          </w:tcPr>
          <w:p>
            <w:pPr>
              <w:spacing w:after="0"/>
              <w:rPr>
                <w:sz w:val="3"/>
                <w:szCs w:val="3"/>
                <w:color w:val="auto"/>
              </w:rPr>
            </w:pPr>
          </w:p>
        </w:tc>
        <w:tc>
          <w:tcPr>
            <w:tcW w:w="1540" w:type="dxa"/>
            <w:vAlign w:val="bottom"/>
            <w:tcBorders>
              <w:top w:val="single" w:sz="8" w:color="0000FF"/>
            </w:tcBorders>
            <w:shd w:val="clear" w:color="auto" w:fill="DCE2EF"/>
          </w:tcPr>
          <w:p>
            <w:pPr>
              <w:spacing w:after="0"/>
              <w:rPr>
                <w:sz w:val="3"/>
                <w:szCs w:val="3"/>
                <w:color w:val="auto"/>
              </w:rPr>
            </w:pPr>
          </w:p>
        </w:tc>
        <w:tc>
          <w:tcPr>
            <w:tcW w:w="220" w:type="dxa"/>
            <w:vAlign w:val="bottom"/>
            <w:tcBorders>
              <w:top w:val="single" w:sz="8" w:color="0000FF"/>
            </w:tcBorders>
            <w:shd w:val="clear" w:color="auto" w:fill="DCE2EF"/>
          </w:tcPr>
          <w:p>
            <w:pPr>
              <w:spacing w:after="0"/>
              <w:rPr>
                <w:sz w:val="3"/>
                <w:szCs w:val="3"/>
                <w:color w:val="auto"/>
              </w:rPr>
            </w:pPr>
          </w:p>
        </w:tc>
        <w:tc>
          <w:tcPr>
            <w:tcW w:w="400" w:type="dxa"/>
            <w:vAlign w:val="bottom"/>
            <w:tcBorders>
              <w:top w:val="single" w:sz="8" w:color="0000FF"/>
            </w:tcBorders>
            <w:shd w:val="clear" w:color="auto" w:fill="DCE2EF"/>
          </w:tcPr>
          <w:p>
            <w:pPr>
              <w:spacing w:after="0"/>
              <w:rPr>
                <w:sz w:val="3"/>
                <w:szCs w:val="3"/>
                <w:color w:val="auto"/>
              </w:rPr>
            </w:pPr>
          </w:p>
        </w:tc>
        <w:tc>
          <w:tcPr>
            <w:tcW w:w="140" w:type="dxa"/>
            <w:vAlign w:val="bottom"/>
            <w:tcBorders>
              <w:top w:val="single" w:sz="8" w:color="0000FF"/>
            </w:tcBorders>
            <w:shd w:val="clear" w:color="auto" w:fill="DCE2EF"/>
          </w:tcPr>
          <w:p>
            <w:pPr>
              <w:spacing w:after="0"/>
              <w:rPr>
                <w:sz w:val="3"/>
                <w:szCs w:val="3"/>
                <w:color w:val="auto"/>
              </w:rPr>
            </w:pPr>
          </w:p>
        </w:tc>
        <w:tc>
          <w:tcPr>
            <w:tcW w:w="380" w:type="dxa"/>
            <w:vAlign w:val="bottom"/>
            <w:tcBorders>
              <w:top w:val="single" w:sz="8" w:color="0000FF"/>
            </w:tcBorders>
            <w:shd w:val="clear" w:color="auto" w:fill="DCE2EF"/>
          </w:tcPr>
          <w:p>
            <w:pPr>
              <w:spacing w:after="0"/>
              <w:rPr>
                <w:sz w:val="3"/>
                <w:szCs w:val="3"/>
                <w:color w:val="auto"/>
              </w:rPr>
            </w:pPr>
          </w:p>
        </w:tc>
        <w:tc>
          <w:tcPr>
            <w:tcW w:w="40" w:type="dxa"/>
            <w:vAlign w:val="bottom"/>
            <w:tcBorders>
              <w:top w:val="single" w:sz="8" w:color="0000FF"/>
            </w:tcBorders>
            <w:shd w:val="clear" w:color="auto" w:fill="DCE2EF"/>
          </w:tcPr>
          <w:p>
            <w:pPr>
              <w:spacing w:after="0"/>
              <w:rPr>
                <w:sz w:val="3"/>
                <w:szCs w:val="3"/>
                <w:color w:val="auto"/>
              </w:rPr>
            </w:pPr>
          </w:p>
        </w:tc>
        <w:tc>
          <w:tcPr>
            <w:tcW w:w="80" w:type="dxa"/>
            <w:vAlign w:val="bottom"/>
            <w:tcBorders>
              <w:top w:val="single" w:sz="8" w:color="DCE2EF"/>
            </w:tcBorders>
            <w:shd w:val="clear" w:color="auto" w:fill="DCE2EF"/>
          </w:tcPr>
          <w:p>
            <w:pPr>
              <w:spacing w:after="0"/>
              <w:rPr>
                <w:sz w:val="3"/>
                <w:szCs w:val="3"/>
                <w:color w:val="auto"/>
              </w:rPr>
            </w:pPr>
          </w:p>
        </w:tc>
        <w:tc>
          <w:tcPr>
            <w:tcW w:w="780" w:type="dxa"/>
            <w:vAlign w:val="bottom"/>
            <w:tcBorders>
              <w:top w:val="single" w:sz="8" w:color="DCE2EF"/>
            </w:tcBorders>
            <w:shd w:val="clear" w:color="auto" w:fill="DCE2EF"/>
          </w:tcPr>
          <w:p>
            <w:pPr>
              <w:spacing w:after="0"/>
              <w:rPr>
                <w:sz w:val="3"/>
                <w:szCs w:val="3"/>
                <w:color w:val="auto"/>
              </w:rPr>
            </w:pPr>
          </w:p>
        </w:tc>
        <w:tc>
          <w:tcPr>
            <w:tcW w:w="140" w:type="dxa"/>
            <w:vAlign w:val="bottom"/>
            <w:tcBorders>
              <w:top w:val="single" w:sz="8" w:color="DCE2EF"/>
            </w:tcBorders>
            <w:shd w:val="clear" w:color="auto" w:fill="DCE2EF"/>
          </w:tcPr>
          <w:p>
            <w:pPr>
              <w:spacing w:after="0"/>
              <w:rPr>
                <w:sz w:val="3"/>
                <w:szCs w:val="3"/>
                <w:color w:val="auto"/>
              </w:rPr>
            </w:pPr>
          </w:p>
        </w:tc>
        <w:tc>
          <w:tcPr>
            <w:tcW w:w="80" w:type="dxa"/>
            <w:vAlign w:val="bottom"/>
            <w:tcBorders>
              <w:top w:val="single" w:sz="8" w:color="DCE2EF"/>
            </w:tcBorders>
            <w:shd w:val="clear" w:color="auto" w:fill="DCE2EF"/>
          </w:tcPr>
          <w:p>
            <w:pPr>
              <w:spacing w:after="0"/>
              <w:rPr>
                <w:sz w:val="3"/>
                <w:szCs w:val="3"/>
                <w:color w:val="auto"/>
              </w:rPr>
            </w:pPr>
          </w:p>
        </w:tc>
        <w:tc>
          <w:tcPr>
            <w:tcW w:w="20" w:type="dxa"/>
            <w:vAlign w:val="bottom"/>
            <w:tcBorders>
              <w:top w:val="single" w:sz="8" w:color="DCE2EF"/>
            </w:tcBorders>
            <w:shd w:val="clear" w:color="auto" w:fill="DCE2EF"/>
          </w:tcPr>
          <w:p>
            <w:pPr>
              <w:spacing w:after="0"/>
              <w:rPr>
                <w:sz w:val="3"/>
                <w:szCs w:val="3"/>
                <w:color w:val="auto"/>
              </w:rPr>
            </w:pPr>
          </w:p>
        </w:tc>
        <w:tc>
          <w:tcPr>
            <w:tcW w:w="120" w:type="dxa"/>
            <w:vAlign w:val="bottom"/>
            <w:tcBorders>
              <w:top w:val="single" w:sz="8" w:color="DCE2EF"/>
            </w:tcBorders>
            <w:shd w:val="clear" w:color="auto" w:fill="DCE2EF"/>
          </w:tcPr>
          <w:p>
            <w:pPr>
              <w:spacing w:after="0"/>
              <w:rPr>
                <w:sz w:val="3"/>
                <w:szCs w:val="3"/>
                <w:color w:val="auto"/>
              </w:rPr>
            </w:pPr>
          </w:p>
        </w:tc>
        <w:tc>
          <w:tcPr>
            <w:tcW w:w="20" w:type="dxa"/>
            <w:vAlign w:val="bottom"/>
            <w:tcBorders>
              <w:top w:val="single" w:sz="8" w:color="DCE2EF"/>
            </w:tcBorders>
            <w:shd w:val="clear" w:color="auto" w:fill="DCE2EF"/>
          </w:tcPr>
          <w:p>
            <w:pPr>
              <w:spacing w:after="0"/>
              <w:rPr>
                <w:sz w:val="3"/>
                <w:szCs w:val="3"/>
                <w:color w:val="auto"/>
              </w:rPr>
            </w:pPr>
          </w:p>
        </w:tc>
        <w:tc>
          <w:tcPr>
            <w:tcW w:w="20" w:type="dxa"/>
            <w:vAlign w:val="bottom"/>
            <w:tcBorders>
              <w:top w:val="single" w:sz="8" w:color="DCE2EF"/>
            </w:tcBorders>
            <w:shd w:val="clear" w:color="auto" w:fill="DCE2EF"/>
          </w:tcPr>
          <w:p>
            <w:pPr>
              <w:spacing w:after="0"/>
              <w:rPr>
                <w:sz w:val="3"/>
                <w:szCs w:val="3"/>
                <w:color w:val="auto"/>
              </w:rPr>
            </w:pPr>
          </w:p>
        </w:tc>
        <w:tc>
          <w:tcPr>
            <w:tcW w:w="60" w:type="dxa"/>
            <w:vAlign w:val="bottom"/>
            <w:tcBorders>
              <w:top w:val="single" w:sz="8" w:color="DCE2EF"/>
            </w:tcBorders>
            <w:shd w:val="clear" w:color="auto" w:fill="DCE2EF"/>
          </w:tcPr>
          <w:p>
            <w:pPr>
              <w:spacing w:after="0"/>
              <w:rPr>
                <w:sz w:val="3"/>
                <w:szCs w:val="3"/>
                <w:color w:val="auto"/>
              </w:rPr>
            </w:pPr>
          </w:p>
        </w:tc>
        <w:tc>
          <w:tcPr>
            <w:tcW w:w="20" w:type="dxa"/>
            <w:vAlign w:val="bottom"/>
            <w:tcBorders>
              <w:top w:val="single" w:sz="8" w:color="DCE2EF"/>
            </w:tcBorders>
            <w:shd w:val="clear" w:color="auto" w:fill="DCE2EF"/>
          </w:tcPr>
          <w:p>
            <w:pPr>
              <w:spacing w:after="0"/>
              <w:rPr>
                <w:sz w:val="3"/>
                <w:szCs w:val="3"/>
                <w:color w:val="auto"/>
              </w:rPr>
            </w:pPr>
          </w:p>
        </w:tc>
        <w:tc>
          <w:tcPr>
            <w:tcW w:w="40" w:type="dxa"/>
            <w:vAlign w:val="bottom"/>
            <w:tcBorders>
              <w:top w:val="single" w:sz="8" w:color="DCE2EF"/>
            </w:tcBorders>
            <w:shd w:val="clear" w:color="auto" w:fill="DCE2EF"/>
          </w:tcPr>
          <w:p>
            <w:pPr>
              <w:spacing w:after="0"/>
              <w:rPr>
                <w:sz w:val="3"/>
                <w:szCs w:val="3"/>
                <w:color w:val="auto"/>
              </w:rPr>
            </w:pPr>
          </w:p>
        </w:tc>
        <w:tc>
          <w:tcPr>
            <w:tcW w:w="60" w:type="dxa"/>
            <w:vAlign w:val="bottom"/>
            <w:tcBorders>
              <w:top w:val="single" w:sz="8" w:color="DCE2EF"/>
            </w:tcBorders>
            <w:shd w:val="clear" w:color="auto" w:fill="DCE2EF"/>
          </w:tcPr>
          <w:p>
            <w:pPr>
              <w:spacing w:after="0"/>
              <w:rPr>
                <w:sz w:val="3"/>
                <w:szCs w:val="3"/>
                <w:color w:val="auto"/>
              </w:rPr>
            </w:pPr>
          </w:p>
        </w:tc>
        <w:tc>
          <w:tcPr>
            <w:tcW w:w="20" w:type="dxa"/>
            <w:vAlign w:val="bottom"/>
            <w:tcBorders>
              <w:top w:val="single" w:sz="8" w:color="DCE2EF"/>
            </w:tcBorders>
            <w:shd w:val="clear" w:color="auto" w:fill="DCE2EF"/>
          </w:tcPr>
          <w:p>
            <w:pPr>
              <w:spacing w:after="0"/>
              <w:rPr>
                <w:sz w:val="3"/>
                <w:szCs w:val="3"/>
                <w:color w:val="auto"/>
              </w:rPr>
            </w:pPr>
          </w:p>
        </w:tc>
        <w:tc>
          <w:tcPr>
            <w:tcW w:w="20" w:type="dxa"/>
            <w:vAlign w:val="bottom"/>
            <w:tcBorders>
              <w:top w:val="single" w:sz="8" w:color="DCE2EF"/>
            </w:tcBorders>
            <w:shd w:val="clear" w:color="auto" w:fill="DCE2EF"/>
          </w:tcPr>
          <w:p>
            <w:pPr>
              <w:spacing w:after="0"/>
              <w:rPr>
                <w:sz w:val="3"/>
                <w:szCs w:val="3"/>
                <w:color w:val="auto"/>
              </w:rPr>
            </w:pPr>
          </w:p>
        </w:tc>
        <w:tc>
          <w:tcPr>
            <w:tcW w:w="100" w:type="dxa"/>
            <w:vAlign w:val="bottom"/>
            <w:tcBorders>
              <w:top w:val="single" w:sz="8" w:color="DCE2EF"/>
              <w:right w:val="single" w:sz="8" w:color="DCE2EF"/>
            </w:tcBorders>
            <w:shd w:val="clear" w:color="auto" w:fill="DCE2EF"/>
          </w:tcPr>
          <w:p>
            <w:pPr>
              <w:spacing w:after="0"/>
              <w:rPr>
                <w:sz w:val="3"/>
                <w:szCs w:val="3"/>
                <w:color w:val="auto"/>
              </w:rPr>
            </w:pPr>
          </w:p>
        </w:tc>
        <w:tc>
          <w:tcPr>
            <w:tcW w:w="60" w:type="dxa"/>
            <w:vAlign w:val="bottom"/>
            <w:tcBorders>
              <w:top w:val="single" w:sz="8" w:color="DCE2EF"/>
            </w:tcBorders>
            <w:shd w:val="clear" w:color="auto" w:fill="DCE2EF"/>
          </w:tcPr>
          <w:p>
            <w:pPr>
              <w:spacing w:after="0"/>
              <w:rPr>
                <w:sz w:val="3"/>
                <w:szCs w:val="3"/>
                <w:color w:val="auto"/>
              </w:rPr>
            </w:pPr>
          </w:p>
        </w:tc>
        <w:tc>
          <w:tcPr>
            <w:tcW w:w="40" w:type="dxa"/>
            <w:vAlign w:val="bottom"/>
            <w:tcBorders>
              <w:top w:val="single" w:sz="8" w:color="DCE2EF"/>
            </w:tcBorders>
            <w:shd w:val="clear" w:color="auto" w:fill="DCE2EF"/>
          </w:tcPr>
          <w:p>
            <w:pPr>
              <w:spacing w:after="0"/>
              <w:rPr>
                <w:sz w:val="3"/>
                <w:szCs w:val="3"/>
                <w:color w:val="auto"/>
              </w:rPr>
            </w:pPr>
          </w:p>
        </w:tc>
        <w:tc>
          <w:tcPr>
            <w:tcW w:w="20" w:type="dxa"/>
            <w:vAlign w:val="bottom"/>
            <w:tcBorders>
              <w:top w:val="single" w:sz="8" w:color="DCE2EF"/>
            </w:tcBorders>
            <w:shd w:val="clear" w:color="auto" w:fill="DCE2EF"/>
          </w:tcPr>
          <w:p>
            <w:pPr>
              <w:spacing w:after="0"/>
              <w:rPr>
                <w:sz w:val="3"/>
                <w:szCs w:val="3"/>
                <w:color w:val="auto"/>
              </w:rPr>
            </w:pPr>
          </w:p>
        </w:tc>
        <w:tc>
          <w:tcPr>
            <w:tcW w:w="20" w:type="dxa"/>
            <w:vAlign w:val="bottom"/>
            <w:tcBorders>
              <w:top w:val="single" w:sz="8" w:color="DCE2EF"/>
            </w:tcBorders>
            <w:shd w:val="clear" w:color="auto" w:fill="DCE2EF"/>
          </w:tcPr>
          <w:p>
            <w:pPr>
              <w:spacing w:after="0"/>
              <w:rPr>
                <w:sz w:val="3"/>
                <w:szCs w:val="3"/>
                <w:color w:val="auto"/>
              </w:rPr>
            </w:pPr>
          </w:p>
        </w:tc>
        <w:tc>
          <w:tcPr>
            <w:tcW w:w="20" w:type="dxa"/>
            <w:vAlign w:val="bottom"/>
            <w:tcBorders>
              <w:top w:val="single" w:sz="8" w:color="DCE2EF"/>
            </w:tcBorders>
            <w:shd w:val="clear" w:color="auto" w:fill="DCE2EF"/>
          </w:tcPr>
          <w:p>
            <w:pPr>
              <w:spacing w:after="0"/>
              <w:rPr>
                <w:sz w:val="3"/>
                <w:szCs w:val="3"/>
                <w:color w:val="auto"/>
              </w:rPr>
            </w:pPr>
          </w:p>
        </w:tc>
        <w:tc>
          <w:tcPr>
            <w:tcW w:w="20" w:type="dxa"/>
            <w:vAlign w:val="bottom"/>
            <w:tcBorders>
              <w:top w:val="single" w:sz="8" w:color="DCE2EF"/>
            </w:tcBorders>
            <w:shd w:val="clear" w:color="auto" w:fill="DCE2EF"/>
          </w:tcPr>
          <w:p>
            <w:pPr>
              <w:spacing w:after="0"/>
              <w:rPr>
                <w:sz w:val="3"/>
                <w:szCs w:val="3"/>
                <w:color w:val="auto"/>
              </w:rPr>
            </w:pPr>
          </w:p>
        </w:tc>
        <w:tc>
          <w:tcPr>
            <w:tcW w:w="20" w:type="dxa"/>
            <w:vAlign w:val="bottom"/>
            <w:tcBorders>
              <w:top w:val="single" w:sz="8" w:color="DCE2EF"/>
            </w:tcBorders>
            <w:shd w:val="clear" w:color="auto" w:fill="DCE2EF"/>
          </w:tcPr>
          <w:p>
            <w:pPr>
              <w:spacing w:after="0"/>
              <w:rPr>
                <w:sz w:val="3"/>
                <w:szCs w:val="3"/>
                <w:color w:val="auto"/>
              </w:rPr>
            </w:pPr>
          </w:p>
        </w:tc>
        <w:tc>
          <w:tcPr>
            <w:tcW w:w="20" w:type="dxa"/>
            <w:vAlign w:val="bottom"/>
            <w:tcBorders>
              <w:top w:val="single" w:sz="8" w:color="DCE2EF"/>
            </w:tcBorders>
            <w:shd w:val="clear" w:color="auto" w:fill="DCE2EF"/>
          </w:tcPr>
          <w:p>
            <w:pPr>
              <w:spacing w:after="0"/>
              <w:rPr>
                <w:sz w:val="3"/>
                <w:szCs w:val="3"/>
                <w:color w:val="auto"/>
              </w:rPr>
            </w:pPr>
          </w:p>
        </w:tc>
        <w:tc>
          <w:tcPr>
            <w:tcW w:w="20" w:type="dxa"/>
            <w:vAlign w:val="bottom"/>
            <w:tcBorders>
              <w:top w:val="single" w:sz="8" w:color="DCE2EF"/>
            </w:tcBorders>
            <w:shd w:val="clear" w:color="auto" w:fill="DCE2EF"/>
          </w:tcPr>
          <w:p>
            <w:pPr>
              <w:spacing w:after="0"/>
              <w:rPr>
                <w:sz w:val="3"/>
                <w:szCs w:val="3"/>
                <w:color w:val="auto"/>
              </w:rPr>
            </w:pPr>
          </w:p>
        </w:tc>
        <w:tc>
          <w:tcPr>
            <w:tcW w:w="20" w:type="dxa"/>
            <w:vAlign w:val="bottom"/>
            <w:tcBorders>
              <w:top w:val="single" w:sz="8" w:color="DCE2EF"/>
            </w:tcBorders>
            <w:shd w:val="clear" w:color="auto" w:fill="DCE2EF"/>
          </w:tcPr>
          <w:p>
            <w:pPr>
              <w:spacing w:after="0"/>
              <w:rPr>
                <w:sz w:val="3"/>
                <w:szCs w:val="3"/>
                <w:color w:val="auto"/>
              </w:rPr>
            </w:pPr>
          </w:p>
        </w:tc>
        <w:tc>
          <w:tcPr>
            <w:tcW w:w="80" w:type="dxa"/>
            <w:vAlign w:val="bottom"/>
            <w:tcBorders>
              <w:top w:val="single" w:sz="8" w:color="DCE2EF"/>
            </w:tcBorders>
            <w:shd w:val="clear" w:color="auto" w:fill="DCE2EF"/>
          </w:tcPr>
          <w:p>
            <w:pPr>
              <w:spacing w:after="0"/>
              <w:rPr>
                <w:sz w:val="3"/>
                <w:szCs w:val="3"/>
                <w:color w:val="auto"/>
              </w:rPr>
            </w:pPr>
          </w:p>
        </w:tc>
        <w:tc>
          <w:tcPr>
            <w:tcW w:w="680" w:type="dxa"/>
            <w:vAlign w:val="bottom"/>
            <w:tcBorders>
              <w:top w:val="single" w:sz="8" w:color="DCE2EF"/>
            </w:tcBorders>
            <w:shd w:val="clear" w:color="auto" w:fill="DCE2EF"/>
          </w:tcPr>
          <w:p>
            <w:pPr>
              <w:spacing w:after="0"/>
              <w:rPr>
                <w:sz w:val="3"/>
                <w:szCs w:val="3"/>
                <w:color w:val="auto"/>
              </w:rPr>
            </w:pPr>
          </w:p>
        </w:tc>
        <w:tc>
          <w:tcPr>
            <w:tcW w:w="100" w:type="dxa"/>
            <w:vAlign w:val="bottom"/>
            <w:tcBorders>
              <w:top w:val="single" w:sz="8" w:color="DCE2EF"/>
            </w:tcBorders>
            <w:shd w:val="clear" w:color="auto" w:fill="DCE2EF"/>
          </w:tcPr>
          <w:p>
            <w:pPr>
              <w:spacing w:after="0"/>
              <w:rPr>
                <w:sz w:val="3"/>
                <w:szCs w:val="3"/>
                <w:color w:val="auto"/>
              </w:rPr>
            </w:pPr>
          </w:p>
        </w:tc>
        <w:tc>
          <w:tcPr>
            <w:tcW w:w="1260" w:type="dxa"/>
            <w:vAlign w:val="bottom"/>
            <w:tcBorders>
              <w:top w:val="single" w:sz="8" w:color="DCE2EF"/>
            </w:tcBorders>
            <w:shd w:val="clear" w:color="auto" w:fill="DCE2EF"/>
          </w:tcPr>
          <w:p>
            <w:pPr>
              <w:spacing w:after="0"/>
              <w:rPr>
                <w:sz w:val="3"/>
                <w:szCs w:val="3"/>
                <w:color w:val="auto"/>
              </w:rPr>
            </w:pPr>
          </w:p>
        </w:tc>
        <w:tc>
          <w:tcPr>
            <w:tcW w:w="100" w:type="dxa"/>
            <w:vAlign w:val="bottom"/>
            <w:tcBorders>
              <w:top w:val="single" w:sz="8" w:color="DCE2EF"/>
            </w:tcBorders>
            <w:shd w:val="clear" w:color="auto" w:fill="DCE2EF"/>
          </w:tcPr>
          <w:p>
            <w:pPr>
              <w:spacing w:after="0"/>
              <w:rPr>
                <w:sz w:val="3"/>
                <w:szCs w:val="3"/>
                <w:color w:val="auto"/>
              </w:rPr>
            </w:pPr>
          </w:p>
        </w:tc>
        <w:tc>
          <w:tcPr>
            <w:tcW w:w="920" w:type="dxa"/>
            <w:vAlign w:val="bottom"/>
            <w:tcBorders>
              <w:top w:val="single" w:sz="8" w:color="DCE2EF"/>
            </w:tcBorders>
            <w:shd w:val="clear" w:color="auto" w:fill="DCE2EF"/>
          </w:tcPr>
          <w:p>
            <w:pPr>
              <w:spacing w:after="0"/>
              <w:rPr>
                <w:sz w:val="3"/>
                <w:szCs w:val="3"/>
                <w:color w:val="auto"/>
              </w:rPr>
            </w:pPr>
          </w:p>
        </w:tc>
        <w:tc>
          <w:tcPr>
            <w:tcW w:w="100" w:type="dxa"/>
            <w:vAlign w:val="bottom"/>
            <w:tcBorders>
              <w:top w:val="single" w:sz="8" w:color="DCE2EF"/>
            </w:tcBorders>
            <w:shd w:val="clear" w:color="auto" w:fill="DCE2EF"/>
          </w:tcPr>
          <w:p>
            <w:pPr>
              <w:spacing w:after="0"/>
              <w:rPr>
                <w:sz w:val="3"/>
                <w:szCs w:val="3"/>
                <w:color w:val="auto"/>
              </w:rPr>
            </w:pPr>
          </w:p>
        </w:tc>
        <w:tc>
          <w:tcPr>
            <w:tcW w:w="2140" w:type="dxa"/>
            <w:vAlign w:val="bottom"/>
            <w:tcBorders>
              <w:top w:val="single" w:sz="8" w:color="DCE2EF"/>
            </w:tcBorders>
            <w:shd w:val="clear" w:color="auto" w:fill="DCE2EF"/>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1180" w:type="dxa"/>
            <w:vAlign w:val="bottom"/>
          </w:tcPr>
          <w:p>
            <w:pPr>
              <w:ind w:left="20"/>
              <w:spacing w:after="0" w:line="180" w:lineRule="exact"/>
              <w:rPr>
                <w:sz w:val="20"/>
                <w:szCs w:val="20"/>
                <w:color w:val="auto"/>
              </w:rPr>
            </w:pPr>
            <w:r>
              <w:rPr>
                <w:rFonts w:ascii="Arial" w:cs="Arial" w:eastAsia="Arial" w:hAnsi="Arial"/>
                <w:sz w:val="17"/>
                <w:szCs w:val="17"/>
                <w:color w:val="auto"/>
              </w:rPr>
              <w:t>4.1</w:t>
            </w:r>
          </w:p>
        </w:tc>
        <w:tc>
          <w:tcPr>
            <w:tcW w:w="120" w:type="dxa"/>
            <w:vAlign w:val="bottom"/>
          </w:tcPr>
          <w:p>
            <w:pPr>
              <w:spacing w:after="0"/>
              <w:rPr>
                <w:sz w:val="15"/>
                <w:szCs w:val="15"/>
                <w:color w:val="auto"/>
              </w:rPr>
            </w:pPr>
          </w:p>
        </w:tc>
        <w:tc>
          <w:tcPr>
            <w:tcW w:w="4640" w:type="dxa"/>
            <w:vAlign w:val="bottom"/>
            <w:gridSpan w:val="32"/>
          </w:tcPr>
          <w:p>
            <w:pPr>
              <w:spacing w:after="0" w:line="180" w:lineRule="exact"/>
              <w:rPr>
                <w:rFonts w:ascii="Arial" w:cs="Arial" w:eastAsia="Arial" w:hAnsi="Arial"/>
                <w:sz w:val="17"/>
                <w:szCs w:val="17"/>
                <w:color w:val="0000FF"/>
              </w:rPr>
            </w:pPr>
            <w:hyperlink r:id="rId170">
              <w:r>
                <w:rPr>
                  <w:rFonts w:ascii="Arial" w:cs="Arial" w:eastAsia="Arial" w:hAnsi="Arial"/>
                  <w:sz w:val="17"/>
                  <w:szCs w:val="17"/>
                  <w:color w:val="0000FF"/>
                </w:rPr>
                <w:t>Description of Registrant’s Securities</w:t>
              </w:r>
            </w:hyperlink>
          </w:p>
        </w:tc>
        <w:tc>
          <w:tcPr>
            <w:tcW w:w="780" w:type="dxa"/>
            <w:vAlign w:val="bottom"/>
            <w:gridSpan w:val="2"/>
          </w:tcPr>
          <w:p>
            <w:pPr>
              <w:jc w:val="center"/>
              <w:ind w:right="100"/>
              <w:spacing w:after="0" w:line="180" w:lineRule="exact"/>
              <w:rPr>
                <w:sz w:val="20"/>
                <w:szCs w:val="20"/>
                <w:color w:val="auto"/>
              </w:rPr>
            </w:pPr>
            <w:r>
              <w:rPr>
                <w:rFonts w:ascii="Arial" w:cs="Arial" w:eastAsia="Arial" w:hAnsi="Arial"/>
                <w:sz w:val="17"/>
                <w:szCs w:val="17"/>
                <w:color w:val="auto"/>
              </w:rPr>
              <w:t>10-K</w:t>
            </w:r>
          </w:p>
        </w:tc>
        <w:tc>
          <w:tcPr>
            <w:tcW w:w="1260" w:type="dxa"/>
            <w:vAlign w:val="bottom"/>
          </w:tcPr>
          <w:p>
            <w:pPr>
              <w:jc w:val="center"/>
              <w:spacing w:after="0" w:line="180" w:lineRule="exact"/>
              <w:rPr>
                <w:sz w:val="20"/>
                <w:szCs w:val="20"/>
                <w:color w:val="auto"/>
              </w:rPr>
            </w:pPr>
            <w:r>
              <w:rPr>
                <w:rFonts w:ascii="Arial" w:cs="Arial" w:eastAsia="Arial" w:hAnsi="Arial"/>
                <w:sz w:val="17"/>
                <w:szCs w:val="17"/>
                <w:color w:val="auto"/>
              </w:rPr>
              <w:t>001-08929</w:t>
            </w:r>
          </w:p>
        </w:tc>
        <w:tc>
          <w:tcPr>
            <w:tcW w:w="100" w:type="dxa"/>
            <w:vAlign w:val="bottom"/>
          </w:tcPr>
          <w:p>
            <w:pPr>
              <w:spacing w:after="0"/>
              <w:rPr>
                <w:sz w:val="15"/>
                <w:szCs w:val="15"/>
                <w:color w:val="auto"/>
              </w:rPr>
            </w:pPr>
          </w:p>
        </w:tc>
        <w:tc>
          <w:tcPr>
            <w:tcW w:w="920" w:type="dxa"/>
            <w:vAlign w:val="bottom"/>
          </w:tcPr>
          <w:p>
            <w:pPr>
              <w:jc w:val="center"/>
              <w:spacing w:after="0" w:line="180" w:lineRule="exact"/>
              <w:rPr>
                <w:sz w:val="20"/>
                <w:szCs w:val="20"/>
                <w:color w:val="auto"/>
              </w:rPr>
            </w:pPr>
            <w:r>
              <w:rPr>
                <w:rFonts w:ascii="Arial" w:cs="Arial" w:eastAsia="Arial" w:hAnsi="Arial"/>
                <w:sz w:val="17"/>
                <w:szCs w:val="17"/>
                <w:color w:val="auto"/>
              </w:rPr>
              <w:t>4.1</w:t>
            </w:r>
          </w:p>
        </w:tc>
        <w:tc>
          <w:tcPr>
            <w:tcW w:w="100" w:type="dxa"/>
            <w:vAlign w:val="bottom"/>
          </w:tcPr>
          <w:p>
            <w:pPr>
              <w:spacing w:after="0"/>
              <w:rPr>
                <w:sz w:val="15"/>
                <w:szCs w:val="15"/>
                <w:color w:val="auto"/>
              </w:rPr>
            </w:pPr>
          </w:p>
        </w:tc>
        <w:tc>
          <w:tcPr>
            <w:tcW w:w="2140" w:type="dxa"/>
            <w:vAlign w:val="bottom"/>
          </w:tcPr>
          <w:p>
            <w:pPr>
              <w:jc w:val="center"/>
              <w:spacing w:after="0" w:line="180" w:lineRule="exact"/>
              <w:rPr>
                <w:sz w:val="20"/>
                <w:szCs w:val="20"/>
                <w:color w:val="auto"/>
              </w:rPr>
            </w:pPr>
            <w:r>
              <w:rPr>
                <w:rFonts w:ascii="Arial" w:cs="Arial" w:eastAsia="Arial" w:hAnsi="Arial"/>
                <w:sz w:val="17"/>
                <w:szCs w:val="17"/>
                <w:color w:val="auto"/>
              </w:rPr>
              <w:t>December 17, 2020</w:t>
            </w:r>
          </w:p>
        </w:tc>
        <w:tc>
          <w:tcPr>
            <w:tcW w:w="0" w:type="dxa"/>
            <w:vAlign w:val="bottom"/>
          </w:tcPr>
          <w:p>
            <w:pPr>
              <w:spacing w:after="0"/>
              <w:rPr>
                <w:sz w:val="1"/>
                <w:szCs w:val="1"/>
                <w:color w:val="auto"/>
              </w:rPr>
            </w:pPr>
          </w:p>
        </w:tc>
      </w:tr>
      <w:tr>
        <w:trPr>
          <w:trHeight w:val="29"/>
        </w:trPr>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1180" w:type="dxa"/>
            <w:vAlign w:val="bottom"/>
            <w:shd w:val="clear" w:color="auto" w:fill="DCE2EF"/>
          </w:tcPr>
          <w:p>
            <w:pPr>
              <w:ind w:left="20"/>
              <w:spacing w:after="0" w:line="190" w:lineRule="exact"/>
              <w:rPr>
                <w:sz w:val="20"/>
                <w:szCs w:val="20"/>
                <w:color w:val="auto"/>
              </w:rPr>
            </w:pPr>
            <w:r>
              <w:rPr>
                <w:rFonts w:ascii="Arial" w:cs="Arial" w:eastAsia="Arial" w:hAnsi="Arial"/>
                <w:sz w:val="17"/>
                <w:szCs w:val="17"/>
                <w:color w:val="auto"/>
              </w:rPr>
              <w:t>10.1</w:t>
            </w:r>
          </w:p>
        </w:tc>
        <w:tc>
          <w:tcPr>
            <w:tcW w:w="120" w:type="dxa"/>
            <w:vAlign w:val="bottom"/>
            <w:tcBorders>
              <w:right w:val="single" w:sz="8" w:color="DCE2EF"/>
            </w:tcBorders>
            <w:shd w:val="clear" w:color="auto" w:fill="DCE2EF"/>
          </w:tcPr>
          <w:p>
            <w:pPr>
              <w:spacing w:after="0"/>
              <w:rPr>
                <w:sz w:val="16"/>
                <w:szCs w:val="16"/>
                <w:color w:val="auto"/>
              </w:rPr>
            </w:pPr>
          </w:p>
        </w:tc>
        <w:tc>
          <w:tcPr>
            <w:tcW w:w="4640" w:type="dxa"/>
            <w:vAlign w:val="bottom"/>
            <w:gridSpan w:val="32"/>
            <w:shd w:val="clear" w:color="auto" w:fill="DCE2EF"/>
          </w:tcPr>
          <w:p>
            <w:pPr>
              <w:spacing w:after="0" w:line="190" w:lineRule="exact"/>
              <w:rPr>
                <w:rFonts w:ascii="Arial" w:cs="Arial" w:eastAsia="Arial" w:hAnsi="Arial"/>
                <w:sz w:val="17"/>
                <w:szCs w:val="17"/>
                <w:color w:val="0000FF"/>
              </w:rPr>
            </w:pPr>
            <w:hyperlink r:id="rId171">
              <w:r>
                <w:rPr>
                  <w:rFonts w:ascii="Arial" w:cs="Arial" w:eastAsia="Arial" w:hAnsi="Arial"/>
                  <w:sz w:val="17"/>
                  <w:szCs w:val="17"/>
                  <w:color w:val="0000FF"/>
                </w:rPr>
                <w:t>Credit Agreement, dated as of September 1, 2017, by and</w:t>
              </w:r>
            </w:hyperlink>
          </w:p>
        </w:tc>
        <w:tc>
          <w:tcPr>
            <w:tcW w:w="780" w:type="dxa"/>
            <w:vAlign w:val="bottom"/>
            <w:gridSpan w:val="2"/>
            <w:shd w:val="clear" w:color="auto" w:fill="DCE2EF"/>
          </w:tcPr>
          <w:p>
            <w:pPr>
              <w:jc w:val="center"/>
              <w:ind w:right="100"/>
              <w:spacing w:after="0" w:line="190" w:lineRule="exact"/>
              <w:rPr>
                <w:sz w:val="20"/>
                <w:szCs w:val="20"/>
                <w:color w:val="auto"/>
              </w:rPr>
            </w:pPr>
            <w:r>
              <w:rPr>
                <w:rFonts w:ascii="Arial" w:cs="Arial" w:eastAsia="Arial" w:hAnsi="Arial"/>
                <w:sz w:val="17"/>
                <w:szCs w:val="17"/>
                <w:color w:val="auto"/>
              </w:rPr>
              <w:t>8-K</w:t>
            </w:r>
          </w:p>
        </w:tc>
        <w:tc>
          <w:tcPr>
            <w:tcW w:w="1260" w:type="dxa"/>
            <w:vAlign w:val="bottom"/>
            <w:shd w:val="clear" w:color="auto" w:fill="DCE2EF"/>
          </w:tcPr>
          <w:p>
            <w:pPr>
              <w:jc w:val="center"/>
              <w:spacing w:after="0" w:line="190" w:lineRule="exact"/>
              <w:rPr>
                <w:sz w:val="20"/>
                <w:szCs w:val="20"/>
                <w:color w:val="auto"/>
              </w:rPr>
            </w:pPr>
            <w:r>
              <w:rPr>
                <w:rFonts w:ascii="Arial" w:cs="Arial" w:eastAsia="Arial" w:hAnsi="Arial"/>
                <w:sz w:val="17"/>
                <w:szCs w:val="17"/>
                <w:color w:val="auto"/>
              </w:rPr>
              <w:t>001-08929</w:t>
            </w:r>
          </w:p>
        </w:tc>
        <w:tc>
          <w:tcPr>
            <w:tcW w:w="100" w:type="dxa"/>
            <w:vAlign w:val="bottom"/>
            <w:shd w:val="clear" w:color="auto" w:fill="DCE2EF"/>
          </w:tcPr>
          <w:p>
            <w:pPr>
              <w:spacing w:after="0"/>
              <w:rPr>
                <w:sz w:val="16"/>
                <w:szCs w:val="16"/>
                <w:color w:val="auto"/>
              </w:rPr>
            </w:pPr>
          </w:p>
        </w:tc>
        <w:tc>
          <w:tcPr>
            <w:tcW w:w="920" w:type="dxa"/>
            <w:vAlign w:val="bottom"/>
            <w:shd w:val="clear" w:color="auto" w:fill="DCE2EF"/>
          </w:tcPr>
          <w:p>
            <w:pPr>
              <w:jc w:val="center"/>
              <w:spacing w:after="0" w:line="190" w:lineRule="exact"/>
              <w:rPr>
                <w:sz w:val="20"/>
                <w:szCs w:val="20"/>
                <w:color w:val="auto"/>
              </w:rPr>
            </w:pPr>
            <w:r>
              <w:rPr>
                <w:rFonts w:ascii="Arial" w:cs="Arial" w:eastAsia="Arial" w:hAnsi="Arial"/>
                <w:sz w:val="17"/>
                <w:szCs w:val="17"/>
                <w:color w:val="auto"/>
              </w:rPr>
              <w:t>10.2</w:t>
            </w:r>
          </w:p>
        </w:tc>
        <w:tc>
          <w:tcPr>
            <w:tcW w:w="100" w:type="dxa"/>
            <w:vAlign w:val="bottom"/>
            <w:shd w:val="clear" w:color="auto" w:fill="DCE2EF"/>
          </w:tcPr>
          <w:p>
            <w:pPr>
              <w:spacing w:after="0"/>
              <w:rPr>
                <w:sz w:val="16"/>
                <w:szCs w:val="16"/>
                <w:color w:val="auto"/>
              </w:rPr>
            </w:pPr>
          </w:p>
        </w:tc>
        <w:tc>
          <w:tcPr>
            <w:tcW w:w="2140" w:type="dxa"/>
            <w:vAlign w:val="bottom"/>
            <w:shd w:val="clear" w:color="auto" w:fill="DCE2EF"/>
          </w:tcPr>
          <w:p>
            <w:pPr>
              <w:jc w:val="center"/>
              <w:spacing w:after="0" w:line="190" w:lineRule="exact"/>
              <w:rPr>
                <w:sz w:val="20"/>
                <w:szCs w:val="20"/>
                <w:color w:val="auto"/>
              </w:rPr>
            </w:pPr>
            <w:r>
              <w:rPr>
                <w:rFonts w:ascii="Arial" w:cs="Arial" w:eastAsia="Arial" w:hAnsi="Arial"/>
                <w:sz w:val="17"/>
                <w:szCs w:val="17"/>
                <w:color w:val="auto"/>
              </w:rPr>
              <w:t>September 8, 2017</w:t>
            </w:r>
          </w:p>
        </w:tc>
        <w:tc>
          <w:tcPr>
            <w:tcW w:w="0" w:type="dxa"/>
            <w:vAlign w:val="bottom"/>
          </w:tcPr>
          <w:p>
            <w:pPr>
              <w:spacing w:after="0"/>
              <w:rPr>
                <w:sz w:val="1"/>
                <w:szCs w:val="1"/>
                <w:color w:val="auto"/>
              </w:rPr>
            </w:pPr>
          </w:p>
        </w:tc>
      </w:tr>
      <w:tr>
        <w:trPr>
          <w:trHeight w:val="148"/>
        </w:trPr>
        <w:tc>
          <w:tcPr>
            <w:tcW w:w="1180" w:type="dxa"/>
            <w:vAlign w:val="bottom"/>
            <w:tcBorders>
              <w:top w:val="single" w:sz="8" w:color="DCE2EF"/>
            </w:tcBorders>
            <w:shd w:val="clear" w:color="auto" w:fill="DCE2EF"/>
          </w:tcPr>
          <w:p>
            <w:pPr>
              <w:spacing w:after="0"/>
              <w:rPr>
                <w:sz w:val="12"/>
                <w:szCs w:val="12"/>
                <w:color w:val="auto"/>
              </w:rPr>
            </w:pPr>
          </w:p>
        </w:tc>
        <w:tc>
          <w:tcPr>
            <w:tcW w:w="120" w:type="dxa"/>
            <w:vAlign w:val="bottom"/>
            <w:tcBorders>
              <w:top w:val="single" w:sz="8" w:color="DCE2EF"/>
              <w:right w:val="single" w:sz="8" w:color="DCE2EF"/>
            </w:tcBorders>
            <w:shd w:val="clear" w:color="auto" w:fill="DCE2EF"/>
          </w:tcPr>
          <w:p>
            <w:pPr>
              <w:spacing w:after="0"/>
              <w:rPr>
                <w:sz w:val="12"/>
                <w:szCs w:val="12"/>
                <w:color w:val="auto"/>
              </w:rPr>
            </w:pPr>
          </w:p>
        </w:tc>
        <w:tc>
          <w:tcPr>
            <w:tcW w:w="4440" w:type="dxa"/>
            <w:vAlign w:val="bottom"/>
            <w:tcBorders>
              <w:top w:val="single" w:sz="8" w:color="0000FF"/>
            </w:tcBorders>
            <w:gridSpan w:val="25"/>
            <w:shd w:val="clear" w:color="auto" w:fill="DCE2EF"/>
          </w:tcPr>
          <w:p>
            <w:pPr>
              <w:spacing w:after="0" w:line="148" w:lineRule="exact"/>
              <w:rPr>
                <w:rFonts w:ascii="Arial" w:cs="Arial" w:eastAsia="Arial" w:hAnsi="Arial"/>
                <w:sz w:val="17"/>
                <w:szCs w:val="17"/>
                <w:color w:val="0000FF"/>
              </w:rPr>
            </w:pPr>
            <w:hyperlink r:id="rId171">
              <w:r>
                <w:rPr>
                  <w:rFonts w:ascii="Arial" w:cs="Arial" w:eastAsia="Arial" w:hAnsi="Arial"/>
                  <w:sz w:val="17"/>
                  <w:szCs w:val="17"/>
                  <w:color w:val="0000FF"/>
                </w:rPr>
                <w:t>among ABM Industries Incorporated, a Delaware</w:t>
              </w:r>
            </w:hyperlink>
          </w:p>
        </w:tc>
        <w:tc>
          <w:tcPr>
            <w:tcW w:w="40" w:type="dxa"/>
            <w:vAlign w:val="bottom"/>
            <w:tcBorders>
              <w:top w:val="single" w:sz="8" w:color="DCE2EF"/>
            </w:tcBorders>
            <w:gridSpan w:val="2"/>
            <w:shd w:val="clear" w:color="auto" w:fill="DCE2EF"/>
          </w:tcPr>
          <w:p>
            <w:pPr>
              <w:spacing w:after="0"/>
              <w:rPr>
                <w:sz w:val="12"/>
                <w:szCs w:val="12"/>
                <w:color w:val="auto"/>
              </w:rPr>
            </w:pPr>
          </w:p>
        </w:tc>
        <w:tc>
          <w:tcPr>
            <w:tcW w:w="40" w:type="dxa"/>
            <w:vAlign w:val="bottom"/>
            <w:tcBorders>
              <w:top w:val="single" w:sz="8" w:color="DCE2EF"/>
            </w:tcBorders>
            <w:gridSpan w:val="2"/>
            <w:shd w:val="clear" w:color="auto" w:fill="DCE2EF"/>
          </w:tcPr>
          <w:p>
            <w:pPr>
              <w:spacing w:after="0"/>
              <w:rPr>
                <w:sz w:val="12"/>
                <w:szCs w:val="12"/>
                <w:color w:val="auto"/>
              </w:rPr>
            </w:pPr>
          </w:p>
        </w:tc>
        <w:tc>
          <w:tcPr>
            <w:tcW w:w="20" w:type="dxa"/>
            <w:vAlign w:val="bottom"/>
            <w:tcBorders>
              <w:top w:val="single" w:sz="8" w:color="DCE2EF"/>
            </w:tcBorders>
            <w:shd w:val="clear" w:color="auto" w:fill="DCE2EF"/>
          </w:tcPr>
          <w:p>
            <w:pPr>
              <w:spacing w:after="0"/>
              <w:rPr>
                <w:sz w:val="12"/>
                <w:szCs w:val="12"/>
                <w:color w:val="auto"/>
              </w:rPr>
            </w:pPr>
          </w:p>
        </w:tc>
        <w:tc>
          <w:tcPr>
            <w:tcW w:w="100" w:type="dxa"/>
            <w:vAlign w:val="bottom"/>
            <w:tcBorders>
              <w:top w:val="single" w:sz="8" w:color="DCE2EF"/>
            </w:tcBorders>
            <w:gridSpan w:val="2"/>
            <w:shd w:val="clear" w:color="auto" w:fill="DCE2EF"/>
          </w:tcPr>
          <w:p>
            <w:pPr>
              <w:spacing w:after="0"/>
              <w:rPr>
                <w:sz w:val="12"/>
                <w:szCs w:val="12"/>
                <w:color w:val="auto"/>
              </w:rPr>
            </w:pPr>
          </w:p>
        </w:tc>
        <w:tc>
          <w:tcPr>
            <w:tcW w:w="680" w:type="dxa"/>
            <w:vAlign w:val="bottom"/>
            <w:tcBorders>
              <w:top w:val="single" w:sz="8" w:color="DCE2EF"/>
            </w:tcBorders>
            <w:shd w:val="clear" w:color="auto" w:fill="DCE2EF"/>
          </w:tcPr>
          <w:p>
            <w:pPr>
              <w:spacing w:after="0"/>
              <w:rPr>
                <w:sz w:val="12"/>
                <w:szCs w:val="12"/>
                <w:color w:val="auto"/>
              </w:rPr>
            </w:pPr>
          </w:p>
        </w:tc>
        <w:tc>
          <w:tcPr>
            <w:tcW w:w="100" w:type="dxa"/>
            <w:vAlign w:val="bottom"/>
            <w:tcBorders>
              <w:top w:val="single" w:sz="8" w:color="DCE2EF"/>
            </w:tcBorders>
            <w:shd w:val="clear" w:color="auto" w:fill="DCE2EF"/>
          </w:tcPr>
          <w:p>
            <w:pPr>
              <w:spacing w:after="0"/>
              <w:rPr>
                <w:sz w:val="12"/>
                <w:szCs w:val="12"/>
                <w:color w:val="auto"/>
              </w:rPr>
            </w:pPr>
          </w:p>
        </w:tc>
        <w:tc>
          <w:tcPr>
            <w:tcW w:w="1260" w:type="dxa"/>
            <w:vAlign w:val="bottom"/>
            <w:tcBorders>
              <w:top w:val="single" w:sz="8" w:color="DCE2EF"/>
            </w:tcBorders>
            <w:shd w:val="clear" w:color="auto" w:fill="DCE2EF"/>
          </w:tcPr>
          <w:p>
            <w:pPr>
              <w:spacing w:after="0"/>
              <w:rPr>
                <w:sz w:val="12"/>
                <w:szCs w:val="12"/>
                <w:color w:val="auto"/>
              </w:rPr>
            </w:pPr>
          </w:p>
        </w:tc>
        <w:tc>
          <w:tcPr>
            <w:tcW w:w="100" w:type="dxa"/>
            <w:vAlign w:val="bottom"/>
            <w:tcBorders>
              <w:top w:val="single" w:sz="8" w:color="DCE2EF"/>
            </w:tcBorders>
            <w:shd w:val="clear" w:color="auto" w:fill="DCE2EF"/>
          </w:tcPr>
          <w:p>
            <w:pPr>
              <w:spacing w:after="0"/>
              <w:rPr>
                <w:sz w:val="12"/>
                <w:szCs w:val="12"/>
                <w:color w:val="auto"/>
              </w:rPr>
            </w:pPr>
          </w:p>
        </w:tc>
        <w:tc>
          <w:tcPr>
            <w:tcW w:w="920" w:type="dxa"/>
            <w:vAlign w:val="bottom"/>
            <w:tcBorders>
              <w:top w:val="single" w:sz="8" w:color="DCE2EF"/>
            </w:tcBorders>
            <w:shd w:val="clear" w:color="auto" w:fill="DCE2EF"/>
          </w:tcPr>
          <w:p>
            <w:pPr>
              <w:spacing w:after="0"/>
              <w:rPr>
                <w:sz w:val="12"/>
                <w:szCs w:val="12"/>
                <w:color w:val="auto"/>
              </w:rPr>
            </w:pPr>
          </w:p>
        </w:tc>
        <w:tc>
          <w:tcPr>
            <w:tcW w:w="100" w:type="dxa"/>
            <w:vAlign w:val="bottom"/>
            <w:tcBorders>
              <w:top w:val="single" w:sz="8" w:color="DCE2EF"/>
            </w:tcBorders>
            <w:shd w:val="clear" w:color="auto" w:fill="DCE2EF"/>
          </w:tcPr>
          <w:p>
            <w:pPr>
              <w:spacing w:after="0"/>
              <w:rPr>
                <w:sz w:val="12"/>
                <w:szCs w:val="12"/>
                <w:color w:val="auto"/>
              </w:rPr>
            </w:pPr>
          </w:p>
        </w:tc>
        <w:tc>
          <w:tcPr>
            <w:tcW w:w="2140" w:type="dxa"/>
            <w:vAlign w:val="bottom"/>
            <w:tcBorders>
              <w:top w:val="single" w:sz="8" w:color="DCE2EF"/>
            </w:tcBorders>
            <w:shd w:val="clear" w:color="auto" w:fill="DCE2EF"/>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180" w:type="dxa"/>
            <w:vAlign w:val="bottom"/>
            <w:tcBorders>
              <w:top w:val="single" w:sz="8" w:color="DCE2EF"/>
              <w:bottom w:val="single" w:sz="8" w:color="DCE2EF"/>
            </w:tcBorders>
            <w:shd w:val="clear" w:color="auto" w:fill="DCE2EF"/>
          </w:tcPr>
          <w:p>
            <w:pPr>
              <w:spacing w:after="0"/>
              <w:rPr>
                <w:sz w:val="13"/>
                <w:szCs w:val="13"/>
                <w:color w:val="auto"/>
              </w:rPr>
            </w:pPr>
          </w:p>
        </w:tc>
        <w:tc>
          <w:tcPr>
            <w:tcW w:w="120" w:type="dxa"/>
            <w:vAlign w:val="bottom"/>
            <w:tcBorders>
              <w:top w:val="single" w:sz="8" w:color="DCE2EF"/>
              <w:bottom w:val="single" w:sz="8" w:color="DCE2EF"/>
              <w:right w:val="single" w:sz="8" w:color="DCE2EF"/>
            </w:tcBorders>
            <w:shd w:val="clear" w:color="auto" w:fill="DCE2EF"/>
          </w:tcPr>
          <w:p>
            <w:pPr>
              <w:spacing w:after="0"/>
              <w:rPr>
                <w:sz w:val="13"/>
                <w:szCs w:val="13"/>
                <w:color w:val="auto"/>
              </w:rPr>
            </w:pPr>
          </w:p>
        </w:tc>
        <w:tc>
          <w:tcPr>
            <w:tcW w:w="3720" w:type="dxa"/>
            <w:vAlign w:val="bottom"/>
            <w:tcBorders>
              <w:top w:val="single" w:sz="8" w:color="0000FF"/>
              <w:bottom w:val="single" w:sz="8" w:color="0000FF"/>
            </w:tcBorders>
            <w:gridSpan w:val="9"/>
            <w:shd w:val="clear" w:color="auto" w:fill="DCE2EF"/>
          </w:tcPr>
          <w:p>
            <w:pPr>
              <w:spacing w:after="0" w:line="161" w:lineRule="exact"/>
              <w:rPr>
                <w:rFonts w:ascii="Arial" w:cs="Arial" w:eastAsia="Arial" w:hAnsi="Arial"/>
                <w:sz w:val="17"/>
                <w:szCs w:val="17"/>
                <w:color w:val="0000FF"/>
                <w:w w:val="97"/>
              </w:rPr>
            </w:pPr>
            <w:hyperlink r:id="rId171">
              <w:r>
                <w:rPr>
                  <w:rFonts w:ascii="Arial" w:cs="Arial" w:eastAsia="Arial" w:hAnsi="Arial"/>
                  <w:sz w:val="17"/>
                  <w:szCs w:val="17"/>
                  <w:color w:val="0000FF"/>
                  <w:w w:val="97"/>
                </w:rPr>
                <w:t>corporation, certain subsidiaries of ABM Industries</w:t>
              </w:r>
            </w:hyperlink>
          </w:p>
        </w:tc>
        <w:tc>
          <w:tcPr>
            <w:tcW w:w="100" w:type="dxa"/>
            <w:vAlign w:val="bottom"/>
            <w:tcBorders>
              <w:top w:val="single" w:sz="8" w:color="DCE2EF"/>
              <w:bottom w:val="single" w:sz="8" w:color="0000FF"/>
            </w:tcBorders>
            <w:gridSpan w:val="2"/>
            <w:shd w:val="clear" w:color="auto" w:fill="DCE2EF"/>
          </w:tcPr>
          <w:p>
            <w:pPr>
              <w:spacing w:after="0"/>
              <w:rPr>
                <w:sz w:val="13"/>
                <w:szCs w:val="13"/>
                <w:color w:val="auto"/>
              </w:rPr>
            </w:pPr>
          </w:p>
        </w:tc>
        <w:tc>
          <w:tcPr>
            <w:tcW w:w="140" w:type="dxa"/>
            <w:vAlign w:val="bottom"/>
            <w:tcBorders>
              <w:top w:val="single" w:sz="8" w:color="DCE2EF"/>
              <w:bottom w:val="single" w:sz="8" w:color="DCE2EF"/>
            </w:tcBorders>
            <w:gridSpan w:val="2"/>
            <w:shd w:val="clear" w:color="auto" w:fill="DCE2EF"/>
          </w:tcPr>
          <w:p>
            <w:pPr>
              <w:spacing w:after="0"/>
              <w:rPr>
                <w:sz w:val="13"/>
                <w:szCs w:val="13"/>
                <w:color w:val="auto"/>
              </w:rPr>
            </w:pPr>
          </w:p>
        </w:tc>
        <w:tc>
          <w:tcPr>
            <w:tcW w:w="20" w:type="dxa"/>
            <w:vAlign w:val="bottom"/>
            <w:tcBorders>
              <w:top w:val="single" w:sz="8" w:color="DCE2EF"/>
              <w:bottom w:val="single" w:sz="8" w:color="DCE2EF"/>
            </w:tcBorders>
            <w:shd w:val="clear" w:color="auto" w:fill="DCE2EF"/>
          </w:tcPr>
          <w:p>
            <w:pPr>
              <w:spacing w:after="0"/>
              <w:rPr>
                <w:sz w:val="13"/>
                <w:szCs w:val="13"/>
                <w:color w:val="auto"/>
              </w:rPr>
            </w:pPr>
          </w:p>
        </w:tc>
        <w:tc>
          <w:tcPr>
            <w:tcW w:w="80" w:type="dxa"/>
            <w:vAlign w:val="bottom"/>
            <w:tcBorders>
              <w:top w:val="single" w:sz="8" w:color="DCE2EF"/>
              <w:bottom w:val="single" w:sz="8" w:color="DCE2EF"/>
            </w:tcBorders>
            <w:gridSpan w:val="2"/>
            <w:shd w:val="clear" w:color="auto" w:fill="DCE2EF"/>
          </w:tcPr>
          <w:p>
            <w:pPr>
              <w:spacing w:after="0"/>
              <w:rPr>
                <w:sz w:val="13"/>
                <w:szCs w:val="13"/>
                <w:color w:val="auto"/>
              </w:rPr>
            </w:pPr>
          </w:p>
        </w:tc>
        <w:tc>
          <w:tcPr>
            <w:tcW w:w="40" w:type="dxa"/>
            <w:vAlign w:val="bottom"/>
            <w:tcBorders>
              <w:top w:val="single" w:sz="8" w:color="DCE2EF"/>
              <w:bottom w:val="single" w:sz="8" w:color="DCE2EF"/>
            </w:tcBorders>
            <w:shd w:val="clear" w:color="auto" w:fill="DCE2EF"/>
          </w:tcPr>
          <w:p>
            <w:pPr>
              <w:spacing w:after="0"/>
              <w:rPr>
                <w:sz w:val="13"/>
                <w:szCs w:val="13"/>
                <w:color w:val="auto"/>
              </w:rPr>
            </w:pPr>
          </w:p>
        </w:tc>
        <w:tc>
          <w:tcPr>
            <w:tcW w:w="80" w:type="dxa"/>
            <w:vAlign w:val="bottom"/>
            <w:tcBorders>
              <w:top w:val="single" w:sz="8" w:color="DCE2EF"/>
              <w:bottom w:val="single" w:sz="8" w:color="DCE2EF"/>
            </w:tcBorders>
            <w:gridSpan w:val="2"/>
            <w:shd w:val="clear" w:color="auto" w:fill="DCE2EF"/>
          </w:tcPr>
          <w:p>
            <w:pPr>
              <w:spacing w:after="0"/>
              <w:rPr>
                <w:sz w:val="13"/>
                <w:szCs w:val="13"/>
                <w:color w:val="auto"/>
              </w:rPr>
            </w:pPr>
          </w:p>
        </w:tc>
        <w:tc>
          <w:tcPr>
            <w:tcW w:w="20" w:type="dxa"/>
            <w:vAlign w:val="bottom"/>
            <w:tcBorders>
              <w:top w:val="single" w:sz="8" w:color="DCE2EF"/>
              <w:bottom w:val="single" w:sz="8" w:color="DCE2EF"/>
            </w:tcBorders>
            <w:shd w:val="clear" w:color="auto" w:fill="DCE2EF"/>
          </w:tcPr>
          <w:p>
            <w:pPr>
              <w:spacing w:after="0"/>
              <w:rPr>
                <w:sz w:val="13"/>
                <w:szCs w:val="13"/>
                <w:color w:val="auto"/>
              </w:rPr>
            </w:pPr>
          </w:p>
        </w:tc>
        <w:tc>
          <w:tcPr>
            <w:tcW w:w="100" w:type="dxa"/>
            <w:vAlign w:val="bottom"/>
            <w:tcBorders>
              <w:top w:val="single" w:sz="8" w:color="DCE2EF"/>
              <w:bottom w:val="single" w:sz="8" w:color="DCE2EF"/>
              <w:right w:val="single" w:sz="8" w:color="DCE2EF"/>
            </w:tcBorders>
            <w:shd w:val="clear" w:color="auto" w:fill="DCE2EF"/>
          </w:tcPr>
          <w:p>
            <w:pPr>
              <w:spacing w:after="0"/>
              <w:rPr>
                <w:sz w:val="13"/>
                <w:szCs w:val="13"/>
                <w:color w:val="auto"/>
              </w:rPr>
            </w:pPr>
          </w:p>
        </w:tc>
        <w:tc>
          <w:tcPr>
            <w:tcW w:w="100" w:type="dxa"/>
            <w:vAlign w:val="bottom"/>
            <w:tcBorders>
              <w:top w:val="single" w:sz="8" w:color="DCE2EF"/>
              <w:bottom w:val="single" w:sz="8" w:color="DCE2EF"/>
            </w:tcBorders>
            <w:gridSpan w:val="2"/>
            <w:shd w:val="clear" w:color="auto" w:fill="DCE2EF"/>
          </w:tcPr>
          <w:p>
            <w:pPr>
              <w:spacing w:after="0"/>
              <w:rPr>
                <w:sz w:val="13"/>
                <w:szCs w:val="13"/>
                <w:color w:val="auto"/>
              </w:rPr>
            </w:pPr>
          </w:p>
        </w:tc>
        <w:tc>
          <w:tcPr>
            <w:tcW w:w="20" w:type="dxa"/>
            <w:vAlign w:val="bottom"/>
            <w:tcBorders>
              <w:top w:val="single" w:sz="8" w:color="DCE2EF"/>
              <w:bottom w:val="single" w:sz="8" w:color="DCE2EF"/>
            </w:tcBorders>
            <w:shd w:val="clear" w:color="auto" w:fill="DCE2EF"/>
          </w:tcPr>
          <w:p>
            <w:pPr>
              <w:spacing w:after="0"/>
              <w:rPr>
                <w:sz w:val="13"/>
                <w:szCs w:val="13"/>
                <w:color w:val="auto"/>
              </w:rPr>
            </w:pPr>
          </w:p>
        </w:tc>
        <w:tc>
          <w:tcPr>
            <w:tcW w:w="60" w:type="dxa"/>
            <w:vAlign w:val="bottom"/>
            <w:tcBorders>
              <w:top w:val="single" w:sz="8" w:color="DCE2EF"/>
              <w:bottom w:val="single" w:sz="8" w:color="DCE2EF"/>
            </w:tcBorders>
            <w:gridSpan w:val="3"/>
            <w:shd w:val="clear" w:color="auto" w:fill="DCE2EF"/>
          </w:tcPr>
          <w:p>
            <w:pPr>
              <w:spacing w:after="0"/>
              <w:rPr>
                <w:sz w:val="13"/>
                <w:szCs w:val="13"/>
                <w:color w:val="auto"/>
              </w:rPr>
            </w:pPr>
          </w:p>
        </w:tc>
        <w:tc>
          <w:tcPr>
            <w:tcW w:w="40" w:type="dxa"/>
            <w:vAlign w:val="bottom"/>
            <w:tcBorders>
              <w:top w:val="single" w:sz="8" w:color="DCE2EF"/>
              <w:bottom w:val="single" w:sz="8" w:color="DCE2EF"/>
            </w:tcBorders>
            <w:gridSpan w:val="2"/>
            <w:shd w:val="clear" w:color="auto" w:fill="DCE2EF"/>
          </w:tcPr>
          <w:p>
            <w:pPr>
              <w:spacing w:after="0"/>
              <w:rPr>
                <w:sz w:val="13"/>
                <w:szCs w:val="13"/>
                <w:color w:val="auto"/>
              </w:rPr>
            </w:pPr>
          </w:p>
        </w:tc>
        <w:tc>
          <w:tcPr>
            <w:tcW w:w="20" w:type="dxa"/>
            <w:vAlign w:val="bottom"/>
            <w:tcBorders>
              <w:top w:val="single" w:sz="8" w:color="DCE2EF"/>
              <w:bottom w:val="single" w:sz="8" w:color="DCE2EF"/>
            </w:tcBorders>
            <w:shd w:val="clear" w:color="auto" w:fill="DCE2EF"/>
          </w:tcPr>
          <w:p>
            <w:pPr>
              <w:spacing w:after="0"/>
              <w:rPr>
                <w:sz w:val="13"/>
                <w:szCs w:val="13"/>
                <w:color w:val="auto"/>
              </w:rPr>
            </w:pPr>
          </w:p>
        </w:tc>
        <w:tc>
          <w:tcPr>
            <w:tcW w:w="100" w:type="dxa"/>
            <w:vAlign w:val="bottom"/>
            <w:tcBorders>
              <w:top w:val="single" w:sz="8" w:color="DCE2EF"/>
              <w:bottom w:val="single" w:sz="8" w:color="DCE2EF"/>
            </w:tcBorders>
            <w:gridSpan w:val="2"/>
            <w:shd w:val="clear" w:color="auto" w:fill="DCE2EF"/>
          </w:tcPr>
          <w:p>
            <w:pPr>
              <w:spacing w:after="0"/>
              <w:rPr>
                <w:sz w:val="13"/>
                <w:szCs w:val="13"/>
                <w:color w:val="auto"/>
              </w:rPr>
            </w:pPr>
          </w:p>
        </w:tc>
        <w:tc>
          <w:tcPr>
            <w:tcW w:w="680" w:type="dxa"/>
            <w:vAlign w:val="bottom"/>
            <w:tcBorders>
              <w:top w:val="single" w:sz="8" w:color="DCE2EF"/>
              <w:bottom w:val="single" w:sz="8" w:color="DCE2EF"/>
            </w:tcBorders>
            <w:shd w:val="clear" w:color="auto" w:fill="DCE2EF"/>
          </w:tcPr>
          <w:p>
            <w:pPr>
              <w:spacing w:after="0"/>
              <w:rPr>
                <w:sz w:val="13"/>
                <w:szCs w:val="13"/>
                <w:color w:val="auto"/>
              </w:rPr>
            </w:pPr>
          </w:p>
        </w:tc>
        <w:tc>
          <w:tcPr>
            <w:tcW w:w="100" w:type="dxa"/>
            <w:vAlign w:val="bottom"/>
            <w:tcBorders>
              <w:top w:val="single" w:sz="8" w:color="DCE2EF"/>
              <w:bottom w:val="single" w:sz="8" w:color="DCE2EF"/>
            </w:tcBorders>
            <w:shd w:val="clear" w:color="auto" w:fill="DCE2EF"/>
          </w:tcPr>
          <w:p>
            <w:pPr>
              <w:spacing w:after="0"/>
              <w:rPr>
                <w:sz w:val="13"/>
                <w:szCs w:val="13"/>
                <w:color w:val="auto"/>
              </w:rPr>
            </w:pPr>
          </w:p>
        </w:tc>
        <w:tc>
          <w:tcPr>
            <w:tcW w:w="1260" w:type="dxa"/>
            <w:vAlign w:val="bottom"/>
            <w:tcBorders>
              <w:top w:val="single" w:sz="8" w:color="DCE2EF"/>
              <w:bottom w:val="single" w:sz="8" w:color="DCE2EF"/>
            </w:tcBorders>
            <w:shd w:val="clear" w:color="auto" w:fill="DCE2EF"/>
          </w:tcPr>
          <w:p>
            <w:pPr>
              <w:spacing w:after="0"/>
              <w:rPr>
                <w:sz w:val="13"/>
                <w:szCs w:val="13"/>
                <w:color w:val="auto"/>
              </w:rPr>
            </w:pPr>
          </w:p>
        </w:tc>
        <w:tc>
          <w:tcPr>
            <w:tcW w:w="100" w:type="dxa"/>
            <w:vAlign w:val="bottom"/>
            <w:tcBorders>
              <w:top w:val="single" w:sz="8" w:color="DCE2EF"/>
              <w:bottom w:val="single" w:sz="8" w:color="DCE2EF"/>
            </w:tcBorders>
            <w:shd w:val="clear" w:color="auto" w:fill="DCE2EF"/>
          </w:tcPr>
          <w:p>
            <w:pPr>
              <w:spacing w:after="0"/>
              <w:rPr>
                <w:sz w:val="13"/>
                <w:szCs w:val="13"/>
                <w:color w:val="auto"/>
              </w:rPr>
            </w:pPr>
          </w:p>
        </w:tc>
        <w:tc>
          <w:tcPr>
            <w:tcW w:w="920" w:type="dxa"/>
            <w:vAlign w:val="bottom"/>
            <w:tcBorders>
              <w:top w:val="single" w:sz="8" w:color="DCE2EF"/>
              <w:bottom w:val="single" w:sz="8" w:color="DCE2EF"/>
            </w:tcBorders>
            <w:shd w:val="clear" w:color="auto" w:fill="DCE2EF"/>
          </w:tcPr>
          <w:p>
            <w:pPr>
              <w:spacing w:after="0"/>
              <w:rPr>
                <w:sz w:val="13"/>
                <w:szCs w:val="13"/>
                <w:color w:val="auto"/>
              </w:rPr>
            </w:pPr>
          </w:p>
        </w:tc>
        <w:tc>
          <w:tcPr>
            <w:tcW w:w="100" w:type="dxa"/>
            <w:vAlign w:val="bottom"/>
            <w:tcBorders>
              <w:top w:val="single" w:sz="8" w:color="DCE2EF"/>
              <w:bottom w:val="single" w:sz="8" w:color="DCE2EF"/>
            </w:tcBorders>
            <w:shd w:val="clear" w:color="auto" w:fill="DCE2EF"/>
          </w:tcPr>
          <w:p>
            <w:pPr>
              <w:spacing w:after="0"/>
              <w:rPr>
                <w:sz w:val="13"/>
                <w:szCs w:val="13"/>
                <w:color w:val="auto"/>
              </w:rPr>
            </w:pPr>
          </w:p>
        </w:tc>
        <w:tc>
          <w:tcPr>
            <w:tcW w:w="2140" w:type="dxa"/>
            <w:vAlign w:val="bottom"/>
            <w:tcBorders>
              <w:top w:val="single" w:sz="8" w:color="DCE2EF"/>
              <w:bottom w:val="single" w:sz="8" w:color="DCE2EF"/>
            </w:tcBorders>
            <w:shd w:val="clear" w:color="auto" w:fill="DCE2E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180" w:type="dxa"/>
            <w:vAlign w:val="bottom"/>
            <w:shd w:val="clear" w:color="auto" w:fill="DCE2EF"/>
          </w:tcPr>
          <w:p>
            <w:pPr>
              <w:spacing w:after="0"/>
              <w:rPr>
                <w:sz w:val="12"/>
                <w:szCs w:val="12"/>
                <w:color w:val="auto"/>
              </w:rPr>
            </w:pPr>
          </w:p>
        </w:tc>
        <w:tc>
          <w:tcPr>
            <w:tcW w:w="120" w:type="dxa"/>
            <w:vAlign w:val="bottom"/>
            <w:tcBorders>
              <w:right w:val="single" w:sz="8" w:color="DCE2EF"/>
            </w:tcBorders>
            <w:shd w:val="clear" w:color="auto" w:fill="DCE2EF"/>
          </w:tcPr>
          <w:p>
            <w:pPr>
              <w:spacing w:after="0"/>
              <w:rPr>
                <w:sz w:val="12"/>
                <w:szCs w:val="12"/>
                <w:color w:val="auto"/>
              </w:rPr>
            </w:pPr>
          </w:p>
        </w:tc>
        <w:tc>
          <w:tcPr>
            <w:tcW w:w="4640" w:type="dxa"/>
            <w:vAlign w:val="bottom"/>
            <w:gridSpan w:val="32"/>
            <w:shd w:val="clear" w:color="auto" w:fill="DCE2EF"/>
          </w:tcPr>
          <w:p>
            <w:pPr>
              <w:spacing w:after="0" w:line="148" w:lineRule="exact"/>
              <w:rPr>
                <w:rFonts w:ascii="Arial" w:cs="Arial" w:eastAsia="Arial" w:hAnsi="Arial"/>
                <w:sz w:val="17"/>
                <w:szCs w:val="17"/>
                <w:color w:val="0000FF"/>
              </w:rPr>
            </w:pPr>
            <w:hyperlink r:id="rId171">
              <w:r>
                <w:rPr>
                  <w:rFonts w:ascii="Arial" w:cs="Arial" w:eastAsia="Arial" w:hAnsi="Arial"/>
                  <w:sz w:val="17"/>
                  <w:szCs w:val="17"/>
                  <w:color w:val="0000FF"/>
                </w:rPr>
                <w:t>Incorporated from time to time party thereto, the lenders</w:t>
              </w:r>
            </w:hyperlink>
          </w:p>
        </w:tc>
        <w:tc>
          <w:tcPr>
            <w:tcW w:w="680" w:type="dxa"/>
            <w:vAlign w:val="bottom"/>
            <w:shd w:val="clear" w:color="auto" w:fill="DCE2EF"/>
          </w:tcPr>
          <w:p>
            <w:pPr>
              <w:spacing w:after="0"/>
              <w:rPr>
                <w:sz w:val="12"/>
                <w:szCs w:val="12"/>
                <w:color w:val="auto"/>
              </w:rPr>
            </w:pPr>
          </w:p>
        </w:tc>
        <w:tc>
          <w:tcPr>
            <w:tcW w:w="100" w:type="dxa"/>
            <w:vAlign w:val="bottom"/>
            <w:shd w:val="clear" w:color="auto" w:fill="DCE2EF"/>
          </w:tcPr>
          <w:p>
            <w:pPr>
              <w:spacing w:after="0"/>
              <w:rPr>
                <w:sz w:val="12"/>
                <w:szCs w:val="12"/>
                <w:color w:val="auto"/>
              </w:rPr>
            </w:pPr>
          </w:p>
        </w:tc>
        <w:tc>
          <w:tcPr>
            <w:tcW w:w="1260" w:type="dxa"/>
            <w:vAlign w:val="bottom"/>
            <w:shd w:val="clear" w:color="auto" w:fill="DCE2EF"/>
          </w:tcPr>
          <w:p>
            <w:pPr>
              <w:spacing w:after="0"/>
              <w:rPr>
                <w:sz w:val="12"/>
                <w:szCs w:val="12"/>
                <w:color w:val="auto"/>
              </w:rPr>
            </w:pPr>
          </w:p>
        </w:tc>
        <w:tc>
          <w:tcPr>
            <w:tcW w:w="100" w:type="dxa"/>
            <w:vAlign w:val="bottom"/>
            <w:shd w:val="clear" w:color="auto" w:fill="DCE2EF"/>
          </w:tcPr>
          <w:p>
            <w:pPr>
              <w:spacing w:after="0"/>
              <w:rPr>
                <w:sz w:val="12"/>
                <w:szCs w:val="12"/>
                <w:color w:val="auto"/>
              </w:rPr>
            </w:pPr>
          </w:p>
        </w:tc>
        <w:tc>
          <w:tcPr>
            <w:tcW w:w="920" w:type="dxa"/>
            <w:vAlign w:val="bottom"/>
            <w:shd w:val="clear" w:color="auto" w:fill="DCE2EF"/>
          </w:tcPr>
          <w:p>
            <w:pPr>
              <w:spacing w:after="0"/>
              <w:rPr>
                <w:sz w:val="12"/>
                <w:szCs w:val="12"/>
                <w:color w:val="auto"/>
              </w:rPr>
            </w:pPr>
          </w:p>
        </w:tc>
        <w:tc>
          <w:tcPr>
            <w:tcW w:w="100" w:type="dxa"/>
            <w:vAlign w:val="bottom"/>
            <w:shd w:val="clear" w:color="auto" w:fill="DCE2EF"/>
          </w:tcPr>
          <w:p>
            <w:pPr>
              <w:spacing w:after="0"/>
              <w:rPr>
                <w:sz w:val="12"/>
                <w:szCs w:val="12"/>
                <w:color w:val="auto"/>
              </w:rPr>
            </w:pPr>
          </w:p>
        </w:tc>
        <w:tc>
          <w:tcPr>
            <w:tcW w:w="2140" w:type="dxa"/>
            <w:vAlign w:val="bottom"/>
            <w:shd w:val="clear" w:color="auto" w:fill="DCE2E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DCE2EF"/>
          </w:tcPr>
          <w:p>
            <w:pPr>
              <w:spacing w:after="0" w:line="20" w:lineRule="exact"/>
              <w:rPr>
                <w:sz w:val="1"/>
                <w:szCs w:val="1"/>
                <w:color w:val="auto"/>
              </w:rPr>
            </w:pPr>
          </w:p>
        </w:tc>
        <w:tc>
          <w:tcPr>
            <w:tcW w:w="120" w:type="dxa"/>
            <w:vAlign w:val="bottom"/>
            <w:tcBorders>
              <w:right w:val="single" w:sz="8" w:color="DCE2EF"/>
            </w:tcBorders>
            <w:shd w:val="clear" w:color="auto" w:fill="DCE2E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0" w:type="dxa"/>
            <w:vAlign w:val="bottom"/>
            <w:gridSpan w:val="11"/>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gridSpan w:val="2"/>
            <w:shd w:val="clear" w:color="auto" w:fill="DCE2EF"/>
          </w:tcPr>
          <w:p>
            <w:pPr>
              <w:spacing w:after="0" w:line="20" w:lineRule="exact"/>
              <w:rPr>
                <w:sz w:val="1"/>
                <w:szCs w:val="1"/>
                <w:color w:val="auto"/>
              </w:rPr>
            </w:pPr>
          </w:p>
        </w:tc>
        <w:tc>
          <w:tcPr>
            <w:tcW w:w="20" w:type="dxa"/>
            <w:vAlign w:val="bottom"/>
            <w:shd w:val="clear" w:color="auto" w:fill="DCE2EF"/>
          </w:tcPr>
          <w:p>
            <w:pPr>
              <w:spacing w:after="0" w:line="20" w:lineRule="exact"/>
              <w:rPr>
                <w:sz w:val="1"/>
                <w:szCs w:val="1"/>
                <w:color w:val="auto"/>
              </w:rPr>
            </w:pPr>
          </w:p>
        </w:tc>
        <w:tc>
          <w:tcPr>
            <w:tcW w:w="60" w:type="dxa"/>
            <w:vAlign w:val="bottom"/>
            <w:gridSpan w:val="3"/>
            <w:shd w:val="clear" w:color="auto" w:fill="DCE2EF"/>
          </w:tcPr>
          <w:p>
            <w:pPr>
              <w:spacing w:after="0" w:line="20" w:lineRule="exact"/>
              <w:rPr>
                <w:sz w:val="1"/>
                <w:szCs w:val="1"/>
                <w:color w:val="auto"/>
              </w:rPr>
            </w:pPr>
          </w:p>
        </w:tc>
        <w:tc>
          <w:tcPr>
            <w:tcW w:w="40" w:type="dxa"/>
            <w:vAlign w:val="bottom"/>
            <w:gridSpan w:val="2"/>
            <w:shd w:val="clear" w:color="auto" w:fill="DCE2EF"/>
          </w:tcPr>
          <w:p>
            <w:pPr>
              <w:spacing w:after="0" w:line="20" w:lineRule="exact"/>
              <w:rPr>
                <w:sz w:val="1"/>
                <w:szCs w:val="1"/>
                <w:color w:val="auto"/>
              </w:rPr>
            </w:pPr>
          </w:p>
        </w:tc>
        <w:tc>
          <w:tcPr>
            <w:tcW w:w="20" w:type="dxa"/>
            <w:vAlign w:val="bottom"/>
            <w:shd w:val="clear" w:color="auto" w:fill="DCE2EF"/>
          </w:tcPr>
          <w:p>
            <w:pPr>
              <w:spacing w:after="0" w:line="20" w:lineRule="exact"/>
              <w:rPr>
                <w:sz w:val="1"/>
                <w:szCs w:val="1"/>
                <w:color w:val="auto"/>
              </w:rPr>
            </w:pPr>
          </w:p>
        </w:tc>
        <w:tc>
          <w:tcPr>
            <w:tcW w:w="100" w:type="dxa"/>
            <w:vAlign w:val="bottom"/>
            <w:gridSpan w:val="2"/>
            <w:shd w:val="clear" w:color="auto" w:fill="DCE2EF"/>
          </w:tcPr>
          <w:p>
            <w:pPr>
              <w:spacing w:after="0" w:line="20" w:lineRule="exact"/>
              <w:rPr>
                <w:sz w:val="1"/>
                <w:szCs w:val="1"/>
                <w:color w:val="auto"/>
              </w:rPr>
            </w:pPr>
          </w:p>
        </w:tc>
        <w:tc>
          <w:tcPr>
            <w:tcW w:w="680" w:type="dxa"/>
            <w:vAlign w:val="bottom"/>
            <w:shd w:val="clear" w:color="auto" w:fill="DCE2EF"/>
          </w:tcPr>
          <w:p>
            <w:pPr>
              <w:spacing w:after="0" w:line="20" w:lineRule="exact"/>
              <w:rPr>
                <w:sz w:val="1"/>
                <w:szCs w:val="1"/>
                <w:color w:val="auto"/>
              </w:rPr>
            </w:pPr>
          </w:p>
        </w:tc>
        <w:tc>
          <w:tcPr>
            <w:tcW w:w="100" w:type="dxa"/>
            <w:vAlign w:val="bottom"/>
            <w:shd w:val="clear" w:color="auto" w:fill="DCE2EF"/>
          </w:tcPr>
          <w:p>
            <w:pPr>
              <w:spacing w:after="0" w:line="20" w:lineRule="exact"/>
              <w:rPr>
                <w:sz w:val="1"/>
                <w:szCs w:val="1"/>
                <w:color w:val="auto"/>
              </w:rPr>
            </w:pPr>
          </w:p>
        </w:tc>
        <w:tc>
          <w:tcPr>
            <w:tcW w:w="1260" w:type="dxa"/>
            <w:vAlign w:val="bottom"/>
            <w:shd w:val="clear" w:color="auto" w:fill="DCE2EF"/>
          </w:tcPr>
          <w:p>
            <w:pPr>
              <w:spacing w:after="0" w:line="20" w:lineRule="exact"/>
              <w:rPr>
                <w:sz w:val="1"/>
                <w:szCs w:val="1"/>
                <w:color w:val="auto"/>
              </w:rPr>
            </w:pPr>
          </w:p>
        </w:tc>
        <w:tc>
          <w:tcPr>
            <w:tcW w:w="100" w:type="dxa"/>
            <w:vAlign w:val="bottom"/>
            <w:shd w:val="clear" w:color="auto" w:fill="DCE2EF"/>
          </w:tcPr>
          <w:p>
            <w:pPr>
              <w:spacing w:after="0" w:line="20" w:lineRule="exact"/>
              <w:rPr>
                <w:sz w:val="1"/>
                <w:szCs w:val="1"/>
                <w:color w:val="auto"/>
              </w:rPr>
            </w:pPr>
          </w:p>
        </w:tc>
        <w:tc>
          <w:tcPr>
            <w:tcW w:w="920" w:type="dxa"/>
            <w:vAlign w:val="bottom"/>
            <w:shd w:val="clear" w:color="auto" w:fill="DCE2EF"/>
          </w:tcPr>
          <w:p>
            <w:pPr>
              <w:spacing w:after="0" w:line="20" w:lineRule="exact"/>
              <w:rPr>
                <w:sz w:val="1"/>
                <w:szCs w:val="1"/>
                <w:color w:val="auto"/>
              </w:rPr>
            </w:pPr>
          </w:p>
        </w:tc>
        <w:tc>
          <w:tcPr>
            <w:tcW w:w="100" w:type="dxa"/>
            <w:vAlign w:val="bottom"/>
            <w:shd w:val="clear" w:color="auto" w:fill="DCE2EF"/>
          </w:tcPr>
          <w:p>
            <w:pPr>
              <w:spacing w:after="0" w:line="20" w:lineRule="exact"/>
              <w:rPr>
                <w:sz w:val="1"/>
                <w:szCs w:val="1"/>
                <w:color w:val="auto"/>
              </w:rPr>
            </w:pPr>
          </w:p>
        </w:tc>
        <w:tc>
          <w:tcPr>
            <w:tcW w:w="2140" w:type="dxa"/>
            <w:vAlign w:val="bottom"/>
            <w:shd w:val="clear" w:color="auto" w:fill="DCE2E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1180" w:type="dxa"/>
            <w:vAlign w:val="bottom"/>
            <w:shd w:val="clear" w:color="auto" w:fill="DCE2EF"/>
          </w:tcPr>
          <w:p>
            <w:pPr>
              <w:spacing w:after="0"/>
              <w:rPr>
                <w:sz w:val="12"/>
                <w:szCs w:val="12"/>
                <w:color w:val="auto"/>
              </w:rPr>
            </w:pPr>
          </w:p>
        </w:tc>
        <w:tc>
          <w:tcPr>
            <w:tcW w:w="120" w:type="dxa"/>
            <w:vAlign w:val="bottom"/>
            <w:tcBorders>
              <w:right w:val="single" w:sz="8" w:color="DCE2EF"/>
            </w:tcBorders>
            <w:shd w:val="clear" w:color="auto" w:fill="DCE2EF"/>
          </w:tcPr>
          <w:p>
            <w:pPr>
              <w:spacing w:after="0"/>
              <w:rPr>
                <w:sz w:val="12"/>
                <w:szCs w:val="12"/>
                <w:color w:val="auto"/>
              </w:rPr>
            </w:pPr>
          </w:p>
        </w:tc>
        <w:tc>
          <w:tcPr>
            <w:tcW w:w="4640" w:type="dxa"/>
            <w:vAlign w:val="bottom"/>
            <w:gridSpan w:val="32"/>
            <w:shd w:val="clear" w:color="auto" w:fill="DCE2EF"/>
          </w:tcPr>
          <w:p>
            <w:pPr>
              <w:spacing w:after="0" w:line="148" w:lineRule="exact"/>
              <w:rPr>
                <w:rFonts w:ascii="Arial" w:cs="Arial" w:eastAsia="Arial" w:hAnsi="Arial"/>
                <w:sz w:val="17"/>
                <w:szCs w:val="17"/>
                <w:color w:val="0000FF"/>
              </w:rPr>
            </w:pPr>
            <w:hyperlink r:id="rId171">
              <w:r>
                <w:rPr>
                  <w:rFonts w:ascii="Arial" w:cs="Arial" w:eastAsia="Arial" w:hAnsi="Arial"/>
                  <w:sz w:val="17"/>
                  <w:szCs w:val="17"/>
                  <w:color w:val="0000FF"/>
                </w:rPr>
                <w:t>from time to time party thereto and Bank of America, N.A.,</w:t>
              </w:r>
            </w:hyperlink>
          </w:p>
        </w:tc>
        <w:tc>
          <w:tcPr>
            <w:tcW w:w="680" w:type="dxa"/>
            <w:vAlign w:val="bottom"/>
            <w:shd w:val="clear" w:color="auto" w:fill="DCE2EF"/>
          </w:tcPr>
          <w:p>
            <w:pPr>
              <w:spacing w:after="0"/>
              <w:rPr>
                <w:sz w:val="12"/>
                <w:szCs w:val="12"/>
                <w:color w:val="auto"/>
              </w:rPr>
            </w:pPr>
          </w:p>
        </w:tc>
        <w:tc>
          <w:tcPr>
            <w:tcW w:w="100" w:type="dxa"/>
            <w:vAlign w:val="bottom"/>
            <w:shd w:val="clear" w:color="auto" w:fill="DCE2EF"/>
          </w:tcPr>
          <w:p>
            <w:pPr>
              <w:spacing w:after="0"/>
              <w:rPr>
                <w:sz w:val="12"/>
                <w:szCs w:val="12"/>
                <w:color w:val="auto"/>
              </w:rPr>
            </w:pPr>
          </w:p>
        </w:tc>
        <w:tc>
          <w:tcPr>
            <w:tcW w:w="1260" w:type="dxa"/>
            <w:vAlign w:val="bottom"/>
            <w:shd w:val="clear" w:color="auto" w:fill="DCE2EF"/>
          </w:tcPr>
          <w:p>
            <w:pPr>
              <w:spacing w:after="0"/>
              <w:rPr>
                <w:sz w:val="12"/>
                <w:szCs w:val="12"/>
                <w:color w:val="auto"/>
              </w:rPr>
            </w:pPr>
          </w:p>
        </w:tc>
        <w:tc>
          <w:tcPr>
            <w:tcW w:w="100" w:type="dxa"/>
            <w:vAlign w:val="bottom"/>
            <w:shd w:val="clear" w:color="auto" w:fill="DCE2EF"/>
          </w:tcPr>
          <w:p>
            <w:pPr>
              <w:spacing w:after="0"/>
              <w:rPr>
                <w:sz w:val="12"/>
                <w:szCs w:val="12"/>
                <w:color w:val="auto"/>
              </w:rPr>
            </w:pPr>
          </w:p>
        </w:tc>
        <w:tc>
          <w:tcPr>
            <w:tcW w:w="920" w:type="dxa"/>
            <w:vAlign w:val="bottom"/>
            <w:shd w:val="clear" w:color="auto" w:fill="DCE2EF"/>
          </w:tcPr>
          <w:p>
            <w:pPr>
              <w:spacing w:after="0"/>
              <w:rPr>
                <w:sz w:val="12"/>
                <w:szCs w:val="12"/>
                <w:color w:val="auto"/>
              </w:rPr>
            </w:pPr>
          </w:p>
        </w:tc>
        <w:tc>
          <w:tcPr>
            <w:tcW w:w="100" w:type="dxa"/>
            <w:vAlign w:val="bottom"/>
            <w:shd w:val="clear" w:color="auto" w:fill="DCE2EF"/>
          </w:tcPr>
          <w:p>
            <w:pPr>
              <w:spacing w:after="0"/>
              <w:rPr>
                <w:sz w:val="12"/>
                <w:szCs w:val="12"/>
                <w:color w:val="auto"/>
              </w:rPr>
            </w:pPr>
          </w:p>
        </w:tc>
        <w:tc>
          <w:tcPr>
            <w:tcW w:w="2140" w:type="dxa"/>
            <w:vAlign w:val="bottom"/>
            <w:shd w:val="clear" w:color="auto" w:fill="DCE2EF"/>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180" w:type="dxa"/>
            <w:vAlign w:val="bottom"/>
            <w:tcBorders>
              <w:top w:val="single" w:sz="8" w:color="DCE2EF"/>
            </w:tcBorders>
            <w:shd w:val="clear" w:color="auto" w:fill="DCE2EF"/>
          </w:tcPr>
          <w:p>
            <w:pPr>
              <w:spacing w:after="0"/>
              <w:rPr>
                <w:sz w:val="13"/>
                <w:szCs w:val="13"/>
                <w:color w:val="auto"/>
              </w:rPr>
            </w:pPr>
          </w:p>
        </w:tc>
        <w:tc>
          <w:tcPr>
            <w:tcW w:w="120" w:type="dxa"/>
            <w:vAlign w:val="bottom"/>
            <w:tcBorders>
              <w:top w:val="single" w:sz="8" w:color="DCE2EF"/>
              <w:right w:val="single" w:sz="8" w:color="DCE2EF"/>
            </w:tcBorders>
            <w:shd w:val="clear" w:color="auto" w:fill="DCE2EF"/>
          </w:tcPr>
          <w:p>
            <w:pPr>
              <w:spacing w:after="0"/>
              <w:rPr>
                <w:sz w:val="13"/>
                <w:szCs w:val="13"/>
                <w:color w:val="auto"/>
              </w:rPr>
            </w:pPr>
          </w:p>
        </w:tc>
        <w:tc>
          <w:tcPr>
            <w:tcW w:w="4420" w:type="dxa"/>
            <w:vAlign w:val="bottom"/>
            <w:tcBorders>
              <w:top w:val="single" w:sz="8" w:color="0000FF"/>
            </w:tcBorders>
            <w:gridSpan w:val="24"/>
            <w:shd w:val="clear" w:color="auto" w:fill="DCE2EF"/>
          </w:tcPr>
          <w:p>
            <w:pPr>
              <w:spacing w:after="0" w:line="161" w:lineRule="exact"/>
              <w:rPr>
                <w:rFonts w:ascii="Arial" w:cs="Arial" w:eastAsia="Arial" w:hAnsi="Arial"/>
                <w:sz w:val="17"/>
                <w:szCs w:val="17"/>
                <w:color w:val="0000FF"/>
              </w:rPr>
            </w:pPr>
            <w:hyperlink r:id="rId171">
              <w:r>
                <w:rPr>
                  <w:rFonts w:ascii="Arial" w:cs="Arial" w:eastAsia="Arial" w:hAnsi="Arial"/>
                  <w:sz w:val="17"/>
                  <w:szCs w:val="17"/>
                  <w:color w:val="0000FF"/>
                </w:rPr>
                <w:t>as administrative agent</w:t>
              </w:r>
            </w:hyperlink>
          </w:p>
        </w:tc>
        <w:tc>
          <w:tcPr>
            <w:tcW w:w="60" w:type="dxa"/>
            <w:vAlign w:val="bottom"/>
            <w:tcBorders>
              <w:top w:val="single" w:sz="8" w:color="DCE2EF"/>
            </w:tcBorders>
            <w:gridSpan w:val="3"/>
            <w:shd w:val="clear" w:color="auto" w:fill="DCE2EF"/>
          </w:tcPr>
          <w:p>
            <w:pPr>
              <w:spacing w:after="0"/>
              <w:rPr>
                <w:sz w:val="13"/>
                <w:szCs w:val="13"/>
                <w:color w:val="auto"/>
              </w:rPr>
            </w:pPr>
          </w:p>
        </w:tc>
        <w:tc>
          <w:tcPr>
            <w:tcW w:w="40" w:type="dxa"/>
            <w:vAlign w:val="bottom"/>
            <w:tcBorders>
              <w:top w:val="single" w:sz="8" w:color="DCE2EF"/>
            </w:tcBorders>
            <w:gridSpan w:val="2"/>
            <w:shd w:val="clear" w:color="auto" w:fill="DCE2EF"/>
          </w:tcPr>
          <w:p>
            <w:pPr>
              <w:spacing w:after="0"/>
              <w:rPr>
                <w:sz w:val="13"/>
                <w:szCs w:val="13"/>
                <w:color w:val="auto"/>
              </w:rPr>
            </w:pPr>
          </w:p>
        </w:tc>
        <w:tc>
          <w:tcPr>
            <w:tcW w:w="20" w:type="dxa"/>
            <w:vAlign w:val="bottom"/>
            <w:tcBorders>
              <w:top w:val="single" w:sz="8" w:color="DCE2EF"/>
            </w:tcBorders>
            <w:shd w:val="clear" w:color="auto" w:fill="DCE2EF"/>
          </w:tcPr>
          <w:p>
            <w:pPr>
              <w:spacing w:after="0"/>
              <w:rPr>
                <w:sz w:val="13"/>
                <w:szCs w:val="13"/>
                <w:color w:val="auto"/>
              </w:rPr>
            </w:pPr>
          </w:p>
        </w:tc>
        <w:tc>
          <w:tcPr>
            <w:tcW w:w="100" w:type="dxa"/>
            <w:vAlign w:val="bottom"/>
            <w:tcBorders>
              <w:top w:val="single" w:sz="8" w:color="DCE2EF"/>
            </w:tcBorders>
            <w:gridSpan w:val="2"/>
            <w:shd w:val="clear" w:color="auto" w:fill="DCE2EF"/>
          </w:tcPr>
          <w:p>
            <w:pPr>
              <w:spacing w:after="0"/>
              <w:rPr>
                <w:sz w:val="13"/>
                <w:szCs w:val="13"/>
                <w:color w:val="auto"/>
              </w:rPr>
            </w:pPr>
          </w:p>
        </w:tc>
        <w:tc>
          <w:tcPr>
            <w:tcW w:w="680" w:type="dxa"/>
            <w:vAlign w:val="bottom"/>
            <w:tcBorders>
              <w:top w:val="single" w:sz="8" w:color="DCE2EF"/>
            </w:tcBorders>
            <w:shd w:val="clear" w:color="auto" w:fill="DCE2EF"/>
          </w:tcPr>
          <w:p>
            <w:pPr>
              <w:spacing w:after="0"/>
              <w:rPr>
                <w:sz w:val="13"/>
                <w:szCs w:val="13"/>
                <w:color w:val="auto"/>
              </w:rPr>
            </w:pPr>
          </w:p>
        </w:tc>
        <w:tc>
          <w:tcPr>
            <w:tcW w:w="100" w:type="dxa"/>
            <w:vAlign w:val="bottom"/>
            <w:tcBorders>
              <w:top w:val="single" w:sz="8" w:color="DCE2EF"/>
            </w:tcBorders>
            <w:shd w:val="clear" w:color="auto" w:fill="DCE2EF"/>
          </w:tcPr>
          <w:p>
            <w:pPr>
              <w:spacing w:after="0"/>
              <w:rPr>
                <w:sz w:val="13"/>
                <w:szCs w:val="13"/>
                <w:color w:val="auto"/>
              </w:rPr>
            </w:pPr>
          </w:p>
        </w:tc>
        <w:tc>
          <w:tcPr>
            <w:tcW w:w="1260" w:type="dxa"/>
            <w:vAlign w:val="bottom"/>
            <w:tcBorders>
              <w:top w:val="single" w:sz="8" w:color="DCE2EF"/>
            </w:tcBorders>
            <w:shd w:val="clear" w:color="auto" w:fill="DCE2EF"/>
          </w:tcPr>
          <w:p>
            <w:pPr>
              <w:spacing w:after="0"/>
              <w:rPr>
                <w:sz w:val="13"/>
                <w:szCs w:val="13"/>
                <w:color w:val="auto"/>
              </w:rPr>
            </w:pPr>
          </w:p>
        </w:tc>
        <w:tc>
          <w:tcPr>
            <w:tcW w:w="100" w:type="dxa"/>
            <w:vAlign w:val="bottom"/>
            <w:tcBorders>
              <w:top w:val="single" w:sz="8" w:color="DCE2EF"/>
            </w:tcBorders>
            <w:shd w:val="clear" w:color="auto" w:fill="DCE2EF"/>
          </w:tcPr>
          <w:p>
            <w:pPr>
              <w:spacing w:after="0"/>
              <w:rPr>
                <w:sz w:val="13"/>
                <w:szCs w:val="13"/>
                <w:color w:val="auto"/>
              </w:rPr>
            </w:pPr>
          </w:p>
        </w:tc>
        <w:tc>
          <w:tcPr>
            <w:tcW w:w="920" w:type="dxa"/>
            <w:vAlign w:val="bottom"/>
            <w:tcBorders>
              <w:top w:val="single" w:sz="8" w:color="DCE2EF"/>
            </w:tcBorders>
            <w:shd w:val="clear" w:color="auto" w:fill="DCE2EF"/>
          </w:tcPr>
          <w:p>
            <w:pPr>
              <w:spacing w:after="0"/>
              <w:rPr>
                <w:sz w:val="13"/>
                <w:szCs w:val="13"/>
                <w:color w:val="auto"/>
              </w:rPr>
            </w:pPr>
          </w:p>
        </w:tc>
        <w:tc>
          <w:tcPr>
            <w:tcW w:w="100" w:type="dxa"/>
            <w:vAlign w:val="bottom"/>
            <w:tcBorders>
              <w:top w:val="single" w:sz="8" w:color="DCE2EF"/>
            </w:tcBorders>
            <w:shd w:val="clear" w:color="auto" w:fill="DCE2EF"/>
          </w:tcPr>
          <w:p>
            <w:pPr>
              <w:spacing w:after="0"/>
              <w:rPr>
                <w:sz w:val="13"/>
                <w:szCs w:val="13"/>
                <w:color w:val="auto"/>
              </w:rPr>
            </w:pPr>
          </w:p>
        </w:tc>
        <w:tc>
          <w:tcPr>
            <w:tcW w:w="2140" w:type="dxa"/>
            <w:vAlign w:val="bottom"/>
            <w:tcBorders>
              <w:top w:val="single" w:sz="8" w:color="DCE2EF"/>
            </w:tcBorders>
            <w:shd w:val="clear" w:color="auto" w:fill="DCE2EF"/>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1180" w:type="dxa"/>
            <w:vAlign w:val="bottom"/>
            <w:shd w:val="clear" w:color="auto" w:fill="DCE2EF"/>
          </w:tcPr>
          <w:p>
            <w:pPr>
              <w:spacing w:after="0"/>
              <w:rPr>
                <w:sz w:val="3"/>
                <w:szCs w:val="3"/>
                <w:color w:val="auto"/>
              </w:rPr>
            </w:pPr>
          </w:p>
        </w:tc>
        <w:tc>
          <w:tcPr>
            <w:tcW w:w="120" w:type="dxa"/>
            <w:vAlign w:val="bottom"/>
            <w:tcBorders>
              <w:right w:val="single" w:sz="8" w:color="DCE2EF"/>
            </w:tcBorders>
            <w:shd w:val="clear" w:color="auto" w:fill="DCE2EF"/>
          </w:tcPr>
          <w:p>
            <w:pPr>
              <w:spacing w:after="0"/>
              <w:rPr>
                <w:sz w:val="3"/>
                <w:szCs w:val="3"/>
                <w:color w:val="auto"/>
              </w:rPr>
            </w:pPr>
          </w:p>
        </w:tc>
        <w:tc>
          <w:tcPr>
            <w:tcW w:w="1540" w:type="dxa"/>
            <w:vAlign w:val="bottom"/>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400" w:type="dxa"/>
            <w:vAlign w:val="bottom"/>
            <w:shd w:val="clear" w:color="auto" w:fill="DCE2EF"/>
          </w:tcPr>
          <w:p>
            <w:pPr>
              <w:spacing w:after="0"/>
              <w:rPr>
                <w:sz w:val="3"/>
                <w:szCs w:val="3"/>
                <w:color w:val="auto"/>
              </w:rPr>
            </w:pPr>
          </w:p>
        </w:tc>
        <w:tc>
          <w:tcPr>
            <w:tcW w:w="140" w:type="dxa"/>
            <w:vAlign w:val="bottom"/>
            <w:shd w:val="clear" w:color="auto" w:fill="DCE2EF"/>
          </w:tcPr>
          <w:p>
            <w:pPr>
              <w:spacing w:after="0"/>
              <w:rPr>
                <w:sz w:val="3"/>
                <w:szCs w:val="3"/>
                <w:color w:val="auto"/>
              </w:rPr>
            </w:pPr>
          </w:p>
        </w:tc>
        <w:tc>
          <w:tcPr>
            <w:tcW w:w="380" w:type="dxa"/>
            <w:vAlign w:val="bottom"/>
            <w:shd w:val="clear" w:color="auto" w:fill="DCE2EF"/>
          </w:tcPr>
          <w:p>
            <w:pPr>
              <w:spacing w:after="0"/>
              <w:rPr>
                <w:sz w:val="3"/>
                <w:szCs w:val="3"/>
                <w:color w:val="auto"/>
              </w:rPr>
            </w:pPr>
          </w:p>
        </w:tc>
        <w:tc>
          <w:tcPr>
            <w:tcW w:w="40" w:type="dxa"/>
            <w:vAlign w:val="bottom"/>
            <w:shd w:val="clear" w:color="auto" w:fill="DCE2EF"/>
          </w:tcPr>
          <w:p>
            <w:pPr>
              <w:spacing w:after="0"/>
              <w:rPr>
                <w:sz w:val="3"/>
                <w:szCs w:val="3"/>
                <w:color w:val="auto"/>
              </w:rPr>
            </w:pPr>
          </w:p>
        </w:tc>
        <w:tc>
          <w:tcPr>
            <w:tcW w:w="80" w:type="dxa"/>
            <w:vAlign w:val="bottom"/>
            <w:shd w:val="clear" w:color="auto" w:fill="DCE2EF"/>
          </w:tcPr>
          <w:p>
            <w:pPr>
              <w:spacing w:after="0"/>
              <w:rPr>
                <w:sz w:val="3"/>
                <w:szCs w:val="3"/>
                <w:color w:val="auto"/>
              </w:rPr>
            </w:pPr>
          </w:p>
        </w:tc>
        <w:tc>
          <w:tcPr>
            <w:tcW w:w="780" w:type="dxa"/>
            <w:vAlign w:val="bottom"/>
            <w:shd w:val="clear" w:color="auto" w:fill="DCE2EF"/>
          </w:tcPr>
          <w:p>
            <w:pPr>
              <w:spacing w:after="0"/>
              <w:rPr>
                <w:sz w:val="3"/>
                <w:szCs w:val="3"/>
                <w:color w:val="auto"/>
              </w:rPr>
            </w:pPr>
          </w:p>
        </w:tc>
        <w:tc>
          <w:tcPr>
            <w:tcW w:w="140" w:type="dxa"/>
            <w:vAlign w:val="bottom"/>
            <w:shd w:val="clear" w:color="auto" w:fill="DCE2EF"/>
          </w:tcPr>
          <w:p>
            <w:pPr>
              <w:spacing w:after="0"/>
              <w:rPr>
                <w:sz w:val="3"/>
                <w:szCs w:val="3"/>
                <w:color w:val="auto"/>
              </w:rPr>
            </w:pPr>
          </w:p>
        </w:tc>
        <w:tc>
          <w:tcPr>
            <w:tcW w:w="80" w:type="dxa"/>
            <w:vAlign w:val="bottom"/>
            <w:shd w:val="clear" w:color="auto" w:fill="DCE2EF"/>
          </w:tcPr>
          <w:p>
            <w:pPr>
              <w:spacing w:after="0"/>
              <w:rPr>
                <w:sz w:val="3"/>
                <w:szCs w:val="3"/>
                <w:color w:val="auto"/>
              </w:rPr>
            </w:pPr>
          </w:p>
        </w:tc>
        <w:tc>
          <w:tcPr>
            <w:tcW w:w="20" w:type="dxa"/>
            <w:vAlign w:val="bottom"/>
            <w:shd w:val="clear" w:color="auto" w:fill="DCE2EF"/>
          </w:tcPr>
          <w:p>
            <w:pPr>
              <w:spacing w:after="0"/>
              <w:rPr>
                <w:sz w:val="3"/>
                <w:szCs w:val="3"/>
                <w:color w:val="auto"/>
              </w:rPr>
            </w:pPr>
          </w:p>
        </w:tc>
        <w:tc>
          <w:tcPr>
            <w:tcW w:w="120" w:type="dxa"/>
            <w:vAlign w:val="bottom"/>
            <w:shd w:val="clear" w:color="auto" w:fill="DCE2EF"/>
          </w:tcPr>
          <w:p>
            <w:pPr>
              <w:spacing w:after="0"/>
              <w:rPr>
                <w:sz w:val="3"/>
                <w:szCs w:val="3"/>
                <w:color w:val="auto"/>
              </w:rPr>
            </w:pPr>
          </w:p>
        </w:tc>
        <w:tc>
          <w:tcPr>
            <w:tcW w:w="20" w:type="dxa"/>
            <w:vAlign w:val="bottom"/>
            <w:shd w:val="clear" w:color="auto" w:fill="DCE2EF"/>
          </w:tcPr>
          <w:p>
            <w:pPr>
              <w:spacing w:after="0"/>
              <w:rPr>
                <w:sz w:val="3"/>
                <w:szCs w:val="3"/>
                <w:color w:val="auto"/>
              </w:rPr>
            </w:pPr>
          </w:p>
        </w:tc>
        <w:tc>
          <w:tcPr>
            <w:tcW w:w="20" w:type="dxa"/>
            <w:vAlign w:val="bottom"/>
            <w:shd w:val="clear" w:color="auto" w:fill="DCE2EF"/>
          </w:tcPr>
          <w:p>
            <w:pPr>
              <w:spacing w:after="0"/>
              <w:rPr>
                <w:sz w:val="3"/>
                <w:szCs w:val="3"/>
                <w:color w:val="auto"/>
              </w:rPr>
            </w:pPr>
          </w:p>
        </w:tc>
        <w:tc>
          <w:tcPr>
            <w:tcW w:w="60" w:type="dxa"/>
            <w:vAlign w:val="bottom"/>
            <w:shd w:val="clear" w:color="auto" w:fill="DCE2EF"/>
          </w:tcPr>
          <w:p>
            <w:pPr>
              <w:spacing w:after="0"/>
              <w:rPr>
                <w:sz w:val="3"/>
                <w:szCs w:val="3"/>
                <w:color w:val="auto"/>
              </w:rPr>
            </w:pPr>
          </w:p>
        </w:tc>
        <w:tc>
          <w:tcPr>
            <w:tcW w:w="20" w:type="dxa"/>
            <w:vAlign w:val="bottom"/>
            <w:shd w:val="clear" w:color="auto" w:fill="DCE2EF"/>
          </w:tcPr>
          <w:p>
            <w:pPr>
              <w:spacing w:after="0"/>
              <w:rPr>
                <w:sz w:val="3"/>
                <w:szCs w:val="3"/>
                <w:color w:val="auto"/>
              </w:rPr>
            </w:pPr>
          </w:p>
        </w:tc>
        <w:tc>
          <w:tcPr>
            <w:tcW w:w="40" w:type="dxa"/>
            <w:vAlign w:val="bottom"/>
            <w:shd w:val="clear" w:color="auto" w:fill="DCE2EF"/>
          </w:tcPr>
          <w:p>
            <w:pPr>
              <w:spacing w:after="0"/>
              <w:rPr>
                <w:sz w:val="3"/>
                <w:szCs w:val="3"/>
                <w:color w:val="auto"/>
              </w:rPr>
            </w:pPr>
          </w:p>
        </w:tc>
        <w:tc>
          <w:tcPr>
            <w:tcW w:w="60" w:type="dxa"/>
            <w:vAlign w:val="bottom"/>
            <w:shd w:val="clear" w:color="auto" w:fill="DCE2EF"/>
          </w:tcPr>
          <w:p>
            <w:pPr>
              <w:spacing w:after="0"/>
              <w:rPr>
                <w:sz w:val="3"/>
                <w:szCs w:val="3"/>
                <w:color w:val="auto"/>
              </w:rPr>
            </w:pPr>
          </w:p>
        </w:tc>
        <w:tc>
          <w:tcPr>
            <w:tcW w:w="20" w:type="dxa"/>
            <w:vAlign w:val="bottom"/>
            <w:shd w:val="clear" w:color="auto" w:fill="DCE2EF"/>
          </w:tcPr>
          <w:p>
            <w:pPr>
              <w:spacing w:after="0"/>
              <w:rPr>
                <w:sz w:val="3"/>
                <w:szCs w:val="3"/>
                <w:color w:val="auto"/>
              </w:rPr>
            </w:pPr>
          </w:p>
        </w:tc>
        <w:tc>
          <w:tcPr>
            <w:tcW w:w="20" w:type="dxa"/>
            <w:vAlign w:val="bottom"/>
            <w:shd w:val="clear" w:color="auto" w:fill="DCE2EF"/>
          </w:tcPr>
          <w:p>
            <w:pPr>
              <w:spacing w:after="0"/>
              <w:rPr>
                <w:sz w:val="3"/>
                <w:szCs w:val="3"/>
                <w:color w:val="auto"/>
              </w:rPr>
            </w:pPr>
          </w:p>
        </w:tc>
        <w:tc>
          <w:tcPr>
            <w:tcW w:w="100" w:type="dxa"/>
            <w:vAlign w:val="bottom"/>
            <w:tcBorders>
              <w:right w:val="single" w:sz="8" w:color="DCE2EF"/>
            </w:tcBorders>
            <w:shd w:val="clear" w:color="auto" w:fill="DCE2EF"/>
          </w:tcPr>
          <w:p>
            <w:pPr>
              <w:spacing w:after="0"/>
              <w:rPr>
                <w:sz w:val="3"/>
                <w:szCs w:val="3"/>
                <w:color w:val="auto"/>
              </w:rPr>
            </w:pPr>
          </w:p>
        </w:tc>
        <w:tc>
          <w:tcPr>
            <w:tcW w:w="60" w:type="dxa"/>
            <w:vAlign w:val="bottom"/>
            <w:shd w:val="clear" w:color="auto" w:fill="DCE2EF"/>
          </w:tcPr>
          <w:p>
            <w:pPr>
              <w:spacing w:after="0"/>
              <w:rPr>
                <w:sz w:val="3"/>
                <w:szCs w:val="3"/>
                <w:color w:val="auto"/>
              </w:rPr>
            </w:pPr>
          </w:p>
        </w:tc>
        <w:tc>
          <w:tcPr>
            <w:tcW w:w="40" w:type="dxa"/>
            <w:vAlign w:val="bottom"/>
            <w:shd w:val="clear" w:color="auto" w:fill="DCE2EF"/>
          </w:tcPr>
          <w:p>
            <w:pPr>
              <w:spacing w:after="0"/>
              <w:rPr>
                <w:sz w:val="3"/>
                <w:szCs w:val="3"/>
                <w:color w:val="auto"/>
              </w:rPr>
            </w:pPr>
          </w:p>
        </w:tc>
        <w:tc>
          <w:tcPr>
            <w:tcW w:w="20" w:type="dxa"/>
            <w:vAlign w:val="bottom"/>
            <w:shd w:val="clear" w:color="auto" w:fill="DCE2EF"/>
          </w:tcPr>
          <w:p>
            <w:pPr>
              <w:spacing w:after="0"/>
              <w:rPr>
                <w:sz w:val="3"/>
                <w:szCs w:val="3"/>
                <w:color w:val="auto"/>
              </w:rPr>
            </w:pPr>
          </w:p>
        </w:tc>
        <w:tc>
          <w:tcPr>
            <w:tcW w:w="20" w:type="dxa"/>
            <w:vAlign w:val="bottom"/>
            <w:shd w:val="clear" w:color="auto" w:fill="DCE2EF"/>
          </w:tcPr>
          <w:p>
            <w:pPr>
              <w:spacing w:after="0"/>
              <w:rPr>
                <w:sz w:val="3"/>
                <w:szCs w:val="3"/>
                <w:color w:val="auto"/>
              </w:rPr>
            </w:pPr>
          </w:p>
        </w:tc>
        <w:tc>
          <w:tcPr>
            <w:tcW w:w="20" w:type="dxa"/>
            <w:vAlign w:val="bottom"/>
            <w:shd w:val="clear" w:color="auto" w:fill="DCE2EF"/>
          </w:tcPr>
          <w:p>
            <w:pPr>
              <w:spacing w:after="0"/>
              <w:rPr>
                <w:sz w:val="3"/>
                <w:szCs w:val="3"/>
                <w:color w:val="auto"/>
              </w:rPr>
            </w:pPr>
          </w:p>
        </w:tc>
        <w:tc>
          <w:tcPr>
            <w:tcW w:w="20" w:type="dxa"/>
            <w:vAlign w:val="bottom"/>
            <w:shd w:val="clear" w:color="auto" w:fill="DCE2EF"/>
          </w:tcPr>
          <w:p>
            <w:pPr>
              <w:spacing w:after="0"/>
              <w:rPr>
                <w:sz w:val="3"/>
                <w:szCs w:val="3"/>
                <w:color w:val="auto"/>
              </w:rPr>
            </w:pPr>
          </w:p>
        </w:tc>
        <w:tc>
          <w:tcPr>
            <w:tcW w:w="20" w:type="dxa"/>
            <w:vAlign w:val="bottom"/>
            <w:shd w:val="clear" w:color="auto" w:fill="DCE2EF"/>
          </w:tcPr>
          <w:p>
            <w:pPr>
              <w:spacing w:after="0"/>
              <w:rPr>
                <w:sz w:val="3"/>
                <w:szCs w:val="3"/>
                <w:color w:val="auto"/>
              </w:rPr>
            </w:pPr>
          </w:p>
        </w:tc>
        <w:tc>
          <w:tcPr>
            <w:tcW w:w="20" w:type="dxa"/>
            <w:vAlign w:val="bottom"/>
            <w:shd w:val="clear" w:color="auto" w:fill="DCE2EF"/>
          </w:tcPr>
          <w:p>
            <w:pPr>
              <w:spacing w:after="0"/>
              <w:rPr>
                <w:sz w:val="3"/>
                <w:szCs w:val="3"/>
                <w:color w:val="auto"/>
              </w:rPr>
            </w:pPr>
          </w:p>
        </w:tc>
        <w:tc>
          <w:tcPr>
            <w:tcW w:w="20" w:type="dxa"/>
            <w:vAlign w:val="bottom"/>
            <w:shd w:val="clear" w:color="auto" w:fill="DCE2EF"/>
          </w:tcPr>
          <w:p>
            <w:pPr>
              <w:spacing w:after="0"/>
              <w:rPr>
                <w:sz w:val="3"/>
                <w:szCs w:val="3"/>
                <w:color w:val="auto"/>
              </w:rPr>
            </w:pPr>
          </w:p>
        </w:tc>
        <w:tc>
          <w:tcPr>
            <w:tcW w:w="20" w:type="dxa"/>
            <w:vAlign w:val="bottom"/>
            <w:shd w:val="clear" w:color="auto" w:fill="DCE2EF"/>
          </w:tcPr>
          <w:p>
            <w:pPr>
              <w:spacing w:after="0"/>
              <w:rPr>
                <w:sz w:val="3"/>
                <w:szCs w:val="3"/>
                <w:color w:val="auto"/>
              </w:rPr>
            </w:pPr>
          </w:p>
        </w:tc>
        <w:tc>
          <w:tcPr>
            <w:tcW w:w="80" w:type="dxa"/>
            <w:vAlign w:val="bottom"/>
            <w:shd w:val="clear" w:color="auto" w:fill="DCE2EF"/>
          </w:tcPr>
          <w:p>
            <w:pPr>
              <w:spacing w:after="0"/>
              <w:rPr>
                <w:sz w:val="3"/>
                <w:szCs w:val="3"/>
                <w:color w:val="auto"/>
              </w:rPr>
            </w:pPr>
          </w:p>
        </w:tc>
        <w:tc>
          <w:tcPr>
            <w:tcW w:w="680" w:type="dxa"/>
            <w:vAlign w:val="bottom"/>
            <w:shd w:val="clear" w:color="auto" w:fill="DCE2EF"/>
          </w:tcPr>
          <w:p>
            <w:pPr>
              <w:spacing w:after="0"/>
              <w:rPr>
                <w:sz w:val="3"/>
                <w:szCs w:val="3"/>
                <w:color w:val="auto"/>
              </w:rPr>
            </w:pPr>
          </w:p>
        </w:tc>
        <w:tc>
          <w:tcPr>
            <w:tcW w:w="100" w:type="dxa"/>
            <w:vAlign w:val="bottom"/>
            <w:shd w:val="clear" w:color="auto" w:fill="DCE2EF"/>
          </w:tcPr>
          <w:p>
            <w:pPr>
              <w:spacing w:after="0"/>
              <w:rPr>
                <w:sz w:val="3"/>
                <w:szCs w:val="3"/>
                <w:color w:val="auto"/>
              </w:rPr>
            </w:pPr>
          </w:p>
        </w:tc>
        <w:tc>
          <w:tcPr>
            <w:tcW w:w="1260" w:type="dxa"/>
            <w:vAlign w:val="bottom"/>
            <w:shd w:val="clear" w:color="auto" w:fill="DCE2EF"/>
          </w:tcPr>
          <w:p>
            <w:pPr>
              <w:spacing w:after="0"/>
              <w:rPr>
                <w:sz w:val="3"/>
                <w:szCs w:val="3"/>
                <w:color w:val="auto"/>
              </w:rPr>
            </w:pPr>
          </w:p>
        </w:tc>
        <w:tc>
          <w:tcPr>
            <w:tcW w:w="100" w:type="dxa"/>
            <w:vAlign w:val="bottom"/>
            <w:shd w:val="clear" w:color="auto" w:fill="DCE2EF"/>
          </w:tcPr>
          <w:p>
            <w:pPr>
              <w:spacing w:after="0"/>
              <w:rPr>
                <w:sz w:val="3"/>
                <w:szCs w:val="3"/>
                <w:color w:val="auto"/>
              </w:rPr>
            </w:pPr>
          </w:p>
        </w:tc>
        <w:tc>
          <w:tcPr>
            <w:tcW w:w="920" w:type="dxa"/>
            <w:vAlign w:val="bottom"/>
            <w:shd w:val="clear" w:color="auto" w:fill="DCE2EF"/>
          </w:tcPr>
          <w:p>
            <w:pPr>
              <w:spacing w:after="0"/>
              <w:rPr>
                <w:sz w:val="3"/>
                <w:szCs w:val="3"/>
                <w:color w:val="auto"/>
              </w:rPr>
            </w:pPr>
          </w:p>
        </w:tc>
        <w:tc>
          <w:tcPr>
            <w:tcW w:w="100" w:type="dxa"/>
            <w:vAlign w:val="bottom"/>
            <w:shd w:val="clear" w:color="auto" w:fill="DCE2EF"/>
          </w:tcPr>
          <w:p>
            <w:pPr>
              <w:spacing w:after="0"/>
              <w:rPr>
                <w:sz w:val="3"/>
                <w:szCs w:val="3"/>
                <w:color w:val="auto"/>
              </w:rPr>
            </w:pPr>
          </w:p>
        </w:tc>
        <w:tc>
          <w:tcPr>
            <w:tcW w:w="2140" w:type="dxa"/>
            <w:vAlign w:val="bottom"/>
            <w:shd w:val="clear" w:color="auto" w:fill="DCE2E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0"/>
        </w:trPr>
        <w:tc>
          <w:tcPr>
            <w:tcW w:w="1180" w:type="dxa"/>
            <w:vAlign w:val="bottom"/>
          </w:tcPr>
          <w:p>
            <w:pPr>
              <w:ind w:left="20"/>
              <w:spacing w:after="0" w:line="180" w:lineRule="exact"/>
              <w:rPr>
                <w:sz w:val="20"/>
                <w:szCs w:val="20"/>
                <w:color w:val="auto"/>
              </w:rPr>
            </w:pPr>
            <w:r>
              <w:rPr>
                <w:rFonts w:ascii="Arial" w:cs="Arial" w:eastAsia="Arial" w:hAnsi="Arial"/>
                <w:sz w:val="17"/>
                <w:szCs w:val="17"/>
                <w:color w:val="auto"/>
              </w:rPr>
              <w:t>10.2</w:t>
            </w:r>
          </w:p>
        </w:tc>
        <w:tc>
          <w:tcPr>
            <w:tcW w:w="120" w:type="dxa"/>
            <w:vAlign w:val="bottom"/>
          </w:tcPr>
          <w:p>
            <w:pPr>
              <w:spacing w:after="0"/>
              <w:rPr>
                <w:sz w:val="15"/>
                <w:szCs w:val="15"/>
                <w:color w:val="auto"/>
              </w:rPr>
            </w:pPr>
          </w:p>
        </w:tc>
        <w:tc>
          <w:tcPr>
            <w:tcW w:w="4640" w:type="dxa"/>
            <w:vAlign w:val="bottom"/>
            <w:gridSpan w:val="32"/>
          </w:tcPr>
          <w:p>
            <w:pPr>
              <w:spacing w:after="0" w:line="180" w:lineRule="exact"/>
              <w:rPr>
                <w:rFonts w:ascii="Arial" w:cs="Arial" w:eastAsia="Arial" w:hAnsi="Arial"/>
                <w:sz w:val="17"/>
                <w:szCs w:val="17"/>
                <w:color w:val="0000FF"/>
              </w:rPr>
            </w:pPr>
            <w:hyperlink r:id="rId172">
              <w:r>
                <w:rPr>
                  <w:rFonts w:ascii="Arial" w:cs="Arial" w:eastAsia="Arial" w:hAnsi="Arial"/>
                  <w:sz w:val="17"/>
                  <w:szCs w:val="17"/>
                  <w:color w:val="0000FF"/>
                </w:rPr>
                <w:t>Letter Agreement, dated November 6, 2017, between ABM</w:t>
              </w:r>
            </w:hyperlink>
          </w:p>
        </w:tc>
        <w:tc>
          <w:tcPr>
            <w:tcW w:w="780" w:type="dxa"/>
            <w:vAlign w:val="bottom"/>
            <w:gridSpan w:val="2"/>
          </w:tcPr>
          <w:p>
            <w:pPr>
              <w:jc w:val="center"/>
              <w:ind w:right="100"/>
              <w:spacing w:after="0" w:line="180" w:lineRule="exact"/>
              <w:rPr>
                <w:sz w:val="20"/>
                <w:szCs w:val="20"/>
                <w:color w:val="auto"/>
              </w:rPr>
            </w:pPr>
            <w:r>
              <w:rPr>
                <w:rFonts w:ascii="Arial" w:cs="Arial" w:eastAsia="Arial" w:hAnsi="Arial"/>
                <w:sz w:val="17"/>
                <w:szCs w:val="17"/>
                <w:color w:val="auto"/>
              </w:rPr>
              <w:t>10-K</w:t>
            </w:r>
          </w:p>
        </w:tc>
        <w:tc>
          <w:tcPr>
            <w:tcW w:w="1260" w:type="dxa"/>
            <w:vAlign w:val="bottom"/>
          </w:tcPr>
          <w:p>
            <w:pPr>
              <w:jc w:val="center"/>
              <w:spacing w:after="0" w:line="180" w:lineRule="exact"/>
              <w:rPr>
                <w:sz w:val="20"/>
                <w:szCs w:val="20"/>
                <w:color w:val="auto"/>
              </w:rPr>
            </w:pPr>
            <w:r>
              <w:rPr>
                <w:rFonts w:ascii="Arial" w:cs="Arial" w:eastAsia="Arial" w:hAnsi="Arial"/>
                <w:sz w:val="17"/>
                <w:szCs w:val="17"/>
                <w:color w:val="auto"/>
              </w:rPr>
              <w:t>001-08929</w:t>
            </w:r>
          </w:p>
        </w:tc>
        <w:tc>
          <w:tcPr>
            <w:tcW w:w="100" w:type="dxa"/>
            <w:vAlign w:val="bottom"/>
          </w:tcPr>
          <w:p>
            <w:pPr>
              <w:spacing w:after="0"/>
              <w:rPr>
                <w:sz w:val="15"/>
                <w:szCs w:val="15"/>
                <w:color w:val="auto"/>
              </w:rPr>
            </w:pPr>
          </w:p>
        </w:tc>
        <w:tc>
          <w:tcPr>
            <w:tcW w:w="920" w:type="dxa"/>
            <w:vAlign w:val="bottom"/>
          </w:tcPr>
          <w:p>
            <w:pPr>
              <w:jc w:val="center"/>
              <w:spacing w:after="0" w:line="180" w:lineRule="exact"/>
              <w:rPr>
                <w:sz w:val="20"/>
                <w:szCs w:val="20"/>
                <w:color w:val="auto"/>
              </w:rPr>
            </w:pPr>
            <w:r>
              <w:rPr>
                <w:rFonts w:ascii="Arial" w:cs="Arial" w:eastAsia="Arial" w:hAnsi="Arial"/>
                <w:sz w:val="17"/>
                <w:szCs w:val="17"/>
                <w:color w:val="auto"/>
              </w:rPr>
              <w:t>10.3</w:t>
            </w:r>
          </w:p>
        </w:tc>
        <w:tc>
          <w:tcPr>
            <w:tcW w:w="100" w:type="dxa"/>
            <w:vAlign w:val="bottom"/>
          </w:tcPr>
          <w:p>
            <w:pPr>
              <w:spacing w:after="0"/>
              <w:rPr>
                <w:sz w:val="15"/>
                <w:szCs w:val="15"/>
                <w:color w:val="auto"/>
              </w:rPr>
            </w:pPr>
          </w:p>
        </w:tc>
        <w:tc>
          <w:tcPr>
            <w:tcW w:w="2140" w:type="dxa"/>
            <w:vAlign w:val="bottom"/>
          </w:tcPr>
          <w:p>
            <w:pPr>
              <w:jc w:val="center"/>
              <w:spacing w:after="0" w:line="180" w:lineRule="exact"/>
              <w:rPr>
                <w:sz w:val="20"/>
                <w:szCs w:val="20"/>
                <w:color w:val="auto"/>
              </w:rPr>
            </w:pPr>
            <w:r>
              <w:rPr>
                <w:rFonts w:ascii="Arial" w:cs="Arial" w:eastAsia="Arial" w:hAnsi="Arial"/>
                <w:sz w:val="17"/>
                <w:szCs w:val="17"/>
                <w:color w:val="auto"/>
              </w:rPr>
              <w:t>December 22, 2017</w:t>
            </w:r>
          </w:p>
        </w:tc>
        <w:tc>
          <w:tcPr>
            <w:tcW w:w="0" w:type="dxa"/>
            <w:vAlign w:val="bottom"/>
          </w:tcPr>
          <w:p>
            <w:pPr>
              <w:spacing w:after="0"/>
              <w:rPr>
                <w:sz w:val="1"/>
                <w:szCs w:val="1"/>
                <w:color w:val="auto"/>
              </w:rPr>
            </w:pPr>
          </w:p>
        </w:tc>
      </w:tr>
      <w:tr>
        <w:trPr>
          <w:trHeight w:val="148"/>
        </w:trPr>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520" w:type="dxa"/>
            <w:vAlign w:val="bottom"/>
            <w:tcBorders>
              <w:top w:val="single" w:sz="8" w:color="0000FF"/>
            </w:tcBorders>
            <w:gridSpan w:val="29"/>
          </w:tcPr>
          <w:p>
            <w:pPr>
              <w:spacing w:after="0" w:line="148" w:lineRule="exact"/>
              <w:rPr>
                <w:rFonts w:ascii="Arial" w:cs="Arial" w:eastAsia="Arial" w:hAnsi="Arial"/>
                <w:sz w:val="17"/>
                <w:szCs w:val="17"/>
                <w:color w:val="0000FF"/>
              </w:rPr>
            </w:pPr>
            <w:hyperlink r:id="rId172">
              <w:r>
                <w:rPr>
                  <w:rFonts w:ascii="Arial" w:cs="Arial" w:eastAsia="Arial" w:hAnsi="Arial"/>
                  <w:sz w:val="17"/>
                  <w:szCs w:val="17"/>
                  <w:color w:val="0000FF"/>
                </w:rPr>
                <w:t>Industries Incorporated and Bank of America, N.A., as</w:t>
              </w:r>
            </w:hyperlink>
          </w:p>
        </w:tc>
        <w:tc>
          <w:tcPr>
            <w:tcW w:w="20" w:type="dxa"/>
            <w:vAlign w:val="bottom"/>
          </w:tcPr>
          <w:p>
            <w:pPr>
              <w:spacing w:after="0"/>
              <w:rPr>
                <w:sz w:val="12"/>
                <w:szCs w:val="12"/>
                <w:color w:val="auto"/>
              </w:rPr>
            </w:pPr>
          </w:p>
        </w:tc>
        <w:tc>
          <w:tcPr>
            <w:tcW w:w="100" w:type="dxa"/>
            <w:vAlign w:val="bottom"/>
            <w:gridSpan w:val="2"/>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100" w:type="dxa"/>
            <w:vAlign w:val="bottom"/>
            <w:tcBorders>
              <w:top w:val="single" w:sz="8" w:color="0000FF"/>
              <w:bottom w:val="single" w:sz="8" w:color="0000FF"/>
            </w:tcBorders>
            <w:gridSpan w:val="17"/>
          </w:tcPr>
          <w:p>
            <w:pPr>
              <w:spacing w:after="0" w:line="161" w:lineRule="exact"/>
              <w:rPr>
                <w:rFonts w:ascii="Arial" w:cs="Arial" w:eastAsia="Arial" w:hAnsi="Arial"/>
                <w:sz w:val="17"/>
                <w:szCs w:val="17"/>
                <w:color w:val="0000FF"/>
                <w:w w:val="99"/>
              </w:rPr>
            </w:pPr>
            <w:hyperlink r:id="rId172">
              <w:r>
                <w:rPr>
                  <w:rFonts w:ascii="Arial" w:cs="Arial" w:eastAsia="Arial" w:hAnsi="Arial"/>
                  <w:sz w:val="17"/>
                  <w:szCs w:val="17"/>
                  <w:color w:val="0000FF"/>
                  <w:w w:val="99"/>
                </w:rPr>
                <w:t>Swingline Lender with respect to the Credit Agreement</w:t>
              </w:r>
            </w:hyperlink>
          </w:p>
        </w:tc>
        <w:tc>
          <w:tcPr>
            <w:tcW w:w="80" w:type="dxa"/>
            <w:vAlign w:val="bottom"/>
            <w:tcBorders>
              <w:bottom w:val="single" w:sz="8" w:color="0000FF"/>
            </w:tcBorders>
            <w:gridSpan w:val="2"/>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60" w:type="dxa"/>
            <w:vAlign w:val="bottom"/>
            <w:gridSpan w:val="3"/>
          </w:tcPr>
          <w:p>
            <w:pPr>
              <w:spacing w:after="0"/>
              <w:rPr>
                <w:sz w:val="13"/>
                <w:szCs w:val="13"/>
                <w:color w:val="auto"/>
              </w:rPr>
            </w:pPr>
          </w:p>
        </w:tc>
        <w:tc>
          <w:tcPr>
            <w:tcW w:w="100" w:type="dxa"/>
            <w:vAlign w:val="bottom"/>
            <w:gridSpan w:val="2"/>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180" w:type="dxa"/>
            <w:vAlign w:val="bottom"/>
            <w:tcBorders>
              <w:bottom w:val="single" w:sz="8" w:color="0000FF"/>
            </w:tcBorders>
            <w:gridSpan w:val="19"/>
          </w:tcPr>
          <w:p>
            <w:pPr>
              <w:spacing w:after="0" w:line="148" w:lineRule="exact"/>
              <w:rPr>
                <w:rFonts w:ascii="Arial" w:cs="Arial" w:eastAsia="Arial" w:hAnsi="Arial"/>
                <w:sz w:val="17"/>
                <w:szCs w:val="17"/>
                <w:color w:val="0000FF"/>
              </w:rPr>
            </w:pPr>
            <w:hyperlink r:id="rId172">
              <w:r>
                <w:rPr>
                  <w:rFonts w:ascii="Arial" w:cs="Arial" w:eastAsia="Arial" w:hAnsi="Arial"/>
                  <w:sz w:val="17"/>
                  <w:szCs w:val="17"/>
                  <w:color w:val="0000FF"/>
                </w:rPr>
                <w:t>dated as of September 1, 2017, among ABM Industries</w:t>
              </w:r>
            </w:hyperlink>
          </w:p>
        </w:tc>
        <w:tc>
          <w:tcPr>
            <w:tcW w:w="20" w:type="dxa"/>
            <w:vAlign w:val="bottom"/>
            <w:tcBorders>
              <w:bottom w:val="single" w:sz="8" w:color="0000FF"/>
            </w:tcBorders>
          </w:tcPr>
          <w:p>
            <w:pPr>
              <w:spacing w:after="0"/>
              <w:rPr>
                <w:sz w:val="12"/>
                <w:szCs w:val="12"/>
                <w:color w:val="auto"/>
              </w:rPr>
            </w:pPr>
          </w:p>
        </w:tc>
        <w:tc>
          <w:tcPr>
            <w:tcW w:w="440" w:type="dxa"/>
            <w:vAlign w:val="bottom"/>
            <w:gridSpan w:val="12"/>
            <w:vMerge w:val="restart"/>
          </w:tcPr>
          <w:p>
            <w:pPr>
              <w:jc w:val="center"/>
              <w:ind w:right="240"/>
              <w:spacing w:after="0"/>
              <w:rPr>
                <w:rFonts w:ascii="Arial" w:cs="Arial" w:eastAsia="Arial" w:hAnsi="Arial"/>
                <w:sz w:val="17"/>
                <w:szCs w:val="17"/>
                <w:color w:val="0000FF"/>
                <w:w w:val="84"/>
              </w:rPr>
            </w:pPr>
            <w:hyperlink r:id="rId172">
              <w:r>
                <w:rPr>
                  <w:rFonts w:ascii="Arial" w:cs="Arial" w:eastAsia="Arial" w:hAnsi="Arial"/>
                  <w:sz w:val="17"/>
                  <w:szCs w:val="17"/>
                  <w:color w:val="0000FF"/>
                  <w:w w:val="84"/>
                </w:rPr>
                <w:t>the</w:t>
              </w:r>
            </w:hyperlink>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0" w:type="dxa"/>
            <w:vAlign w:val="bottom"/>
            <w:gridSpan w:val="20"/>
          </w:tcPr>
          <w:p>
            <w:pPr>
              <w:spacing w:after="0" w:line="148" w:lineRule="exact"/>
              <w:rPr>
                <w:rFonts w:ascii="Arial" w:cs="Arial" w:eastAsia="Arial" w:hAnsi="Arial"/>
                <w:sz w:val="17"/>
                <w:szCs w:val="17"/>
                <w:color w:val="0000FF"/>
              </w:rPr>
            </w:pPr>
            <w:hyperlink r:id="rId172">
              <w:r>
                <w:rPr>
                  <w:rFonts w:ascii="Arial" w:cs="Arial" w:eastAsia="Arial" w:hAnsi="Arial"/>
                  <w:sz w:val="17"/>
                  <w:szCs w:val="17"/>
                  <w:color w:val="0000FF"/>
                </w:rPr>
                <w:t>Incorporated, the Designated Borrowers party thereto,</w:t>
              </w:r>
            </w:hyperlink>
          </w:p>
        </w:tc>
        <w:tc>
          <w:tcPr>
            <w:tcW w:w="440" w:type="dxa"/>
            <w:vAlign w:val="bottom"/>
            <w:gridSpan w:val="12"/>
            <w:vMerge w:val="continue"/>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0" w:type="dxa"/>
            <w:vAlign w:val="bottom"/>
            <w:tcBorders>
              <w:top w:val="single" w:sz="8" w:color="0000FF"/>
            </w:tcBorders>
            <w:gridSpan w:val="23"/>
          </w:tcPr>
          <w:p>
            <w:pPr>
              <w:spacing w:after="0" w:line="161" w:lineRule="exact"/>
              <w:rPr>
                <w:rFonts w:ascii="Arial" w:cs="Arial" w:eastAsia="Arial" w:hAnsi="Arial"/>
                <w:sz w:val="17"/>
                <w:szCs w:val="17"/>
                <w:color w:val="0000FF"/>
              </w:rPr>
            </w:pPr>
            <w:hyperlink r:id="rId172">
              <w:r>
                <w:rPr>
                  <w:rFonts w:ascii="Arial" w:cs="Arial" w:eastAsia="Arial" w:hAnsi="Arial"/>
                  <w:sz w:val="17"/>
                  <w:szCs w:val="17"/>
                  <w:color w:val="0000FF"/>
                </w:rPr>
                <w:t>Lenders party thereto and Bank of America, N.A., as</w:t>
              </w:r>
            </w:hyperlink>
          </w:p>
        </w:tc>
        <w:tc>
          <w:tcPr>
            <w:tcW w:w="80" w:type="dxa"/>
            <w:vAlign w:val="bottom"/>
            <w:gridSpan w:val="4"/>
          </w:tcPr>
          <w:p>
            <w:pPr>
              <w:spacing w:after="0"/>
              <w:rPr>
                <w:sz w:val="13"/>
                <w:szCs w:val="13"/>
                <w:color w:val="auto"/>
              </w:rPr>
            </w:pPr>
          </w:p>
        </w:tc>
        <w:tc>
          <w:tcPr>
            <w:tcW w:w="60" w:type="dxa"/>
            <w:vAlign w:val="bottom"/>
            <w:gridSpan w:val="3"/>
          </w:tcPr>
          <w:p>
            <w:pPr>
              <w:spacing w:after="0"/>
              <w:rPr>
                <w:sz w:val="13"/>
                <w:szCs w:val="13"/>
                <w:color w:val="auto"/>
              </w:rPr>
            </w:pPr>
          </w:p>
        </w:tc>
        <w:tc>
          <w:tcPr>
            <w:tcW w:w="100" w:type="dxa"/>
            <w:vAlign w:val="bottom"/>
            <w:gridSpan w:val="2"/>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40" w:type="dxa"/>
            <w:vAlign w:val="bottom"/>
            <w:tcBorders>
              <w:top w:val="single" w:sz="8" w:color="0000FF"/>
              <w:bottom w:val="single" w:sz="8" w:color="0000FF"/>
            </w:tcBorders>
          </w:tcPr>
          <w:p>
            <w:pPr>
              <w:spacing w:after="0" w:line="148" w:lineRule="exact"/>
              <w:rPr>
                <w:rFonts w:ascii="Arial" w:cs="Arial" w:eastAsia="Arial" w:hAnsi="Arial"/>
                <w:sz w:val="17"/>
                <w:szCs w:val="17"/>
                <w:color w:val="0000FF"/>
                <w:w w:val="99"/>
              </w:rPr>
            </w:pPr>
            <w:hyperlink r:id="rId172">
              <w:r>
                <w:rPr>
                  <w:rFonts w:ascii="Arial" w:cs="Arial" w:eastAsia="Arial" w:hAnsi="Arial"/>
                  <w:sz w:val="17"/>
                  <w:szCs w:val="17"/>
                  <w:color w:val="0000FF"/>
                  <w:w w:val="99"/>
                </w:rPr>
                <w:t>administrative agent</w:t>
              </w:r>
            </w:hyperlink>
          </w:p>
        </w:tc>
        <w:tc>
          <w:tcPr>
            <w:tcW w:w="2440" w:type="dxa"/>
            <w:vAlign w:val="bottom"/>
            <w:tcBorders>
              <w:top w:val="single" w:sz="8" w:color="0000FF"/>
            </w:tcBorders>
            <w:gridSpan w:val="13"/>
          </w:tcPr>
          <w:p>
            <w:pPr>
              <w:spacing w:after="0"/>
              <w:rPr>
                <w:sz w:val="13"/>
                <w:szCs w:val="13"/>
                <w:color w:val="auto"/>
              </w:rPr>
            </w:pPr>
          </w:p>
        </w:tc>
        <w:tc>
          <w:tcPr>
            <w:tcW w:w="80" w:type="dxa"/>
            <w:vAlign w:val="bottom"/>
            <w:gridSpan w:val="2"/>
          </w:tcPr>
          <w:p>
            <w:pPr>
              <w:spacing w:after="0"/>
              <w:rPr>
                <w:sz w:val="13"/>
                <w:szCs w:val="13"/>
                <w:color w:val="auto"/>
              </w:rPr>
            </w:pPr>
          </w:p>
        </w:tc>
        <w:tc>
          <w:tcPr>
            <w:tcW w:w="240" w:type="dxa"/>
            <w:vAlign w:val="bottom"/>
            <w:gridSpan w:val="5"/>
          </w:tcPr>
          <w:p>
            <w:pPr>
              <w:spacing w:after="0"/>
              <w:rPr>
                <w:sz w:val="13"/>
                <w:szCs w:val="13"/>
                <w:color w:val="auto"/>
              </w:rPr>
            </w:pPr>
          </w:p>
        </w:tc>
        <w:tc>
          <w:tcPr>
            <w:tcW w:w="180" w:type="dxa"/>
            <w:vAlign w:val="bottom"/>
            <w:gridSpan w:val="6"/>
          </w:tcPr>
          <w:p>
            <w:pPr>
              <w:spacing w:after="0"/>
              <w:rPr>
                <w:sz w:val="13"/>
                <w:szCs w:val="13"/>
                <w:color w:val="auto"/>
              </w:rPr>
            </w:pPr>
          </w:p>
        </w:tc>
        <w:tc>
          <w:tcPr>
            <w:tcW w:w="60" w:type="dxa"/>
            <w:vAlign w:val="bottom"/>
            <w:gridSpan w:val="3"/>
          </w:tcPr>
          <w:p>
            <w:pPr>
              <w:spacing w:after="0"/>
              <w:rPr>
                <w:sz w:val="13"/>
                <w:szCs w:val="13"/>
                <w:color w:val="auto"/>
              </w:rPr>
            </w:pPr>
          </w:p>
        </w:tc>
        <w:tc>
          <w:tcPr>
            <w:tcW w:w="100" w:type="dxa"/>
            <w:vAlign w:val="bottom"/>
            <w:gridSpan w:val="2"/>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1180" w:type="dxa"/>
            <w:vAlign w:val="bottom"/>
            <w:tcBorders>
              <w:bottom w:val="single" w:sz="8" w:color="DCE2EF"/>
            </w:tcBorders>
            <w:shd w:val="clear" w:color="auto" w:fill="DCE2EF"/>
          </w:tcPr>
          <w:p>
            <w:pPr>
              <w:ind w:left="20"/>
              <w:spacing w:after="0" w:line="190" w:lineRule="exact"/>
              <w:rPr>
                <w:sz w:val="20"/>
                <w:szCs w:val="20"/>
                <w:color w:val="auto"/>
              </w:rPr>
            </w:pPr>
            <w:r>
              <w:rPr>
                <w:rFonts w:ascii="Arial" w:cs="Arial" w:eastAsia="Arial" w:hAnsi="Arial"/>
                <w:sz w:val="17"/>
                <w:szCs w:val="17"/>
                <w:color w:val="auto"/>
              </w:rPr>
              <w:t>10.3</w:t>
            </w:r>
          </w:p>
        </w:tc>
        <w:tc>
          <w:tcPr>
            <w:tcW w:w="120" w:type="dxa"/>
            <w:vAlign w:val="bottom"/>
            <w:tcBorders>
              <w:bottom w:val="single" w:sz="8" w:color="DCE2EF"/>
              <w:right w:val="single" w:sz="8" w:color="DCE2EF"/>
            </w:tcBorders>
            <w:shd w:val="clear" w:color="auto" w:fill="DCE2EF"/>
          </w:tcPr>
          <w:p>
            <w:pPr>
              <w:spacing w:after="0"/>
              <w:rPr>
                <w:sz w:val="16"/>
                <w:szCs w:val="16"/>
                <w:color w:val="auto"/>
              </w:rPr>
            </w:pPr>
          </w:p>
        </w:tc>
        <w:tc>
          <w:tcPr>
            <w:tcW w:w="4300" w:type="dxa"/>
            <w:vAlign w:val="bottom"/>
            <w:tcBorders>
              <w:bottom w:val="single" w:sz="8" w:color="0000FF"/>
              <w:right w:val="single" w:sz="8" w:color="DCE2EF"/>
            </w:tcBorders>
            <w:gridSpan w:val="21"/>
            <w:shd w:val="clear" w:color="auto" w:fill="DCE2EF"/>
          </w:tcPr>
          <w:p>
            <w:pPr>
              <w:spacing w:after="0" w:line="190" w:lineRule="exact"/>
              <w:rPr>
                <w:rFonts w:ascii="Arial" w:cs="Arial" w:eastAsia="Arial" w:hAnsi="Arial"/>
                <w:sz w:val="17"/>
                <w:szCs w:val="17"/>
                <w:color w:val="0000FF"/>
              </w:rPr>
            </w:pPr>
            <w:hyperlink r:id="rId173">
              <w:r>
                <w:rPr>
                  <w:rFonts w:ascii="Arial" w:cs="Arial" w:eastAsia="Arial" w:hAnsi="Arial"/>
                  <w:sz w:val="17"/>
                  <w:szCs w:val="17"/>
                  <w:color w:val="0000FF"/>
                </w:rPr>
                <w:t>First Amendment, dated as of July 3, 2018, to the Credit</w:t>
              </w:r>
            </w:hyperlink>
          </w:p>
        </w:tc>
        <w:tc>
          <w:tcPr>
            <w:tcW w:w="340" w:type="dxa"/>
            <w:vAlign w:val="bottom"/>
            <w:tcBorders>
              <w:bottom w:val="single" w:sz="8" w:color="DCE2EF"/>
            </w:tcBorders>
            <w:gridSpan w:val="11"/>
            <w:shd w:val="clear" w:color="auto" w:fill="DCE2EF"/>
          </w:tcPr>
          <w:p>
            <w:pPr>
              <w:spacing w:after="0"/>
              <w:rPr>
                <w:sz w:val="16"/>
                <w:szCs w:val="16"/>
                <w:color w:val="auto"/>
              </w:rPr>
            </w:pPr>
          </w:p>
        </w:tc>
        <w:tc>
          <w:tcPr>
            <w:tcW w:w="780" w:type="dxa"/>
            <w:vAlign w:val="bottom"/>
            <w:tcBorders>
              <w:bottom w:val="single" w:sz="8" w:color="DCE2EF"/>
            </w:tcBorders>
            <w:gridSpan w:val="2"/>
            <w:shd w:val="clear" w:color="auto" w:fill="DCE2EF"/>
          </w:tcPr>
          <w:p>
            <w:pPr>
              <w:jc w:val="center"/>
              <w:ind w:right="80"/>
              <w:spacing w:after="0" w:line="190" w:lineRule="exact"/>
              <w:rPr>
                <w:sz w:val="20"/>
                <w:szCs w:val="20"/>
                <w:color w:val="auto"/>
              </w:rPr>
            </w:pPr>
            <w:r>
              <w:rPr>
                <w:rFonts w:ascii="Arial" w:cs="Arial" w:eastAsia="Arial" w:hAnsi="Arial"/>
                <w:sz w:val="17"/>
                <w:szCs w:val="17"/>
                <w:color w:val="auto"/>
              </w:rPr>
              <w:t>10-Q</w:t>
            </w:r>
          </w:p>
        </w:tc>
        <w:tc>
          <w:tcPr>
            <w:tcW w:w="1260" w:type="dxa"/>
            <w:vAlign w:val="bottom"/>
            <w:tcBorders>
              <w:bottom w:val="single" w:sz="8" w:color="DCE2EF"/>
            </w:tcBorders>
            <w:shd w:val="clear" w:color="auto" w:fill="DCE2EF"/>
          </w:tcPr>
          <w:p>
            <w:pPr>
              <w:jc w:val="center"/>
              <w:spacing w:after="0" w:line="190" w:lineRule="exact"/>
              <w:rPr>
                <w:sz w:val="20"/>
                <w:szCs w:val="20"/>
                <w:color w:val="auto"/>
              </w:rPr>
            </w:pPr>
            <w:r>
              <w:rPr>
                <w:rFonts w:ascii="Arial" w:cs="Arial" w:eastAsia="Arial" w:hAnsi="Arial"/>
                <w:sz w:val="17"/>
                <w:szCs w:val="17"/>
                <w:color w:val="auto"/>
              </w:rPr>
              <w:t>001-08929</w:t>
            </w:r>
          </w:p>
        </w:tc>
        <w:tc>
          <w:tcPr>
            <w:tcW w:w="100" w:type="dxa"/>
            <w:vAlign w:val="bottom"/>
            <w:tcBorders>
              <w:bottom w:val="single" w:sz="8" w:color="DCE2EF"/>
            </w:tcBorders>
            <w:shd w:val="clear" w:color="auto" w:fill="DCE2EF"/>
          </w:tcPr>
          <w:p>
            <w:pPr>
              <w:spacing w:after="0"/>
              <w:rPr>
                <w:sz w:val="16"/>
                <w:szCs w:val="16"/>
                <w:color w:val="auto"/>
              </w:rPr>
            </w:pPr>
          </w:p>
        </w:tc>
        <w:tc>
          <w:tcPr>
            <w:tcW w:w="920" w:type="dxa"/>
            <w:vAlign w:val="bottom"/>
            <w:tcBorders>
              <w:bottom w:val="single" w:sz="8" w:color="DCE2EF"/>
            </w:tcBorders>
            <w:shd w:val="clear" w:color="auto" w:fill="DCE2EF"/>
          </w:tcPr>
          <w:p>
            <w:pPr>
              <w:jc w:val="center"/>
              <w:spacing w:after="0" w:line="190" w:lineRule="exact"/>
              <w:rPr>
                <w:sz w:val="20"/>
                <w:szCs w:val="20"/>
                <w:color w:val="auto"/>
              </w:rPr>
            </w:pPr>
            <w:r>
              <w:rPr>
                <w:rFonts w:ascii="Arial" w:cs="Arial" w:eastAsia="Arial" w:hAnsi="Arial"/>
                <w:sz w:val="17"/>
                <w:szCs w:val="17"/>
                <w:color w:val="auto"/>
              </w:rPr>
              <w:t>10.1</w:t>
            </w:r>
          </w:p>
        </w:tc>
        <w:tc>
          <w:tcPr>
            <w:tcW w:w="100" w:type="dxa"/>
            <w:vAlign w:val="bottom"/>
            <w:tcBorders>
              <w:bottom w:val="single" w:sz="8" w:color="DCE2EF"/>
            </w:tcBorders>
            <w:shd w:val="clear" w:color="auto" w:fill="DCE2EF"/>
          </w:tcPr>
          <w:p>
            <w:pPr>
              <w:spacing w:after="0"/>
              <w:rPr>
                <w:sz w:val="16"/>
                <w:szCs w:val="16"/>
                <w:color w:val="auto"/>
              </w:rPr>
            </w:pPr>
          </w:p>
        </w:tc>
        <w:tc>
          <w:tcPr>
            <w:tcW w:w="2140" w:type="dxa"/>
            <w:vAlign w:val="bottom"/>
            <w:tcBorders>
              <w:bottom w:val="single" w:sz="8" w:color="DCE2EF"/>
            </w:tcBorders>
            <w:shd w:val="clear" w:color="auto" w:fill="DCE2EF"/>
          </w:tcPr>
          <w:p>
            <w:pPr>
              <w:jc w:val="center"/>
              <w:spacing w:after="0" w:line="190" w:lineRule="exact"/>
              <w:rPr>
                <w:sz w:val="20"/>
                <w:szCs w:val="20"/>
                <w:color w:val="auto"/>
              </w:rPr>
            </w:pPr>
            <w:r>
              <w:rPr>
                <w:rFonts w:ascii="Arial" w:cs="Arial" w:eastAsia="Arial" w:hAnsi="Arial"/>
                <w:sz w:val="17"/>
                <w:szCs w:val="17"/>
                <w:color w:val="auto"/>
              </w:rPr>
              <w:t>September 7, 2018</w:t>
            </w:r>
          </w:p>
        </w:tc>
        <w:tc>
          <w:tcPr>
            <w:tcW w:w="0" w:type="dxa"/>
            <w:vAlign w:val="bottom"/>
          </w:tcPr>
          <w:p>
            <w:pPr>
              <w:spacing w:after="0"/>
              <w:rPr>
                <w:sz w:val="1"/>
                <w:szCs w:val="1"/>
                <w:color w:val="auto"/>
              </w:rPr>
            </w:pPr>
          </w:p>
        </w:tc>
      </w:tr>
      <w:tr>
        <w:trPr>
          <w:trHeight w:val="148"/>
        </w:trPr>
        <w:tc>
          <w:tcPr>
            <w:tcW w:w="1180" w:type="dxa"/>
            <w:vAlign w:val="bottom"/>
            <w:shd w:val="clear" w:color="auto" w:fill="DCE2EF"/>
          </w:tcPr>
          <w:p>
            <w:pPr>
              <w:spacing w:after="0"/>
              <w:rPr>
                <w:sz w:val="12"/>
                <w:szCs w:val="12"/>
                <w:color w:val="auto"/>
              </w:rPr>
            </w:pPr>
          </w:p>
        </w:tc>
        <w:tc>
          <w:tcPr>
            <w:tcW w:w="120" w:type="dxa"/>
            <w:vAlign w:val="bottom"/>
            <w:tcBorders>
              <w:right w:val="single" w:sz="8" w:color="DCE2EF"/>
            </w:tcBorders>
            <w:shd w:val="clear" w:color="auto" w:fill="DCE2EF"/>
          </w:tcPr>
          <w:p>
            <w:pPr>
              <w:spacing w:after="0"/>
              <w:rPr>
                <w:sz w:val="12"/>
                <w:szCs w:val="12"/>
                <w:color w:val="auto"/>
              </w:rPr>
            </w:pPr>
          </w:p>
        </w:tc>
        <w:tc>
          <w:tcPr>
            <w:tcW w:w="4640" w:type="dxa"/>
            <w:vAlign w:val="bottom"/>
            <w:gridSpan w:val="32"/>
            <w:shd w:val="clear" w:color="auto" w:fill="DCE2EF"/>
          </w:tcPr>
          <w:p>
            <w:pPr>
              <w:spacing w:after="0" w:line="148" w:lineRule="exact"/>
              <w:rPr>
                <w:rFonts w:ascii="Arial" w:cs="Arial" w:eastAsia="Arial" w:hAnsi="Arial"/>
                <w:sz w:val="17"/>
                <w:szCs w:val="17"/>
                <w:color w:val="0000FF"/>
              </w:rPr>
            </w:pPr>
            <w:hyperlink r:id="rId173">
              <w:r>
                <w:rPr>
                  <w:rFonts w:ascii="Arial" w:cs="Arial" w:eastAsia="Arial" w:hAnsi="Arial"/>
                  <w:sz w:val="17"/>
                  <w:szCs w:val="17"/>
                  <w:color w:val="0000FF"/>
                </w:rPr>
                <w:t>Agreement dated September 1, 2017, by and among ABM</w:t>
              </w:r>
            </w:hyperlink>
          </w:p>
        </w:tc>
        <w:tc>
          <w:tcPr>
            <w:tcW w:w="680" w:type="dxa"/>
            <w:vAlign w:val="bottom"/>
            <w:shd w:val="clear" w:color="auto" w:fill="DCE2EF"/>
          </w:tcPr>
          <w:p>
            <w:pPr>
              <w:spacing w:after="0"/>
              <w:rPr>
                <w:sz w:val="12"/>
                <w:szCs w:val="12"/>
                <w:color w:val="auto"/>
              </w:rPr>
            </w:pPr>
          </w:p>
        </w:tc>
        <w:tc>
          <w:tcPr>
            <w:tcW w:w="100" w:type="dxa"/>
            <w:vAlign w:val="bottom"/>
            <w:shd w:val="clear" w:color="auto" w:fill="DCE2EF"/>
          </w:tcPr>
          <w:p>
            <w:pPr>
              <w:spacing w:after="0"/>
              <w:rPr>
                <w:sz w:val="12"/>
                <w:szCs w:val="12"/>
                <w:color w:val="auto"/>
              </w:rPr>
            </w:pPr>
          </w:p>
        </w:tc>
        <w:tc>
          <w:tcPr>
            <w:tcW w:w="1260" w:type="dxa"/>
            <w:vAlign w:val="bottom"/>
            <w:shd w:val="clear" w:color="auto" w:fill="DCE2EF"/>
          </w:tcPr>
          <w:p>
            <w:pPr>
              <w:spacing w:after="0"/>
              <w:rPr>
                <w:sz w:val="12"/>
                <w:szCs w:val="12"/>
                <w:color w:val="auto"/>
              </w:rPr>
            </w:pPr>
          </w:p>
        </w:tc>
        <w:tc>
          <w:tcPr>
            <w:tcW w:w="100" w:type="dxa"/>
            <w:vAlign w:val="bottom"/>
            <w:shd w:val="clear" w:color="auto" w:fill="DCE2EF"/>
          </w:tcPr>
          <w:p>
            <w:pPr>
              <w:spacing w:after="0"/>
              <w:rPr>
                <w:sz w:val="12"/>
                <w:szCs w:val="12"/>
                <w:color w:val="auto"/>
              </w:rPr>
            </w:pPr>
          </w:p>
        </w:tc>
        <w:tc>
          <w:tcPr>
            <w:tcW w:w="920" w:type="dxa"/>
            <w:vAlign w:val="bottom"/>
            <w:shd w:val="clear" w:color="auto" w:fill="DCE2EF"/>
          </w:tcPr>
          <w:p>
            <w:pPr>
              <w:spacing w:after="0"/>
              <w:rPr>
                <w:sz w:val="12"/>
                <w:szCs w:val="12"/>
                <w:color w:val="auto"/>
              </w:rPr>
            </w:pPr>
          </w:p>
        </w:tc>
        <w:tc>
          <w:tcPr>
            <w:tcW w:w="100" w:type="dxa"/>
            <w:vAlign w:val="bottom"/>
            <w:shd w:val="clear" w:color="auto" w:fill="DCE2EF"/>
          </w:tcPr>
          <w:p>
            <w:pPr>
              <w:spacing w:after="0"/>
              <w:rPr>
                <w:sz w:val="12"/>
                <w:szCs w:val="12"/>
                <w:color w:val="auto"/>
              </w:rPr>
            </w:pPr>
          </w:p>
        </w:tc>
        <w:tc>
          <w:tcPr>
            <w:tcW w:w="2140" w:type="dxa"/>
            <w:vAlign w:val="bottom"/>
            <w:shd w:val="clear" w:color="auto" w:fill="DCE2EF"/>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180" w:type="dxa"/>
            <w:vAlign w:val="bottom"/>
            <w:tcBorders>
              <w:top w:val="single" w:sz="8" w:color="DCE2EF"/>
            </w:tcBorders>
            <w:shd w:val="clear" w:color="auto" w:fill="DCE2EF"/>
          </w:tcPr>
          <w:p>
            <w:pPr>
              <w:spacing w:after="0"/>
              <w:rPr>
                <w:sz w:val="13"/>
                <w:szCs w:val="13"/>
                <w:color w:val="auto"/>
              </w:rPr>
            </w:pPr>
          </w:p>
        </w:tc>
        <w:tc>
          <w:tcPr>
            <w:tcW w:w="120" w:type="dxa"/>
            <w:vAlign w:val="bottom"/>
            <w:tcBorders>
              <w:top w:val="single" w:sz="8" w:color="DCE2EF"/>
              <w:right w:val="single" w:sz="8" w:color="DCE2EF"/>
            </w:tcBorders>
            <w:shd w:val="clear" w:color="auto" w:fill="DCE2EF"/>
          </w:tcPr>
          <w:p>
            <w:pPr>
              <w:spacing w:after="0"/>
              <w:rPr>
                <w:sz w:val="13"/>
                <w:szCs w:val="13"/>
                <w:color w:val="auto"/>
              </w:rPr>
            </w:pPr>
          </w:p>
        </w:tc>
        <w:tc>
          <w:tcPr>
            <w:tcW w:w="4480" w:type="dxa"/>
            <w:vAlign w:val="bottom"/>
            <w:tcBorders>
              <w:top w:val="single" w:sz="8" w:color="0000FF"/>
            </w:tcBorders>
            <w:gridSpan w:val="27"/>
            <w:shd w:val="clear" w:color="auto" w:fill="DCE2EF"/>
          </w:tcPr>
          <w:p>
            <w:pPr>
              <w:spacing w:after="0" w:line="161" w:lineRule="exact"/>
              <w:rPr>
                <w:rFonts w:ascii="Arial" w:cs="Arial" w:eastAsia="Arial" w:hAnsi="Arial"/>
                <w:sz w:val="17"/>
                <w:szCs w:val="17"/>
                <w:color w:val="0000FF"/>
              </w:rPr>
            </w:pPr>
            <w:hyperlink r:id="rId173">
              <w:r>
                <w:rPr>
                  <w:rFonts w:ascii="Arial" w:cs="Arial" w:eastAsia="Arial" w:hAnsi="Arial"/>
                  <w:sz w:val="17"/>
                  <w:szCs w:val="17"/>
                  <w:color w:val="0000FF"/>
                </w:rPr>
                <w:t>Industries Incorporated, a Delaware corporation, the</w:t>
              </w:r>
            </w:hyperlink>
          </w:p>
        </w:tc>
        <w:tc>
          <w:tcPr>
            <w:tcW w:w="60" w:type="dxa"/>
            <w:vAlign w:val="bottom"/>
            <w:tcBorders>
              <w:top w:val="single" w:sz="8" w:color="DCE2EF"/>
            </w:tcBorders>
            <w:gridSpan w:val="3"/>
            <w:shd w:val="clear" w:color="auto" w:fill="DCE2EF"/>
          </w:tcPr>
          <w:p>
            <w:pPr>
              <w:spacing w:after="0"/>
              <w:rPr>
                <w:sz w:val="13"/>
                <w:szCs w:val="13"/>
                <w:color w:val="auto"/>
              </w:rPr>
            </w:pPr>
          </w:p>
        </w:tc>
        <w:tc>
          <w:tcPr>
            <w:tcW w:w="100" w:type="dxa"/>
            <w:vAlign w:val="bottom"/>
            <w:tcBorders>
              <w:top w:val="single" w:sz="8" w:color="DCE2EF"/>
            </w:tcBorders>
            <w:gridSpan w:val="2"/>
            <w:shd w:val="clear" w:color="auto" w:fill="DCE2EF"/>
          </w:tcPr>
          <w:p>
            <w:pPr>
              <w:spacing w:after="0"/>
              <w:rPr>
                <w:sz w:val="13"/>
                <w:szCs w:val="13"/>
                <w:color w:val="auto"/>
              </w:rPr>
            </w:pPr>
          </w:p>
        </w:tc>
        <w:tc>
          <w:tcPr>
            <w:tcW w:w="680" w:type="dxa"/>
            <w:vAlign w:val="bottom"/>
            <w:tcBorders>
              <w:top w:val="single" w:sz="8" w:color="DCE2EF"/>
            </w:tcBorders>
            <w:shd w:val="clear" w:color="auto" w:fill="DCE2EF"/>
          </w:tcPr>
          <w:p>
            <w:pPr>
              <w:spacing w:after="0"/>
              <w:rPr>
                <w:sz w:val="13"/>
                <w:szCs w:val="13"/>
                <w:color w:val="auto"/>
              </w:rPr>
            </w:pPr>
          </w:p>
        </w:tc>
        <w:tc>
          <w:tcPr>
            <w:tcW w:w="100" w:type="dxa"/>
            <w:vAlign w:val="bottom"/>
            <w:tcBorders>
              <w:top w:val="single" w:sz="8" w:color="DCE2EF"/>
            </w:tcBorders>
            <w:shd w:val="clear" w:color="auto" w:fill="DCE2EF"/>
          </w:tcPr>
          <w:p>
            <w:pPr>
              <w:spacing w:after="0"/>
              <w:rPr>
                <w:sz w:val="13"/>
                <w:szCs w:val="13"/>
                <w:color w:val="auto"/>
              </w:rPr>
            </w:pPr>
          </w:p>
        </w:tc>
        <w:tc>
          <w:tcPr>
            <w:tcW w:w="1260" w:type="dxa"/>
            <w:vAlign w:val="bottom"/>
            <w:tcBorders>
              <w:top w:val="single" w:sz="8" w:color="DCE2EF"/>
            </w:tcBorders>
            <w:shd w:val="clear" w:color="auto" w:fill="DCE2EF"/>
          </w:tcPr>
          <w:p>
            <w:pPr>
              <w:spacing w:after="0"/>
              <w:rPr>
                <w:sz w:val="13"/>
                <w:szCs w:val="13"/>
                <w:color w:val="auto"/>
              </w:rPr>
            </w:pPr>
          </w:p>
        </w:tc>
        <w:tc>
          <w:tcPr>
            <w:tcW w:w="100" w:type="dxa"/>
            <w:vAlign w:val="bottom"/>
            <w:tcBorders>
              <w:top w:val="single" w:sz="8" w:color="DCE2EF"/>
            </w:tcBorders>
            <w:shd w:val="clear" w:color="auto" w:fill="DCE2EF"/>
          </w:tcPr>
          <w:p>
            <w:pPr>
              <w:spacing w:after="0"/>
              <w:rPr>
                <w:sz w:val="13"/>
                <w:szCs w:val="13"/>
                <w:color w:val="auto"/>
              </w:rPr>
            </w:pPr>
          </w:p>
        </w:tc>
        <w:tc>
          <w:tcPr>
            <w:tcW w:w="920" w:type="dxa"/>
            <w:vAlign w:val="bottom"/>
            <w:tcBorders>
              <w:top w:val="single" w:sz="8" w:color="DCE2EF"/>
            </w:tcBorders>
            <w:shd w:val="clear" w:color="auto" w:fill="DCE2EF"/>
          </w:tcPr>
          <w:p>
            <w:pPr>
              <w:spacing w:after="0"/>
              <w:rPr>
                <w:sz w:val="13"/>
                <w:szCs w:val="13"/>
                <w:color w:val="auto"/>
              </w:rPr>
            </w:pPr>
          </w:p>
        </w:tc>
        <w:tc>
          <w:tcPr>
            <w:tcW w:w="100" w:type="dxa"/>
            <w:vAlign w:val="bottom"/>
            <w:tcBorders>
              <w:top w:val="single" w:sz="8" w:color="DCE2EF"/>
            </w:tcBorders>
            <w:shd w:val="clear" w:color="auto" w:fill="DCE2EF"/>
          </w:tcPr>
          <w:p>
            <w:pPr>
              <w:spacing w:after="0"/>
              <w:rPr>
                <w:sz w:val="13"/>
                <w:szCs w:val="13"/>
                <w:color w:val="auto"/>
              </w:rPr>
            </w:pPr>
          </w:p>
        </w:tc>
        <w:tc>
          <w:tcPr>
            <w:tcW w:w="2140" w:type="dxa"/>
            <w:vAlign w:val="bottom"/>
            <w:tcBorders>
              <w:top w:val="single" w:sz="8" w:color="DCE2EF"/>
            </w:tcBorders>
            <w:shd w:val="clear" w:color="auto" w:fill="DCE2E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DCE2EF"/>
          </w:tcPr>
          <w:p>
            <w:pPr>
              <w:spacing w:after="0" w:line="20" w:lineRule="exact"/>
              <w:rPr>
                <w:sz w:val="1"/>
                <w:szCs w:val="1"/>
                <w:color w:val="auto"/>
              </w:rPr>
            </w:pPr>
          </w:p>
        </w:tc>
        <w:tc>
          <w:tcPr>
            <w:tcW w:w="120" w:type="dxa"/>
            <w:vAlign w:val="bottom"/>
            <w:tcBorders>
              <w:right w:val="single" w:sz="8" w:color="DCE2EF"/>
            </w:tcBorders>
            <w:shd w:val="clear" w:color="auto" w:fill="DCE2EF"/>
          </w:tcPr>
          <w:p>
            <w:pPr>
              <w:spacing w:after="0" w:line="20" w:lineRule="exact"/>
              <w:rPr>
                <w:sz w:val="1"/>
                <w:szCs w:val="1"/>
                <w:color w:val="auto"/>
              </w:rPr>
            </w:pPr>
          </w:p>
        </w:tc>
        <w:tc>
          <w:tcPr>
            <w:tcW w:w="3960" w:type="dxa"/>
            <w:vAlign w:val="bottom"/>
            <w:gridSpan w:val="13"/>
            <w:shd w:val="clear" w:color="auto" w:fill="0000FF"/>
          </w:tcPr>
          <w:p>
            <w:pPr>
              <w:spacing w:after="0" w:line="20" w:lineRule="exact"/>
              <w:rPr>
                <w:sz w:val="1"/>
                <w:szCs w:val="1"/>
                <w:color w:val="auto"/>
              </w:rPr>
            </w:pPr>
          </w:p>
        </w:tc>
        <w:tc>
          <w:tcPr>
            <w:tcW w:w="100" w:type="dxa"/>
            <w:vAlign w:val="bottom"/>
            <w:gridSpan w:val="3"/>
            <w:shd w:val="clear" w:color="auto" w:fill="DCE2EF"/>
          </w:tcPr>
          <w:p>
            <w:pPr>
              <w:spacing w:after="0" w:line="20" w:lineRule="exact"/>
              <w:rPr>
                <w:sz w:val="1"/>
                <w:szCs w:val="1"/>
                <w:color w:val="auto"/>
              </w:rPr>
            </w:pPr>
          </w:p>
        </w:tc>
        <w:tc>
          <w:tcPr>
            <w:tcW w:w="240" w:type="dxa"/>
            <w:vAlign w:val="bottom"/>
            <w:tcBorders>
              <w:right w:val="single" w:sz="8" w:color="DCE2EF"/>
            </w:tcBorders>
            <w:gridSpan w:val="5"/>
            <w:shd w:val="clear" w:color="auto" w:fill="DCE2EF"/>
          </w:tcPr>
          <w:p>
            <w:pPr>
              <w:spacing w:after="0" w:line="20" w:lineRule="exact"/>
              <w:rPr>
                <w:sz w:val="1"/>
                <w:szCs w:val="1"/>
                <w:color w:val="auto"/>
              </w:rPr>
            </w:pPr>
          </w:p>
        </w:tc>
        <w:tc>
          <w:tcPr>
            <w:tcW w:w="240" w:type="dxa"/>
            <w:vAlign w:val="bottom"/>
            <w:gridSpan w:val="9"/>
            <w:shd w:val="clear" w:color="auto" w:fill="DCE2EF"/>
          </w:tcPr>
          <w:p>
            <w:pPr>
              <w:spacing w:after="0" w:line="20" w:lineRule="exact"/>
              <w:rPr>
                <w:sz w:val="1"/>
                <w:szCs w:val="1"/>
                <w:color w:val="auto"/>
              </w:rPr>
            </w:pPr>
          </w:p>
        </w:tc>
        <w:tc>
          <w:tcPr>
            <w:tcW w:w="100" w:type="dxa"/>
            <w:vAlign w:val="bottom"/>
            <w:gridSpan w:val="2"/>
            <w:shd w:val="clear" w:color="auto" w:fill="DCE2EF"/>
          </w:tcPr>
          <w:p>
            <w:pPr>
              <w:spacing w:after="0" w:line="20" w:lineRule="exact"/>
              <w:rPr>
                <w:sz w:val="1"/>
                <w:szCs w:val="1"/>
                <w:color w:val="auto"/>
              </w:rPr>
            </w:pPr>
          </w:p>
        </w:tc>
        <w:tc>
          <w:tcPr>
            <w:tcW w:w="680" w:type="dxa"/>
            <w:vAlign w:val="bottom"/>
            <w:shd w:val="clear" w:color="auto" w:fill="DCE2EF"/>
          </w:tcPr>
          <w:p>
            <w:pPr>
              <w:spacing w:after="0" w:line="20" w:lineRule="exact"/>
              <w:rPr>
                <w:sz w:val="1"/>
                <w:szCs w:val="1"/>
                <w:color w:val="auto"/>
              </w:rPr>
            </w:pPr>
          </w:p>
        </w:tc>
        <w:tc>
          <w:tcPr>
            <w:tcW w:w="100" w:type="dxa"/>
            <w:vAlign w:val="bottom"/>
            <w:shd w:val="clear" w:color="auto" w:fill="DCE2EF"/>
          </w:tcPr>
          <w:p>
            <w:pPr>
              <w:spacing w:after="0" w:line="20" w:lineRule="exact"/>
              <w:rPr>
                <w:sz w:val="1"/>
                <w:szCs w:val="1"/>
                <w:color w:val="auto"/>
              </w:rPr>
            </w:pPr>
          </w:p>
        </w:tc>
        <w:tc>
          <w:tcPr>
            <w:tcW w:w="1260" w:type="dxa"/>
            <w:vAlign w:val="bottom"/>
            <w:shd w:val="clear" w:color="auto" w:fill="DCE2EF"/>
          </w:tcPr>
          <w:p>
            <w:pPr>
              <w:spacing w:after="0" w:line="20" w:lineRule="exact"/>
              <w:rPr>
                <w:sz w:val="1"/>
                <w:szCs w:val="1"/>
                <w:color w:val="auto"/>
              </w:rPr>
            </w:pPr>
          </w:p>
        </w:tc>
        <w:tc>
          <w:tcPr>
            <w:tcW w:w="100" w:type="dxa"/>
            <w:vAlign w:val="bottom"/>
            <w:shd w:val="clear" w:color="auto" w:fill="DCE2EF"/>
          </w:tcPr>
          <w:p>
            <w:pPr>
              <w:spacing w:after="0" w:line="20" w:lineRule="exact"/>
              <w:rPr>
                <w:sz w:val="1"/>
                <w:szCs w:val="1"/>
                <w:color w:val="auto"/>
              </w:rPr>
            </w:pPr>
          </w:p>
        </w:tc>
        <w:tc>
          <w:tcPr>
            <w:tcW w:w="920" w:type="dxa"/>
            <w:vAlign w:val="bottom"/>
            <w:shd w:val="clear" w:color="auto" w:fill="DCE2EF"/>
          </w:tcPr>
          <w:p>
            <w:pPr>
              <w:spacing w:after="0" w:line="20" w:lineRule="exact"/>
              <w:rPr>
                <w:sz w:val="1"/>
                <w:szCs w:val="1"/>
                <w:color w:val="auto"/>
              </w:rPr>
            </w:pPr>
          </w:p>
        </w:tc>
        <w:tc>
          <w:tcPr>
            <w:tcW w:w="100" w:type="dxa"/>
            <w:vAlign w:val="bottom"/>
            <w:shd w:val="clear" w:color="auto" w:fill="DCE2EF"/>
          </w:tcPr>
          <w:p>
            <w:pPr>
              <w:spacing w:after="0" w:line="20" w:lineRule="exact"/>
              <w:rPr>
                <w:sz w:val="1"/>
                <w:szCs w:val="1"/>
                <w:color w:val="auto"/>
              </w:rPr>
            </w:pPr>
          </w:p>
        </w:tc>
        <w:tc>
          <w:tcPr>
            <w:tcW w:w="2140" w:type="dxa"/>
            <w:vAlign w:val="bottom"/>
            <w:shd w:val="clear" w:color="auto" w:fill="DCE2E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1180" w:type="dxa"/>
            <w:vAlign w:val="bottom"/>
            <w:shd w:val="clear" w:color="auto" w:fill="DCE2EF"/>
          </w:tcPr>
          <w:p>
            <w:pPr>
              <w:spacing w:after="0"/>
              <w:rPr>
                <w:sz w:val="12"/>
                <w:szCs w:val="12"/>
                <w:color w:val="auto"/>
              </w:rPr>
            </w:pPr>
          </w:p>
        </w:tc>
        <w:tc>
          <w:tcPr>
            <w:tcW w:w="120" w:type="dxa"/>
            <w:vAlign w:val="bottom"/>
            <w:tcBorders>
              <w:right w:val="single" w:sz="8" w:color="DCE2EF"/>
            </w:tcBorders>
            <w:shd w:val="clear" w:color="auto" w:fill="DCE2EF"/>
          </w:tcPr>
          <w:p>
            <w:pPr>
              <w:spacing w:after="0"/>
              <w:rPr>
                <w:sz w:val="12"/>
                <w:szCs w:val="12"/>
                <w:color w:val="auto"/>
              </w:rPr>
            </w:pPr>
          </w:p>
        </w:tc>
        <w:tc>
          <w:tcPr>
            <w:tcW w:w="4640" w:type="dxa"/>
            <w:vAlign w:val="bottom"/>
            <w:gridSpan w:val="32"/>
            <w:shd w:val="clear" w:color="auto" w:fill="DCE2EF"/>
          </w:tcPr>
          <w:p>
            <w:pPr>
              <w:spacing w:after="0" w:line="148" w:lineRule="exact"/>
              <w:rPr>
                <w:rFonts w:ascii="Arial" w:cs="Arial" w:eastAsia="Arial" w:hAnsi="Arial"/>
                <w:sz w:val="17"/>
                <w:szCs w:val="17"/>
                <w:color w:val="0000FF"/>
              </w:rPr>
            </w:pPr>
            <w:hyperlink r:id="rId173">
              <w:r>
                <w:rPr>
                  <w:rFonts w:ascii="Arial" w:cs="Arial" w:eastAsia="Arial" w:hAnsi="Arial"/>
                  <w:sz w:val="17"/>
                  <w:szCs w:val="17"/>
                  <w:color w:val="0000FF"/>
                </w:rPr>
                <w:t>Designated Borrowers identified on the signature pages</w:t>
              </w:r>
            </w:hyperlink>
          </w:p>
        </w:tc>
        <w:tc>
          <w:tcPr>
            <w:tcW w:w="680" w:type="dxa"/>
            <w:vAlign w:val="bottom"/>
            <w:shd w:val="clear" w:color="auto" w:fill="DCE2EF"/>
          </w:tcPr>
          <w:p>
            <w:pPr>
              <w:spacing w:after="0"/>
              <w:rPr>
                <w:sz w:val="12"/>
                <w:szCs w:val="12"/>
                <w:color w:val="auto"/>
              </w:rPr>
            </w:pPr>
          </w:p>
        </w:tc>
        <w:tc>
          <w:tcPr>
            <w:tcW w:w="100" w:type="dxa"/>
            <w:vAlign w:val="bottom"/>
            <w:shd w:val="clear" w:color="auto" w:fill="DCE2EF"/>
          </w:tcPr>
          <w:p>
            <w:pPr>
              <w:spacing w:after="0"/>
              <w:rPr>
                <w:sz w:val="12"/>
                <w:szCs w:val="12"/>
                <w:color w:val="auto"/>
              </w:rPr>
            </w:pPr>
          </w:p>
        </w:tc>
        <w:tc>
          <w:tcPr>
            <w:tcW w:w="1260" w:type="dxa"/>
            <w:vAlign w:val="bottom"/>
            <w:shd w:val="clear" w:color="auto" w:fill="DCE2EF"/>
          </w:tcPr>
          <w:p>
            <w:pPr>
              <w:spacing w:after="0"/>
              <w:rPr>
                <w:sz w:val="12"/>
                <w:szCs w:val="12"/>
                <w:color w:val="auto"/>
              </w:rPr>
            </w:pPr>
          </w:p>
        </w:tc>
        <w:tc>
          <w:tcPr>
            <w:tcW w:w="100" w:type="dxa"/>
            <w:vAlign w:val="bottom"/>
            <w:shd w:val="clear" w:color="auto" w:fill="DCE2EF"/>
          </w:tcPr>
          <w:p>
            <w:pPr>
              <w:spacing w:after="0"/>
              <w:rPr>
                <w:sz w:val="12"/>
                <w:szCs w:val="12"/>
                <w:color w:val="auto"/>
              </w:rPr>
            </w:pPr>
          </w:p>
        </w:tc>
        <w:tc>
          <w:tcPr>
            <w:tcW w:w="920" w:type="dxa"/>
            <w:vAlign w:val="bottom"/>
            <w:shd w:val="clear" w:color="auto" w:fill="DCE2EF"/>
          </w:tcPr>
          <w:p>
            <w:pPr>
              <w:spacing w:after="0"/>
              <w:rPr>
                <w:sz w:val="12"/>
                <w:szCs w:val="12"/>
                <w:color w:val="auto"/>
              </w:rPr>
            </w:pPr>
          </w:p>
        </w:tc>
        <w:tc>
          <w:tcPr>
            <w:tcW w:w="100" w:type="dxa"/>
            <w:vAlign w:val="bottom"/>
            <w:shd w:val="clear" w:color="auto" w:fill="DCE2EF"/>
          </w:tcPr>
          <w:p>
            <w:pPr>
              <w:spacing w:after="0"/>
              <w:rPr>
                <w:sz w:val="12"/>
                <w:szCs w:val="12"/>
                <w:color w:val="auto"/>
              </w:rPr>
            </w:pPr>
          </w:p>
        </w:tc>
        <w:tc>
          <w:tcPr>
            <w:tcW w:w="2140" w:type="dxa"/>
            <w:vAlign w:val="bottom"/>
            <w:shd w:val="clear" w:color="auto" w:fill="DCE2E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80" w:type="dxa"/>
            <w:vAlign w:val="bottom"/>
            <w:tcBorders>
              <w:top w:val="single" w:sz="8" w:color="DCE2EF"/>
              <w:bottom w:val="single" w:sz="8" w:color="DCE2EF"/>
            </w:tcBorders>
            <w:shd w:val="clear" w:color="auto" w:fill="DCE2EF"/>
          </w:tcPr>
          <w:p>
            <w:pPr>
              <w:spacing w:after="0"/>
              <w:rPr>
                <w:sz w:val="12"/>
                <w:szCs w:val="12"/>
                <w:color w:val="auto"/>
              </w:rPr>
            </w:pPr>
          </w:p>
        </w:tc>
        <w:tc>
          <w:tcPr>
            <w:tcW w:w="120" w:type="dxa"/>
            <w:vAlign w:val="bottom"/>
            <w:tcBorders>
              <w:top w:val="single" w:sz="8" w:color="DCE2EF"/>
              <w:bottom w:val="single" w:sz="8" w:color="DCE2EF"/>
              <w:right w:val="single" w:sz="8" w:color="DCE2EF"/>
            </w:tcBorders>
            <w:shd w:val="clear" w:color="auto" w:fill="DCE2EF"/>
          </w:tcPr>
          <w:p>
            <w:pPr>
              <w:spacing w:after="0"/>
              <w:rPr>
                <w:sz w:val="12"/>
                <w:szCs w:val="12"/>
                <w:color w:val="auto"/>
              </w:rPr>
            </w:pPr>
          </w:p>
        </w:tc>
        <w:tc>
          <w:tcPr>
            <w:tcW w:w="4300" w:type="dxa"/>
            <w:vAlign w:val="bottom"/>
            <w:tcBorders>
              <w:top w:val="single" w:sz="8" w:color="0000FF"/>
              <w:bottom w:val="single" w:sz="8" w:color="0000FF"/>
              <w:right w:val="single" w:sz="8" w:color="DCE2EF"/>
            </w:tcBorders>
            <w:gridSpan w:val="21"/>
            <w:shd w:val="clear" w:color="auto" w:fill="DCE2EF"/>
          </w:tcPr>
          <w:p>
            <w:pPr>
              <w:spacing w:after="0" w:line="148" w:lineRule="exact"/>
              <w:rPr>
                <w:rFonts w:ascii="Arial" w:cs="Arial" w:eastAsia="Arial" w:hAnsi="Arial"/>
                <w:sz w:val="17"/>
                <w:szCs w:val="17"/>
                <w:color w:val="0000FF"/>
                <w:w w:val="99"/>
              </w:rPr>
            </w:pPr>
            <w:hyperlink r:id="rId173">
              <w:r>
                <w:rPr>
                  <w:rFonts w:ascii="Arial" w:cs="Arial" w:eastAsia="Arial" w:hAnsi="Arial"/>
                  <w:sz w:val="17"/>
                  <w:szCs w:val="17"/>
                  <w:color w:val="0000FF"/>
                  <w:w w:val="99"/>
                </w:rPr>
                <w:t>thereto, the Guarantors identified on the signature pages</w:t>
              </w:r>
            </w:hyperlink>
          </w:p>
        </w:tc>
        <w:tc>
          <w:tcPr>
            <w:tcW w:w="240" w:type="dxa"/>
            <w:vAlign w:val="bottom"/>
            <w:tcBorders>
              <w:top w:val="single" w:sz="8" w:color="DCE2EF"/>
              <w:bottom w:val="single" w:sz="8" w:color="DCE2EF"/>
            </w:tcBorders>
            <w:gridSpan w:val="9"/>
            <w:shd w:val="clear" w:color="auto" w:fill="DCE2EF"/>
          </w:tcPr>
          <w:p>
            <w:pPr>
              <w:spacing w:after="0"/>
              <w:rPr>
                <w:sz w:val="12"/>
                <w:szCs w:val="12"/>
                <w:color w:val="auto"/>
              </w:rPr>
            </w:pPr>
          </w:p>
        </w:tc>
        <w:tc>
          <w:tcPr>
            <w:tcW w:w="100" w:type="dxa"/>
            <w:vAlign w:val="bottom"/>
            <w:tcBorders>
              <w:top w:val="single" w:sz="8" w:color="DCE2EF"/>
              <w:bottom w:val="single" w:sz="8" w:color="DCE2EF"/>
            </w:tcBorders>
            <w:gridSpan w:val="2"/>
            <w:shd w:val="clear" w:color="auto" w:fill="DCE2EF"/>
          </w:tcPr>
          <w:p>
            <w:pPr>
              <w:spacing w:after="0"/>
              <w:rPr>
                <w:sz w:val="12"/>
                <w:szCs w:val="12"/>
                <w:color w:val="auto"/>
              </w:rPr>
            </w:pPr>
          </w:p>
        </w:tc>
        <w:tc>
          <w:tcPr>
            <w:tcW w:w="680" w:type="dxa"/>
            <w:vAlign w:val="bottom"/>
            <w:tcBorders>
              <w:top w:val="single" w:sz="8" w:color="DCE2EF"/>
              <w:bottom w:val="single" w:sz="8" w:color="DCE2EF"/>
            </w:tcBorders>
            <w:shd w:val="clear" w:color="auto" w:fill="DCE2EF"/>
          </w:tcPr>
          <w:p>
            <w:pPr>
              <w:spacing w:after="0"/>
              <w:rPr>
                <w:sz w:val="12"/>
                <w:szCs w:val="12"/>
                <w:color w:val="auto"/>
              </w:rPr>
            </w:pPr>
          </w:p>
        </w:tc>
        <w:tc>
          <w:tcPr>
            <w:tcW w:w="100" w:type="dxa"/>
            <w:vAlign w:val="bottom"/>
            <w:tcBorders>
              <w:top w:val="single" w:sz="8" w:color="DCE2EF"/>
              <w:bottom w:val="single" w:sz="8" w:color="DCE2EF"/>
            </w:tcBorders>
            <w:shd w:val="clear" w:color="auto" w:fill="DCE2EF"/>
          </w:tcPr>
          <w:p>
            <w:pPr>
              <w:spacing w:after="0"/>
              <w:rPr>
                <w:sz w:val="12"/>
                <w:szCs w:val="12"/>
                <w:color w:val="auto"/>
              </w:rPr>
            </w:pPr>
          </w:p>
        </w:tc>
        <w:tc>
          <w:tcPr>
            <w:tcW w:w="1260" w:type="dxa"/>
            <w:vAlign w:val="bottom"/>
            <w:tcBorders>
              <w:top w:val="single" w:sz="8" w:color="DCE2EF"/>
              <w:bottom w:val="single" w:sz="8" w:color="DCE2EF"/>
            </w:tcBorders>
            <w:shd w:val="clear" w:color="auto" w:fill="DCE2EF"/>
          </w:tcPr>
          <w:p>
            <w:pPr>
              <w:spacing w:after="0"/>
              <w:rPr>
                <w:sz w:val="12"/>
                <w:szCs w:val="12"/>
                <w:color w:val="auto"/>
              </w:rPr>
            </w:pPr>
          </w:p>
        </w:tc>
        <w:tc>
          <w:tcPr>
            <w:tcW w:w="100" w:type="dxa"/>
            <w:vAlign w:val="bottom"/>
            <w:tcBorders>
              <w:top w:val="single" w:sz="8" w:color="DCE2EF"/>
              <w:bottom w:val="single" w:sz="8" w:color="DCE2EF"/>
            </w:tcBorders>
            <w:shd w:val="clear" w:color="auto" w:fill="DCE2EF"/>
          </w:tcPr>
          <w:p>
            <w:pPr>
              <w:spacing w:after="0"/>
              <w:rPr>
                <w:sz w:val="12"/>
                <w:szCs w:val="12"/>
                <w:color w:val="auto"/>
              </w:rPr>
            </w:pPr>
          </w:p>
        </w:tc>
        <w:tc>
          <w:tcPr>
            <w:tcW w:w="920" w:type="dxa"/>
            <w:vAlign w:val="bottom"/>
            <w:tcBorders>
              <w:top w:val="single" w:sz="8" w:color="DCE2EF"/>
              <w:bottom w:val="single" w:sz="8" w:color="DCE2EF"/>
            </w:tcBorders>
            <w:shd w:val="clear" w:color="auto" w:fill="DCE2EF"/>
          </w:tcPr>
          <w:p>
            <w:pPr>
              <w:spacing w:after="0"/>
              <w:rPr>
                <w:sz w:val="12"/>
                <w:szCs w:val="12"/>
                <w:color w:val="auto"/>
              </w:rPr>
            </w:pPr>
          </w:p>
        </w:tc>
        <w:tc>
          <w:tcPr>
            <w:tcW w:w="100" w:type="dxa"/>
            <w:vAlign w:val="bottom"/>
            <w:tcBorders>
              <w:top w:val="single" w:sz="8" w:color="DCE2EF"/>
              <w:bottom w:val="single" w:sz="8" w:color="DCE2EF"/>
            </w:tcBorders>
            <w:shd w:val="clear" w:color="auto" w:fill="DCE2EF"/>
          </w:tcPr>
          <w:p>
            <w:pPr>
              <w:spacing w:after="0"/>
              <w:rPr>
                <w:sz w:val="12"/>
                <w:szCs w:val="12"/>
                <w:color w:val="auto"/>
              </w:rPr>
            </w:pPr>
          </w:p>
        </w:tc>
        <w:tc>
          <w:tcPr>
            <w:tcW w:w="2140" w:type="dxa"/>
            <w:vAlign w:val="bottom"/>
            <w:tcBorders>
              <w:top w:val="single" w:sz="8" w:color="DCE2EF"/>
              <w:bottom w:val="single" w:sz="8" w:color="DCE2EF"/>
            </w:tcBorders>
            <w:shd w:val="clear" w:color="auto" w:fill="DCE2E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180" w:type="dxa"/>
            <w:vAlign w:val="bottom"/>
            <w:shd w:val="clear" w:color="auto" w:fill="DCE2EF"/>
          </w:tcPr>
          <w:p>
            <w:pPr>
              <w:spacing w:after="0"/>
              <w:rPr>
                <w:sz w:val="13"/>
                <w:szCs w:val="13"/>
                <w:color w:val="auto"/>
              </w:rPr>
            </w:pPr>
          </w:p>
        </w:tc>
        <w:tc>
          <w:tcPr>
            <w:tcW w:w="120" w:type="dxa"/>
            <w:vAlign w:val="bottom"/>
            <w:tcBorders>
              <w:right w:val="single" w:sz="8" w:color="DCE2EF"/>
            </w:tcBorders>
            <w:shd w:val="clear" w:color="auto" w:fill="DCE2EF"/>
          </w:tcPr>
          <w:p>
            <w:pPr>
              <w:spacing w:after="0"/>
              <w:rPr>
                <w:sz w:val="13"/>
                <w:szCs w:val="13"/>
                <w:color w:val="auto"/>
              </w:rPr>
            </w:pPr>
          </w:p>
        </w:tc>
        <w:tc>
          <w:tcPr>
            <w:tcW w:w="4300" w:type="dxa"/>
            <w:vAlign w:val="bottom"/>
            <w:tcBorders>
              <w:right w:val="single" w:sz="8" w:color="DCE2EF"/>
            </w:tcBorders>
            <w:gridSpan w:val="21"/>
            <w:shd w:val="clear" w:color="auto" w:fill="DCE2EF"/>
          </w:tcPr>
          <w:p>
            <w:pPr>
              <w:spacing w:after="0" w:line="148" w:lineRule="exact"/>
              <w:rPr>
                <w:rFonts w:ascii="Arial" w:cs="Arial" w:eastAsia="Arial" w:hAnsi="Arial"/>
                <w:sz w:val="17"/>
                <w:szCs w:val="17"/>
                <w:color w:val="0000FF"/>
              </w:rPr>
            </w:pPr>
            <w:hyperlink r:id="rId173">
              <w:r>
                <w:rPr>
                  <w:rFonts w:ascii="Arial" w:cs="Arial" w:eastAsia="Arial" w:hAnsi="Arial"/>
                  <w:sz w:val="17"/>
                  <w:szCs w:val="17"/>
                  <w:color w:val="0000FF"/>
                </w:rPr>
                <w:t>thereto, the Lenders identified on the signature pages</w:t>
              </w:r>
            </w:hyperlink>
          </w:p>
        </w:tc>
        <w:tc>
          <w:tcPr>
            <w:tcW w:w="240" w:type="dxa"/>
            <w:vAlign w:val="bottom"/>
            <w:gridSpan w:val="9"/>
            <w:shd w:val="clear" w:color="auto" w:fill="DCE2EF"/>
          </w:tcPr>
          <w:p>
            <w:pPr>
              <w:spacing w:after="0"/>
              <w:rPr>
                <w:sz w:val="13"/>
                <w:szCs w:val="13"/>
                <w:color w:val="auto"/>
              </w:rPr>
            </w:pPr>
          </w:p>
        </w:tc>
        <w:tc>
          <w:tcPr>
            <w:tcW w:w="100" w:type="dxa"/>
            <w:vAlign w:val="bottom"/>
            <w:gridSpan w:val="2"/>
            <w:shd w:val="clear" w:color="auto" w:fill="DCE2EF"/>
          </w:tcPr>
          <w:p>
            <w:pPr>
              <w:spacing w:after="0"/>
              <w:rPr>
                <w:sz w:val="13"/>
                <w:szCs w:val="13"/>
                <w:color w:val="auto"/>
              </w:rPr>
            </w:pPr>
          </w:p>
        </w:tc>
        <w:tc>
          <w:tcPr>
            <w:tcW w:w="680" w:type="dxa"/>
            <w:vAlign w:val="bottom"/>
            <w:shd w:val="clear" w:color="auto" w:fill="DCE2EF"/>
          </w:tcPr>
          <w:p>
            <w:pPr>
              <w:spacing w:after="0"/>
              <w:rPr>
                <w:sz w:val="13"/>
                <w:szCs w:val="13"/>
                <w:color w:val="auto"/>
              </w:rPr>
            </w:pPr>
          </w:p>
        </w:tc>
        <w:tc>
          <w:tcPr>
            <w:tcW w:w="100" w:type="dxa"/>
            <w:vAlign w:val="bottom"/>
            <w:shd w:val="clear" w:color="auto" w:fill="DCE2EF"/>
          </w:tcPr>
          <w:p>
            <w:pPr>
              <w:spacing w:after="0"/>
              <w:rPr>
                <w:sz w:val="13"/>
                <w:szCs w:val="13"/>
                <w:color w:val="auto"/>
              </w:rPr>
            </w:pPr>
          </w:p>
        </w:tc>
        <w:tc>
          <w:tcPr>
            <w:tcW w:w="1260" w:type="dxa"/>
            <w:vAlign w:val="bottom"/>
            <w:shd w:val="clear" w:color="auto" w:fill="DCE2EF"/>
          </w:tcPr>
          <w:p>
            <w:pPr>
              <w:spacing w:after="0"/>
              <w:rPr>
                <w:sz w:val="13"/>
                <w:szCs w:val="13"/>
                <w:color w:val="auto"/>
              </w:rPr>
            </w:pPr>
          </w:p>
        </w:tc>
        <w:tc>
          <w:tcPr>
            <w:tcW w:w="100" w:type="dxa"/>
            <w:vAlign w:val="bottom"/>
            <w:shd w:val="clear" w:color="auto" w:fill="DCE2EF"/>
          </w:tcPr>
          <w:p>
            <w:pPr>
              <w:spacing w:after="0"/>
              <w:rPr>
                <w:sz w:val="13"/>
                <w:szCs w:val="13"/>
                <w:color w:val="auto"/>
              </w:rPr>
            </w:pPr>
          </w:p>
        </w:tc>
        <w:tc>
          <w:tcPr>
            <w:tcW w:w="920" w:type="dxa"/>
            <w:vAlign w:val="bottom"/>
            <w:shd w:val="clear" w:color="auto" w:fill="DCE2EF"/>
          </w:tcPr>
          <w:p>
            <w:pPr>
              <w:spacing w:after="0"/>
              <w:rPr>
                <w:sz w:val="13"/>
                <w:szCs w:val="13"/>
                <w:color w:val="auto"/>
              </w:rPr>
            </w:pPr>
          </w:p>
        </w:tc>
        <w:tc>
          <w:tcPr>
            <w:tcW w:w="100" w:type="dxa"/>
            <w:vAlign w:val="bottom"/>
            <w:shd w:val="clear" w:color="auto" w:fill="DCE2EF"/>
          </w:tcPr>
          <w:p>
            <w:pPr>
              <w:spacing w:after="0"/>
              <w:rPr>
                <w:sz w:val="13"/>
                <w:szCs w:val="13"/>
                <w:color w:val="auto"/>
              </w:rPr>
            </w:pPr>
          </w:p>
        </w:tc>
        <w:tc>
          <w:tcPr>
            <w:tcW w:w="2140" w:type="dxa"/>
            <w:vAlign w:val="bottom"/>
            <w:shd w:val="clear" w:color="auto" w:fill="DCE2EF"/>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1180" w:type="dxa"/>
            <w:vAlign w:val="bottom"/>
            <w:tcBorders>
              <w:top w:val="single" w:sz="8" w:color="DCE2EF"/>
              <w:bottom w:val="single" w:sz="8" w:color="DCE2EF"/>
            </w:tcBorders>
            <w:shd w:val="clear" w:color="auto" w:fill="DCE2EF"/>
          </w:tcPr>
          <w:p>
            <w:pPr>
              <w:spacing w:after="0"/>
              <w:rPr>
                <w:sz w:val="15"/>
                <w:szCs w:val="15"/>
                <w:color w:val="auto"/>
              </w:rPr>
            </w:pPr>
          </w:p>
        </w:tc>
        <w:tc>
          <w:tcPr>
            <w:tcW w:w="120" w:type="dxa"/>
            <w:vAlign w:val="bottom"/>
            <w:tcBorders>
              <w:top w:val="single" w:sz="8" w:color="DCE2EF"/>
              <w:bottom w:val="single" w:sz="8" w:color="DCE2EF"/>
              <w:right w:val="single" w:sz="8" w:color="DCE2EF"/>
            </w:tcBorders>
            <w:shd w:val="clear" w:color="auto" w:fill="DCE2EF"/>
          </w:tcPr>
          <w:p>
            <w:pPr>
              <w:spacing w:after="0"/>
              <w:rPr>
                <w:sz w:val="15"/>
                <w:szCs w:val="15"/>
                <w:color w:val="auto"/>
              </w:rPr>
            </w:pPr>
          </w:p>
        </w:tc>
        <w:tc>
          <w:tcPr>
            <w:tcW w:w="4060" w:type="dxa"/>
            <w:vAlign w:val="bottom"/>
            <w:tcBorders>
              <w:top w:val="single" w:sz="8" w:color="0000FF"/>
              <w:bottom w:val="single" w:sz="8" w:color="0000FF"/>
            </w:tcBorders>
            <w:gridSpan w:val="16"/>
            <w:shd w:val="clear" w:color="auto" w:fill="DCE2EF"/>
          </w:tcPr>
          <w:p>
            <w:pPr>
              <w:spacing w:after="0" w:line="154" w:lineRule="exact"/>
              <w:rPr>
                <w:rFonts w:ascii="Arial" w:cs="Arial" w:eastAsia="Arial" w:hAnsi="Arial"/>
                <w:sz w:val="17"/>
                <w:szCs w:val="17"/>
                <w:color w:val="0000FF"/>
              </w:rPr>
            </w:pPr>
            <w:hyperlink r:id="rId173">
              <w:r>
                <w:rPr>
                  <w:rFonts w:ascii="Arial" w:cs="Arial" w:eastAsia="Arial" w:hAnsi="Arial"/>
                  <w:sz w:val="17"/>
                  <w:szCs w:val="17"/>
                  <w:color w:val="0000FF"/>
                </w:rPr>
                <w:t>thereto, and Bank of America, N.A., as administrative</w:t>
              </w:r>
            </w:hyperlink>
          </w:p>
        </w:tc>
        <w:tc>
          <w:tcPr>
            <w:tcW w:w="500" w:type="dxa"/>
            <w:vAlign w:val="bottom"/>
            <w:tcBorders>
              <w:top w:val="single" w:sz="8" w:color="DCE2EF"/>
              <w:bottom w:val="single" w:sz="8" w:color="0000FF"/>
            </w:tcBorders>
            <w:gridSpan w:val="15"/>
            <w:shd w:val="clear" w:color="auto" w:fill="DCE2EF"/>
          </w:tcPr>
          <w:p>
            <w:pPr>
              <w:jc w:val="center"/>
              <w:ind w:right="20"/>
              <w:spacing w:after="0" w:line="154" w:lineRule="exact"/>
              <w:rPr>
                <w:rFonts w:ascii="Arial" w:cs="Arial" w:eastAsia="Arial" w:hAnsi="Arial"/>
                <w:sz w:val="17"/>
                <w:szCs w:val="17"/>
                <w:color w:val="0000FF"/>
              </w:rPr>
            </w:pPr>
            <w:hyperlink r:id="rId173">
              <w:r>
                <w:rPr>
                  <w:rFonts w:ascii="Arial" w:cs="Arial" w:eastAsia="Arial" w:hAnsi="Arial"/>
                  <w:sz w:val="17"/>
                  <w:szCs w:val="17"/>
                  <w:color w:val="0000FF"/>
                </w:rPr>
                <w:t>agent</w:t>
              </w:r>
            </w:hyperlink>
          </w:p>
        </w:tc>
        <w:tc>
          <w:tcPr>
            <w:tcW w:w="80" w:type="dxa"/>
            <w:vAlign w:val="bottom"/>
            <w:tcBorders>
              <w:top w:val="single" w:sz="8" w:color="DCE2EF"/>
              <w:bottom w:val="single" w:sz="8" w:color="DCE2EF"/>
            </w:tcBorders>
            <w:shd w:val="clear" w:color="auto" w:fill="DCE2EF"/>
          </w:tcPr>
          <w:p>
            <w:pPr>
              <w:spacing w:after="0"/>
              <w:rPr>
                <w:sz w:val="15"/>
                <w:szCs w:val="15"/>
                <w:color w:val="auto"/>
              </w:rPr>
            </w:pPr>
          </w:p>
        </w:tc>
        <w:tc>
          <w:tcPr>
            <w:tcW w:w="680" w:type="dxa"/>
            <w:vAlign w:val="bottom"/>
            <w:tcBorders>
              <w:top w:val="single" w:sz="8" w:color="DCE2EF"/>
              <w:bottom w:val="single" w:sz="8" w:color="DCE2EF"/>
            </w:tcBorders>
            <w:shd w:val="clear" w:color="auto" w:fill="DCE2EF"/>
          </w:tcPr>
          <w:p>
            <w:pPr>
              <w:spacing w:after="0"/>
              <w:rPr>
                <w:sz w:val="15"/>
                <w:szCs w:val="15"/>
                <w:color w:val="auto"/>
              </w:rPr>
            </w:pPr>
          </w:p>
        </w:tc>
        <w:tc>
          <w:tcPr>
            <w:tcW w:w="100" w:type="dxa"/>
            <w:vAlign w:val="bottom"/>
            <w:tcBorders>
              <w:top w:val="single" w:sz="8" w:color="DCE2EF"/>
              <w:bottom w:val="single" w:sz="8" w:color="DCE2EF"/>
            </w:tcBorders>
            <w:shd w:val="clear" w:color="auto" w:fill="DCE2EF"/>
          </w:tcPr>
          <w:p>
            <w:pPr>
              <w:spacing w:after="0"/>
              <w:rPr>
                <w:sz w:val="15"/>
                <w:szCs w:val="15"/>
                <w:color w:val="auto"/>
              </w:rPr>
            </w:pPr>
          </w:p>
        </w:tc>
        <w:tc>
          <w:tcPr>
            <w:tcW w:w="1260" w:type="dxa"/>
            <w:vAlign w:val="bottom"/>
            <w:tcBorders>
              <w:top w:val="single" w:sz="8" w:color="DCE2EF"/>
              <w:bottom w:val="single" w:sz="8" w:color="DCE2EF"/>
            </w:tcBorders>
            <w:shd w:val="clear" w:color="auto" w:fill="DCE2EF"/>
          </w:tcPr>
          <w:p>
            <w:pPr>
              <w:spacing w:after="0"/>
              <w:rPr>
                <w:sz w:val="15"/>
                <w:szCs w:val="15"/>
                <w:color w:val="auto"/>
              </w:rPr>
            </w:pPr>
          </w:p>
        </w:tc>
        <w:tc>
          <w:tcPr>
            <w:tcW w:w="100" w:type="dxa"/>
            <w:vAlign w:val="bottom"/>
            <w:tcBorders>
              <w:top w:val="single" w:sz="8" w:color="DCE2EF"/>
              <w:bottom w:val="single" w:sz="8" w:color="DCE2EF"/>
            </w:tcBorders>
            <w:shd w:val="clear" w:color="auto" w:fill="DCE2EF"/>
          </w:tcPr>
          <w:p>
            <w:pPr>
              <w:spacing w:after="0"/>
              <w:rPr>
                <w:sz w:val="15"/>
                <w:szCs w:val="15"/>
                <w:color w:val="auto"/>
              </w:rPr>
            </w:pPr>
          </w:p>
        </w:tc>
        <w:tc>
          <w:tcPr>
            <w:tcW w:w="920" w:type="dxa"/>
            <w:vAlign w:val="bottom"/>
            <w:tcBorders>
              <w:top w:val="single" w:sz="8" w:color="DCE2EF"/>
              <w:bottom w:val="single" w:sz="8" w:color="DCE2EF"/>
            </w:tcBorders>
            <w:shd w:val="clear" w:color="auto" w:fill="DCE2EF"/>
          </w:tcPr>
          <w:p>
            <w:pPr>
              <w:spacing w:after="0"/>
              <w:rPr>
                <w:sz w:val="15"/>
                <w:szCs w:val="15"/>
                <w:color w:val="auto"/>
              </w:rPr>
            </w:pPr>
          </w:p>
        </w:tc>
        <w:tc>
          <w:tcPr>
            <w:tcW w:w="100" w:type="dxa"/>
            <w:vAlign w:val="bottom"/>
            <w:tcBorders>
              <w:top w:val="single" w:sz="8" w:color="DCE2EF"/>
              <w:bottom w:val="single" w:sz="8" w:color="DCE2EF"/>
            </w:tcBorders>
            <w:shd w:val="clear" w:color="auto" w:fill="DCE2EF"/>
          </w:tcPr>
          <w:p>
            <w:pPr>
              <w:spacing w:after="0"/>
              <w:rPr>
                <w:sz w:val="15"/>
                <w:szCs w:val="15"/>
                <w:color w:val="auto"/>
              </w:rPr>
            </w:pPr>
          </w:p>
        </w:tc>
        <w:tc>
          <w:tcPr>
            <w:tcW w:w="2140" w:type="dxa"/>
            <w:vAlign w:val="bottom"/>
            <w:tcBorders>
              <w:top w:val="single" w:sz="8" w:color="DCE2EF"/>
              <w:bottom w:val="single" w:sz="8" w:color="DCE2EF"/>
            </w:tcBorders>
            <w:shd w:val="clear" w:color="auto" w:fill="DCE2E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180" w:type="dxa"/>
            <w:vAlign w:val="bottom"/>
          </w:tcPr>
          <w:p>
            <w:pPr>
              <w:ind w:left="20"/>
              <w:spacing w:after="0" w:line="180" w:lineRule="exact"/>
              <w:rPr>
                <w:sz w:val="20"/>
                <w:szCs w:val="20"/>
                <w:color w:val="auto"/>
              </w:rPr>
            </w:pPr>
            <w:r>
              <w:rPr>
                <w:rFonts w:ascii="Arial" w:cs="Arial" w:eastAsia="Arial" w:hAnsi="Arial"/>
                <w:sz w:val="17"/>
                <w:szCs w:val="17"/>
                <w:color w:val="auto"/>
              </w:rPr>
              <w:t>10.4</w:t>
            </w:r>
          </w:p>
        </w:tc>
        <w:tc>
          <w:tcPr>
            <w:tcW w:w="120" w:type="dxa"/>
            <w:vAlign w:val="bottom"/>
          </w:tcPr>
          <w:p>
            <w:pPr>
              <w:spacing w:after="0"/>
              <w:rPr>
                <w:sz w:val="15"/>
                <w:szCs w:val="15"/>
                <w:color w:val="auto"/>
              </w:rPr>
            </w:pPr>
          </w:p>
        </w:tc>
        <w:tc>
          <w:tcPr>
            <w:tcW w:w="4640" w:type="dxa"/>
            <w:vAlign w:val="bottom"/>
            <w:gridSpan w:val="32"/>
          </w:tcPr>
          <w:p>
            <w:pPr>
              <w:spacing w:after="0" w:line="180" w:lineRule="exact"/>
              <w:rPr>
                <w:rFonts w:ascii="Arial" w:cs="Arial" w:eastAsia="Arial" w:hAnsi="Arial"/>
                <w:sz w:val="17"/>
                <w:szCs w:val="17"/>
                <w:color w:val="0000FF"/>
              </w:rPr>
            </w:pPr>
            <w:hyperlink r:id="rId174">
              <w:r>
                <w:rPr>
                  <w:rFonts w:ascii="Arial" w:cs="Arial" w:eastAsia="Arial" w:hAnsi="Arial"/>
                  <w:sz w:val="17"/>
                  <w:szCs w:val="17"/>
                  <w:color w:val="0000FF"/>
                </w:rPr>
                <w:t>Second Amendment, dated as of September 5, 2018, to</w:t>
              </w:r>
            </w:hyperlink>
          </w:p>
        </w:tc>
        <w:tc>
          <w:tcPr>
            <w:tcW w:w="780" w:type="dxa"/>
            <w:vAlign w:val="bottom"/>
            <w:gridSpan w:val="2"/>
          </w:tcPr>
          <w:p>
            <w:pPr>
              <w:jc w:val="center"/>
              <w:ind w:right="80"/>
              <w:spacing w:after="0" w:line="180" w:lineRule="exact"/>
              <w:rPr>
                <w:sz w:val="20"/>
                <w:szCs w:val="20"/>
                <w:color w:val="auto"/>
              </w:rPr>
            </w:pPr>
            <w:r>
              <w:rPr>
                <w:rFonts w:ascii="Arial" w:cs="Arial" w:eastAsia="Arial" w:hAnsi="Arial"/>
                <w:sz w:val="17"/>
                <w:szCs w:val="17"/>
                <w:color w:val="auto"/>
              </w:rPr>
              <w:t>10-Q</w:t>
            </w:r>
          </w:p>
        </w:tc>
        <w:tc>
          <w:tcPr>
            <w:tcW w:w="1260" w:type="dxa"/>
            <w:vAlign w:val="bottom"/>
          </w:tcPr>
          <w:p>
            <w:pPr>
              <w:jc w:val="center"/>
              <w:spacing w:after="0" w:line="180" w:lineRule="exact"/>
              <w:rPr>
                <w:sz w:val="20"/>
                <w:szCs w:val="20"/>
                <w:color w:val="auto"/>
              </w:rPr>
            </w:pPr>
            <w:r>
              <w:rPr>
                <w:rFonts w:ascii="Arial" w:cs="Arial" w:eastAsia="Arial" w:hAnsi="Arial"/>
                <w:sz w:val="17"/>
                <w:szCs w:val="17"/>
                <w:color w:val="auto"/>
              </w:rPr>
              <w:t>001-08929</w:t>
            </w:r>
          </w:p>
        </w:tc>
        <w:tc>
          <w:tcPr>
            <w:tcW w:w="100" w:type="dxa"/>
            <w:vAlign w:val="bottom"/>
          </w:tcPr>
          <w:p>
            <w:pPr>
              <w:spacing w:after="0"/>
              <w:rPr>
                <w:sz w:val="15"/>
                <w:szCs w:val="15"/>
                <w:color w:val="auto"/>
              </w:rPr>
            </w:pPr>
          </w:p>
        </w:tc>
        <w:tc>
          <w:tcPr>
            <w:tcW w:w="920" w:type="dxa"/>
            <w:vAlign w:val="bottom"/>
          </w:tcPr>
          <w:p>
            <w:pPr>
              <w:jc w:val="center"/>
              <w:spacing w:after="0" w:line="180" w:lineRule="exact"/>
              <w:rPr>
                <w:sz w:val="20"/>
                <w:szCs w:val="20"/>
                <w:color w:val="auto"/>
              </w:rPr>
            </w:pPr>
            <w:r>
              <w:rPr>
                <w:rFonts w:ascii="Arial" w:cs="Arial" w:eastAsia="Arial" w:hAnsi="Arial"/>
                <w:sz w:val="17"/>
                <w:szCs w:val="17"/>
                <w:color w:val="auto"/>
              </w:rPr>
              <w:t>10.2</w:t>
            </w:r>
          </w:p>
        </w:tc>
        <w:tc>
          <w:tcPr>
            <w:tcW w:w="100" w:type="dxa"/>
            <w:vAlign w:val="bottom"/>
          </w:tcPr>
          <w:p>
            <w:pPr>
              <w:spacing w:after="0"/>
              <w:rPr>
                <w:sz w:val="15"/>
                <w:szCs w:val="15"/>
                <w:color w:val="auto"/>
              </w:rPr>
            </w:pPr>
          </w:p>
        </w:tc>
        <w:tc>
          <w:tcPr>
            <w:tcW w:w="2140" w:type="dxa"/>
            <w:vAlign w:val="bottom"/>
          </w:tcPr>
          <w:p>
            <w:pPr>
              <w:jc w:val="center"/>
              <w:spacing w:after="0" w:line="180" w:lineRule="exact"/>
              <w:rPr>
                <w:sz w:val="20"/>
                <w:szCs w:val="20"/>
                <w:color w:val="auto"/>
              </w:rPr>
            </w:pPr>
            <w:r>
              <w:rPr>
                <w:rFonts w:ascii="Arial" w:cs="Arial" w:eastAsia="Arial" w:hAnsi="Arial"/>
                <w:sz w:val="17"/>
                <w:szCs w:val="17"/>
                <w:color w:val="auto"/>
              </w:rPr>
              <w:t>September 7, 2018</w:t>
            </w:r>
          </w:p>
        </w:tc>
        <w:tc>
          <w:tcPr>
            <w:tcW w:w="0" w:type="dxa"/>
            <w:vAlign w:val="bottom"/>
          </w:tcPr>
          <w:p>
            <w:pPr>
              <w:spacing w:after="0"/>
              <w:rPr>
                <w:sz w:val="1"/>
                <w:szCs w:val="1"/>
                <w:color w:val="auto"/>
              </w:rPr>
            </w:pPr>
          </w:p>
        </w:tc>
      </w:tr>
      <w:tr>
        <w:trPr>
          <w:trHeight w:val="160"/>
        </w:trPr>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300" w:type="dxa"/>
            <w:vAlign w:val="bottom"/>
            <w:tcBorders>
              <w:top w:val="single" w:sz="8" w:color="0000FF"/>
            </w:tcBorders>
            <w:gridSpan w:val="21"/>
          </w:tcPr>
          <w:p>
            <w:pPr>
              <w:spacing w:after="0" w:line="160" w:lineRule="exact"/>
              <w:rPr>
                <w:rFonts w:ascii="Arial" w:cs="Arial" w:eastAsia="Arial" w:hAnsi="Arial"/>
                <w:sz w:val="17"/>
                <w:szCs w:val="17"/>
                <w:u w:val="single" w:color="auto"/>
                <w:color w:val="0000FF"/>
              </w:rPr>
            </w:pPr>
            <w:hyperlink r:id="rId174">
              <w:r>
                <w:rPr>
                  <w:rFonts w:ascii="Arial" w:cs="Arial" w:eastAsia="Arial" w:hAnsi="Arial"/>
                  <w:sz w:val="17"/>
                  <w:szCs w:val="17"/>
                  <w:u w:val="single" w:color="auto"/>
                  <w:color w:val="0000FF"/>
                </w:rPr>
                <w:t>the Credit Agreement dated September 1, 2017, by and</w:t>
              </w:r>
            </w:hyperlink>
          </w:p>
        </w:tc>
        <w:tc>
          <w:tcPr>
            <w:tcW w:w="340" w:type="dxa"/>
            <w:vAlign w:val="bottom"/>
            <w:gridSpan w:val="11"/>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1300"/>
        <w:spacing w:after="0" w:line="205" w:lineRule="auto"/>
        <w:rPr>
          <w:rFonts w:ascii="Arial" w:cs="Arial" w:eastAsia="Arial" w:hAnsi="Arial"/>
          <w:sz w:val="17"/>
          <w:szCs w:val="17"/>
          <w:u w:val="single" w:color="auto"/>
          <w:color w:val="0000FF"/>
        </w:rPr>
      </w:pPr>
      <w:hyperlink r:id="rId174">
        <w:r>
          <w:rPr>
            <w:rFonts w:ascii="Arial" w:cs="Arial" w:eastAsia="Arial" w:hAnsi="Arial"/>
            <w:sz w:val="17"/>
            <w:szCs w:val="17"/>
            <w:u w:val="single" w:color="auto"/>
            <w:color w:val="0000FF"/>
          </w:rPr>
          <w:t>among ABM Industries Incorporated, a Delaware</w:t>
        </w:r>
      </w:hyperlink>
    </w:p>
    <w:p>
      <w:pPr>
        <w:ind w:left="1300"/>
        <w:spacing w:after="0" w:line="206" w:lineRule="auto"/>
        <w:rPr>
          <w:rFonts w:ascii="Arial" w:cs="Arial" w:eastAsia="Arial" w:hAnsi="Arial"/>
          <w:sz w:val="17"/>
          <w:szCs w:val="17"/>
          <w:u w:val="single" w:color="auto"/>
          <w:color w:val="0000FF"/>
        </w:rPr>
      </w:pPr>
      <w:hyperlink r:id="rId174">
        <w:r>
          <w:rPr>
            <w:rFonts w:ascii="Arial" w:cs="Arial" w:eastAsia="Arial" w:hAnsi="Arial"/>
            <w:sz w:val="17"/>
            <w:szCs w:val="17"/>
            <w:u w:val="single" w:color="auto"/>
            <w:color w:val="0000FF"/>
          </w:rPr>
          <w:t>corporation, the Designated Borrowers identified on the</w:t>
        </w:r>
      </w:hyperlink>
    </w:p>
    <w:p>
      <w:pPr>
        <w:ind w:left="1300"/>
        <w:spacing w:after="0" w:line="222" w:lineRule="auto"/>
        <w:rPr>
          <w:rFonts w:ascii="Arial" w:cs="Arial" w:eastAsia="Arial" w:hAnsi="Arial"/>
          <w:sz w:val="17"/>
          <w:szCs w:val="17"/>
          <w:u w:val="single" w:color="auto"/>
          <w:color w:val="0000FF"/>
        </w:rPr>
      </w:pPr>
      <w:hyperlink r:id="rId174">
        <w:r>
          <w:rPr>
            <w:rFonts w:ascii="Arial" w:cs="Arial" w:eastAsia="Arial" w:hAnsi="Arial"/>
            <w:sz w:val="17"/>
            <w:szCs w:val="17"/>
            <w:u w:val="single" w:color="auto"/>
            <w:color w:val="0000FF"/>
          </w:rPr>
          <w:t>signature pages thereto, the Guarantors identified on the</w:t>
        </w:r>
      </w:hyperlink>
    </w:p>
    <w:p>
      <w:pPr>
        <w:ind w:left="1300"/>
        <w:spacing w:after="0" w:line="205" w:lineRule="auto"/>
        <w:rPr>
          <w:rFonts w:ascii="Arial" w:cs="Arial" w:eastAsia="Arial" w:hAnsi="Arial"/>
          <w:sz w:val="17"/>
          <w:szCs w:val="17"/>
          <w:u w:val="single" w:color="auto"/>
          <w:color w:val="0000FF"/>
        </w:rPr>
      </w:pPr>
      <w:hyperlink r:id="rId174">
        <w:r>
          <w:rPr>
            <w:rFonts w:ascii="Arial" w:cs="Arial" w:eastAsia="Arial" w:hAnsi="Arial"/>
            <w:sz w:val="17"/>
            <w:szCs w:val="17"/>
            <w:u w:val="single" w:color="auto"/>
            <w:color w:val="0000FF"/>
          </w:rPr>
          <w:t>signature pages thereto, the Lenders identified on the</w:t>
        </w:r>
      </w:hyperlink>
    </w:p>
    <w:p>
      <w:pPr>
        <w:ind w:left="1300"/>
        <w:spacing w:after="0" w:line="206" w:lineRule="auto"/>
        <w:rPr>
          <w:rFonts w:ascii="Arial" w:cs="Arial" w:eastAsia="Arial" w:hAnsi="Arial"/>
          <w:sz w:val="17"/>
          <w:szCs w:val="17"/>
          <w:u w:val="single" w:color="auto"/>
          <w:color w:val="0000FF"/>
        </w:rPr>
      </w:pPr>
      <w:hyperlink r:id="rId174">
        <w:r>
          <w:rPr>
            <w:rFonts w:ascii="Arial" w:cs="Arial" w:eastAsia="Arial" w:hAnsi="Arial"/>
            <w:sz w:val="17"/>
            <w:szCs w:val="17"/>
            <w:u w:val="single" w:color="auto"/>
            <w:color w:val="0000FF"/>
          </w:rPr>
          <w:t>signature pages thereto, and Bank of America, N.A., as</w:t>
        </w:r>
      </w:hyperlink>
    </w:p>
    <w:p>
      <w:pPr>
        <w:spacing w:after="0" w:line="1" w:lineRule="exact"/>
        <w:rPr>
          <w:sz w:val="20"/>
          <w:szCs w:val="20"/>
          <w:color w:val="auto"/>
        </w:rPr>
      </w:pPr>
    </w:p>
    <w:p>
      <w:pPr>
        <w:ind w:left="1300"/>
        <w:spacing w:after="0"/>
        <w:rPr>
          <w:rFonts w:ascii="Arial" w:cs="Arial" w:eastAsia="Arial" w:hAnsi="Arial"/>
          <w:sz w:val="17"/>
          <w:szCs w:val="17"/>
          <w:u w:val="single" w:color="auto"/>
          <w:color w:val="0000FF"/>
        </w:rPr>
      </w:pPr>
      <w:hyperlink r:id="rId174">
        <w:r>
          <w:rPr>
            <w:rFonts w:ascii="Arial" w:cs="Arial" w:eastAsia="Arial" w:hAnsi="Arial"/>
            <w:sz w:val="17"/>
            <w:szCs w:val="17"/>
            <w:u w:val="single" w:color="auto"/>
            <w:color w:val="0000FF"/>
          </w:rPr>
          <w:t>administrative agent</w:t>
        </w:r>
      </w:hyperlink>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65" w:right="339" w:bottom="1440" w:gutter="0" w:footer="0" w:header="0"/>
        </w:sectPr>
      </w:pPr>
    </w:p>
    <w:bookmarkStart w:id="100" w:name="page101"/>
    <w:bookmarkEnd w:id="100"/>
    <w:tbl>
      <w:tblPr>
        <w:tblLayout w:type="fixed"/>
        <w:tblInd w:w="0" w:type="dxa"/>
        <w:tblCellMar>
          <w:top w:w="0" w:type="dxa"/>
          <w:left w:w="0" w:type="dxa"/>
          <w:bottom w:w="0" w:type="dxa"/>
          <w:right w:w="0" w:type="dxa"/>
        </w:tblCellMar>
      </w:tblPr>
      <w:tr>
        <w:trPr>
          <w:trHeight w:val="195"/>
        </w:trPr>
        <w:tc>
          <w:tcPr>
            <w:tcW w:w="1300" w:type="dxa"/>
            <w:vAlign w:val="bottom"/>
            <w:shd w:val="clear" w:color="auto" w:fill="DCE2EF"/>
          </w:tcPr>
          <w:p>
            <w:pPr>
              <w:ind w:left="20"/>
              <w:spacing w:after="0"/>
              <w:rPr>
                <w:sz w:val="20"/>
                <w:szCs w:val="20"/>
                <w:color w:val="auto"/>
              </w:rPr>
            </w:pPr>
            <w:r>
              <w:rPr>
                <w:rFonts w:ascii="Arial" w:cs="Arial" w:eastAsia="Arial" w:hAnsi="Arial"/>
                <w:sz w:val="17"/>
                <w:szCs w:val="17"/>
                <w:color w:val="auto"/>
              </w:rPr>
              <w:t>10.5</w:t>
            </w:r>
          </w:p>
        </w:tc>
        <w:tc>
          <w:tcPr>
            <w:tcW w:w="4660" w:type="dxa"/>
            <w:vAlign w:val="bottom"/>
            <w:gridSpan w:val="18"/>
            <w:shd w:val="clear" w:color="auto" w:fill="DCE2EF"/>
          </w:tcPr>
          <w:p>
            <w:pPr>
              <w:spacing w:after="0"/>
              <w:rPr>
                <w:rFonts w:ascii="Arial" w:cs="Arial" w:eastAsia="Arial" w:hAnsi="Arial"/>
                <w:sz w:val="17"/>
                <w:szCs w:val="17"/>
                <w:color w:val="0000FF"/>
              </w:rPr>
            </w:pPr>
            <w:hyperlink r:id="rId176">
              <w:r>
                <w:rPr>
                  <w:rFonts w:ascii="Arial" w:cs="Arial" w:eastAsia="Arial" w:hAnsi="Arial"/>
                  <w:sz w:val="17"/>
                  <w:szCs w:val="17"/>
                  <w:color w:val="0000FF"/>
                </w:rPr>
                <w:t>Third Amendment, dated as of May 28, 2020, to the Credit</w:t>
              </w:r>
            </w:hyperlink>
          </w:p>
        </w:tc>
        <w:tc>
          <w:tcPr>
            <w:tcW w:w="740" w:type="dxa"/>
            <w:vAlign w:val="bottom"/>
            <w:shd w:val="clear" w:color="auto" w:fill="DCE2EF"/>
          </w:tcPr>
          <w:p>
            <w:pPr>
              <w:jc w:val="center"/>
              <w:spacing w:after="0"/>
              <w:rPr>
                <w:sz w:val="20"/>
                <w:szCs w:val="20"/>
                <w:color w:val="auto"/>
              </w:rPr>
            </w:pPr>
            <w:r>
              <w:rPr>
                <w:rFonts w:ascii="Arial" w:cs="Arial" w:eastAsia="Arial" w:hAnsi="Arial"/>
                <w:sz w:val="17"/>
                <w:szCs w:val="17"/>
                <w:color w:val="auto"/>
              </w:rPr>
              <w:t>10-Q</w:t>
            </w:r>
          </w:p>
        </w:tc>
        <w:tc>
          <w:tcPr>
            <w:tcW w:w="1340" w:type="dxa"/>
            <w:vAlign w:val="bottom"/>
            <w:shd w:val="clear" w:color="auto" w:fill="DCE2EF"/>
          </w:tcPr>
          <w:p>
            <w:pPr>
              <w:jc w:val="right"/>
              <w:ind w:right="194"/>
              <w:spacing w:after="0"/>
              <w:rPr>
                <w:sz w:val="20"/>
                <w:szCs w:val="20"/>
                <w:color w:val="auto"/>
              </w:rPr>
            </w:pPr>
            <w:r>
              <w:rPr>
                <w:rFonts w:ascii="Arial" w:cs="Arial" w:eastAsia="Arial" w:hAnsi="Arial"/>
                <w:sz w:val="17"/>
                <w:szCs w:val="17"/>
                <w:color w:val="auto"/>
              </w:rPr>
              <w:t>001-08929</w:t>
            </w:r>
          </w:p>
        </w:tc>
        <w:tc>
          <w:tcPr>
            <w:tcW w:w="1040" w:type="dxa"/>
            <w:vAlign w:val="bottom"/>
            <w:shd w:val="clear" w:color="auto" w:fill="DCE2EF"/>
          </w:tcPr>
          <w:p>
            <w:pPr>
              <w:jc w:val="center"/>
              <w:spacing w:after="0"/>
              <w:rPr>
                <w:sz w:val="20"/>
                <w:szCs w:val="20"/>
                <w:color w:val="auto"/>
              </w:rPr>
            </w:pPr>
            <w:r>
              <w:rPr>
                <w:rFonts w:ascii="Arial" w:cs="Arial" w:eastAsia="Arial" w:hAnsi="Arial"/>
                <w:sz w:val="17"/>
                <w:szCs w:val="17"/>
                <w:color w:val="auto"/>
              </w:rPr>
              <w:t>10.1</w:t>
            </w:r>
          </w:p>
        </w:tc>
        <w:tc>
          <w:tcPr>
            <w:tcW w:w="2160" w:type="dxa"/>
            <w:vAlign w:val="bottom"/>
            <w:shd w:val="clear" w:color="auto" w:fill="DCE2EF"/>
          </w:tcPr>
          <w:p>
            <w:pPr>
              <w:jc w:val="center"/>
              <w:spacing w:after="0"/>
              <w:rPr>
                <w:sz w:val="20"/>
                <w:szCs w:val="20"/>
                <w:color w:val="auto"/>
              </w:rPr>
            </w:pPr>
            <w:r>
              <w:rPr>
                <w:rFonts w:ascii="Arial" w:cs="Arial" w:eastAsia="Arial" w:hAnsi="Arial"/>
                <w:sz w:val="17"/>
                <w:szCs w:val="17"/>
                <w:color w:val="auto"/>
              </w:rPr>
              <w:t>June 18, 2020</w:t>
            </w:r>
          </w:p>
        </w:tc>
        <w:tc>
          <w:tcPr>
            <w:tcW w:w="0" w:type="dxa"/>
            <w:vAlign w:val="bottom"/>
          </w:tcPr>
          <w:p>
            <w:pPr>
              <w:spacing w:after="0"/>
              <w:rPr>
                <w:sz w:val="1"/>
                <w:szCs w:val="1"/>
                <w:color w:val="auto"/>
              </w:rPr>
            </w:pPr>
          </w:p>
        </w:tc>
      </w:tr>
      <w:tr>
        <w:trPr>
          <w:trHeight w:val="135"/>
        </w:trPr>
        <w:tc>
          <w:tcPr>
            <w:tcW w:w="1300" w:type="dxa"/>
            <w:vAlign w:val="bottom"/>
            <w:tcBorders>
              <w:top w:val="single" w:sz="8" w:color="DCE2EF"/>
              <w:bottom w:val="single" w:sz="8" w:color="DCE2EF"/>
            </w:tcBorders>
            <w:shd w:val="clear" w:color="auto" w:fill="DCE2EF"/>
          </w:tcPr>
          <w:p>
            <w:pPr>
              <w:spacing w:after="0"/>
              <w:rPr>
                <w:sz w:val="11"/>
                <w:szCs w:val="11"/>
                <w:color w:val="auto"/>
              </w:rPr>
            </w:pPr>
          </w:p>
        </w:tc>
        <w:tc>
          <w:tcPr>
            <w:tcW w:w="4460" w:type="dxa"/>
            <w:vAlign w:val="bottom"/>
            <w:tcBorders>
              <w:top w:val="single" w:sz="8" w:color="0000FF"/>
              <w:bottom w:val="single" w:sz="8" w:color="0000FF"/>
            </w:tcBorders>
            <w:gridSpan w:val="13"/>
            <w:shd w:val="clear" w:color="auto" w:fill="DCE2EF"/>
          </w:tcPr>
          <w:p>
            <w:pPr>
              <w:spacing w:after="0" w:line="135" w:lineRule="exact"/>
              <w:rPr>
                <w:rFonts w:ascii="Arial" w:cs="Arial" w:eastAsia="Arial" w:hAnsi="Arial"/>
                <w:sz w:val="15"/>
                <w:szCs w:val="15"/>
                <w:color w:val="0000FF"/>
              </w:rPr>
            </w:pPr>
            <w:hyperlink r:id="rId176">
              <w:r>
                <w:rPr>
                  <w:rFonts w:ascii="Arial" w:cs="Arial" w:eastAsia="Arial" w:hAnsi="Arial"/>
                  <w:sz w:val="15"/>
                  <w:szCs w:val="15"/>
                  <w:color w:val="0000FF"/>
                </w:rPr>
                <w:t>Agreement dated September 1, 2017, by and among ABM</w:t>
              </w:r>
            </w:hyperlink>
          </w:p>
        </w:tc>
        <w:tc>
          <w:tcPr>
            <w:tcW w:w="20" w:type="dxa"/>
            <w:vAlign w:val="bottom"/>
            <w:tcBorders>
              <w:top w:val="single" w:sz="8" w:color="DCE2EF"/>
              <w:bottom w:val="single" w:sz="8" w:color="0000FF"/>
            </w:tcBorders>
            <w:shd w:val="clear" w:color="auto" w:fill="DCE2EF"/>
          </w:tcPr>
          <w:p>
            <w:pPr>
              <w:spacing w:after="0"/>
              <w:rPr>
                <w:sz w:val="11"/>
                <w:szCs w:val="11"/>
                <w:color w:val="auto"/>
              </w:rPr>
            </w:pPr>
          </w:p>
        </w:tc>
        <w:tc>
          <w:tcPr>
            <w:tcW w:w="20" w:type="dxa"/>
            <w:vAlign w:val="bottom"/>
            <w:tcBorders>
              <w:top w:val="single" w:sz="8" w:color="DCE2EF"/>
              <w:bottom w:val="single" w:sz="8" w:color="DCE2EF"/>
            </w:tcBorders>
            <w:shd w:val="clear" w:color="auto" w:fill="DCE2EF"/>
          </w:tcPr>
          <w:p>
            <w:pPr>
              <w:spacing w:after="0"/>
              <w:rPr>
                <w:sz w:val="11"/>
                <w:szCs w:val="11"/>
                <w:color w:val="auto"/>
              </w:rPr>
            </w:pPr>
          </w:p>
        </w:tc>
        <w:tc>
          <w:tcPr>
            <w:tcW w:w="20" w:type="dxa"/>
            <w:vAlign w:val="bottom"/>
            <w:tcBorders>
              <w:top w:val="single" w:sz="8" w:color="DCE2EF"/>
              <w:bottom w:val="single" w:sz="8" w:color="DCE2EF"/>
            </w:tcBorders>
            <w:shd w:val="clear" w:color="auto" w:fill="DCE2EF"/>
          </w:tcPr>
          <w:p>
            <w:pPr>
              <w:spacing w:after="0"/>
              <w:rPr>
                <w:sz w:val="11"/>
                <w:szCs w:val="11"/>
                <w:color w:val="auto"/>
              </w:rPr>
            </w:pPr>
          </w:p>
        </w:tc>
        <w:tc>
          <w:tcPr>
            <w:tcW w:w="0" w:type="dxa"/>
            <w:vAlign w:val="bottom"/>
            <w:tcBorders>
              <w:top w:val="single" w:sz="8" w:color="DCE2EF"/>
              <w:bottom w:val="single" w:sz="8" w:color="DCE2EF"/>
            </w:tcBorders>
            <w:shd w:val="clear" w:color="auto" w:fill="DCE2EF"/>
          </w:tcPr>
          <w:p>
            <w:pPr>
              <w:spacing w:after="0"/>
              <w:rPr>
                <w:sz w:val="11"/>
                <w:szCs w:val="11"/>
                <w:color w:val="auto"/>
              </w:rPr>
            </w:pPr>
          </w:p>
        </w:tc>
        <w:tc>
          <w:tcPr>
            <w:tcW w:w="140" w:type="dxa"/>
            <w:vAlign w:val="bottom"/>
            <w:tcBorders>
              <w:top w:val="single" w:sz="8" w:color="DCE2EF"/>
              <w:bottom w:val="single" w:sz="8" w:color="DCE2EF"/>
            </w:tcBorders>
            <w:shd w:val="clear" w:color="auto" w:fill="DCE2EF"/>
          </w:tcPr>
          <w:p>
            <w:pPr>
              <w:spacing w:after="0"/>
              <w:rPr>
                <w:sz w:val="11"/>
                <w:szCs w:val="11"/>
                <w:color w:val="auto"/>
              </w:rPr>
            </w:pPr>
          </w:p>
        </w:tc>
        <w:tc>
          <w:tcPr>
            <w:tcW w:w="740" w:type="dxa"/>
            <w:vAlign w:val="bottom"/>
            <w:tcBorders>
              <w:top w:val="single" w:sz="8" w:color="DCE2EF"/>
              <w:bottom w:val="single" w:sz="8" w:color="DCE2EF"/>
            </w:tcBorders>
            <w:shd w:val="clear" w:color="auto" w:fill="DCE2EF"/>
          </w:tcPr>
          <w:p>
            <w:pPr>
              <w:spacing w:after="0"/>
              <w:rPr>
                <w:sz w:val="11"/>
                <w:szCs w:val="11"/>
                <w:color w:val="auto"/>
              </w:rPr>
            </w:pPr>
          </w:p>
        </w:tc>
        <w:tc>
          <w:tcPr>
            <w:tcW w:w="1340" w:type="dxa"/>
            <w:vAlign w:val="bottom"/>
            <w:tcBorders>
              <w:top w:val="single" w:sz="8" w:color="DCE2EF"/>
              <w:bottom w:val="single" w:sz="8" w:color="DCE2EF"/>
            </w:tcBorders>
            <w:shd w:val="clear" w:color="auto" w:fill="DCE2EF"/>
          </w:tcPr>
          <w:p>
            <w:pPr>
              <w:spacing w:after="0"/>
              <w:rPr>
                <w:sz w:val="11"/>
                <w:szCs w:val="11"/>
                <w:color w:val="auto"/>
              </w:rPr>
            </w:pPr>
          </w:p>
        </w:tc>
        <w:tc>
          <w:tcPr>
            <w:tcW w:w="1040" w:type="dxa"/>
            <w:vAlign w:val="bottom"/>
            <w:tcBorders>
              <w:top w:val="single" w:sz="8" w:color="DCE2EF"/>
              <w:bottom w:val="single" w:sz="8" w:color="DCE2EF"/>
            </w:tcBorders>
            <w:shd w:val="clear" w:color="auto" w:fill="DCE2EF"/>
          </w:tcPr>
          <w:p>
            <w:pPr>
              <w:spacing w:after="0"/>
              <w:rPr>
                <w:sz w:val="11"/>
                <w:szCs w:val="11"/>
                <w:color w:val="auto"/>
              </w:rPr>
            </w:pPr>
          </w:p>
        </w:tc>
        <w:tc>
          <w:tcPr>
            <w:tcW w:w="2160" w:type="dxa"/>
            <w:vAlign w:val="bottom"/>
            <w:tcBorders>
              <w:top w:val="single" w:sz="8" w:color="DCE2EF"/>
              <w:bottom w:val="single" w:sz="8" w:color="DCE2EF"/>
            </w:tcBorders>
            <w:shd w:val="clear" w:color="auto" w:fill="DCE2E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300" w:type="dxa"/>
            <w:vAlign w:val="bottom"/>
            <w:shd w:val="clear" w:color="auto" w:fill="DCE2EF"/>
          </w:tcPr>
          <w:p>
            <w:pPr>
              <w:spacing w:after="0"/>
              <w:rPr>
                <w:sz w:val="10"/>
                <w:szCs w:val="10"/>
                <w:color w:val="auto"/>
              </w:rPr>
            </w:pPr>
          </w:p>
        </w:tc>
        <w:tc>
          <w:tcPr>
            <w:tcW w:w="4480" w:type="dxa"/>
            <w:vAlign w:val="bottom"/>
            <w:gridSpan w:val="14"/>
            <w:shd w:val="clear" w:color="auto" w:fill="DCE2EF"/>
          </w:tcPr>
          <w:p>
            <w:pPr>
              <w:spacing w:after="0" w:line="122" w:lineRule="exact"/>
              <w:rPr>
                <w:rFonts w:ascii="Arial" w:cs="Arial" w:eastAsia="Arial" w:hAnsi="Arial"/>
                <w:sz w:val="14"/>
                <w:szCs w:val="14"/>
                <w:color w:val="0000FF"/>
              </w:rPr>
            </w:pPr>
            <w:hyperlink r:id="rId176">
              <w:r>
                <w:rPr>
                  <w:rFonts w:ascii="Arial" w:cs="Arial" w:eastAsia="Arial" w:hAnsi="Arial"/>
                  <w:sz w:val="14"/>
                  <w:szCs w:val="14"/>
                  <w:color w:val="0000FF"/>
                </w:rPr>
                <w:t>Industries Incorporated, a Delaware corporation, the</w:t>
              </w:r>
            </w:hyperlink>
          </w:p>
        </w:tc>
        <w:tc>
          <w:tcPr>
            <w:tcW w:w="20" w:type="dxa"/>
            <w:vAlign w:val="bottom"/>
            <w:shd w:val="clear" w:color="auto" w:fill="DCE2EF"/>
          </w:tcPr>
          <w:p>
            <w:pPr>
              <w:spacing w:after="0"/>
              <w:rPr>
                <w:sz w:val="10"/>
                <w:szCs w:val="10"/>
                <w:color w:val="auto"/>
              </w:rPr>
            </w:pPr>
          </w:p>
        </w:tc>
        <w:tc>
          <w:tcPr>
            <w:tcW w:w="20" w:type="dxa"/>
            <w:vAlign w:val="bottom"/>
            <w:shd w:val="clear" w:color="auto" w:fill="DCE2EF"/>
          </w:tcPr>
          <w:p>
            <w:pPr>
              <w:spacing w:after="0"/>
              <w:rPr>
                <w:sz w:val="10"/>
                <w:szCs w:val="10"/>
                <w:color w:val="auto"/>
              </w:rPr>
            </w:pPr>
          </w:p>
        </w:tc>
        <w:tc>
          <w:tcPr>
            <w:tcW w:w="0" w:type="dxa"/>
            <w:vAlign w:val="bottom"/>
            <w:shd w:val="clear" w:color="auto" w:fill="DCE2EF"/>
          </w:tcPr>
          <w:p>
            <w:pPr>
              <w:spacing w:after="0"/>
              <w:rPr>
                <w:sz w:val="10"/>
                <w:szCs w:val="10"/>
                <w:color w:val="auto"/>
              </w:rPr>
            </w:pPr>
          </w:p>
        </w:tc>
        <w:tc>
          <w:tcPr>
            <w:tcW w:w="140" w:type="dxa"/>
            <w:vAlign w:val="bottom"/>
            <w:shd w:val="clear" w:color="auto" w:fill="DCE2EF"/>
          </w:tcPr>
          <w:p>
            <w:pPr>
              <w:spacing w:after="0"/>
              <w:rPr>
                <w:sz w:val="10"/>
                <w:szCs w:val="10"/>
                <w:color w:val="auto"/>
              </w:rPr>
            </w:pPr>
          </w:p>
        </w:tc>
        <w:tc>
          <w:tcPr>
            <w:tcW w:w="740" w:type="dxa"/>
            <w:vAlign w:val="bottom"/>
            <w:shd w:val="clear" w:color="auto" w:fill="DCE2EF"/>
          </w:tcPr>
          <w:p>
            <w:pPr>
              <w:spacing w:after="0"/>
              <w:rPr>
                <w:sz w:val="10"/>
                <w:szCs w:val="10"/>
                <w:color w:val="auto"/>
              </w:rPr>
            </w:pPr>
          </w:p>
        </w:tc>
        <w:tc>
          <w:tcPr>
            <w:tcW w:w="1340" w:type="dxa"/>
            <w:vAlign w:val="bottom"/>
            <w:shd w:val="clear" w:color="auto" w:fill="DCE2EF"/>
          </w:tcPr>
          <w:p>
            <w:pPr>
              <w:spacing w:after="0"/>
              <w:rPr>
                <w:sz w:val="10"/>
                <w:szCs w:val="10"/>
                <w:color w:val="auto"/>
              </w:rPr>
            </w:pPr>
          </w:p>
        </w:tc>
        <w:tc>
          <w:tcPr>
            <w:tcW w:w="1040" w:type="dxa"/>
            <w:vAlign w:val="bottom"/>
            <w:shd w:val="clear" w:color="auto" w:fill="DCE2EF"/>
          </w:tcPr>
          <w:p>
            <w:pPr>
              <w:spacing w:after="0"/>
              <w:rPr>
                <w:sz w:val="10"/>
                <w:szCs w:val="10"/>
                <w:color w:val="auto"/>
              </w:rPr>
            </w:pPr>
          </w:p>
        </w:tc>
        <w:tc>
          <w:tcPr>
            <w:tcW w:w="2160" w:type="dxa"/>
            <w:vAlign w:val="bottom"/>
            <w:shd w:val="clear" w:color="auto" w:fill="DCE2EF"/>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300" w:type="dxa"/>
            <w:vAlign w:val="bottom"/>
            <w:shd w:val="clear" w:color="auto" w:fill="DCE2E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DCE2EF"/>
            </w:tcBorders>
            <w:shd w:val="clear" w:color="auto" w:fill="DCE2EF"/>
          </w:tcPr>
          <w:p>
            <w:pPr>
              <w:spacing w:after="0" w:line="20" w:lineRule="exact"/>
              <w:rPr>
                <w:sz w:val="1"/>
                <w:szCs w:val="1"/>
                <w:color w:val="auto"/>
              </w:rPr>
            </w:pPr>
          </w:p>
        </w:tc>
        <w:tc>
          <w:tcPr>
            <w:tcW w:w="40" w:type="dxa"/>
            <w:vAlign w:val="bottom"/>
            <w:shd w:val="clear" w:color="auto" w:fill="DCE2EF"/>
          </w:tcPr>
          <w:p>
            <w:pPr>
              <w:spacing w:after="0" w:line="20" w:lineRule="exact"/>
              <w:rPr>
                <w:sz w:val="1"/>
                <w:szCs w:val="1"/>
                <w:color w:val="auto"/>
              </w:rPr>
            </w:pPr>
          </w:p>
        </w:tc>
        <w:tc>
          <w:tcPr>
            <w:tcW w:w="20" w:type="dxa"/>
            <w:vAlign w:val="bottom"/>
            <w:shd w:val="clear" w:color="auto" w:fill="DCE2EF"/>
          </w:tcPr>
          <w:p>
            <w:pPr>
              <w:spacing w:after="0" w:line="20" w:lineRule="exact"/>
              <w:rPr>
                <w:sz w:val="1"/>
                <w:szCs w:val="1"/>
                <w:color w:val="auto"/>
              </w:rPr>
            </w:pPr>
          </w:p>
        </w:tc>
        <w:tc>
          <w:tcPr>
            <w:tcW w:w="60" w:type="dxa"/>
            <w:vAlign w:val="bottom"/>
            <w:gridSpan w:val="3"/>
            <w:shd w:val="clear" w:color="auto" w:fill="DCE2EF"/>
          </w:tcPr>
          <w:p>
            <w:pPr>
              <w:spacing w:after="0" w:line="20" w:lineRule="exact"/>
              <w:rPr>
                <w:sz w:val="1"/>
                <w:szCs w:val="1"/>
                <w:color w:val="auto"/>
              </w:rPr>
            </w:pPr>
          </w:p>
        </w:tc>
        <w:tc>
          <w:tcPr>
            <w:tcW w:w="20" w:type="dxa"/>
            <w:vAlign w:val="bottom"/>
            <w:shd w:val="clear" w:color="auto" w:fill="DCE2EF"/>
          </w:tcPr>
          <w:p>
            <w:pPr>
              <w:spacing w:after="0" w:line="20" w:lineRule="exact"/>
              <w:rPr>
                <w:sz w:val="1"/>
                <w:szCs w:val="1"/>
                <w:color w:val="auto"/>
              </w:rPr>
            </w:pPr>
          </w:p>
        </w:tc>
        <w:tc>
          <w:tcPr>
            <w:tcW w:w="0" w:type="dxa"/>
            <w:vAlign w:val="bottom"/>
            <w:shd w:val="clear" w:color="auto" w:fill="DCE2EF"/>
          </w:tcPr>
          <w:p>
            <w:pPr>
              <w:spacing w:after="0" w:line="20" w:lineRule="exact"/>
              <w:rPr>
                <w:sz w:val="1"/>
                <w:szCs w:val="1"/>
                <w:color w:val="auto"/>
              </w:rPr>
            </w:pPr>
          </w:p>
        </w:tc>
        <w:tc>
          <w:tcPr>
            <w:tcW w:w="140" w:type="dxa"/>
            <w:vAlign w:val="bottom"/>
            <w:shd w:val="clear" w:color="auto" w:fill="DCE2EF"/>
          </w:tcPr>
          <w:p>
            <w:pPr>
              <w:spacing w:after="0" w:line="20" w:lineRule="exact"/>
              <w:rPr>
                <w:sz w:val="1"/>
                <w:szCs w:val="1"/>
                <w:color w:val="auto"/>
              </w:rPr>
            </w:pPr>
          </w:p>
        </w:tc>
        <w:tc>
          <w:tcPr>
            <w:tcW w:w="740" w:type="dxa"/>
            <w:vAlign w:val="bottom"/>
            <w:shd w:val="clear" w:color="auto" w:fill="DCE2EF"/>
          </w:tcPr>
          <w:p>
            <w:pPr>
              <w:spacing w:after="0" w:line="20" w:lineRule="exact"/>
              <w:rPr>
                <w:sz w:val="1"/>
                <w:szCs w:val="1"/>
                <w:color w:val="auto"/>
              </w:rPr>
            </w:pPr>
          </w:p>
        </w:tc>
        <w:tc>
          <w:tcPr>
            <w:tcW w:w="1340" w:type="dxa"/>
            <w:vAlign w:val="bottom"/>
            <w:shd w:val="clear" w:color="auto" w:fill="DCE2EF"/>
          </w:tcPr>
          <w:p>
            <w:pPr>
              <w:spacing w:after="0" w:line="20" w:lineRule="exact"/>
              <w:rPr>
                <w:sz w:val="1"/>
                <w:szCs w:val="1"/>
                <w:color w:val="auto"/>
              </w:rPr>
            </w:pPr>
          </w:p>
        </w:tc>
        <w:tc>
          <w:tcPr>
            <w:tcW w:w="1040" w:type="dxa"/>
            <w:vAlign w:val="bottom"/>
            <w:shd w:val="clear" w:color="auto" w:fill="DCE2EF"/>
          </w:tcPr>
          <w:p>
            <w:pPr>
              <w:spacing w:after="0" w:line="20" w:lineRule="exact"/>
              <w:rPr>
                <w:sz w:val="1"/>
                <w:szCs w:val="1"/>
                <w:color w:val="auto"/>
              </w:rPr>
            </w:pPr>
          </w:p>
        </w:tc>
        <w:tc>
          <w:tcPr>
            <w:tcW w:w="2160" w:type="dxa"/>
            <w:vAlign w:val="bottom"/>
            <w:shd w:val="clear" w:color="auto" w:fill="DCE2E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1300" w:type="dxa"/>
            <w:vAlign w:val="bottom"/>
            <w:shd w:val="clear" w:color="auto" w:fill="DCE2EF"/>
          </w:tcPr>
          <w:p>
            <w:pPr>
              <w:spacing w:after="0"/>
              <w:rPr>
                <w:sz w:val="11"/>
                <w:szCs w:val="11"/>
                <w:color w:val="auto"/>
              </w:rPr>
            </w:pPr>
          </w:p>
        </w:tc>
        <w:tc>
          <w:tcPr>
            <w:tcW w:w="4660" w:type="dxa"/>
            <w:vAlign w:val="bottom"/>
            <w:gridSpan w:val="18"/>
            <w:shd w:val="clear" w:color="auto" w:fill="DCE2EF"/>
          </w:tcPr>
          <w:p>
            <w:pPr>
              <w:spacing w:after="0" w:line="135" w:lineRule="exact"/>
              <w:rPr>
                <w:rFonts w:ascii="Arial" w:cs="Arial" w:eastAsia="Arial" w:hAnsi="Arial"/>
                <w:sz w:val="15"/>
                <w:szCs w:val="15"/>
                <w:color w:val="0000FF"/>
              </w:rPr>
            </w:pPr>
            <w:hyperlink r:id="rId176">
              <w:r>
                <w:rPr>
                  <w:rFonts w:ascii="Arial" w:cs="Arial" w:eastAsia="Arial" w:hAnsi="Arial"/>
                  <w:sz w:val="15"/>
                  <w:szCs w:val="15"/>
                  <w:color w:val="0000FF"/>
                </w:rPr>
                <w:t>Designated Borrowers identified on the signature pages</w:t>
              </w:r>
            </w:hyperlink>
          </w:p>
        </w:tc>
        <w:tc>
          <w:tcPr>
            <w:tcW w:w="740" w:type="dxa"/>
            <w:vAlign w:val="bottom"/>
            <w:shd w:val="clear" w:color="auto" w:fill="DCE2EF"/>
          </w:tcPr>
          <w:p>
            <w:pPr>
              <w:spacing w:after="0"/>
              <w:rPr>
                <w:sz w:val="11"/>
                <w:szCs w:val="11"/>
                <w:color w:val="auto"/>
              </w:rPr>
            </w:pPr>
          </w:p>
        </w:tc>
        <w:tc>
          <w:tcPr>
            <w:tcW w:w="1340" w:type="dxa"/>
            <w:vAlign w:val="bottom"/>
            <w:shd w:val="clear" w:color="auto" w:fill="DCE2EF"/>
          </w:tcPr>
          <w:p>
            <w:pPr>
              <w:spacing w:after="0"/>
              <w:rPr>
                <w:sz w:val="11"/>
                <w:szCs w:val="11"/>
                <w:color w:val="auto"/>
              </w:rPr>
            </w:pPr>
          </w:p>
        </w:tc>
        <w:tc>
          <w:tcPr>
            <w:tcW w:w="1040" w:type="dxa"/>
            <w:vAlign w:val="bottom"/>
            <w:shd w:val="clear" w:color="auto" w:fill="DCE2EF"/>
          </w:tcPr>
          <w:p>
            <w:pPr>
              <w:spacing w:after="0"/>
              <w:rPr>
                <w:sz w:val="11"/>
                <w:szCs w:val="11"/>
                <w:color w:val="auto"/>
              </w:rPr>
            </w:pPr>
          </w:p>
        </w:tc>
        <w:tc>
          <w:tcPr>
            <w:tcW w:w="2160" w:type="dxa"/>
            <w:vAlign w:val="bottom"/>
            <w:shd w:val="clear" w:color="auto" w:fill="DCE2E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300" w:type="dxa"/>
            <w:vAlign w:val="bottom"/>
            <w:tcBorders>
              <w:top w:val="single" w:sz="8" w:color="DCE2EF"/>
              <w:bottom w:val="single" w:sz="8" w:color="DCE2EF"/>
            </w:tcBorders>
            <w:shd w:val="clear" w:color="auto" w:fill="DCE2EF"/>
          </w:tcPr>
          <w:p>
            <w:pPr>
              <w:spacing w:after="0"/>
              <w:rPr>
                <w:sz w:val="10"/>
                <w:szCs w:val="10"/>
                <w:color w:val="auto"/>
              </w:rPr>
            </w:pPr>
          </w:p>
        </w:tc>
        <w:tc>
          <w:tcPr>
            <w:tcW w:w="4260" w:type="dxa"/>
            <w:vAlign w:val="bottom"/>
            <w:tcBorders>
              <w:top w:val="single" w:sz="8" w:color="0000FF"/>
              <w:bottom w:val="single" w:sz="8" w:color="0000FF"/>
              <w:right w:val="single" w:sz="8" w:color="DCE2EF"/>
            </w:tcBorders>
            <w:gridSpan w:val="9"/>
            <w:shd w:val="clear" w:color="auto" w:fill="DCE2EF"/>
          </w:tcPr>
          <w:p>
            <w:pPr>
              <w:spacing w:after="0" w:line="122" w:lineRule="exact"/>
              <w:rPr>
                <w:rFonts w:ascii="Arial" w:cs="Arial" w:eastAsia="Arial" w:hAnsi="Arial"/>
                <w:sz w:val="14"/>
                <w:szCs w:val="14"/>
                <w:color w:val="0000FF"/>
              </w:rPr>
            </w:pPr>
            <w:hyperlink r:id="rId176">
              <w:r>
                <w:rPr>
                  <w:rFonts w:ascii="Arial" w:cs="Arial" w:eastAsia="Arial" w:hAnsi="Arial"/>
                  <w:sz w:val="14"/>
                  <w:szCs w:val="14"/>
                  <w:color w:val="0000FF"/>
                </w:rPr>
                <w:t>thereto, the Guarantors identified on the signature pages</w:t>
              </w:r>
            </w:hyperlink>
          </w:p>
        </w:tc>
        <w:tc>
          <w:tcPr>
            <w:tcW w:w="120" w:type="dxa"/>
            <w:vAlign w:val="bottom"/>
            <w:tcBorders>
              <w:top w:val="single" w:sz="8" w:color="DCE2EF"/>
              <w:left w:val="single" w:sz="8" w:color="DCE2EF"/>
              <w:bottom w:val="single" w:sz="8" w:color="DCE2EF"/>
            </w:tcBorders>
            <w:shd w:val="clear" w:color="auto" w:fill="DCE2EF"/>
          </w:tcPr>
          <w:p>
            <w:pPr>
              <w:spacing w:after="0"/>
              <w:rPr>
                <w:sz w:val="10"/>
                <w:szCs w:val="10"/>
                <w:color w:val="auto"/>
              </w:rPr>
            </w:pPr>
          </w:p>
        </w:tc>
        <w:tc>
          <w:tcPr>
            <w:tcW w:w="40" w:type="dxa"/>
            <w:vAlign w:val="bottom"/>
            <w:tcBorders>
              <w:top w:val="single" w:sz="8" w:color="DCE2EF"/>
              <w:bottom w:val="single" w:sz="8" w:color="DCE2EF"/>
            </w:tcBorders>
            <w:shd w:val="clear" w:color="auto" w:fill="DCE2EF"/>
          </w:tcPr>
          <w:p>
            <w:pPr>
              <w:spacing w:after="0"/>
              <w:rPr>
                <w:sz w:val="10"/>
                <w:szCs w:val="10"/>
                <w:color w:val="auto"/>
              </w:rPr>
            </w:pPr>
          </w:p>
        </w:tc>
        <w:tc>
          <w:tcPr>
            <w:tcW w:w="20" w:type="dxa"/>
            <w:vAlign w:val="bottom"/>
            <w:tcBorders>
              <w:top w:val="single" w:sz="8" w:color="DCE2EF"/>
              <w:bottom w:val="single" w:sz="8" w:color="DCE2EF"/>
            </w:tcBorders>
            <w:shd w:val="clear" w:color="auto" w:fill="DCE2EF"/>
          </w:tcPr>
          <w:p>
            <w:pPr>
              <w:spacing w:after="0"/>
              <w:rPr>
                <w:sz w:val="10"/>
                <w:szCs w:val="10"/>
                <w:color w:val="auto"/>
              </w:rPr>
            </w:pPr>
          </w:p>
        </w:tc>
        <w:tc>
          <w:tcPr>
            <w:tcW w:w="60" w:type="dxa"/>
            <w:vAlign w:val="bottom"/>
            <w:tcBorders>
              <w:top w:val="single" w:sz="8" w:color="DCE2EF"/>
              <w:bottom w:val="single" w:sz="8" w:color="DCE2EF"/>
            </w:tcBorders>
            <w:gridSpan w:val="3"/>
            <w:shd w:val="clear" w:color="auto" w:fill="DCE2EF"/>
          </w:tcPr>
          <w:p>
            <w:pPr>
              <w:spacing w:after="0"/>
              <w:rPr>
                <w:sz w:val="10"/>
                <w:szCs w:val="10"/>
                <w:color w:val="auto"/>
              </w:rPr>
            </w:pPr>
          </w:p>
        </w:tc>
        <w:tc>
          <w:tcPr>
            <w:tcW w:w="20" w:type="dxa"/>
            <w:vAlign w:val="bottom"/>
            <w:tcBorders>
              <w:top w:val="single" w:sz="8" w:color="DCE2EF"/>
              <w:bottom w:val="single" w:sz="8" w:color="DCE2EF"/>
            </w:tcBorders>
            <w:shd w:val="clear" w:color="auto" w:fill="DCE2EF"/>
          </w:tcPr>
          <w:p>
            <w:pPr>
              <w:spacing w:after="0"/>
              <w:rPr>
                <w:sz w:val="10"/>
                <w:szCs w:val="10"/>
                <w:color w:val="auto"/>
              </w:rPr>
            </w:pPr>
          </w:p>
        </w:tc>
        <w:tc>
          <w:tcPr>
            <w:tcW w:w="0" w:type="dxa"/>
            <w:vAlign w:val="bottom"/>
            <w:tcBorders>
              <w:top w:val="single" w:sz="8" w:color="DCE2EF"/>
              <w:bottom w:val="single" w:sz="8" w:color="DCE2EF"/>
            </w:tcBorders>
            <w:shd w:val="clear" w:color="auto" w:fill="DCE2EF"/>
          </w:tcPr>
          <w:p>
            <w:pPr>
              <w:spacing w:after="0"/>
              <w:rPr>
                <w:sz w:val="10"/>
                <w:szCs w:val="10"/>
                <w:color w:val="auto"/>
              </w:rPr>
            </w:pPr>
          </w:p>
        </w:tc>
        <w:tc>
          <w:tcPr>
            <w:tcW w:w="140" w:type="dxa"/>
            <w:vAlign w:val="bottom"/>
            <w:tcBorders>
              <w:top w:val="single" w:sz="8" w:color="DCE2EF"/>
              <w:bottom w:val="single" w:sz="8" w:color="DCE2EF"/>
            </w:tcBorders>
            <w:shd w:val="clear" w:color="auto" w:fill="DCE2EF"/>
          </w:tcPr>
          <w:p>
            <w:pPr>
              <w:spacing w:after="0"/>
              <w:rPr>
                <w:sz w:val="10"/>
                <w:szCs w:val="10"/>
                <w:color w:val="auto"/>
              </w:rPr>
            </w:pPr>
          </w:p>
        </w:tc>
        <w:tc>
          <w:tcPr>
            <w:tcW w:w="740" w:type="dxa"/>
            <w:vAlign w:val="bottom"/>
            <w:tcBorders>
              <w:top w:val="single" w:sz="8" w:color="DCE2EF"/>
              <w:bottom w:val="single" w:sz="8" w:color="DCE2EF"/>
            </w:tcBorders>
            <w:shd w:val="clear" w:color="auto" w:fill="DCE2EF"/>
          </w:tcPr>
          <w:p>
            <w:pPr>
              <w:spacing w:after="0"/>
              <w:rPr>
                <w:sz w:val="10"/>
                <w:szCs w:val="10"/>
                <w:color w:val="auto"/>
              </w:rPr>
            </w:pPr>
          </w:p>
        </w:tc>
        <w:tc>
          <w:tcPr>
            <w:tcW w:w="1340" w:type="dxa"/>
            <w:vAlign w:val="bottom"/>
            <w:tcBorders>
              <w:top w:val="single" w:sz="8" w:color="DCE2EF"/>
              <w:bottom w:val="single" w:sz="8" w:color="DCE2EF"/>
            </w:tcBorders>
            <w:shd w:val="clear" w:color="auto" w:fill="DCE2EF"/>
          </w:tcPr>
          <w:p>
            <w:pPr>
              <w:spacing w:after="0"/>
              <w:rPr>
                <w:sz w:val="10"/>
                <w:szCs w:val="10"/>
                <w:color w:val="auto"/>
              </w:rPr>
            </w:pPr>
          </w:p>
        </w:tc>
        <w:tc>
          <w:tcPr>
            <w:tcW w:w="1040" w:type="dxa"/>
            <w:vAlign w:val="bottom"/>
            <w:tcBorders>
              <w:top w:val="single" w:sz="8" w:color="DCE2EF"/>
              <w:bottom w:val="single" w:sz="8" w:color="DCE2EF"/>
            </w:tcBorders>
            <w:shd w:val="clear" w:color="auto" w:fill="DCE2EF"/>
          </w:tcPr>
          <w:p>
            <w:pPr>
              <w:spacing w:after="0"/>
              <w:rPr>
                <w:sz w:val="10"/>
                <w:szCs w:val="10"/>
                <w:color w:val="auto"/>
              </w:rPr>
            </w:pPr>
          </w:p>
        </w:tc>
        <w:tc>
          <w:tcPr>
            <w:tcW w:w="2160" w:type="dxa"/>
            <w:vAlign w:val="bottom"/>
            <w:tcBorders>
              <w:top w:val="single" w:sz="8" w:color="DCE2EF"/>
              <w:bottom w:val="single" w:sz="8" w:color="DCE2EF"/>
            </w:tcBorders>
            <w:shd w:val="clear" w:color="auto" w:fill="DCE2E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300" w:type="dxa"/>
            <w:vAlign w:val="bottom"/>
            <w:tcBorders>
              <w:bottom w:val="single" w:sz="8" w:color="DCE2EF"/>
            </w:tcBorders>
            <w:shd w:val="clear" w:color="auto" w:fill="DCE2EF"/>
          </w:tcPr>
          <w:p>
            <w:pPr>
              <w:spacing w:after="0"/>
              <w:rPr>
                <w:sz w:val="11"/>
                <w:szCs w:val="11"/>
                <w:color w:val="auto"/>
              </w:rPr>
            </w:pPr>
          </w:p>
        </w:tc>
        <w:tc>
          <w:tcPr>
            <w:tcW w:w="4260" w:type="dxa"/>
            <w:vAlign w:val="bottom"/>
            <w:tcBorders>
              <w:bottom w:val="single" w:sz="8" w:color="0000FF"/>
              <w:right w:val="single" w:sz="8" w:color="DCE2EF"/>
            </w:tcBorders>
            <w:gridSpan w:val="9"/>
            <w:shd w:val="clear" w:color="auto" w:fill="DCE2EF"/>
          </w:tcPr>
          <w:p>
            <w:pPr>
              <w:spacing w:after="0" w:line="135" w:lineRule="exact"/>
              <w:rPr>
                <w:rFonts w:ascii="Arial" w:cs="Arial" w:eastAsia="Arial" w:hAnsi="Arial"/>
                <w:sz w:val="15"/>
                <w:szCs w:val="15"/>
                <w:color w:val="0000FF"/>
              </w:rPr>
            </w:pPr>
            <w:hyperlink r:id="rId176">
              <w:r>
                <w:rPr>
                  <w:rFonts w:ascii="Arial" w:cs="Arial" w:eastAsia="Arial" w:hAnsi="Arial"/>
                  <w:sz w:val="15"/>
                  <w:szCs w:val="15"/>
                  <w:color w:val="0000FF"/>
                </w:rPr>
                <w:t>thereto, the Lenders identified on the signatures pages</w:t>
              </w:r>
            </w:hyperlink>
          </w:p>
        </w:tc>
        <w:tc>
          <w:tcPr>
            <w:tcW w:w="120" w:type="dxa"/>
            <w:vAlign w:val="bottom"/>
            <w:tcBorders>
              <w:left w:val="single" w:sz="8" w:color="DCE2EF"/>
              <w:bottom w:val="single" w:sz="8" w:color="DCE2EF"/>
            </w:tcBorders>
            <w:shd w:val="clear" w:color="auto" w:fill="DCE2EF"/>
          </w:tcPr>
          <w:p>
            <w:pPr>
              <w:spacing w:after="0"/>
              <w:rPr>
                <w:sz w:val="11"/>
                <w:szCs w:val="11"/>
                <w:color w:val="auto"/>
              </w:rPr>
            </w:pPr>
          </w:p>
        </w:tc>
        <w:tc>
          <w:tcPr>
            <w:tcW w:w="40" w:type="dxa"/>
            <w:vAlign w:val="bottom"/>
            <w:tcBorders>
              <w:bottom w:val="single" w:sz="8" w:color="DCE2EF"/>
            </w:tcBorders>
            <w:shd w:val="clear" w:color="auto" w:fill="DCE2EF"/>
          </w:tcPr>
          <w:p>
            <w:pPr>
              <w:spacing w:after="0"/>
              <w:rPr>
                <w:sz w:val="11"/>
                <w:szCs w:val="11"/>
                <w:color w:val="auto"/>
              </w:rPr>
            </w:pPr>
          </w:p>
        </w:tc>
        <w:tc>
          <w:tcPr>
            <w:tcW w:w="20" w:type="dxa"/>
            <w:vAlign w:val="bottom"/>
            <w:tcBorders>
              <w:bottom w:val="single" w:sz="8" w:color="DCE2EF"/>
            </w:tcBorders>
            <w:shd w:val="clear" w:color="auto" w:fill="DCE2EF"/>
          </w:tcPr>
          <w:p>
            <w:pPr>
              <w:spacing w:after="0"/>
              <w:rPr>
                <w:sz w:val="11"/>
                <w:szCs w:val="11"/>
                <w:color w:val="auto"/>
              </w:rPr>
            </w:pPr>
          </w:p>
        </w:tc>
        <w:tc>
          <w:tcPr>
            <w:tcW w:w="60" w:type="dxa"/>
            <w:vAlign w:val="bottom"/>
            <w:tcBorders>
              <w:bottom w:val="single" w:sz="8" w:color="DCE2EF"/>
            </w:tcBorders>
            <w:gridSpan w:val="3"/>
            <w:shd w:val="clear" w:color="auto" w:fill="DCE2EF"/>
          </w:tcPr>
          <w:p>
            <w:pPr>
              <w:spacing w:after="0"/>
              <w:rPr>
                <w:sz w:val="11"/>
                <w:szCs w:val="11"/>
                <w:color w:val="auto"/>
              </w:rPr>
            </w:pPr>
          </w:p>
        </w:tc>
        <w:tc>
          <w:tcPr>
            <w:tcW w:w="20" w:type="dxa"/>
            <w:vAlign w:val="bottom"/>
            <w:tcBorders>
              <w:bottom w:val="single" w:sz="8" w:color="DCE2EF"/>
            </w:tcBorders>
            <w:shd w:val="clear" w:color="auto" w:fill="DCE2EF"/>
          </w:tcPr>
          <w:p>
            <w:pPr>
              <w:spacing w:after="0"/>
              <w:rPr>
                <w:sz w:val="11"/>
                <w:szCs w:val="11"/>
                <w:color w:val="auto"/>
              </w:rPr>
            </w:pPr>
          </w:p>
        </w:tc>
        <w:tc>
          <w:tcPr>
            <w:tcW w:w="0" w:type="dxa"/>
            <w:vAlign w:val="bottom"/>
            <w:tcBorders>
              <w:bottom w:val="single" w:sz="8" w:color="DCE2EF"/>
            </w:tcBorders>
            <w:shd w:val="clear" w:color="auto" w:fill="DCE2EF"/>
          </w:tcPr>
          <w:p>
            <w:pPr>
              <w:spacing w:after="0"/>
              <w:rPr>
                <w:sz w:val="11"/>
                <w:szCs w:val="11"/>
                <w:color w:val="auto"/>
              </w:rPr>
            </w:pPr>
          </w:p>
        </w:tc>
        <w:tc>
          <w:tcPr>
            <w:tcW w:w="140" w:type="dxa"/>
            <w:vAlign w:val="bottom"/>
            <w:tcBorders>
              <w:bottom w:val="single" w:sz="8" w:color="DCE2EF"/>
            </w:tcBorders>
            <w:shd w:val="clear" w:color="auto" w:fill="DCE2EF"/>
          </w:tcPr>
          <w:p>
            <w:pPr>
              <w:spacing w:after="0"/>
              <w:rPr>
                <w:sz w:val="11"/>
                <w:szCs w:val="11"/>
                <w:color w:val="auto"/>
              </w:rPr>
            </w:pPr>
          </w:p>
        </w:tc>
        <w:tc>
          <w:tcPr>
            <w:tcW w:w="740" w:type="dxa"/>
            <w:vAlign w:val="bottom"/>
            <w:tcBorders>
              <w:bottom w:val="single" w:sz="8" w:color="DCE2EF"/>
            </w:tcBorders>
            <w:shd w:val="clear" w:color="auto" w:fill="DCE2EF"/>
          </w:tcPr>
          <w:p>
            <w:pPr>
              <w:spacing w:after="0"/>
              <w:rPr>
                <w:sz w:val="11"/>
                <w:szCs w:val="11"/>
                <w:color w:val="auto"/>
              </w:rPr>
            </w:pPr>
          </w:p>
        </w:tc>
        <w:tc>
          <w:tcPr>
            <w:tcW w:w="1340" w:type="dxa"/>
            <w:vAlign w:val="bottom"/>
            <w:tcBorders>
              <w:bottom w:val="single" w:sz="8" w:color="DCE2EF"/>
            </w:tcBorders>
            <w:shd w:val="clear" w:color="auto" w:fill="DCE2EF"/>
          </w:tcPr>
          <w:p>
            <w:pPr>
              <w:spacing w:after="0"/>
              <w:rPr>
                <w:sz w:val="11"/>
                <w:szCs w:val="11"/>
                <w:color w:val="auto"/>
              </w:rPr>
            </w:pPr>
          </w:p>
        </w:tc>
        <w:tc>
          <w:tcPr>
            <w:tcW w:w="1040" w:type="dxa"/>
            <w:vAlign w:val="bottom"/>
            <w:tcBorders>
              <w:bottom w:val="single" w:sz="8" w:color="DCE2EF"/>
            </w:tcBorders>
            <w:shd w:val="clear" w:color="auto" w:fill="DCE2EF"/>
          </w:tcPr>
          <w:p>
            <w:pPr>
              <w:spacing w:after="0"/>
              <w:rPr>
                <w:sz w:val="11"/>
                <w:szCs w:val="11"/>
                <w:color w:val="auto"/>
              </w:rPr>
            </w:pPr>
          </w:p>
        </w:tc>
        <w:tc>
          <w:tcPr>
            <w:tcW w:w="2160" w:type="dxa"/>
            <w:vAlign w:val="bottom"/>
            <w:tcBorders>
              <w:bottom w:val="single" w:sz="8" w:color="DCE2EF"/>
            </w:tcBorders>
            <w:shd w:val="clear" w:color="auto" w:fill="DCE2EF"/>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1300" w:type="dxa"/>
            <w:vAlign w:val="bottom"/>
            <w:tcBorders>
              <w:bottom w:val="single" w:sz="8" w:color="DCE2EF"/>
            </w:tcBorders>
            <w:shd w:val="clear" w:color="auto" w:fill="DCE2EF"/>
          </w:tcPr>
          <w:p>
            <w:pPr>
              <w:spacing w:after="0"/>
              <w:rPr>
                <w:sz w:val="12"/>
                <w:szCs w:val="12"/>
                <w:color w:val="auto"/>
              </w:rPr>
            </w:pPr>
          </w:p>
        </w:tc>
        <w:tc>
          <w:tcPr>
            <w:tcW w:w="4520" w:type="dxa"/>
            <w:vAlign w:val="bottom"/>
            <w:tcBorders>
              <w:bottom w:val="single" w:sz="8" w:color="0000FF"/>
            </w:tcBorders>
            <w:gridSpan w:val="17"/>
            <w:shd w:val="clear" w:color="auto" w:fill="DCE2EF"/>
          </w:tcPr>
          <w:p>
            <w:pPr>
              <w:spacing w:after="0" w:line="135" w:lineRule="exact"/>
              <w:rPr>
                <w:rFonts w:ascii="Arial" w:cs="Arial" w:eastAsia="Arial" w:hAnsi="Arial"/>
                <w:sz w:val="15"/>
                <w:szCs w:val="15"/>
                <w:color w:val="0000FF"/>
              </w:rPr>
            </w:pPr>
            <w:hyperlink r:id="rId176">
              <w:r>
                <w:rPr>
                  <w:rFonts w:ascii="Arial" w:cs="Arial" w:eastAsia="Arial" w:hAnsi="Arial"/>
                  <w:sz w:val="15"/>
                  <w:szCs w:val="15"/>
                  <w:color w:val="0000FF"/>
                </w:rPr>
                <w:t>thereto and Bank of America, N.A., as administrative agent</w:t>
              </w:r>
            </w:hyperlink>
          </w:p>
        </w:tc>
        <w:tc>
          <w:tcPr>
            <w:tcW w:w="140" w:type="dxa"/>
            <w:vAlign w:val="bottom"/>
            <w:tcBorders>
              <w:bottom w:val="single" w:sz="8" w:color="DCE2EF"/>
            </w:tcBorders>
            <w:shd w:val="clear" w:color="auto" w:fill="DCE2EF"/>
          </w:tcPr>
          <w:p>
            <w:pPr>
              <w:spacing w:after="0"/>
              <w:rPr>
                <w:sz w:val="12"/>
                <w:szCs w:val="12"/>
                <w:color w:val="auto"/>
              </w:rPr>
            </w:pPr>
          </w:p>
        </w:tc>
        <w:tc>
          <w:tcPr>
            <w:tcW w:w="740" w:type="dxa"/>
            <w:vAlign w:val="bottom"/>
            <w:tcBorders>
              <w:bottom w:val="single" w:sz="8" w:color="DCE2EF"/>
            </w:tcBorders>
            <w:shd w:val="clear" w:color="auto" w:fill="DCE2EF"/>
          </w:tcPr>
          <w:p>
            <w:pPr>
              <w:spacing w:after="0"/>
              <w:rPr>
                <w:sz w:val="12"/>
                <w:szCs w:val="12"/>
                <w:color w:val="auto"/>
              </w:rPr>
            </w:pPr>
          </w:p>
        </w:tc>
        <w:tc>
          <w:tcPr>
            <w:tcW w:w="1340" w:type="dxa"/>
            <w:vAlign w:val="bottom"/>
            <w:tcBorders>
              <w:bottom w:val="single" w:sz="8" w:color="DCE2EF"/>
            </w:tcBorders>
            <w:shd w:val="clear" w:color="auto" w:fill="DCE2EF"/>
          </w:tcPr>
          <w:p>
            <w:pPr>
              <w:spacing w:after="0"/>
              <w:rPr>
                <w:sz w:val="12"/>
                <w:szCs w:val="12"/>
                <w:color w:val="auto"/>
              </w:rPr>
            </w:pPr>
          </w:p>
        </w:tc>
        <w:tc>
          <w:tcPr>
            <w:tcW w:w="1040" w:type="dxa"/>
            <w:vAlign w:val="bottom"/>
            <w:tcBorders>
              <w:bottom w:val="single" w:sz="8" w:color="DCE2EF"/>
            </w:tcBorders>
            <w:shd w:val="clear" w:color="auto" w:fill="DCE2EF"/>
          </w:tcPr>
          <w:p>
            <w:pPr>
              <w:spacing w:after="0"/>
              <w:rPr>
                <w:sz w:val="12"/>
                <w:szCs w:val="12"/>
                <w:color w:val="auto"/>
              </w:rPr>
            </w:pPr>
          </w:p>
        </w:tc>
        <w:tc>
          <w:tcPr>
            <w:tcW w:w="2160" w:type="dxa"/>
            <w:vAlign w:val="bottom"/>
            <w:tcBorders>
              <w:bottom w:val="single" w:sz="8" w:color="DCE2EF"/>
            </w:tcBorders>
            <w:shd w:val="clear" w:color="auto" w:fill="DCE2EF"/>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1300" w:type="dxa"/>
            <w:vAlign w:val="bottom"/>
          </w:tcPr>
          <w:p>
            <w:pPr>
              <w:ind w:left="20"/>
              <w:spacing w:after="0" w:line="180" w:lineRule="exact"/>
              <w:rPr>
                <w:sz w:val="20"/>
                <w:szCs w:val="20"/>
                <w:color w:val="auto"/>
              </w:rPr>
            </w:pPr>
            <w:r>
              <w:rPr>
                <w:rFonts w:ascii="Arial" w:cs="Arial" w:eastAsia="Arial" w:hAnsi="Arial"/>
                <w:sz w:val="17"/>
                <w:szCs w:val="17"/>
                <w:color w:val="auto"/>
              </w:rPr>
              <w:t>10.6</w:t>
            </w:r>
          </w:p>
        </w:tc>
        <w:tc>
          <w:tcPr>
            <w:tcW w:w="4660" w:type="dxa"/>
            <w:vAlign w:val="bottom"/>
            <w:gridSpan w:val="18"/>
          </w:tcPr>
          <w:p>
            <w:pPr>
              <w:spacing w:after="0" w:line="180" w:lineRule="exact"/>
              <w:rPr>
                <w:rFonts w:ascii="Arial" w:cs="Arial" w:eastAsia="Arial" w:hAnsi="Arial"/>
                <w:sz w:val="17"/>
                <w:szCs w:val="17"/>
                <w:color w:val="0000FF"/>
              </w:rPr>
            </w:pPr>
            <w:hyperlink r:id="rId177">
              <w:r>
                <w:rPr>
                  <w:rFonts w:ascii="Arial" w:cs="Arial" w:eastAsia="Arial" w:hAnsi="Arial"/>
                  <w:sz w:val="17"/>
                  <w:szCs w:val="17"/>
                  <w:color w:val="0000FF"/>
                </w:rPr>
                <w:t>Fourth Amendment, dated as of June 28, 2021, to the</w:t>
              </w:r>
            </w:hyperlink>
          </w:p>
        </w:tc>
        <w:tc>
          <w:tcPr>
            <w:tcW w:w="740" w:type="dxa"/>
            <w:vAlign w:val="bottom"/>
          </w:tcPr>
          <w:p>
            <w:pPr>
              <w:jc w:val="center"/>
              <w:spacing w:after="0" w:line="180" w:lineRule="exact"/>
              <w:rPr>
                <w:sz w:val="20"/>
                <w:szCs w:val="20"/>
                <w:color w:val="auto"/>
              </w:rPr>
            </w:pPr>
            <w:r>
              <w:rPr>
                <w:rFonts w:ascii="Arial" w:cs="Arial" w:eastAsia="Arial" w:hAnsi="Arial"/>
                <w:sz w:val="17"/>
                <w:szCs w:val="17"/>
                <w:color w:val="auto"/>
              </w:rPr>
              <w:t>10-Q</w:t>
            </w:r>
          </w:p>
        </w:tc>
        <w:tc>
          <w:tcPr>
            <w:tcW w:w="1340" w:type="dxa"/>
            <w:vAlign w:val="bottom"/>
          </w:tcPr>
          <w:p>
            <w:pPr>
              <w:jc w:val="right"/>
              <w:ind w:right="194"/>
              <w:spacing w:after="0" w:line="180" w:lineRule="exact"/>
              <w:rPr>
                <w:sz w:val="20"/>
                <w:szCs w:val="20"/>
                <w:color w:val="auto"/>
              </w:rPr>
            </w:pPr>
            <w:r>
              <w:rPr>
                <w:rFonts w:ascii="Arial" w:cs="Arial" w:eastAsia="Arial" w:hAnsi="Arial"/>
                <w:sz w:val="17"/>
                <w:szCs w:val="17"/>
                <w:color w:val="auto"/>
              </w:rPr>
              <w:t>001-08929</w:t>
            </w:r>
          </w:p>
        </w:tc>
        <w:tc>
          <w:tcPr>
            <w:tcW w:w="1040" w:type="dxa"/>
            <w:vAlign w:val="bottom"/>
          </w:tcPr>
          <w:p>
            <w:pPr>
              <w:jc w:val="center"/>
              <w:spacing w:after="0" w:line="180" w:lineRule="exact"/>
              <w:rPr>
                <w:sz w:val="20"/>
                <w:szCs w:val="20"/>
                <w:color w:val="auto"/>
              </w:rPr>
            </w:pPr>
            <w:r>
              <w:rPr>
                <w:rFonts w:ascii="Arial" w:cs="Arial" w:eastAsia="Arial" w:hAnsi="Arial"/>
                <w:sz w:val="17"/>
                <w:szCs w:val="17"/>
                <w:color w:val="auto"/>
              </w:rPr>
              <w:t>10.1</w:t>
            </w:r>
          </w:p>
        </w:tc>
        <w:tc>
          <w:tcPr>
            <w:tcW w:w="2160" w:type="dxa"/>
            <w:vAlign w:val="bottom"/>
          </w:tcPr>
          <w:p>
            <w:pPr>
              <w:jc w:val="center"/>
              <w:spacing w:after="0" w:line="180" w:lineRule="exact"/>
              <w:rPr>
                <w:sz w:val="20"/>
                <w:szCs w:val="20"/>
                <w:color w:val="auto"/>
              </w:rPr>
            </w:pPr>
            <w:r>
              <w:rPr>
                <w:rFonts w:ascii="Arial" w:cs="Arial" w:eastAsia="Arial" w:hAnsi="Arial"/>
                <w:sz w:val="17"/>
                <w:szCs w:val="17"/>
                <w:color w:val="auto"/>
              </w:rPr>
              <w:t>September 9, 2021</w:t>
            </w:r>
          </w:p>
        </w:tc>
        <w:tc>
          <w:tcPr>
            <w:tcW w:w="0" w:type="dxa"/>
            <w:vAlign w:val="bottom"/>
          </w:tcPr>
          <w:p>
            <w:pPr>
              <w:spacing w:after="0"/>
              <w:rPr>
                <w:sz w:val="1"/>
                <w:szCs w:val="1"/>
                <w:color w:val="auto"/>
              </w:rPr>
            </w:pPr>
          </w:p>
        </w:tc>
      </w:tr>
      <w:tr>
        <w:trPr>
          <w:trHeight w:val="173"/>
        </w:trPr>
        <w:tc>
          <w:tcPr>
            <w:tcW w:w="1300" w:type="dxa"/>
            <w:vAlign w:val="bottom"/>
          </w:tcPr>
          <w:p>
            <w:pPr>
              <w:spacing w:after="0"/>
              <w:rPr>
                <w:sz w:val="15"/>
                <w:szCs w:val="15"/>
                <w:color w:val="auto"/>
              </w:rPr>
            </w:pPr>
          </w:p>
        </w:tc>
        <w:tc>
          <w:tcPr>
            <w:tcW w:w="4260" w:type="dxa"/>
            <w:vAlign w:val="bottom"/>
            <w:tcBorders>
              <w:top w:val="single" w:sz="8" w:color="0000FF"/>
            </w:tcBorders>
            <w:gridSpan w:val="9"/>
          </w:tcPr>
          <w:p>
            <w:pPr>
              <w:spacing w:after="0" w:line="173" w:lineRule="exact"/>
              <w:rPr>
                <w:rFonts w:ascii="Arial" w:cs="Arial" w:eastAsia="Arial" w:hAnsi="Arial"/>
                <w:sz w:val="17"/>
                <w:szCs w:val="17"/>
                <w:color w:val="0000FF"/>
              </w:rPr>
            </w:pPr>
            <w:hyperlink r:id="rId177">
              <w:r>
                <w:rPr>
                  <w:rFonts w:ascii="Arial" w:cs="Arial" w:eastAsia="Arial" w:hAnsi="Arial"/>
                  <w:sz w:val="17"/>
                  <w:szCs w:val="17"/>
                  <w:color w:val="0000FF"/>
                </w:rPr>
                <w:t>Credit Agreement dated September 1, 2017, by and</w:t>
              </w:r>
            </w:hyperlink>
          </w:p>
        </w:tc>
        <w:tc>
          <w:tcPr>
            <w:tcW w:w="400" w:type="dxa"/>
            <w:vAlign w:val="bottom"/>
            <w:gridSpan w:val="9"/>
          </w:tcPr>
          <w:p>
            <w:pPr>
              <w:spacing w:after="0" w:line="173" w:lineRule="exact"/>
              <w:rPr>
                <w:rFonts w:ascii="Arial" w:cs="Arial" w:eastAsia="Arial" w:hAnsi="Arial"/>
                <w:sz w:val="17"/>
                <w:szCs w:val="17"/>
                <w:color w:val="0000FF"/>
                <w:w w:val="73"/>
              </w:rPr>
            </w:pPr>
            <w:hyperlink r:id="rId177">
              <w:r>
                <w:rPr>
                  <w:rFonts w:ascii="Arial" w:cs="Arial" w:eastAsia="Arial" w:hAnsi="Arial"/>
                  <w:sz w:val="17"/>
                  <w:szCs w:val="17"/>
                  <w:color w:val="0000FF"/>
                  <w:w w:val="73"/>
                </w:rPr>
                <w:t>among</w:t>
              </w:r>
            </w:hyperlink>
          </w:p>
        </w:tc>
        <w:tc>
          <w:tcPr>
            <w:tcW w:w="7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300" w:type="dxa"/>
            <w:vAlign w:val="bottom"/>
          </w:tcPr>
          <w:p>
            <w:pPr>
              <w:spacing w:after="0"/>
              <w:rPr>
                <w:sz w:val="15"/>
                <w:szCs w:val="15"/>
                <w:color w:val="auto"/>
              </w:rPr>
            </w:pPr>
          </w:p>
        </w:tc>
        <w:tc>
          <w:tcPr>
            <w:tcW w:w="4520" w:type="dxa"/>
            <w:vAlign w:val="bottom"/>
            <w:tcBorders>
              <w:top w:val="single" w:sz="8" w:color="0000FF"/>
            </w:tcBorders>
            <w:gridSpan w:val="17"/>
          </w:tcPr>
          <w:p>
            <w:pPr>
              <w:spacing w:after="0" w:line="173" w:lineRule="exact"/>
              <w:rPr>
                <w:rFonts w:ascii="Arial" w:cs="Arial" w:eastAsia="Arial" w:hAnsi="Arial"/>
                <w:sz w:val="17"/>
                <w:szCs w:val="17"/>
                <w:color w:val="0000FF"/>
              </w:rPr>
            </w:pPr>
            <w:hyperlink r:id="rId177">
              <w:r>
                <w:rPr>
                  <w:rFonts w:ascii="Arial" w:cs="Arial" w:eastAsia="Arial" w:hAnsi="Arial"/>
                  <w:sz w:val="17"/>
                  <w:szCs w:val="17"/>
                  <w:color w:val="0000FF"/>
                </w:rPr>
                <w:t>ABM Industries Incorporated, a Delaware corporation, the</w:t>
              </w:r>
            </w:hyperlink>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300" w:type="dxa"/>
            <w:vAlign w:val="bottom"/>
          </w:tcPr>
          <w:p>
            <w:pPr>
              <w:spacing w:after="0"/>
              <w:rPr>
                <w:sz w:val="15"/>
                <w:szCs w:val="15"/>
                <w:color w:val="auto"/>
              </w:rPr>
            </w:pPr>
          </w:p>
        </w:tc>
        <w:tc>
          <w:tcPr>
            <w:tcW w:w="4380" w:type="dxa"/>
            <w:vAlign w:val="bottom"/>
            <w:tcBorders>
              <w:top w:val="single" w:sz="8" w:color="0000FF"/>
            </w:tcBorders>
            <w:gridSpan w:val="10"/>
          </w:tcPr>
          <w:p>
            <w:pPr>
              <w:spacing w:after="0" w:line="173" w:lineRule="exact"/>
              <w:rPr>
                <w:rFonts w:ascii="Arial" w:cs="Arial" w:eastAsia="Arial" w:hAnsi="Arial"/>
                <w:sz w:val="17"/>
                <w:szCs w:val="17"/>
                <w:color w:val="0000FF"/>
              </w:rPr>
            </w:pPr>
            <w:hyperlink r:id="rId177">
              <w:r>
                <w:rPr>
                  <w:rFonts w:ascii="Arial" w:cs="Arial" w:eastAsia="Arial" w:hAnsi="Arial"/>
                  <w:sz w:val="17"/>
                  <w:szCs w:val="17"/>
                  <w:color w:val="0000FF"/>
                </w:rPr>
                <w:t>Designated Borrowers identified on the signature pages</w:t>
              </w:r>
            </w:hyperlink>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300" w:type="dxa"/>
            <w:vAlign w:val="bottom"/>
          </w:tcPr>
          <w:p>
            <w:pPr>
              <w:spacing w:after="0"/>
              <w:rPr>
                <w:sz w:val="15"/>
                <w:szCs w:val="15"/>
                <w:color w:val="auto"/>
              </w:rPr>
            </w:pPr>
          </w:p>
        </w:tc>
        <w:tc>
          <w:tcPr>
            <w:tcW w:w="4260" w:type="dxa"/>
            <w:vAlign w:val="bottom"/>
            <w:tcBorders>
              <w:top w:val="single" w:sz="8" w:color="0000FF"/>
            </w:tcBorders>
            <w:gridSpan w:val="9"/>
          </w:tcPr>
          <w:p>
            <w:pPr>
              <w:spacing w:after="0" w:line="173" w:lineRule="exact"/>
              <w:rPr>
                <w:rFonts w:ascii="Arial" w:cs="Arial" w:eastAsia="Arial" w:hAnsi="Arial"/>
                <w:sz w:val="17"/>
                <w:szCs w:val="17"/>
                <w:color w:val="0000FF"/>
                <w:w w:val="99"/>
              </w:rPr>
            </w:pPr>
            <w:hyperlink r:id="rId177">
              <w:r>
                <w:rPr>
                  <w:rFonts w:ascii="Arial" w:cs="Arial" w:eastAsia="Arial" w:hAnsi="Arial"/>
                  <w:sz w:val="17"/>
                  <w:szCs w:val="17"/>
                  <w:color w:val="0000FF"/>
                  <w:w w:val="99"/>
                </w:rPr>
                <w:t>thereto, the Guarantors identified on the signature pages</w:t>
              </w:r>
            </w:hyperlink>
          </w:p>
        </w:tc>
        <w:tc>
          <w:tcPr>
            <w:tcW w:w="1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300" w:type="dxa"/>
            <w:vAlign w:val="bottom"/>
          </w:tcPr>
          <w:p>
            <w:pPr>
              <w:spacing w:after="0"/>
              <w:rPr>
                <w:sz w:val="15"/>
                <w:szCs w:val="15"/>
                <w:color w:val="auto"/>
              </w:rPr>
            </w:pPr>
          </w:p>
        </w:tc>
        <w:tc>
          <w:tcPr>
            <w:tcW w:w="4260" w:type="dxa"/>
            <w:vAlign w:val="bottom"/>
            <w:tcBorders>
              <w:top w:val="single" w:sz="8" w:color="0000FF"/>
            </w:tcBorders>
            <w:gridSpan w:val="9"/>
          </w:tcPr>
          <w:p>
            <w:pPr>
              <w:spacing w:after="0" w:line="173" w:lineRule="exact"/>
              <w:rPr>
                <w:rFonts w:ascii="Arial" w:cs="Arial" w:eastAsia="Arial" w:hAnsi="Arial"/>
                <w:sz w:val="17"/>
                <w:szCs w:val="17"/>
                <w:color w:val="0000FF"/>
              </w:rPr>
            </w:pPr>
            <w:hyperlink r:id="rId177">
              <w:r>
                <w:rPr>
                  <w:rFonts w:ascii="Arial" w:cs="Arial" w:eastAsia="Arial" w:hAnsi="Arial"/>
                  <w:sz w:val="17"/>
                  <w:szCs w:val="17"/>
                  <w:color w:val="0000FF"/>
                </w:rPr>
                <w:t>thereto, the Lenders identified on the signature pages</w:t>
              </w:r>
            </w:hyperlink>
          </w:p>
        </w:tc>
        <w:tc>
          <w:tcPr>
            <w:tcW w:w="1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300" w:type="dxa"/>
            <w:vAlign w:val="bottom"/>
          </w:tcPr>
          <w:p>
            <w:pPr>
              <w:spacing w:after="0"/>
              <w:rPr>
                <w:sz w:val="15"/>
                <w:szCs w:val="15"/>
                <w:color w:val="auto"/>
              </w:rPr>
            </w:pPr>
          </w:p>
        </w:tc>
        <w:tc>
          <w:tcPr>
            <w:tcW w:w="4260" w:type="dxa"/>
            <w:vAlign w:val="bottom"/>
            <w:tcBorders>
              <w:top w:val="single" w:sz="8" w:color="0000FF"/>
            </w:tcBorders>
            <w:gridSpan w:val="9"/>
          </w:tcPr>
          <w:p>
            <w:pPr>
              <w:spacing w:after="0" w:line="173" w:lineRule="exact"/>
              <w:rPr>
                <w:rFonts w:ascii="Arial" w:cs="Arial" w:eastAsia="Arial" w:hAnsi="Arial"/>
                <w:sz w:val="17"/>
                <w:szCs w:val="17"/>
                <w:color w:val="0000FF"/>
              </w:rPr>
            </w:pPr>
            <w:hyperlink r:id="rId177">
              <w:r>
                <w:rPr>
                  <w:rFonts w:ascii="Arial" w:cs="Arial" w:eastAsia="Arial" w:hAnsi="Arial"/>
                  <w:sz w:val="17"/>
                  <w:szCs w:val="17"/>
                  <w:color w:val="0000FF"/>
                </w:rPr>
                <w:t>thereto and Bank of America, N.A., as administrative</w:t>
              </w:r>
            </w:hyperlink>
          </w:p>
        </w:tc>
        <w:tc>
          <w:tcPr>
            <w:tcW w:w="400" w:type="dxa"/>
            <w:vAlign w:val="bottom"/>
            <w:gridSpan w:val="9"/>
          </w:tcPr>
          <w:p>
            <w:pPr>
              <w:spacing w:after="0" w:line="173" w:lineRule="exact"/>
              <w:rPr>
                <w:rFonts w:ascii="Arial" w:cs="Arial" w:eastAsia="Arial" w:hAnsi="Arial"/>
                <w:sz w:val="17"/>
                <w:szCs w:val="17"/>
                <w:color w:val="0000FF"/>
                <w:w w:val="89"/>
              </w:rPr>
            </w:pPr>
            <w:hyperlink r:id="rId177">
              <w:r>
                <w:rPr>
                  <w:rFonts w:ascii="Arial" w:cs="Arial" w:eastAsia="Arial" w:hAnsi="Arial"/>
                  <w:sz w:val="17"/>
                  <w:szCs w:val="17"/>
                  <w:color w:val="0000FF"/>
                  <w:w w:val="89"/>
                </w:rPr>
                <w:t>agent</w:t>
              </w:r>
            </w:hyperlink>
          </w:p>
        </w:tc>
        <w:tc>
          <w:tcPr>
            <w:tcW w:w="7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
        </w:trPr>
        <w:tc>
          <w:tcPr>
            <w:tcW w:w="1300" w:type="dxa"/>
            <w:vAlign w:val="bottom"/>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72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1380" w:type="dxa"/>
            <w:vAlign w:val="bottom"/>
            <w:tcBorders>
              <w:top w:val="single" w:sz="8" w:color="0000FF"/>
            </w:tcBorders>
          </w:tcPr>
          <w:p>
            <w:pPr>
              <w:spacing w:after="0"/>
              <w:rPr>
                <w:sz w:val="2"/>
                <w:szCs w:val="2"/>
                <w:color w:val="auto"/>
              </w:rPr>
            </w:pPr>
          </w:p>
        </w:tc>
        <w:tc>
          <w:tcPr>
            <w:tcW w:w="5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0" w:type="dxa"/>
            <w:vAlign w:val="bottom"/>
            <w:tcBorders>
              <w:top w:val="single" w:sz="8" w:color="0000FF"/>
            </w:tcBorders>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1300" w:type="dxa"/>
            <w:vAlign w:val="bottom"/>
            <w:tcBorders>
              <w:bottom w:val="single" w:sz="8" w:color="DCE2EF"/>
            </w:tcBorders>
            <w:shd w:val="clear" w:color="auto" w:fill="DCE2EF"/>
          </w:tcPr>
          <w:p>
            <w:pPr>
              <w:ind w:left="20"/>
              <w:spacing w:after="0" w:line="180" w:lineRule="exact"/>
              <w:rPr>
                <w:sz w:val="20"/>
                <w:szCs w:val="20"/>
                <w:color w:val="auto"/>
              </w:rPr>
            </w:pPr>
            <w:r>
              <w:rPr>
                <w:rFonts w:ascii="Arial" w:cs="Arial" w:eastAsia="Arial" w:hAnsi="Arial"/>
                <w:sz w:val="17"/>
                <w:szCs w:val="17"/>
                <w:color w:val="auto"/>
              </w:rPr>
              <w:t>10.7</w:t>
            </w:r>
          </w:p>
        </w:tc>
        <w:tc>
          <w:tcPr>
            <w:tcW w:w="4260" w:type="dxa"/>
            <w:vAlign w:val="bottom"/>
            <w:tcBorders>
              <w:bottom w:val="single" w:sz="8" w:color="0000FF"/>
              <w:right w:val="single" w:sz="8" w:color="DCE2EF"/>
            </w:tcBorders>
            <w:gridSpan w:val="9"/>
            <w:shd w:val="clear" w:color="auto" w:fill="DCE2EF"/>
          </w:tcPr>
          <w:p>
            <w:pPr>
              <w:spacing w:after="0" w:line="180" w:lineRule="exact"/>
              <w:rPr>
                <w:rFonts w:ascii="Arial" w:cs="Arial" w:eastAsia="Arial" w:hAnsi="Arial"/>
                <w:sz w:val="17"/>
                <w:szCs w:val="17"/>
                <w:color w:val="0000FF"/>
              </w:rPr>
            </w:pPr>
            <w:hyperlink r:id="rId178">
              <w:r>
                <w:rPr>
                  <w:rFonts w:ascii="Arial" w:cs="Arial" w:eastAsia="Arial" w:hAnsi="Arial"/>
                  <w:sz w:val="17"/>
                  <w:szCs w:val="17"/>
                  <w:color w:val="0000FF"/>
                </w:rPr>
                <w:t>Fifth Amendment, dated as of November 1, 2022, to the</w:t>
              </w:r>
            </w:hyperlink>
          </w:p>
        </w:tc>
        <w:tc>
          <w:tcPr>
            <w:tcW w:w="400" w:type="dxa"/>
            <w:vAlign w:val="bottom"/>
            <w:tcBorders>
              <w:left w:val="single" w:sz="8" w:color="DCE2EF"/>
              <w:bottom w:val="single" w:sz="8" w:color="DCE2EF"/>
            </w:tcBorders>
            <w:gridSpan w:val="9"/>
            <w:shd w:val="clear" w:color="auto" w:fill="DCE2EF"/>
          </w:tcPr>
          <w:p>
            <w:pPr>
              <w:spacing w:after="0"/>
              <w:rPr>
                <w:sz w:val="15"/>
                <w:szCs w:val="15"/>
                <w:color w:val="auto"/>
              </w:rPr>
            </w:pPr>
          </w:p>
        </w:tc>
        <w:tc>
          <w:tcPr>
            <w:tcW w:w="740" w:type="dxa"/>
            <w:vAlign w:val="bottom"/>
            <w:tcBorders>
              <w:bottom w:val="single" w:sz="8" w:color="DCE2EF"/>
            </w:tcBorders>
            <w:shd w:val="clear" w:color="auto" w:fill="DCE2EF"/>
          </w:tcPr>
          <w:p>
            <w:pPr>
              <w:jc w:val="center"/>
              <w:ind w:right="14"/>
              <w:spacing w:after="0" w:line="180" w:lineRule="exact"/>
              <w:rPr>
                <w:sz w:val="20"/>
                <w:szCs w:val="20"/>
                <w:color w:val="auto"/>
              </w:rPr>
            </w:pPr>
            <w:r>
              <w:rPr>
                <w:rFonts w:ascii="Arial" w:cs="Arial" w:eastAsia="Arial" w:hAnsi="Arial"/>
                <w:sz w:val="17"/>
                <w:szCs w:val="17"/>
                <w:color w:val="auto"/>
              </w:rPr>
              <w:t>10-K</w:t>
            </w:r>
          </w:p>
        </w:tc>
        <w:tc>
          <w:tcPr>
            <w:tcW w:w="1340" w:type="dxa"/>
            <w:vAlign w:val="bottom"/>
            <w:tcBorders>
              <w:bottom w:val="single" w:sz="8" w:color="DCE2EF"/>
            </w:tcBorders>
            <w:shd w:val="clear" w:color="auto" w:fill="DCE2EF"/>
          </w:tcPr>
          <w:p>
            <w:pPr>
              <w:jc w:val="right"/>
              <w:ind w:right="194"/>
              <w:spacing w:after="0" w:line="180" w:lineRule="exact"/>
              <w:rPr>
                <w:sz w:val="20"/>
                <w:szCs w:val="20"/>
                <w:color w:val="auto"/>
              </w:rPr>
            </w:pPr>
            <w:r>
              <w:rPr>
                <w:rFonts w:ascii="Arial" w:cs="Arial" w:eastAsia="Arial" w:hAnsi="Arial"/>
                <w:sz w:val="17"/>
                <w:szCs w:val="17"/>
                <w:color w:val="auto"/>
              </w:rPr>
              <w:t>001-08929</w:t>
            </w:r>
          </w:p>
        </w:tc>
        <w:tc>
          <w:tcPr>
            <w:tcW w:w="1040" w:type="dxa"/>
            <w:vAlign w:val="bottom"/>
            <w:tcBorders>
              <w:bottom w:val="single" w:sz="8" w:color="DCE2EF"/>
            </w:tcBorders>
            <w:shd w:val="clear" w:color="auto" w:fill="DCE2EF"/>
          </w:tcPr>
          <w:p>
            <w:pPr>
              <w:jc w:val="center"/>
              <w:spacing w:after="0" w:line="180" w:lineRule="exact"/>
              <w:rPr>
                <w:sz w:val="20"/>
                <w:szCs w:val="20"/>
                <w:color w:val="auto"/>
              </w:rPr>
            </w:pPr>
            <w:r>
              <w:rPr>
                <w:rFonts w:ascii="Arial" w:cs="Arial" w:eastAsia="Arial" w:hAnsi="Arial"/>
                <w:sz w:val="17"/>
                <w:szCs w:val="17"/>
                <w:color w:val="auto"/>
              </w:rPr>
              <w:t>10.7</w:t>
            </w:r>
          </w:p>
        </w:tc>
        <w:tc>
          <w:tcPr>
            <w:tcW w:w="2160" w:type="dxa"/>
            <w:vAlign w:val="bottom"/>
            <w:tcBorders>
              <w:bottom w:val="single" w:sz="8" w:color="DCE2EF"/>
            </w:tcBorders>
            <w:shd w:val="clear" w:color="auto" w:fill="DCE2EF"/>
          </w:tcPr>
          <w:p>
            <w:pPr>
              <w:jc w:val="center"/>
              <w:spacing w:after="0" w:line="180" w:lineRule="exact"/>
              <w:rPr>
                <w:sz w:val="20"/>
                <w:szCs w:val="20"/>
                <w:color w:val="auto"/>
              </w:rPr>
            </w:pPr>
            <w:r>
              <w:rPr>
                <w:rFonts w:ascii="Arial" w:cs="Arial" w:eastAsia="Arial" w:hAnsi="Arial"/>
                <w:sz w:val="17"/>
                <w:szCs w:val="17"/>
                <w:color w:val="auto"/>
              </w:rPr>
              <w:t>December 21, 2022</w:t>
            </w:r>
          </w:p>
        </w:tc>
        <w:tc>
          <w:tcPr>
            <w:tcW w:w="0" w:type="dxa"/>
            <w:vAlign w:val="bottom"/>
          </w:tcPr>
          <w:p>
            <w:pPr>
              <w:spacing w:after="0"/>
              <w:rPr>
                <w:sz w:val="1"/>
                <w:szCs w:val="1"/>
                <w:color w:val="auto"/>
              </w:rPr>
            </w:pPr>
          </w:p>
        </w:tc>
      </w:tr>
      <w:tr>
        <w:trPr>
          <w:trHeight w:val="148"/>
        </w:trPr>
        <w:tc>
          <w:tcPr>
            <w:tcW w:w="1300" w:type="dxa"/>
            <w:vAlign w:val="bottom"/>
            <w:shd w:val="clear" w:color="auto" w:fill="DCE2EF"/>
          </w:tcPr>
          <w:p>
            <w:pPr>
              <w:spacing w:after="0"/>
              <w:rPr>
                <w:sz w:val="12"/>
                <w:szCs w:val="12"/>
                <w:color w:val="auto"/>
              </w:rPr>
            </w:pPr>
          </w:p>
        </w:tc>
        <w:tc>
          <w:tcPr>
            <w:tcW w:w="4660" w:type="dxa"/>
            <w:vAlign w:val="bottom"/>
            <w:gridSpan w:val="18"/>
            <w:shd w:val="clear" w:color="auto" w:fill="DCE2EF"/>
          </w:tcPr>
          <w:p>
            <w:pPr>
              <w:spacing w:after="0" w:line="148" w:lineRule="exact"/>
              <w:rPr>
                <w:rFonts w:ascii="Arial" w:cs="Arial" w:eastAsia="Arial" w:hAnsi="Arial"/>
                <w:sz w:val="17"/>
                <w:szCs w:val="17"/>
                <w:color w:val="0000FF"/>
              </w:rPr>
            </w:pPr>
            <w:hyperlink r:id="rId178">
              <w:r>
                <w:rPr>
                  <w:rFonts w:ascii="Arial" w:cs="Arial" w:eastAsia="Arial" w:hAnsi="Arial"/>
                  <w:sz w:val="17"/>
                  <w:szCs w:val="17"/>
                  <w:color w:val="0000FF"/>
                </w:rPr>
                <w:t>Credit Agreement dated September 1, 2017, by and among</w:t>
              </w:r>
            </w:hyperlink>
          </w:p>
        </w:tc>
        <w:tc>
          <w:tcPr>
            <w:tcW w:w="740" w:type="dxa"/>
            <w:vAlign w:val="bottom"/>
            <w:shd w:val="clear" w:color="auto" w:fill="DCE2EF"/>
          </w:tcPr>
          <w:p>
            <w:pPr>
              <w:spacing w:after="0"/>
              <w:rPr>
                <w:sz w:val="12"/>
                <w:szCs w:val="12"/>
                <w:color w:val="auto"/>
              </w:rPr>
            </w:pPr>
          </w:p>
        </w:tc>
        <w:tc>
          <w:tcPr>
            <w:tcW w:w="1340" w:type="dxa"/>
            <w:vAlign w:val="bottom"/>
            <w:shd w:val="clear" w:color="auto" w:fill="DCE2EF"/>
          </w:tcPr>
          <w:p>
            <w:pPr>
              <w:spacing w:after="0"/>
              <w:rPr>
                <w:sz w:val="12"/>
                <w:szCs w:val="12"/>
                <w:color w:val="auto"/>
              </w:rPr>
            </w:pPr>
          </w:p>
        </w:tc>
        <w:tc>
          <w:tcPr>
            <w:tcW w:w="1040" w:type="dxa"/>
            <w:vAlign w:val="bottom"/>
            <w:shd w:val="clear" w:color="auto" w:fill="DCE2EF"/>
          </w:tcPr>
          <w:p>
            <w:pPr>
              <w:spacing w:after="0"/>
              <w:rPr>
                <w:sz w:val="12"/>
                <w:szCs w:val="12"/>
                <w:color w:val="auto"/>
              </w:rPr>
            </w:pPr>
          </w:p>
        </w:tc>
        <w:tc>
          <w:tcPr>
            <w:tcW w:w="2160" w:type="dxa"/>
            <w:vAlign w:val="bottom"/>
            <w:shd w:val="clear" w:color="auto" w:fill="DCE2EF"/>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300" w:type="dxa"/>
            <w:vAlign w:val="bottom"/>
            <w:tcBorders>
              <w:top w:val="single" w:sz="8" w:color="DCE2EF"/>
            </w:tcBorders>
            <w:shd w:val="clear" w:color="auto" w:fill="DCE2EF"/>
          </w:tcPr>
          <w:p>
            <w:pPr>
              <w:spacing w:after="0"/>
              <w:rPr>
                <w:sz w:val="13"/>
                <w:szCs w:val="13"/>
                <w:color w:val="auto"/>
              </w:rPr>
            </w:pPr>
          </w:p>
        </w:tc>
        <w:tc>
          <w:tcPr>
            <w:tcW w:w="4520" w:type="dxa"/>
            <w:vAlign w:val="bottom"/>
            <w:tcBorders>
              <w:top w:val="single" w:sz="8" w:color="0000FF"/>
            </w:tcBorders>
            <w:gridSpan w:val="17"/>
            <w:shd w:val="clear" w:color="auto" w:fill="DCE2EF"/>
          </w:tcPr>
          <w:p>
            <w:pPr>
              <w:spacing w:after="0" w:line="161" w:lineRule="exact"/>
              <w:rPr>
                <w:rFonts w:ascii="Arial" w:cs="Arial" w:eastAsia="Arial" w:hAnsi="Arial"/>
                <w:sz w:val="17"/>
                <w:szCs w:val="17"/>
                <w:color w:val="0000FF"/>
              </w:rPr>
            </w:pPr>
            <w:hyperlink r:id="rId178">
              <w:r>
                <w:rPr>
                  <w:rFonts w:ascii="Arial" w:cs="Arial" w:eastAsia="Arial" w:hAnsi="Arial"/>
                  <w:sz w:val="17"/>
                  <w:szCs w:val="17"/>
                  <w:color w:val="0000FF"/>
                </w:rPr>
                <w:t>ABM Industries Incorporated, a Delaware corporation, the</w:t>
              </w:r>
            </w:hyperlink>
          </w:p>
        </w:tc>
        <w:tc>
          <w:tcPr>
            <w:tcW w:w="140" w:type="dxa"/>
            <w:vAlign w:val="bottom"/>
            <w:tcBorders>
              <w:top w:val="single" w:sz="8" w:color="DCE2EF"/>
            </w:tcBorders>
            <w:shd w:val="clear" w:color="auto" w:fill="DCE2EF"/>
          </w:tcPr>
          <w:p>
            <w:pPr>
              <w:spacing w:after="0"/>
              <w:rPr>
                <w:sz w:val="13"/>
                <w:szCs w:val="13"/>
                <w:color w:val="auto"/>
              </w:rPr>
            </w:pPr>
          </w:p>
        </w:tc>
        <w:tc>
          <w:tcPr>
            <w:tcW w:w="740" w:type="dxa"/>
            <w:vAlign w:val="bottom"/>
            <w:tcBorders>
              <w:top w:val="single" w:sz="8" w:color="DCE2EF"/>
            </w:tcBorders>
            <w:shd w:val="clear" w:color="auto" w:fill="DCE2EF"/>
          </w:tcPr>
          <w:p>
            <w:pPr>
              <w:spacing w:after="0"/>
              <w:rPr>
                <w:sz w:val="13"/>
                <w:szCs w:val="13"/>
                <w:color w:val="auto"/>
              </w:rPr>
            </w:pPr>
          </w:p>
        </w:tc>
        <w:tc>
          <w:tcPr>
            <w:tcW w:w="1340" w:type="dxa"/>
            <w:vAlign w:val="bottom"/>
            <w:tcBorders>
              <w:top w:val="single" w:sz="8" w:color="DCE2EF"/>
            </w:tcBorders>
            <w:shd w:val="clear" w:color="auto" w:fill="DCE2EF"/>
          </w:tcPr>
          <w:p>
            <w:pPr>
              <w:spacing w:after="0"/>
              <w:rPr>
                <w:sz w:val="13"/>
                <w:szCs w:val="13"/>
                <w:color w:val="auto"/>
              </w:rPr>
            </w:pPr>
          </w:p>
        </w:tc>
        <w:tc>
          <w:tcPr>
            <w:tcW w:w="1040" w:type="dxa"/>
            <w:vAlign w:val="bottom"/>
            <w:tcBorders>
              <w:top w:val="single" w:sz="8" w:color="DCE2EF"/>
            </w:tcBorders>
            <w:shd w:val="clear" w:color="auto" w:fill="DCE2EF"/>
          </w:tcPr>
          <w:p>
            <w:pPr>
              <w:spacing w:after="0"/>
              <w:rPr>
                <w:sz w:val="13"/>
                <w:szCs w:val="13"/>
                <w:color w:val="auto"/>
              </w:rPr>
            </w:pPr>
          </w:p>
        </w:tc>
        <w:tc>
          <w:tcPr>
            <w:tcW w:w="2160" w:type="dxa"/>
            <w:vAlign w:val="bottom"/>
            <w:tcBorders>
              <w:top w:val="single" w:sz="8" w:color="DCE2EF"/>
            </w:tcBorders>
            <w:shd w:val="clear" w:color="auto" w:fill="DCE2E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300" w:type="dxa"/>
            <w:vAlign w:val="bottom"/>
            <w:tcBorders>
              <w:top w:val="single" w:sz="8" w:color="DCE2EF"/>
            </w:tcBorders>
            <w:shd w:val="clear" w:color="auto" w:fill="DCE2EF"/>
          </w:tcPr>
          <w:p>
            <w:pPr>
              <w:spacing w:after="0"/>
              <w:rPr>
                <w:sz w:val="12"/>
                <w:szCs w:val="12"/>
                <w:color w:val="auto"/>
              </w:rPr>
            </w:pPr>
          </w:p>
        </w:tc>
        <w:tc>
          <w:tcPr>
            <w:tcW w:w="4380" w:type="dxa"/>
            <w:vAlign w:val="bottom"/>
            <w:tcBorders>
              <w:top w:val="single" w:sz="8" w:color="0000FF"/>
            </w:tcBorders>
            <w:gridSpan w:val="10"/>
            <w:shd w:val="clear" w:color="auto" w:fill="DCE2EF"/>
          </w:tcPr>
          <w:p>
            <w:pPr>
              <w:spacing w:after="0" w:line="148" w:lineRule="exact"/>
              <w:rPr>
                <w:rFonts w:ascii="Arial" w:cs="Arial" w:eastAsia="Arial" w:hAnsi="Arial"/>
                <w:sz w:val="17"/>
                <w:szCs w:val="17"/>
                <w:color w:val="0000FF"/>
              </w:rPr>
            </w:pPr>
            <w:hyperlink r:id="rId178">
              <w:r>
                <w:rPr>
                  <w:rFonts w:ascii="Arial" w:cs="Arial" w:eastAsia="Arial" w:hAnsi="Arial"/>
                  <w:sz w:val="17"/>
                  <w:szCs w:val="17"/>
                  <w:color w:val="0000FF"/>
                </w:rPr>
                <w:t>Designated Borrowers identified on the signature pages</w:t>
              </w:r>
            </w:hyperlink>
          </w:p>
        </w:tc>
        <w:tc>
          <w:tcPr>
            <w:tcW w:w="40" w:type="dxa"/>
            <w:vAlign w:val="bottom"/>
            <w:tcBorders>
              <w:top w:val="single" w:sz="8" w:color="DCE2EF"/>
            </w:tcBorders>
            <w:shd w:val="clear" w:color="auto" w:fill="DCE2EF"/>
          </w:tcPr>
          <w:p>
            <w:pPr>
              <w:spacing w:after="0"/>
              <w:rPr>
                <w:sz w:val="12"/>
                <w:szCs w:val="12"/>
                <w:color w:val="auto"/>
              </w:rPr>
            </w:pPr>
          </w:p>
        </w:tc>
        <w:tc>
          <w:tcPr>
            <w:tcW w:w="20" w:type="dxa"/>
            <w:vAlign w:val="bottom"/>
            <w:tcBorders>
              <w:top w:val="single" w:sz="8" w:color="DCE2EF"/>
            </w:tcBorders>
            <w:shd w:val="clear" w:color="auto" w:fill="DCE2EF"/>
          </w:tcPr>
          <w:p>
            <w:pPr>
              <w:spacing w:after="0"/>
              <w:rPr>
                <w:sz w:val="12"/>
                <w:szCs w:val="12"/>
                <w:color w:val="auto"/>
              </w:rPr>
            </w:pPr>
          </w:p>
        </w:tc>
        <w:tc>
          <w:tcPr>
            <w:tcW w:w="60" w:type="dxa"/>
            <w:vAlign w:val="bottom"/>
            <w:tcBorders>
              <w:top w:val="single" w:sz="8" w:color="DCE2EF"/>
            </w:tcBorders>
            <w:gridSpan w:val="3"/>
            <w:shd w:val="clear" w:color="auto" w:fill="DCE2EF"/>
          </w:tcPr>
          <w:p>
            <w:pPr>
              <w:spacing w:after="0"/>
              <w:rPr>
                <w:sz w:val="12"/>
                <w:szCs w:val="12"/>
                <w:color w:val="auto"/>
              </w:rPr>
            </w:pPr>
          </w:p>
        </w:tc>
        <w:tc>
          <w:tcPr>
            <w:tcW w:w="20" w:type="dxa"/>
            <w:vAlign w:val="bottom"/>
            <w:tcBorders>
              <w:top w:val="single" w:sz="8" w:color="DCE2EF"/>
            </w:tcBorders>
            <w:shd w:val="clear" w:color="auto" w:fill="DCE2EF"/>
          </w:tcPr>
          <w:p>
            <w:pPr>
              <w:spacing w:after="0"/>
              <w:rPr>
                <w:sz w:val="12"/>
                <w:szCs w:val="12"/>
                <w:color w:val="auto"/>
              </w:rPr>
            </w:pPr>
          </w:p>
        </w:tc>
        <w:tc>
          <w:tcPr>
            <w:tcW w:w="0" w:type="dxa"/>
            <w:vAlign w:val="bottom"/>
            <w:tcBorders>
              <w:top w:val="single" w:sz="8" w:color="DCE2EF"/>
            </w:tcBorders>
            <w:shd w:val="clear" w:color="auto" w:fill="DCE2EF"/>
          </w:tcPr>
          <w:p>
            <w:pPr>
              <w:spacing w:after="0"/>
              <w:rPr>
                <w:sz w:val="12"/>
                <w:szCs w:val="12"/>
                <w:color w:val="auto"/>
              </w:rPr>
            </w:pPr>
          </w:p>
        </w:tc>
        <w:tc>
          <w:tcPr>
            <w:tcW w:w="140" w:type="dxa"/>
            <w:vAlign w:val="bottom"/>
            <w:tcBorders>
              <w:top w:val="single" w:sz="8" w:color="DCE2EF"/>
            </w:tcBorders>
            <w:shd w:val="clear" w:color="auto" w:fill="DCE2EF"/>
          </w:tcPr>
          <w:p>
            <w:pPr>
              <w:spacing w:after="0"/>
              <w:rPr>
                <w:sz w:val="12"/>
                <w:szCs w:val="12"/>
                <w:color w:val="auto"/>
              </w:rPr>
            </w:pPr>
          </w:p>
        </w:tc>
        <w:tc>
          <w:tcPr>
            <w:tcW w:w="740" w:type="dxa"/>
            <w:vAlign w:val="bottom"/>
            <w:tcBorders>
              <w:top w:val="single" w:sz="8" w:color="DCE2EF"/>
            </w:tcBorders>
            <w:shd w:val="clear" w:color="auto" w:fill="DCE2EF"/>
          </w:tcPr>
          <w:p>
            <w:pPr>
              <w:spacing w:after="0"/>
              <w:rPr>
                <w:sz w:val="12"/>
                <w:szCs w:val="12"/>
                <w:color w:val="auto"/>
              </w:rPr>
            </w:pPr>
          </w:p>
        </w:tc>
        <w:tc>
          <w:tcPr>
            <w:tcW w:w="1340" w:type="dxa"/>
            <w:vAlign w:val="bottom"/>
            <w:tcBorders>
              <w:top w:val="single" w:sz="8" w:color="DCE2EF"/>
            </w:tcBorders>
            <w:shd w:val="clear" w:color="auto" w:fill="DCE2EF"/>
          </w:tcPr>
          <w:p>
            <w:pPr>
              <w:spacing w:after="0"/>
              <w:rPr>
                <w:sz w:val="12"/>
                <w:szCs w:val="12"/>
                <w:color w:val="auto"/>
              </w:rPr>
            </w:pPr>
          </w:p>
        </w:tc>
        <w:tc>
          <w:tcPr>
            <w:tcW w:w="1040" w:type="dxa"/>
            <w:vAlign w:val="bottom"/>
            <w:tcBorders>
              <w:top w:val="single" w:sz="8" w:color="DCE2EF"/>
            </w:tcBorders>
            <w:shd w:val="clear" w:color="auto" w:fill="DCE2EF"/>
          </w:tcPr>
          <w:p>
            <w:pPr>
              <w:spacing w:after="0"/>
              <w:rPr>
                <w:sz w:val="12"/>
                <w:szCs w:val="12"/>
                <w:color w:val="auto"/>
              </w:rPr>
            </w:pPr>
          </w:p>
        </w:tc>
        <w:tc>
          <w:tcPr>
            <w:tcW w:w="2160" w:type="dxa"/>
            <w:vAlign w:val="bottom"/>
            <w:tcBorders>
              <w:top w:val="single" w:sz="8" w:color="DCE2EF"/>
            </w:tcBorders>
            <w:shd w:val="clear" w:color="auto" w:fill="DCE2E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00" w:type="dxa"/>
            <w:vAlign w:val="bottom"/>
            <w:tcBorders>
              <w:top w:val="single" w:sz="8" w:color="DCE2EF"/>
            </w:tcBorders>
            <w:shd w:val="clear" w:color="auto" w:fill="DCE2EF"/>
          </w:tcPr>
          <w:p>
            <w:pPr>
              <w:spacing w:after="0"/>
              <w:rPr>
                <w:sz w:val="12"/>
                <w:szCs w:val="12"/>
                <w:color w:val="auto"/>
              </w:rPr>
            </w:pPr>
          </w:p>
        </w:tc>
        <w:tc>
          <w:tcPr>
            <w:tcW w:w="4260" w:type="dxa"/>
            <w:vAlign w:val="bottom"/>
            <w:tcBorders>
              <w:top w:val="single" w:sz="8" w:color="0000FF"/>
              <w:right w:val="single" w:sz="8" w:color="DCE2EF"/>
            </w:tcBorders>
            <w:gridSpan w:val="9"/>
            <w:shd w:val="clear" w:color="auto" w:fill="DCE2EF"/>
          </w:tcPr>
          <w:p>
            <w:pPr>
              <w:spacing w:after="0" w:line="148" w:lineRule="exact"/>
              <w:rPr>
                <w:rFonts w:ascii="Arial" w:cs="Arial" w:eastAsia="Arial" w:hAnsi="Arial"/>
                <w:sz w:val="17"/>
                <w:szCs w:val="17"/>
                <w:color w:val="0000FF"/>
              </w:rPr>
            </w:pPr>
            <w:hyperlink r:id="rId178">
              <w:r>
                <w:rPr>
                  <w:rFonts w:ascii="Arial" w:cs="Arial" w:eastAsia="Arial" w:hAnsi="Arial"/>
                  <w:sz w:val="17"/>
                  <w:szCs w:val="17"/>
                  <w:color w:val="0000FF"/>
                </w:rPr>
                <w:t>thereto, the Subsidiary Guarantors identified on the</w:t>
              </w:r>
            </w:hyperlink>
          </w:p>
        </w:tc>
        <w:tc>
          <w:tcPr>
            <w:tcW w:w="160" w:type="dxa"/>
            <w:vAlign w:val="bottom"/>
            <w:tcBorders>
              <w:top w:val="single" w:sz="8" w:color="DCE2EF"/>
              <w:left w:val="single" w:sz="8" w:color="DCE2EF"/>
            </w:tcBorders>
            <w:gridSpan w:val="2"/>
            <w:shd w:val="clear" w:color="auto" w:fill="DCE2EF"/>
          </w:tcPr>
          <w:p>
            <w:pPr>
              <w:spacing w:after="0"/>
              <w:rPr>
                <w:sz w:val="12"/>
                <w:szCs w:val="12"/>
                <w:color w:val="auto"/>
              </w:rPr>
            </w:pPr>
          </w:p>
        </w:tc>
        <w:tc>
          <w:tcPr>
            <w:tcW w:w="20" w:type="dxa"/>
            <w:vAlign w:val="bottom"/>
            <w:tcBorders>
              <w:top w:val="single" w:sz="8" w:color="DCE2EF"/>
            </w:tcBorders>
            <w:shd w:val="clear" w:color="auto" w:fill="DCE2EF"/>
          </w:tcPr>
          <w:p>
            <w:pPr>
              <w:spacing w:after="0"/>
              <w:rPr>
                <w:sz w:val="12"/>
                <w:szCs w:val="12"/>
                <w:color w:val="auto"/>
              </w:rPr>
            </w:pPr>
          </w:p>
        </w:tc>
        <w:tc>
          <w:tcPr>
            <w:tcW w:w="60" w:type="dxa"/>
            <w:vAlign w:val="bottom"/>
            <w:tcBorders>
              <w:top w:val="single" w:sz="8" w:color="DCE2EF"/>
            </w:tcBorders>
            <w:gridSpan w:val="3"/>
            <w:shd w:val="clear" w:color="auto" w:fill="DCE2EF"/>
          </w:tcPr>
          <w:p>
            <w:pPr>
              <w:spacing w:after="0"/>
              <w:rPr>
                <w:sz w:val="12"/>
                <w:szCs w:val="12"/>
                <w:color w:val="auto"/>
              </w:rPr>
            </w:pPr>
          </w:p>
        </w:tc>
        <w:tc>
          <w:tcPr>
            <w:tcW w:w="20" w:type="dxa"/>
            <w:vAlign w:val="bottom"/>
            <w:tcBorders>
              <w:top w:val="single" w:sz="8" w:color="DCE2EF"/>
            </w:tcBorders>
            <w:shd w:val="clear" w:color="auto" w:fill="DCE2EF"/>
          </w:tcPr>
          <w:p>
            <w:pPr>
              <w:spacing w:after="0"/>
              <w:rPr>
                <w:sz w:val="12"/>
                <w:szCs w:val="12"/>
                <w:color w:val="auto"/>
              </w:rPr>
            </w:pPr>
          </w:p>
        </w:tc>
        <w:tc>
          <w:tcPr>
            <w:tcW w:w="0" w:type="dxa"/>
            <w:vAlign w:val="bottom"/>
            <w:tcBorders>
              <w:top w:val="single" w:sz="8" w:color="DCE2EF"/>
            </w:tcBorders>
            <w:shd w:val="clear" w:color="auto" w:fill="DCE2EF"/>
          </w:tcPr>
          <w:p>
            <w:pPr>
              <w:spacing w:after="0"/>
              <w:rPr>
                <w:sz w:val="12"/>
                <w:szCs w:val="12"/>
                <w:color w:val="auto"/>
              </w:rPr>
            </w:pPr>
          </w:p>
        </w:tc>
        <w:tc>
          <w:tcPr>
            <w:tcW w:w="140" w:type="dxa"/>
            <w:vAlign w:val="bottom"/>
            <w:tcBorders>
              <w:top w:val="single" w:sz="8" w:color="DCE2EF"/>
            </w:tcBorders>
            <w:shd w:val="clear" w:color="auto" w:fill="DCE2EF"/>
          </w:tcPr>
          <w:p>
            <w:pPr>
              <w:spacing w:after="0"/>
              <w:rPr>
                <w:sz w:val="12"/>
                <w:szCs w:val="12"/>
                <w:color w:val="auto"/>
              </w:rPr>
            </w:pPr>
          </w:p>
        </w:tc>
        <w:tc>
          <w:tcPr>
            <w:tcW w:w="740" w:type="dxa"/>
            <w:vAlign w:val="bottom"/>
            <w:tcBorders>
              <w:top w:val="single" w:sz="8" w:color="DCE2EF"/>
            </w:tcBorders>
            <w:shd w:val="clear" w:color="auto" w:fill="DCE2EF"/>
          </w:tcPr>
          <w:p>
            <w:pPr>
              <w:spacing w:after="0"/>
              <w:rPr>
                <w:sz w:val="12"/>
                <w:szCs w:val="12"/>
                <w:color w:val="auto"/>
              </w:rPr>
            </w:pPr>
          </w:p>
        </w:tc>
        <w:tc>
          <w:tcPr>
            <w:tcW w:w="1340" w:type="dxa"/>
            <w:vAlign w:val="bottom"/>
            <w:tcBorders>
              <w:top w:val="single" w:sz="8" w:color="DCE2EF"/>
            </w:tcBorders>
            <w:shd w:val="clear" w:color="auto" w:fill="DCE2EF"/>
          </w:tcPr>
          <w:p>
            <w:pPr>
              <w:spacing w:after="0"/>
              <w:rPr>
                <w:sz w:val="12"/>
                <w:szCs w:val="12"/>
                <w:color w:val="auto"/>
              </w:rPr>
            </w:pPr>
          </w:p>
        </w:tc>
        <w:tc>
          <w:tcPr>
            <w:tcW w:w="1040" w:type="dxa"/>
            <w:vAlign w:val="bottom"/>
            <w:tcBorders>
              <w:top w:val="single" w:sz="8" w:color="DCE2EF"/>
            </w:tcBorders>
            <w:shd w:val="clear" w:color="auto" w:fill="DCE2EF"/>
          </w:tcPr>
          <w:p>
            <w:pPr>
              <w:spacing w:after="0"/>
              <w:rPr>
                <w:sz w:val="12"/>
                <w:szCs w:val="12"/>
                <w:color w:val="auto"/>
              </w:rPr>
            </w:pPr>
          </w:p>
        </w:tc>
        <w:tc>
          <w:tcPr>
            <w:tcW w:w="2160" w:type="dxa"/>
            <w:vAlign w:val="bottom"/>
            <w:tcBorders>
              <w:top w:val="single" w:sz="8" w:color="DCE2EF"/>
            </w:tcBorders>
            <w:shd w:val="clear" w:color="auto" w:fill="DCE2EF"/>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300" w:type="dxa"/>
            <w:vAlign w:val="bottom"/>
            <w:tcBorders>
              <w:top w:val="single" w:sz="8" w:color="DCE2EF"/>
            </w:tcBorders>
            <w:shd w:val="clear" w:color="auto" w:fill="DCE2EF"/>
          </w:tcPr>
          <w:p>
            <w:pPr>
              <w:spacing w:after="0"/>
              <w:rPr>
                <w:sz w:val="13"/>
                <w:szCs w:val="13"/>
                <w:color w:val="auto"/>
              </w:rPr>
            </w:pPr>
          </w:p>
        </w:tc>
        <w:tc>
          <w:tcPr>
            <w:tcW w:w="3880" w:type="dxa"/>
            <w:vAlign w:val="bottom"/>
            <w:tcBorders>
              <w:top w:val="single" w:sz="8" w:color="0000FF"/>
            </w:tcBorders>
            <w:gridSpan w:val="7"/>
            <w:shd w:val="clear" w:color="auto" w:fill="DCE2EF"/>
          </w:tcPr>
          <w:p>
            <w:pPr>
              <w:spacing w:after="0" w:line="161" w:lineRule="exact"/>
              <w:rPr>
                <w:rFonts w:ascii="Arial" w:cs="Arial" w:eastAsia="Arial" w:hAnsi="Arial"/>
                <w:sz w:val="17"/>
                <w:szCs w:val="17"/>
                <w:color w:val="0000FF"/>
              </w:rPr>
            </w:pPr>
            <w:hyperlink r:id="rId178">
              <w:r>
                <w:rPr>
                  <w:rFonts w:ascii="Arial" w:cs="Arial" w:eastAsia="Arial" w:hAnsi="Arial"/>
                  <w:sz w:val="17"/>
                  <w:szCs w:val="17"/>
                  <w:color w:val="0000FF"/>
                </w:rPr>
                <w:t>signature pages thereto, the Lenders identified on</w:t>
              </w:r>
            </w:hyperlink>
          </w:p>
        </w:tc>
        <w:tc>
          <w:tcPr>
            <w:tcW w:w="780" w:type="dxa"/>
            <w:vAlign w:val="bottom"/>
            <w:tcBorders>
              <w:top w:val="single" w:sz="8" w:color="DCE2EF"/>
            </w:tcBorders>
            <w:gridSpan w:val="11"/>
            <w:shd w:val="clear" w:color="auto" w:fill="DCE2EF"/>
          </w:tcPr>
          <w:p>
            <w:pPr>
              <w:spacing w:after="0" w:line="161" w:lineRule="exact"/>
              <w:rPr>
                <w:rFonts w:ascii="Arial" w:cs="Arial" w:eastAsia="Arial" w:hAnsi="Arial"/>
                <w:sz w:val="17"/>
                <w:szCs w:val="17"/>
                <w:color w:val="0000FF"/>
              </w:rPr>
            </w:pPr>
            <w:hyperlink r:id="rId178">
              <w:r>
                <w:rPr>
                  <w:rFonts w:ascii="Arial" w:cs="Arial" w:eastAsia="Arial" w:hAnsi="Arial"/>
                  <w:sz w:val="17"/>
                  <w:szCs w:val="17"/>
                  <w:color w:val="0000FF"/>
                </w:rPr>
                <w:t>the</w:t>
              </w:r>
            </w:hyperlink>
          </w:p>
        </w:tc>
        <w:tc>
          <w:tcPr>
            <w:tcW w:w="740" w:type="dxa"/>
            <w:vAlign w:val="bottom"/>
            <w:tcBorders>
              <w:top w:val="single" w:sz="8" w:color="DCE2EF"/>
            </w:tcBorders>
            <w:shd w:val="clear" w:color="auto" w:fill="DCE2EF"/>
          </w:tcPr>
          <w:p>
            <w:pPr>
              <w:spacing w:after="0"/>
              <w:rPr>
                <w:sz w:val="13"/>
                <w:szCs w:val="13"/>
                <w:color w:val="auto"/>
              </w:rPr>
            </w:pPr>
          </w:p>
        </w:tc>
        <w:tc>
          <w:tcPr>
            <w:tcW w:w="1340" w:type="dxa"/>
            <w:vAlign w:val="bottom"/>
            <w:tcBorders>
              <w:top w:val="single" w:sz="8" w:color="DCE2EF"/>
            </w:tcBorders>
            <w:shd w:val="clear" w:color="auto" w:fill="DCE2EF"/>
          </w:tcPr>
          <w:p>
            <w:pPr>
              <w:spacing w:after="0"/>
              <w:rPr>
                <w:sz w:val="13"/>
                <w:szCs w:val="13"/>
                <w:color w:val="auto"/>
              </w:rPr>
            </w:pPr>
          </w:p>
        </w:tc>
        <w:tc>
          <w:tcPr>
            <w:tcW w:w="1040" w:type="dxa"/>
            <w:vAlign w:val="bottom"/>
            <w:tcBorders>
              <w:top w:val="single" w:sz="8" w:color="DCE2EF"/>
            </w:tcBorders>
            <w:shd w:val="clear" w:color="auto" w:fill="DCE2EF"/>
          </w:tcPr>
          <w:p>
            <w:pPr>
              <w:spacing w:after="0"/>
              <w:rPr>
                <w:sz w:val="13"/>
                <w:szCs w:val="13"/>
                <w:color w:val="auto"/>
              </w:rPr>
            </w:pPr>
          </w:p>
        </w:tc>
        <w:tc>
          <w:tcPr>
            <w:tcW w:w="2160" w:type="dxa"/>
            <w:vAlign w:val="bottom"/>
            <w:tcBorders>
              <w:top w:val="single" w:sz="8" w:color="DCE2EF"/>
            </w:tcBorders>
            <w:shd w:val="clear" w:color="auto" w:fill="DCE2E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00" w:type="dxa"/>
            <w:vAlign w:val="bottom"/>
            <w:shd w:val="clear" w:color="auto" w:fill="DCE2E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DCE2EF"/>
            </w:tcBorders>
            <w:gridSpan w:val="2"/>
            <w:shd w:val="clear" w:color="auto" w:fill="DCE2EF"/>
          </w:tcPr>
          <w:p>
            <w:pPr>
              <w:spacing w:after="0" w:line="20" w:lineRule="exact"/>
              <w:rPr>
                <w:sz w:val="1"/>
                <w:szCs w:val="1"/>
                <w:color w:val="auto"/>
              </w:rPr>
            </w:pPr>
          </w:p>
        </w:tc>
        <w:tc>
          <w:tcPr>
            <w:tcW w:w="20" w:type="dxa"/>
            <w:vAlign w:val="bottom"/>
            <w:shd w:val="clear" w:color="auto" w:fill="DCE2EF"/>
          </w:tcPr>
          <w:p>
            <w:pPr>
              <w:spacing w:after="0" w:line="20" w:lineRule="exact"/>
              <w:rPr>
                <w:sz w:val="1"/>
                <w:szCs w:val="1"/>
                <w:color w:val="auto"/>
              </w:rPr>
            </w:pPr>
          </w:p>
        </w:tc>
        <w:tc>
          <w:tcPr>
            <w:tcW w:w="60" w:type="dxa"/>
            <w:vAlign w:val="bottom"/>
            <w:gridSpan w:val="3"/>
            <w:shd w:val="clear" w:color="auto" w:fill="DCE2EF"/>
          </w:tcPr>
          <w:p>
            <w:pPr>
              <w:spacing w:after="0" w:line="20" w:lineRule="exact"/>
              <w:rPr>
                <w:sz w:val="1"/>
                <w:szCs w:val="1"/>
                <w:color w:val="auto"/>
              </w:rPr>
            </w:pPr>
          </w:p>
        </w:tc>
        <w:tc>
          <w:tcPr>
            <w:tcW w:w="20" w:type="dxa"/>
            <w:vAlign w:val="bottom"/>
            <w:shd w:val="clear" w:color="auto" w:fill="DCE2EF"/>
          </w:tcPr>
          <w:p>
            <w:pPr>
              <w:spacing w:after="0" w:line="20" w:lineRule="exact"/>
              <w:rPr>
                <w:sz w:val="1"/>
                <w:szCs w:val="1"/>
                <w:color w:val="auto"/>
              </w:rPr>
            </w:pPr>
          </w:p>
        </w:tc>
        <w:tc>
          <w:tcPr>
            <w:tcW w:w="0" w:type="dxa"/>
            <w:vAlign w:val="bottom"/>
            <w:shd w:val="clear" w:color="auto" w:fill="DCE2EF"/>
          </w:tcPr>
          <w:p>
            <w:pPr>
              <w:spacing w:after="0" w:line="20" w:lineRule="exact"/>
              <w:rPr>
                <w:sz w:val="1"/>
                <w:szCs w:val="1"/>
                <w:color w:val="auto"/>
              </w:rPr>
            </w:pPr>
          </w:p>
        </w:tc>
        <w:tc>
          <w:tcPr>
            <w:tcW w:w="140" w:type="dxa"/>
            <w:vAlign w:val="bottom"/>
            <w:shd w:val="clear" w:color="auto" w:fill="DCE2EF"/>
          </w:tcPr>
          <w:p>
            <w:pPr>
              <w:spacing w:after="0" w:line="20" w:lineRule="exact"/>
              <w:rPr>
                <w:sz w:val="1"/>
                <w:szCs w:val="1"/>
                <w:color w:val="auto"/>
              </w:rPr>
            </w:pPr>
          </w:p>
        </w:tc>
        <w:tc>
          <w:tcPr>
            <w:tcW w:w="740" w:type="dxa"/>
            <w:vAlign w:val="bottom"/>
            <w:shd w:val="clear" w:color="auto" w:fill="DCE2EF"/>
          </w:tcPr>
          <w:p>
            <w:pPr>
              <w:spacing w:after="0" w:line="20" w:lineRule="exact"/>
              <w:rPr>
                <w:sz w:val="1"/>
                <w:szCs w:val="1"/>
                <w:color w:val="auto"/>
              </w:rPr>
            </w:pPr>
          </w:p>
        </w:tc>
        <w:tc>
          <w:tcPr>
            <w:tcW w:w="1340" w:type="dxa"/>
            <w:vAlign w:val="bottom"/>
            <w:shd w:val="clear" w:color="auto" w:fill="DCE2EF"/>
          </w:tcPr>
          <w:p>
            <w:pPr>
              <w:spacing w:after="0" w:line="20" w:lineRule="exact"/>
              <w:rPr>
                <w:sz w:val="1"/>
                <w:szCs w:val="1"/>
                <w:color w:val="auto"/>
              </w:rPr>
            </w:pPr>
          </w:p>
        </w:tc>
        <w:tc>
          <w:tcPr>
            <w:tcW w:w="1040" w:type="dxa"/>
            <w:vAlign w:val="bottom"/>
            <w:shd w:val="clear" w:color="auto" w:fill="DCE2EF"/>
          </w:tcPr>
          <w:p>
            <w:pPr>
              <w:spacing w:after="0" w:line="20" w:lineRule="exact"/>
              <w:rPr>
                <w:sz w:val="1"/>
                <w:szCs w:val="1"/>
                <w:color w:val="auto"/>
              </w:rPr>
            </w:pPr>
          </w:p>
        </w:tc>
        <w:tc>
          <w:tcPr>
            <w:tcW w:w="2160" w:type="dxa"/>
            <w:vAlign w:val="bottom"/>
            <w:shd w:val="clear" w:color="auto" w:fill="DCE2E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1300" w:type="dxa"/>
            <w:vAlign w:val="bottom"/>
            <w:shd w:val="clear" w:color="auto" w:fill="DCE2EF"/>
          </w:tcPr>
          <w:p>
            <w:pPr>
              <w:spacing w:after="0"/>
              <w:rPr>
                <w:sz w:val="12"/>
                <w:szCs w:val="12"/>
                <w:color w:val="auto"/>
              </w:rPr>
            </w:pPr>
          </w:p>
        </w:tc>
        <w:tc>
          <w:tcPr>
            <w:tcW w:w="4660" w:type="dxa"/>
            <w:vAlign w:val="bottom"/>
            <w:gridSpan w:val="18"/>
            <w:shd w:val="clear" w:color="auto" w:fill="DCE2EF"/>
          </w:tcPr>
          <w:p>
            <w:pPr>
              <w:spacing w:after="0" w:line="148" w:lineRule="exact"/>
              <w:rPr>
                <w:rFonts w:ascii="Arial" w:cs="Arial" w:eastAsia="Arial" w:hAnsi="Arial"/>
                <w:sz w:val="17"/>
                <w:szCs w:val="17"/>
                <w:color w:val="0000FF"/>
              </w:rPr>
            </w:pPr>
            <w:hyperlink r:id="rId178">
              <w:r>
                <w:rPr>
                  <w:rFonts w:ascii="Arial" w:cs="Arial" w:eastAsia="Arial" w:hAnsi="Arial"/>
                  <w:sz w:val="17"/>
                  <w:szCs w:val="17"/>
                  <w:color w:val="0000FF"/>
                </w:rPr>
                <w:t>signature pages thereto and Bank of America, N.A., as</w:t>
              </w:r>
            </w:hyperlink>
          </w:p>
        </w:tc>
        <w:tc>
          <w:tcPr>
            <w:tcW w:w="740" w:type="dxa"/>
            <w:vAlign w:val="bottom"/>
            <w:shd w:val="clear" w:color="auto" w:fill="DCE2EF"/>
          </w:tcPr>
          <w:p>
            <w:pPr>
              <w:spacing w:after="0"/>
              <w:rPr>
                <w:sz w:val="12"/>
                <w:szCs w:val="12"/>
                <w:color w:val="auto"/>
              </w:rPr>
            </w:pPr>
          </w:p>
        </w:tc>
        <w:tc>
          <w:tcPr>
            <w:tcW w:w="1340" w:type="dxa"/>
            <w:vAlign w:val="bottom"/>
            <w:shd w:val="clear" w:color="auto" w:fill="DCE2EF"/>
          </w:tcPr>
          <w:p>
            <w:pPr>
              <w:spacing w:after="0"/>
              <w:rPr>
                <w:sz w:val="12"/>
                <w:szCs w:val="12"/>
                <w:color w:val="auto"/>
              </w:rPr>
            </w:pPr>
          </w:p>
        </w:tc>
        <w:tc>
          <w:tcPr>
            <w:tcW w:w="1040" w:type="dxa"/>
            <w:vAlign w:val="bottom"/>
            <w:shd w:val="clear" w:color="auto" w:fill="DCE2EF"/>
          </w:tcPr>
          <w:p>
            <w:pPr>
              <w:spacing w:after="0"/>
              <w:rPr>
                <w:sz w:val="12"/>
                <w:szCs w:val="12"/>
                <w:color w:val="auto"/>
              </w:rPr>
            </w:pPr>
          </w:p>
        </w:tc>
        <w:tc>
          <w:tcPr>
            <w:tcW w:w="2160" w:type="dxa"/>
            <w:vAlign w:val="bottom"/>
            <w:shd w:val="clear" w:color="auto" w:fill="DCE2EF"/>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1300" w:type="dxa"/>
            <w:vAlign w:val="bottom"/>
            <w:tcBorders>
              <w:top w:val="single" w:sz="8" w:color="DCE2EF"/>
              <w:bottom w:val="single" w:sz="8" w:color="DCE2EF"/>
            </w:tcBorders>
            <w:shd w:val="clear" w:color="auto" w:fill="DCE2EF"/>
          </w:tcPr>
          <w:p>
            <w:pPr>
              <w:spacing w:after="0"/>
              <w:rPr>
                <w:sz w:val="15"/>
                <w:szCs w:val="15"/>
                <w:color w:val="auto"/>
              </w:rPr>
            </w:pPr>
          </w:p>
        </w:tc>
        <w:tc>
          <w:tcPr>
            <w:tcW w:w="1540" w:type="dxa"/>
            <w:vAlign w:val="bottom"/>
            <w:tcBorders>
              <w:top w:val="single" w:sz="8" w:color="0000FF"/>
              <w:bottom w:val="single" w:sz="8" w:color="0000FF"/>
            </w:tcBorders>
            <w:gridSpan w:val="3"/>
            <w:shd w:val="clear" w:color="auto" w:fill="DCE2EF"/>
          </w:tcPr>
          <w:p>
            <w:pPr>
              <w:spacing w:after="0" w:line="148" w:lineRule="exact"/>
              <w:rPr>
                <w:rFonts w:ascii="Arial" w:cs="Arial" w:eastAsia="Arial" w:hAnsi="Arial"/>
                <w:sz w:val="17"/>
                <w:szCs w:val="17"/>
                <w:color w:val="0000FF"/>
                <w:w w:val="99"/>
              </w:rPr>
            </w:pPr>
            <w:hyperlink r:id="rId178">
              <w:r>
                <w:rPr>
                  <w:rFonts w:ascii="Arial" w:cs="Arial" w:eastAsia="Arial" w:hAnsi="Arial"/>
                  <w:sz w:val="17"/>
                  <w:szCs w:val="17"/>
                  <w:color w:val="0000FF"/>
                  <w:w w:val="99"/>
                </w:rPr>
                <w:t>administrative agent</w:t>
              </w:r>
            </w:hyperlink>
          </w:p>
        </w:tc>
        <w:tc>
          <w:tcPr>
            <w:tcW w:w="2720" w:type="dxa"/>
            <w:vAlign w:val="bottom"/>
            <w:tcBorders>
              <w:top w:val="single" w:sz="8" w:color="0000FF"/>
              <w:bottom w:val="single" w:sz="8" w:color="DCE2EF"/>
              <w:right w:val="single" w:sz="8" w:color="DCE2EF"/>
            </w:tcBorders>
            <w:gridSpan w:val="6"/>
            <w:shd w:val="clear" w:color="auto" w:fill="DCE2EF"/>
          </w:tcPr>
          <w:p>
            <w:pPr>
              <w:spacing w:after="0"/>
              <w:rPr>
                <w:sz w:val="15"/>
                <w:szCs w:val="15"/>
                <w:color w:val="auto"/>
              </w:rPr>
            </w:pPr>
          </w:p>
        </w:tc>
        <w:tc>
          <w:tcPr>
            <w:tcW w:w="160" w:type="dxa"/>
            <w:vAlign w:val="bottom"/>
            <w:tcBorders>
              <w:top w:val="single" w:sz="8" w:color="DCE2EF"/>
              <w:left w:val="single" w:sz="8" w:color="DCE2EF"/>
              <w:bottom w:val="single" w:sz="8" w:color="DCE2EF"/>
            </w:tcBorders>
            <w:gridSpan w:val="2"/>
            <w:shd w:val="clear" w:color="auto" w:fill="DCE2EF"/>
          </w:tcPr>
          <w:p>
            <w:pPr>
              <w:spacing w:after="0"/>
              <w:rPr>
                <w:sz w:val="15"/>
                <w:szCs w:val="15"/>
                <w:color w:val="auto"/>
              </w:rPr>
            </w:pPr>
          </w:p>
        </w:tc>
        <w:tc>
          <w:tcPr>
            <w:tcW w:w="20" w:type="dxa"/>
            <w:vAlign w:val="bottom"/>
            <w:tcBorders>
              <w:top w:val="single" w:sz="8" w:color="DCE2EF"/>
              <w:bottom w:val="single" w:sz="8" w:color="DCE2EF"/>
            </w:tcBorders>
            <w:shd w:val="clear" w:color="auto" w:fill="DCE2EF"/>
          </w:tcPr>
          <w:p>
            <w:pPr>
              <w:spacing w:after="0"/>
              <w:rPr>
                <w:sz w:val="15"/>
                <w:szCs w:val="15"/>
                <w:color w:val="auto"/>
              </w:rPr>
            </w:pPr>
          </w:p>
        </w:tc>
        <w:tc>
          <w:tcPr>
            <w:tcW w:w="60" w:type="dxa"/>
            <w:vAlign w:val="bottom"/>
            <w:tcBorders>
              <w:top w:val="single" w:sz="8" w:color="DCE2EF"/>
              <w:bottom w:val="single" w:sz="8" w:color="DCE2EF"/>
            </w:tcBorders>
            <w:gridSpan w:val="3"/>
            <w:shd w:val="clear" w:color="auto" w:fill="DCE2EF"/>
          </w:tcPr>
          <w:p>
            <w:pPr>
              <w:spacing w:after="0"/>
              <w:rPr>
                <w:sz w:val="15"/>
                <w:szCs w:val="15"/>
                <w:color w:val="auto"/>
              </w:rPr>
            </w:pPr>
          </w:p>
        </w:tc>
        <w:tc>
          <w:tcPr>
            <w:tcW w:w="20" w:type="dxa"/>
            <w:vAlign w:val="bottom"/>
            <w:tcBorders>
              <w:top w:val="single" w:sz="8" w:color="DCE2EF"/>
              <w:bottom w:val="single" w:sz="8" w:color="DCE2EF"/>
            </w:tcBorders>
            <w:shd w:val="clear" w:color="auto" w:fill="DCE2EF"/>
          </w:tcPr>
          <w:p>
            <w:pPr>
              <w:spacing w:after="0"/>
              <w:rPr>
                <w:sz w:val="15"/>
                <w:szCs w:val="15"/>
                <w:color w:val="auto"/>
              </w:rPr>
            </w:pPr>
          </w:p>
        </w:tc>
        <w:tc>
          <w:tcPr>
            <w:tcW w:w="0" w:type="dxa"/>
            <w:vAlign w:val="bottom"/>
            <w:tcBorders>
              <w:top w:val="single" w:sz="8" w:color="DCE2EF"/>
              <w:bottom w:val="single" w:sz="8" w:color="DCE2EF"/>
            </w:tcBorders>
            <w:shd w:val="clear" w:color="auto" w:fill="DCE2EF"/>
          </w:tcPr>
          <w:p>
            <w:pPr>
              <w:spacing w:after="0"/>
              <w:rPr>
                <w:sz w:val="15"/>
                <w:szCs w:val="15"/>
                <w:color w:val="auto"/>
              </w:rPr>
            </w:pPr>
          </w:p>
        </w:tc>
        <w:tc>
          <w:tcPr>
            <w:tcW w:w="140" w:type="dxa"/>
            <w:vAlign w:val="bottom"/>
            <w:tcBorders>
              <w:top w:val="single" w:sz="8" w:color="DCE2EF"/>
              <w:bottom w:val="single" w:sz="8" w:color="DCE2EF"/>
            </w:tcBorders>
            <w:shd w:val="clear" w:color="auto" w:fill="DCE2EF"/>
          </w:tcPr>
          <w:p>
            <w:pPr>
              <w:spacing w:after="0"/>
              <w:rPr>
                <w:sz w:val="15"/>
                <w:szCs w:val="15"/>
                <w:color w:val="auto"/>
              </w:rPr>
            </w:pPr>
          </w:p>
        </w:tc>
        <w:tc>
          <w:tcPr>
            <w:tcW w:w="740" w:type="dxa"/>
            <w:vAlign w:val="bottom"/>
            <w:tcBorders>
              <w:top w:val="single" w:sz="8" w:color="DCE2EF"/>
              <w:bottom w:val="single" w:sz="8" w:color="DCE2EF"/>
            </w:tcBorders>
            <w:shd w:val="clear" w:color="auto" w:fill="DCE2EF"/>
          </w:tcPr>
          <w:p>
            <w:pPr>
              <w:spacing w:after="0"/>
              <w:rPr>
                <w:sz w:val="15"/>
                <w:szCs w:val="15"/>
                <w:color w:val="auto"/>
              </w:rPr>
            </w:pPr>
          </w:p>
        </w:tc>
        <w:tc>
          <w:tcPr>
            <w:tcW w:w="1340" w:type="dxa"/>
            <w:vAlign w:val="bottom"/>
            <w:tcBorders>
              <w:top w:val="single" w:sz="8" w:color="DCE2EF"/>
              <w:bottom w:val="single" w:sz="8" w:color="DCE2EF"/>
            </w:tcBorders>
            <w:shd w:val="clear" w:color="auto" w:fill="DCE2EF"/>
          </w:tcPr>
          <w:p>
            <w:pPr>
              <w:spacing w:after="0"/>
              <w:rPr>
                <w:sz w:val="15"/>
                <w:szCs w:val="15"/>
                <w:color w:val="auto"/>
              </w:rPr>
            </w:pPr>
          </w:p>
        </w:tc>
        <w:tc>
          <w:tcPr>
            <w:tcW w:w="1040" w:type="dxa"/>
            <w:vAlign w:val="bottom"/>
            <w:tcBorders>
              <w:top w:val="single" w:sz="8" w:color="DCE2EF"/>
              <w:bottom w:val="single" w:sz="8" w:color="DCE2EF"/>
            </w:tcBorders>
            <w:shd w:val="clear" w:color="auto" w:fill="DCE2EF"/>
          </w:tcPr>
          <w:p>
            <w:pPr>
              <w:spacing w:after="0"/>
              <w:rPr>
                <w:sz w:val="15"/>
                <w:szCs w:val="15"/>
                <w:color w:val="auto"/>
              </w:rPr>
            </w:pPr>
          </w:p>
        </w:tc>
        <w:tc>
          <w:tcPr>
            <w:tcW w:w="2160" w:type="dxa"/>
            <w:vAlign w:val="bottom"/>
            <w:tcBorders>
              <w:top w:val="single" w:sz="8" w:color="DCE2EF"/>
              <w:bottom w:val="single" w:sz="8" w:color="DCE2EF"/>
            </w:tcBorders>
            <w:shd w:val="clear" w:color="auto" w:fill="DCE2E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300" w:type="dxa"/>
            <w:vAlign w:val="bottom"/>
          </w:tcPr>
          <w:p>
            <w:pPr>
              <w:ind w:left="20"/>
              <w:spacing w:after="0" w:line="180" w:lineRule="exact"/>
              <w:rPr>
                <w:sz w:val="20"/>
                <w:szCs w:val="20"/>
                <w:color w:val="auto"/>
              </w:rPr>
            </w:pPr>
            <w:r>
              <w:rPr>
                <w:rFonts w:ascii="Arial" w:cs="Arial" w:eastAsia="Arial" w:hAnsi="Arial"/>
                <w:sz w:val="17"/>
                <w:szCs w:val="17"/>
                <w:color w:val="auto"/>
              </w:rPr>
              <w:t>10.8</w:t>
            </w:r>
          </w:p>
        </w:tc>
        <w:tc>
          <w:tcPr>
            <w:tcW w:w="4660" w:type="dxa"/>
            <w:vAlign w:val="bottom"/>
            <w:gridSpan w:val="18"/>
          </w:tcPr>
          <w:p>
            <w:pPr>
              <w:spacing w:after="0" w:line="180" w:lineRule="exact"/>
              <w:rPr>
                <w:rFonts w:ascii="Arial" w:cs="Arial" w:eastAsia="Arial" w:hAnsi="Arial"/>
                <w:sz w:val="17"/>
                <w:szCs w:val="17"/>
                <w:color w:val="0000FF"/>
              </w:rPr>
            </w:pPr>
            <w:hyperlink r:id="rId179">
              <w:r>
                <w:rPr>
                  <w:rFonts w:ascii="Arial" w:cs="Arial" w:eastAsia="Arial" w:hAnsi="Arial"/>
                  <w:sz w:val="17"/>
                  <w:szCs w:val="17"/>
                  <w:color w:val="0000FF"/>
                </w:rPr>
                <w:t>LIBOR Transition Amendment, dated as of November 1,</w:t>
              </w:r>
            </w:hyperlink>
          </w:p>
        </w:tc>
        <w:tc>
          <w:tcPr>
            <w:tcW w:w="740" w:type="dxa"/>
            <w:vAlign w:val="bottom"/>
          </w:tcPr>
          <w:p>
            <w:pPr>
              <w:jc w:val="center"/>
              <w:ind w:right="14"/>
              <w:spacing w:after="0" w:line="180" w:lineRule="exact"/>
              <w:rPr>
                <w:sz w:val="20"/>
                <w:szCs w:val="20"/>
                <w:color w:val="auto"/>
              </w:rPr>
            </w:pPr>
            <w:r>
              <w:rPr>
                <w:rFonts w:ascii="Arial" w:cs="Arial" w:eastAsia="Arial" w:hAnsi="Arial"/>
                <w:sz w:val="17"/>
                <w:szCs w:val="17"/>
                <w:color w:val="auto"/>
              </w:rPr>
              <w:t>10-K</w:t>
            </w:r>
          </w:p>
        </w:tc>
        <w:tc>
          <w:tcPr>
            <w:tcW w:w="1340" w:type="dxa"/>
            <w:vAlign w:val="bottom"/>
          </w:tcPr>
          <w:p>
            <w:pPr>
              <w:jc w:val="right"/>
              <w:ind w:right="194"/>
              <w:spacing w:after="0" w:line="180" w:lineRule="exact"/>
              <w:rPr>
                <w:sz w:val="20"/>
                <w:szCs w:val="20"/>
                <w:color w:val="auto"/>
              </w:rPr>
            </w:pPr>
            <w:r>
              <w:rPr>
                <w:rFonts w:ascii="Arial" w:cs="Arial" w:eastAsia="Arial" w:hAnsi="Arial"/>
                <w:sz w:val="17"/>
                <w:szCs w:val="17"/>
                <w:color w:val="auto"/>
              </w:rPr>
              <w:t>001-08929</w:t>
            </w:r>
          </w:p>
        </w:tc>
        <w:tc>
          <w:tcPr>
            <w:tcW w:w="1040" w:type="dxa"/>
            <w:vAlign w:val="bottom"/>
          </w:tcPr>
          <w:p>
            <w:pPr>
              <w:jc w:val="center"/>
              <w:spacing w:after="0" w:line="180" w:lineRule="exact"/>
              <w:rPr>
                <w:sz w:val="20"/>
                <w:szCs w:val="20"/>
                <w:color w:val="auto"/>
              </w:rPr>
            </w:pPr>
            <w:r>
              <w:rPr>
                <w:rFonts w:ascii="Arial" w:cs="Arial" w:eastAsia="Arial" w:hAnsi="Arial"/>
                <w:sz w:val="17"/>
                <w:szCs w:val="17"/>
                <w:color w:val="auto"/>
              </w:rPr>
              <w:t>10.8</w:t>
            </w:r>
          </w:p>
        </w:tc>
        <w:tc>
          <w:tcPr>
            <w:tcW w:w="2160" w:type="dxa"/>
            <w:vAlign w:val="bottom"/>
          </w:tcPr>
          <w:p>
            <w:pPr>
              <w:jc w:val="center"/>
              <w:spacing w:after="0" w:line="180" w:lineRule="exact"/>
              <w:rPr>
                <w:sz w:val="20"/>
                <w:szCs w:val="20"/>
                <w:color w:val="auto"/>
              </w:rPr>
            </w:pPr>
            <w:r>
              <w:rPr>
                <w:rFonts w:ascii="Arial" w:cs="Arial" w:eastAsia="Arial" w:hAnsi="Arial"/>
                <w:sz w:val="17"/>
                <w:szCs w:val="17"/>
                <w:color w:val="auto"/>
              </w:rPr>
              <w:t>December 21, 2022</w:t>
            </w: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4260" w:type="dxa"/>
            <w:vAlign w:val="bottom"/>
            <w:tcBorders>
              <w:top w:val="single" w:sz="8" w:color="0000FF"/>
              <w:bottom w:val="single" w:sz="8" w:color="0000FF"/>
            </w:tcBorders>
            <w:gridSpan w:val="9"/>
          </w:tcPr>
          <w:p>
            <w:pPr>
              <w:spacing w:after="0" w:line="148" w:lineRule="exact"/>
              <w:rPr>
                <w:rFonts w:ascii="Arial" w:cs="Arial" w:eastAsia="Arial" w:hAnsi="Arial"/>
                <w:sz w:val="17"/>
                <w:szCs w:val="17"/>
                <w:color w:val="0000FF"/>
              </w:rPr>
            </w:pPr>
            <w:hyperlink r:id="rId179">
              <w:r>
                <w:rPr>
                  <w:rFonts w:ascii="Arial" w:cs="Arial" w:eastAsia="Arial" w:hAnsi="Arial"/>
                  <w:sz w:val="17"/>
                  <w:szCs w:val="17"/>
                  <w:color w:val="0000FF"/>
                </w:rPr>
                <w:t>2022, by and among ABM Industries Incorporated, a</w:t>
              </w:r>
            </w:hyperlink>
          </w:p>
        </w:tc>
        <w:tc>
          <w:tcPr>
            <w:tcW w:w="16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300" w:type="dxa"/>
            <w:vAlign w:val="bottom"/>
          </w:tcPr>
          <w:p>
            <w:pPr>
              <w:spacing w:after="0"/>
              <w:rPr>
                <w:sz w:val="13"/>
                <w:szCs w:val="13"/>
                <w:color w:val="auto"/>
              </w:rPr>
            </w:pPr>
          </w:p>
        </w:tc>
        <w:tc>
          <w:tcPr>
            <w:tcW w:w="4660" w:type="dxa"/>
            <w:vAlign w:val="bottom"/>
            <w:gridSpan w:val="18"/>
          </w:tcPr>
          <w:p>
            <w:pPr>
              <w:spacing w:after="0" w:line="161" w:lineRule="exact"/>
              <w:rPr>
                <w:rFonts w:ascii="Arial" w:cs="Arial" w:eastAsia="Arial" w:hAnsi="Arial"/>
                <w:sz w:val="17"/>
                <w:szCs w:val="17"/>
                <w:color w:val="0000FF"/>
              </w:rPr>
            </w:pPr>
            <w:hyperlink r:id="rId179">
              <w:r>
                <w:rPr>
                  <w:rFonts w:ascii="Arial" w:cs="Arial" w:eastAsia="Arial" w:hAnsi="Arial"/>
                  <w:sz w:val="17"/>
                  <w:szCs w:val="17"/>
                  <w:color w:val="0000FF"/>
                </w:rPr>
                <w:t>Delaware corporation, the Designated Borrowers identified</w:t>
              </w:r>
            </w:hyperlink>
          </w:p>
        </w:tc>
        <w:tc>
          <w:tcPr>
            <w:tcW w:w="7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4520" w:type="dxa"/>
            <w:vAlign w:val="bottom"/>
            <w:tcBorders>
              <w:top w:val="single" w:sz="8" w:color="0000FF"/>
            </w:tcBorders>
            <w:gridSpan w:val="16"/>
          </w:tcPr>
          <w:p>
            <w:pPr>
              <w:spacing w:after="0" w:line="148" w:lineRule="exact"/>
              <w:rPr>
                <w:rFonts w:ascii="Arial" w:cs="Arial" w:eastAsia="Arial" w:hAnsi="Arial"/>
                <w:sz w:val="17"/>
                <w:szCs w:val="17"/>
                <w:color w:val="0000FF"/>
              </w:rPr>
            </w:pPr>
            <w:hyperlink r:id="rId179">
              <w:r>
                <w:rPr>
                  <w:rFonts w:ascii="Arial" w:cs="Arial" w:eastAsia="Arial" w:hAnsi="Arial"/>
                  <w:sz w:val="17"/>
                  <w:szCs w:val="17"/>
                  <w:color w:val="0000FF"/>
                </w:rPr>
                <w:t>on the signature pages thereto, the Subsidiary Guarantors</w:t>
              </w:r>
            </w:hyperlink>
          </w:p>
        </w:tc>
        <w:tc>
          <w:tcPr>
            <w:tcW w:w="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4420" w:type="dxa"/>
            <w:vAlign w:val="bottom"/>
            <w:tcBorders>
              <w:top w:val="single" w:sz="8" w:color="0000FF"/>
            </w:tcBorders>
            <w:gridSpan w:val="11"/>
          </w:tcPr>
          <w:p>
            <w:pPr>
              <w:spacing w:after="0" w:line="148" w:lineRule="exact"/>
              <w:rPr>
                <w:rFonts w:ascii="Arial" w:cs="Arial" w:eastAsia="Arial" w:hAnsi="Arial"/>
                <w:sz w:val="17"/>
                <w:szCs w:val="17"/>
                <w:color w:val="0000FF"/>
              </w:rPr>
            </w:pPr>
            <w:hyperlink r:id="rId179">
              <w:r>
                <w:rPr>
                  <w:rFonts w:ascii="Arial" w:cs="Arial" w:eastAsia="Arial" w:hAnsi="Arial"/>
                  <w:sz w:val="17"/>
                  <w:szCs w:val="17"/>
                  <w:color w:val="0000FF"/>
                </w:rPr>
                <w:t>identified on the signature pages thereto, the Lenders</w:t>
              </w:r>
            </w:hyperlink>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gridSpan w:val="2"/>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300" w:type="dxa"/>
            <w:vAlign w:val="bottom"/>
          </w:tcPr>
          <w:p>
            <w:pPr>
              <w:spacing w:after="0"/>
              <w:rPr>
                <w:sz w:val="13"/>
                <w:szCs w:val="13"/>
                <w:color w:val="auto"/>
              </w:rPr>
            </w:pPr>
          </w:p>
        </w:tc>
        <w:tc>
          <w:tcPr>
            <w:tcW w:w="4260" w:type="dxa"/>
            <w:vAlign w:val="bottom"/>
            <w:tcBorders>
              <w:top w:val="single" w:sz="8" w:color="0000FF"/>
            </w:tcBorders>
            <w:gridSpan w:val="9"/>
          </w:tcPr>
          <w:p>
            <w:pPr>
              <w:spacing w:after="0" w:line="161" w:lineRule="exact"/>
              <w:rPr>
                <w:rFonts w:ascii="Arial" w:cs="Arial" w:eastAsia="Arial" w:hAnsi="Arial"/>
                <w:sz w:val="17"/>
                <w:szCs w:val="17"/>
                <w:color w:val="0000FF"/>
              </w:rPr>
            </w:pPr>
            <w:hyperlink r:id="rId179">
              <w:r>
                <w:rPr>
                  <w:rFonts w:ascii="Arial" w:cs="Arial" w:eastAsia="Arial" w:hAnsi="Arial"/>
                  <w:sz w:val="17"/>
                  <w:szCs w:val="17"/>
                  <w:color w:val="0000FF"/>
                </w:rPr>
                <w:t>identified on the signature pages thereto and Bank of</w:t>
              </w:r>
            </w:hyperlink>
          </w:p>
        </w:tc>
        <w:tc>
          <w:tcPr>
            <w:tcW w:w="18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gridSpan w:val="2"/>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300" w:type="dxa"/>
            <w:vAlign w:val="bottom"/>
          </w:tcPr>
          <w:p>
            <w:pPr>
              <w:spacing w:after="0"/>
              <w:rPr>
                <w:sz w:val="13"/>
                <w:szCs w:val="13"/>
                <w:color w:val="auto"/>
              </w:rPr>
            </w:pPr>
          </w:p>
        </w:tc>
        <w:tc>
          <w:tcPr>
            <w:tcW w:w="2920" w:type="dxa"/>
            <w:vAlign w:val="bottom"/>
            <w:tcBorders>
              <w:top w:val="single" w:sz="8" w:color="0000FF"/>
              <w:bottom w:val="single" w:sz="8" w:color="0000FF"/>
            </w:tcBorders>
            <w:gridSpan w:val="4"/>
          </w:tcPr>
          <w:p>
            <w:pPr>
              <w:spacing w:after="0" w:line="148" w:lineRule="exact"/>
              <w:rPr>
                <w:rFonts w:ascii="Arial" w:cs="Arial" w:eastAsia="Arial" w:hAnsi="Arial"/>
                <w:sz w:val="17"/>
                <w:szCs w:val="17"/>
                <w:color w:val="0000FF"/>
              </w:rPr>
            </w:pPr>
            <w:hyperlink r:id="rId179">
              <w:r>
                <w:rPr>
                  <w:rFonts w:ascii="Arial" w:cs="Arial" w:eastAsia="Arial" w:hAnsi="Arial"/>
                  <w:sz w:val="17"/>
                  <w:szCs w:val="17"/>
                  <w:color w:val="0000FF"/>
                </w:rPr>
                <w:t>America, N.A., as administrative agent</w:t>
              </w:r>
            </w:hyperlink>
          </w:p>
        </w:tc>
        <w:tc>
          <w:tcPr>
            <w:tcW w:w="1340" w:type="dxa"/>
            <w:vAlign w:val="bottom"/>
            <w:tcBorders>
              <w:top w:val="single" w:sz="8" w:color="0000FF"/>
            </w:tcBorders>
            <w:gridSpan w:val="5"/>
          </w:tcPr>
          <w:p>
            <w:pPr>
              <w:spacing w:after="0"/>
              <w:rPr>
                <w:sz w:val="13"/>
                <w:szCs w:val="13"/>
                <w:color w:val="auto"/>
              </w:rPr>
            </w:pPr>
          </w:p>
        </w:tc>
        <w:tc>
          <w:tcPr>
            <w:tcW w:w="18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gridSpan w:val="2"/>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1300" w:type="dxa"/>
            <w:vAlign w:val="bottom"/>
            <w:shd w:val="clear" w:color="auto" w:fill="DCE2EF"/>
          </w:tcPr>
          <w:p>
            <w:pPr>
              <w:ind w:left="20"/>
              <w:spacing w:after="0" w:line="190" w:lineRule="exact"/>
              <w:rPr>
                <w:sz w:val="20"/>
                <w:szCs w:val="20"/>
                <w:color w:val="auto"/>
              </w:rPr>
            </w:pPr>
            <w:r>
              <w:rPr>
                <w:rFonts w:ascii="Arial" w:cs="Arial" w:eastAsia="Arial" w:hAnsi="Arial"/>
                <w:sz w:val="17"/>
                <w:szCs w:val="17"/>
                <w:color w:val="auto"/>
              </w:rPr>
              <w:t>10.9</w:t>
            </w:r>
          </w:p>
        </w:tc>
        <w:tc>
          <w:tcPr>
            <w:tcW w:w="4660" w:type="dxa"/>
            <w:vAlign w:val="bottom"/>
            <w:gridSpan w:val="18"/>
            <w:shd w:val="clear" w:color="auto" w:fill="DCE2EF"/>
          </w:tcPr>
          <w:p>
            <w:pPr>
              <w:spacing w:after="0" w:line="190" w:lineRule="exact"/>
              <w:rPr>
                <w:rFonts w:ascii="Arial" w:cs="Arial" w:eastAsia="Arial" w:hAnsi="Arial"/>
                <w:sz w:val="17"/>
                <w:szCs w:val="17"/>
                <w:color w:val="0000FF"/>
              </w:rPr>
            </w:pPr>
            <w:hyperlink r:id="rId180">
              <w:r>
                <w:rPr>
                  <w:rFonts w:ascii="Arial" w:cs="Arial" w:eastAsia="Arial" w:hAnsi="Arial"/>
                  <w:sz w:val="17"/>
                  <w:szCs w:val="17"/>
                  <w:color w:val="0000FF"/>
                </w:rPr>
                <w:t>Amended and Restated Credit Agreement, dated as of</w:t>
              </w:r>
            </w:hyperlink>
          </w:p>
        </w:tc>
        <w:tc>
          <w:tcPr>
            <w:tcW w:w="740" w:type="dxa"/>
            <w:vAlign w:val="bottom"/>
            <w:shd w:val="clear" w:color="auto" w:fill="DCE2EF"/>
          </w:tcPr>
          <w:p>
            <w:pPr>
              <w:jc w:val="center"/>
              <w:ind w:right="14"/>
              <w:spacing w:after="0" w:line="190" w:lineRule="exact"/>
              <w:rPr>
                <w:sz w:val="20"/>
                <w:szCs w:val="20"/>
                <w:color w:val="auto"/>
              </w:rPr>
            </w:pPr>
            <w:r>
              <w:rPr>
                <w:rFonts w:ascii="Arial" w:cs="Arial" w:eastAsia="Arial" w:hAnsi="Arial"/>
                <w:sz w:val="17"/>
                <w:szCs w:val="17"/>
                <w:color w:val="auto"/>
              </w:rPr>
              <w:t>8-K</w:t>
            </w:r>
          </w:p>
        </w:tc>
        <w:tc>
          <w:tcPr>
            <w:tcW w:w="1340" w:type="dxa"/>
            <w:vAlign w:val="bottom"/>
            <w:shd w:val="clear" w:color="auto" w:fill="DCE2EF"/>
          </w:tcPr>
          <w:p>
            <w:pPr>
              <w:jc w:val="right"/>
              <w:ind w:right="194"/>
              <w:spacing w:after="0" w:line="190" w:lineRule="exact"/>
              <w:rPr>
                <w:sz w:val="20"/>
                <w:szCs w:val="20"/>
                <w:color w:val="auto"/>
              </w:rPr>
            </w:pPr>
            <w:r>
              <w:rPr>
                <w:rFonts w:ascii="Arial" w:cs="Arial" w:eastAsia="Arial" w:hAnsi="Arial"/>
                <w:sz w:val="17"/>
                <w:szCs w:val="17"/>
                <w:color w:val="auto"/>
              </w:rPr>
              <w:t>001-08929</w:t>
            </w:r>
          </w:p>
        </w:tc>
        <w:tc>
          <w:tcPr>
            <w:tcW w:w="1040" w:type="dxa"/>
            <w:vAlign w:val="bottom"/>
            <w:shd w:val="clear" w:color="auto" w:fill="DCE2EF"/>
          </w:tcPr>
          <w:p>
            <w:pPr>
              <w:jc w:val="center"/>
              <w:spacing w:after="0" w:line="190" w:lineRule="exact"/>
              <w:rPr>
                <w:sz w:val="20"/>
                <w:szCs w:val="20"/>
                <w:color w:val="auto"/>
              </w:rPr>
            </w:pPr>
            <w:r>
              <w:rPr>
                <w:rFonts w:ascii="Arial" w:cs="Arial" w:eastAsia="Arial" w:hAnsi="Arial"/>
                <w:sz w:val="17"/>
                <w:szCs w:val="17"/>
                <w:color w:val="auto"/>
              </w:rPr>
              <w:t>10.1</w:t>
            </w:r>
          </w:p>
        </w:tc>
        <w:tc>
          <w:tcPr>
            <w:tcW w:w="2160" w:type="dxa"/>
            <w:vAlign w:val="bottom"/>
            <w:shd w:val="clear" w:color="auto" w:fill="DCE2EF"/>
          </w:tcPr>
          <w:p>
            <w:pPr>
              <w:jc w:val="center"/>
              <w:spacing w:after="0" w:line="190" w:lineRule="exact"/>
              <w:rPr>
                <w:sz w:val="20"/>
                <w:szCs w:val="20"/>
                <w:color w:val="auto"/>
              </w:rPr>
            </w:pPr>
            <w:r>
              <w:rPr>
                <w:rFonts w:ascii="Arial" w:cs="Arial" w:eastAsia="Arial" w:hAnsi="Arial"/>
                <w:sz w:val="17"/>
                <w:szCs w:val="17"/>
                <w:color w:val="auto"/>
              </w:rPr>
              <w:t>February 28, 2025</w:t>
            </w:r>
          </w:p>
        </w:tc>
        <w:tc>
          <w:tcPr>
            <w:tcW w:w="0" w:type="dxa"/>
            <w:vAlign w:val="bottom"/>
          </w:tcPr>
          <w:p>
            <w:pPr>
              <w:spacing w:after="0"/>
              <w:rPr>
                <w:sz w:val="1"/>
                <w:szCs w:val="1"/>
                <w:color w:val="auto"/>
              </w:rPr>
            </w:pPr>
          </w:p>
        </w:tc>
      </w:tr>
      <w:tr>
        <w:trPr>
          <w:trHeight w:val="148"/>
        </w:trPr>
        <w:tc>
          <w:tcPr>
            <w:tcW w:w="1300" w:type="dxa"/>
            <w:vAlign w:val="bottom"/>
            <w:tcBorders>
              <w:top w:val="single" w:sz="8" w:color="DCE2EF"/>
              <w:bottom w:val="single" w:sz="8" w:color="DCE2EF"/>
            </w:tcBorders>
            <w:shd w:val="clear" w:color="auto" w:fill="DCE2EF"/>
          </w:tcPr>
          <w:p>
            <w:pPr>
              <w:spacing w:after="0"/>
              <w:rPr>
                <w:sz w:val="12"/>
                <w:szCs w:val="12"/>
                <w:color w:val="auto"/>
              </w:rPr>
            </w:pPr>
          </w:p>
        </w:tc>
        <w:tc>
          <w:tcPr>
            <w:tcW w:w="4260" w:type="dxa"/>
            <w:vAlign w:val="bottom"/>
            <w:tcBorders>
              <w:top w:val="single" w:sz="8" w:color="0000FF"/>
              <w:bottom w:val="single" w:sz="8" w:color="0000FF"/>
              <w:right w:val="single" w:sz="8" w:color="DCE2EF"/>
            </w:tcBorders>
            <w:gridSpan w:val="9"/>
            <w:shd w:val="clear" w:color="auto" w:fill="DCE2EF"/>
          </w:tcPr>
          <w:p>
            <w:pPr>
              <w:spacing w:after="0" w:line="148" w:lineRule="exact"/>
              <w:rPr>
                <w:rFonts w:ascii="Arial" w:cs="Arial" w:eastAsia="Arial" w:hAnsi="Arial"/>
                <w:sz w:val="17"/>
                <w:szCs w:val="17"/>
                <w:color w:val="0000FF"/>
                <w:w w:val="99"/>
              </w:rPr>
            </w:pPr>
            <w:hyperlink r:id="rId180">
              <w:r>
                <w:rPr>
                  <w:rFonts w:ascii="Arial" w:cs="Arial" w:eastAsia="Arial" w:hAnsi="Arial"/>
                  <w:sz w:val="17"/>
                  <w:szCs w:val="17"/>
                  <w:color w:val="0000FF"/>
                  <w:w w:val="99"/>
                </w:rPr>
                <w:t>February 26, 2025, among ABM Industries Incorporated,</w:t>
              </w:r>
            </w:hyperlink>
          </w:p>
        </w:tc>
        <w:tc>
          <w:tcPr>
            <w:tcW w:w="400" w:type="dxa"/>
            <w:vAlign w:val="bottom"/>
            <w:tcBorders>
              <w:top w:val="single" w:sz="8" w:color="DCE2EF"/>
              <w:left w:val="single" w:sz="8" w:color="DCE2EF"/>
              <w:bottom w:val="single" w:sz="8" w:color="DCE2EF"/>
            </w:tcBorders>
            <w:gridSpan w:val="9"/>
            <w:vMerge w:val="restart"/>
            <w:shd w:val="clear" w:color="auto" w:fill="DCE2EF"/>
          </w:tcPr>
          <w:p>
            <w:pPr>
              <w:jc w:val="center"/>
              <w:ind w:right="180"/>
              <w:spacing w:after="0"/>
              <w:rPr>
                <w:rFonts w:ascii="Arial" w:cs="Arial" w:eastAsia="Arial" w:hAnsi="Arial"/>
                <w:sz w:val="17"/>
                <w:szCs w:val="17"/>
                <w:color w:val="0000FF"/>
                <w:w w:val="98"/>
              </w:rPr>
            </w:pPr>
            <w:hyperlink r:id="rId180">
              <w:r>
                <w:rPr>
                  <w:rFonts w:ascii="Arial" w:cs="Arial" w:eastAsia="Arial" w:hAnsi="Arial"/>
                  <w:sz w:val="17"/>
                  <w:szCs w:val="17"/>
                  <w:color w:val="0000FF"/>
                  <w:w w:val="98"/>
                </w:rPr>
                <w:t>of</w:t>
              </w:r>
            </w:hyperlink>
          </w:p>
        </w:tc>
        <w:tc>
          <w:tcPr>
            <w:tcW w:w="740" w:type="dxa"/>
            <w:vAlign w:val="bottom"/>
            <w:tcBorders>
              <w:top w:val="single" w:sz="8" w:color="DCE2EF"/>
              <w:bottom w:val="single" w:sz="8" w:color="DCE2EF"/>
            </w:tcBorders>
            <w:shd w:val="clear" w:color="auto" w:fill="DCE2EF"/>
          </w:tcPr>
          <w:p>
            <w:pPr>
              <w:spacing w:after="0"/>
              <w:rPr>
                <w:sz w:val="12"/>
                <w:szCs w:val="12"/>
                <w:color w:val="auto"/>
              </w:rPr>
            </w:pPr>
          </w:p>
        </w:tc>
        <w:tc>
          <w:tcPr>
            <w:tcW w:w="1340" w:type="dxa"/>
            <w:vAlign w:val="bottom"/>
            <w:tcBorders>
              <w:top w:val="single" w:sz="8" w:color="DCE2EF"/>
              <w:bottom w:val="single" w:sz="8" w:color="DCE2EF"/>
            </w:tcBorders>
            <w:shd w:val="clear" w:color="auto" w:fill="DCE2EF"/>
          </w:tcPr>
          <w:p>
            <w:pPr>
              <w:spacing w:after="0"/>
              <w:rPr>
                <w:sz w:val="12"/>
                <w:szCs w:val="12"/>
                <w:color w:val="auto"/>
              </w:rPr>
            </w:pPr>
          </w:p>
        </w:tc>
        <w:tc>
          <w:tcPr>
            <w:tcW w:w="1040" w:type="dxa"/>
            <w:vAlign w:val="bottom"/>
            <w:tcBorders>
              <w:top w:val="single" w:sz="8" w:color="DCE2EF"/>
              <w:bottom w:val="single" w:sz="8" w:color="DCE2EF"/>
            </w:tcBorders>
            <w:shd w:val="clear" w:color="auto" w:fill="DCE2EF"/>
          </w:tcPr>
          <w:p>
            <w:pPr>
              <w:spacing w:after="0"/>
              <w:rPr>
                <w:sz w:val="12"/>
                <w:szCs w:val="12"/>
                <w:color w:val="auto"/>
              </w:rPr>
            </w:pPr>
          </w:p>
        </w:tc>
        <w:tc>
          <w:tcPr>
            <w:tcW w:w="2160" w:type="dxa"/>
            <w:vAlign w:val="bottom"/>
            <w:tcBorders>
              <w:top w:val="single" w:sz="8" w:color="DCE2EF"/>
              <w:bottom w:val="single" w:sz="8" w:color="DCE2EF"/>
            </w:tcBorders>
            <w:shd w:val="clear" w:color="auto" w:fill="DCE2EF"/>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300" w:type="dxa"/>
            <w:vAlign w:val="bottom"/>
            <w:shd w:val="clear" w:color="auto" w:fill="DCE2EF"/>
          </w:tcPr>
          <w:p>
            <w:pPr>
              <w:spacing w:after="0"/>
              <w:rPr>
                <w:sz w:val="13"/>
                <w:szCs w:val="13"/>
                <w:color w:val="auto"/>
              </w:rPr>
            </w:pPr>
          </w:p>
        </w:tc>
        <w:tc>
          <w:tcPr>
            <w:tcW w:w="4260" w:type="dxa"/>
            <w:vAlign w:val="bottom"/>
            <w:tcBorders>
              <w:right w:val="single" w:sz="8" w:color="DCE2EF"/>
            </w:tcBorders>
            <w:gridSpan w:val="9"/>
            <w:shd w:val="clear" w:color="auto" w:fill="DCE2EF"/>
          </w:tcPr>
          <w:p>
            <w:pPr>
              <w:spacing w:after="0" w:line="161" w:lineRule="exact"/>
              <w:rPr>
                <w:rFonts w:ascii="Arial" w:cs="Arial" w:eastAsia="Arial" w:hAnsi="Arial"/>
                <w:sz w:val="17"/>
                <w:szCs w:val="17"/>
                <w:color w:val="0000FF"/>
              </w:rPr>
            </w:pPr>
            <w:hyperlink r:id="rId180">
              <w:r>
                <w:rPr>
                  <w:rFonts w:ascii="Arial" w:cs="Arial" w:eastAsia="Arial" w:hAnsi="Arial"/>
                  <w:sz w:val="17"/>
                  <w:szCs w:val="17"/>
                  <w:color w:val="0000FF"/>
                </w:rPr>
                <w:t>ABM Aviation UK Limited, each of the other subsidiaries</w:t>
              </w:r>
            </w:hyperlink>
          </w:p>
        </w:tc>
        <w:tc>
          <w:tcPr>
            <w:tcW w:w="400" w:type="dxa"/>
            <w:vAlign w:val="bottom"/>
            <w:tcBorders>
              <w:left w:val="single" w:sz="8" w:color="DCE2EF"/>
            </w:tcBorders>
            <w:gridSpan w:val="9"/>
            <w:vMerge w:val="continue"/>
            <w:shd w:val="clear" w:color="auto" w:fill="DCE2EF"/>
          </w:tcPr>
          <w:p>
            <w:pPr>
              <w:spacing w:after="0"/>
              <w:rPr>
                <w:sz w:val="13"/>
                <w:szCs w:val="13"/>
                <w:color w:val="auto"/>
              </w:rPr>
            </w:pPr>
          </w:p>
        </w:tc>
        <w:tc>
          <w:tcPr>
            <w:tcW w:w="740" w:type="dxa"/>
            <w:vAlign w:val="bottom"/>
            <w:shd w:val="clear" w:color="auto" w:fill="DCE2EF"/>
          </w:tcPr>
          <w:p>
            <w:pPr>
              <w:spacing w:after="0"/>
              <w:rPr>
                <w:sz w:val="13"/>
                <w:szCs w:val="13"/>
                <w:color w:val="auto"/>
              </w:rPr>
            </w:pPr>
          </w:p>
        </w:tc>
        <w:tc>
          <w:tcPr>
            <w:tcW w:w="1340" w:type="dxa"/>
            <w:vAlign w:val="bottom"/>
            <w:shd w:val="clear" w:color="auto" w:fill="DCE2EF"/>
          </w:tcPr>
          <w:p>
            <w:pPr>
              <w:spacing w:after="0"/>
              <w:rPr>
                <w:sz w:val="13"/>
                <w:szCs w:val="13"/>
                <w:color w:val="auto"/>
              </w:rPr>
            </w:pPr>
          </w:p>
        </w:tc>
        <w:tc>
          <w:tcPr>
            <w:tcW w:w="1040" w:type="dxa"/>
            <w:vAlign w:val="bottom"/>
            <w:shd w:val="clear" w:color="auto" w:fill="DCE2EF"/>
          </w:tcPr>
          <w:p>
            <w:pPr>
              <w:spacing w:after="0"/>
              <w:rPr>
                <w:sz w:val="13"/>
                <w:szCs w:val="13"/>
                <w:color w:val="auto"/>
              </w:rPr>
            </w:pPr>
          </w:p>
        </w:tc>
        <w:tc>
          <w:tcPr>
            <w:tcW w:w="2160" w:type="dxa"/>
            <w:vAlign w:val="bottom"/>
            <w:shd w:val="clear" w:color="auto" w:fill="DCE2E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300" w:type="dxa"/>
            <w:vAlign w:val="bottom"/>
            <w:tcBorders>
              <w:top w:val="single" w:sz="8" w:color="DCE2EF"/>
              <w:bottom w:val="single" w:sz="8" w:color="DCE2EF"/>
            </w:tcBorders>
            <w:shd w:val="clear" w:color="auto" w:fill="DCE2EF"/>
          </w:tcPr>
          <w:p>
            <w:pPr>
              <w:spacing w:after="0"/>
              <w:rPr>
                <w:sz w:val="12"/>
                <w:szCs w:val="12"/>
                <w:color w:val="auto"/>
              </w:rPr>
            </w:pPr>
          </w:p>
        </w:tc>
        <w:tc>
          <w:tcPr>
            <w:tcW w:w="4260" w:type="dxa"/>
            <w:vAlign w:val="bottom"/>
            <w:tcBorders>
              <w:top w:val="single" w:sz="8" w:color="0000FF"/>
              <w:bottom w:val="single" w:sz="8" w:color="0000FF"/>
              <w:right w:val="single" w:sz="8" w:color="DCE2EF"/>
            </w:tcBorders>
            <w:gridSpan w:val="9"/>
            <w:shd w:val="clear" w:color="auto" w:fill="DCE2EF"/>
          </w:tcPr>
          <w:p>
            <w:pPr>
              <w:spacing w:after="0" w:line="148" w:lineRule="exact"/>
              <w:rPr>
                <w:rFonts w:ascii="Arial" w:cs="Arial" w:eastAsia="Arial" w:hAnsi="Arial"/>
                <w:sz w:val="17"/>
                <w:szCs w:val="17"/>
                <w:color w:val="0000FF"/>
              </w:rPr>
            </w:pPr>
            <w:hyperlink r:id="rId180">
              <w:r>
                <w:rPr>
                  <w:rFonts w:ascii="Arial" w:cs="Arial" w:eastAsia="Arial" w:hAnsi="Arial"/>
                  <w:sz w:val="17"/>
                  <w:szCs w:val="17"/>
                  <w:color w:val="0000FF"/>
                </w:rPr>
                <w:t>ABM Industries Incorporated from time to time party</w:t>
              </w:r>
            </w:hyperlink>
          </w:p>
        </w:tc>
        <w:tc>
          <w:tcPr>
            <w:tcW w:w="240" w:type="dxa"/>
            <w:vAlign w:val="bottom"/>
            <w:tcBorders>
              <w:top w:val="single" w:sz="8" w:color="0000FF"/>
              <w:left w:val="single" w:sz="8" w:color="DCE2EF"/>
              <w:bottom w:val="single" w:sz="8" w:color="DCE2EF"/>
            </w:tcBorders>
            <w:gridSpan w:val="6"/>
            <w:shd w:val="clear" w:color="auto" w:fill="DCE2EF"/>
          </w:tcPr>
          <w:p>
            <w:pPr>
              <w:spacing w:after="0"/>
              <w:rPr>
                <w:sz w:val="12"/>
                <w:szCs w:val="12"/>
                <w:color w:val="auto"/>
              </w:rPr>
            </w:pPr>
          </w:p>
        </w:tc>
        <w:tc>
          <w:tcPr>
            <w:tcW w:w="20" w:type="dxa"/>
            <w:vAlign w:val="bottom"/>
            <w:tcBorders>
              <w:top w:val="single" w:sz="8" w:color="DCE2EF"/>
              <w:bottom w:val="single" w:sz="8" w:color="DCE2EF"/>
            </w:tcBorders>
            <w:gridSpan w:val="2"/>
            <w:shd w:val="clear" w:color="auto" w:fill="DCE2EF"/>
          </w:tcPr>
          <w:p>
            <w:pPr>
              <w:spacing w:after="0"/>
              <w:rPr>
                <w:sz w:val="12"/>
                <w:szCs w:val="12"/>
                <w:color w:val="auto"/>
              </w:rPr>
            </w:pPr>
          </w:p>
        </w:tc>
        <w:tc>
          <w:tcPr>
            <w:tcW w:w="140" w:type="dxa"/>
            <w:vAlign w:val="bottom"/>
            <w:tcBorders>
              <w:top w:val="single" w:sz="8" w:color="DCE2EF"/>
              <w:bottom w:val="single" w:sz="8" w:color="DCE2EF"/>
            </w:tcBorders>
            <w:shd w:val="clear" w:color="auto" w:fill="DCE2EF"/>
          </w:tcPr>
          <w:p>
            <w:pPr>
              <w:spacing w:after="0"/>
              <w:rPr>
                <w:sz w:val="12"/>
                <w:szCs w:val="12"/>
                <w:color w:val="auto"/>
              </w:rPr>
            </w:pPr>
          </w:p>
        </w:tc>
        <w:tc>
          <w:tcPr>
            <w:tcW w:w="740" w:type="dxa"/>
            <w:vAlign w:val="bottom"/>
            <w:tcBorders>
              <w:top w:val="single" w:sz="8" w:color="DCE2EF"/>
              <w:bottom w:val="single" w:sz="8" w:color="DCE2EF"/>
            </w:tcBorders>
            <w:shd w:val="clear" w:color="auto" w:fill="DCE2EF"/>
          </w:tcPr>
          <w:p>
            <w:pPr>
              <w:spacing w:after="0"/>
              <w:rPr>
                <w:sz w:val="12"/>
                <w:szCs w:val="12"/>
                <w:color w:val="auto"/>
              </w:rPr>
            </w:pPr>
          </w:p>
        </w:tc>
        <w:tc>
          <w:tcPr>
            <w:tcW w:w="1340" w:type="dxa"/>
            <w:vAlign w:val="bottom"/>
            <w:tcBorders>
              <w:top w:val="single" w:sz="8" w:color="DCE2EF"/>
              <w:bottom w:val="single" w:sz="8" w:color="DCE2EF"/>
            </w:tcBorders>
            <w:shd w:val="clear" w:color="auto" w:fill="DCE2EF"/>
          </w:tcPr>
          <w:p>
            <w:pPr>
              <w:spacing w:after="0"/>
              <w:rPr>
                <w:sz w:val="12"/>
                <w:szCs w:val="12"/>
                <w:color w:val="auto"/>
              </w:rPr>
            </w:pPr>
          </w:p>
        </w:tc>
        <w:tc>
          <w:tcPr>
            <w:tcW w:w="1040" w:type="dxa"/>
            <w:vAlign w:val="bottom"/>
            <w:tcBorders>
              <w:top w:val="single" w:sz="8" w:color="DCE2EF"/>
              <w:bottom w:val="single" w:sz="8" w:color="DCE2EF"/>
            </w:tcBorders>
            <w:shd w:val="clear" w:color="auto" w:fill="DCE2EF"/>
          </w:tcPr>
          <w:p>
            <w:pPr>
              <w:spacing w:after="0"/>
              <w:rPr>
                <w:sz w:val="12"/>
                <w:szCs w:val="12"/>
                <w:color w:val="auto"/>
              </w:rPr>
            </w:pPr>
          </w:p>
        </w:tc>
        <w:tc>
          <w:tcPr>
            <w:tcW w:w="2160" w:type="dxa"/>
            <w:vAlign w:val="bottom"/>
            <w:tcBorders>
              <w:top w:val="single" w:sz="8" w:color="DCE2EF"/>
              <w:bottom w:val="single" w:sz="8" w:color="DCE2EF"/>
            </w:tcBorders>
            <w:shd w:val="clear" w:color="auto" w:fill="DCE2E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00" w:type="dxa"/>
            <w:vAlign w:val="bottom"/>
            <w:tcBorders>
              <w:bottom w:val="single" w:sz="8" w:color="DCE2EF"/>
            </w:tcBorders>
            <w:shd w:val="clear" w:color="auto" w:fill="DCE2EF"/>
          </w:tcPr>
          <w:p>
            <w:pPr>
              <w:spacing w:after="0"/>
              <w:rPr>
                <w:sz w:val="12"/>
                <w:szCs w:val="12"/>
                <w:color w:val="auto"/>
              </w:rPr>
            </w:pPr>
          </w:p>
        </w:tc>
        <w:tc>
          <w:tcPr>
            <w:tcW w:w="4260" w:type="dxa"/>
            <w:vAlign w:val="bottom"/>
            <w:tcBorders>
              <w:bottom w:val="single" w:sz="8" w:color="0000FF"/>
              <w:right w:val="single" w:sz="8" w:color="DCE2EF"/>
            </w:tcBorders>
            <w:gridSpan w:val="9"/>
            <w:shd w:val="clear" w:color="auto" w:fill="DCE2EF"/>
          </w:tcPr>
          <w:p>
            <w:pPr>
              <w:spacing w:after="0" w:line="148" w:lineRule="exact"/>
              <w:rPr>
                <w:rFonts w:ascii="Arial" w:cs="Arial" w:eastAsia="Arial" w:hAnsi="Arial"/>
                <w:sz w:val="17"/>
                <w:szCs w:val="17"/>
                <w:color w:val="0000FF"/>
              </w:rPr>
            </w:pPr>
            <w:hyperlink r:id="rId180">
              <w:r>
                <w:rPr>
                  <w:rFonts w:ascii="Arial" w:cs="Arial" w:eastAsia="Arial" w:hAnsi="Arial"/>
                  <w:sz w:val="17"/>
                  <w:szCs w:val="17"/>
                  <w:color w:val="0000FF"/>
                </w:rPr>
                <w:t>thereto, the financial institutions listed on the signature</w:t>
              </w:r>
            </w:hyperlink>
          </w:p>
        </w:tc>
        <w:tc>
          <w:tcPr>
            <w:tcW w:w="400" w:type="dxa"/>
            <w:vAlign w:val="bottom"/>
            <w:tcBorders>
              <w:left w:val="single" w:sz="8" w:color="DCE2EF"/>
              <w:bottom w:val="single" w:sz="8" w:color="DCE2EF"/>
            </w:tcBorders>
            <w:gridSpan w:val="9"/>
            <w:shd w:val="clear" w:color="auto" w:fill="DCE2EF"/>
          </w:tcPr>
          <w:p>
            <w:pPr>
              <w:spacing w:after="0"/>
              <w:rPr>
                <w:sz w:val="12"/>
                <w:szCs w:val="12"/>
                <w:color w:val="auto"/>
              </w:rPr>
            </w:pPr>
          </w:p>
        </w:tc>
        <w:tc>
          <w:tcPr>
            <w:tcW w:w="740" w:type="dxa"/>
            <w:vAlign w:val="bottom"/>
            <w:tcBorders>
              <w:bottom w:val="single" w:sz="8" w:color="DCE2EF"/>
            </w:tcBorders>
            <w:shd w:val="clear" w:color="auto" w:fill="DCE2EF"/>
          </w:tcPr>
          <w:p>
            <w:pPr>
              <w:spacing w:after="0"/>
              <w:rPr>
                <w:sz w:val="12"/>
                <w:szCs w:val="12"/>
                <w:color w:val="auto"/>
              </w:rPr>
            </w:pPr>
          </w:p>
        </w:tc>
        <w:tc>
          <w:tcPr>
            <w:tcW w:w="1340" w:type="dxa"/>
            <w:vAlign w:val="bottom"/>
            <w:tcBorders>
              <w:bottom w:val="single" w:sz="8" w:color="DCE2EF"/>
            </w:tcBorders>
            <w:shd w:val="clear" w:color="auto" w:fill="DCE2EF"/>
          </w:tcPr>
          <w:p>
            <w:pPr>
              <w:spacing w:after="0"/>
              <w:rPr>
                <w:sz w:val="12"/>
                <w:szCs w:val="12"/>
                <w:color w:val="auto"/>
              </w:rPr>
            </w:pPr>
          </w:p>
        </w:tc>
        <w:tc>
          <w:tcPr>
            <w:tcW w:w="1040" w:type="dxa"/>
            <w:vAlign w:val="bottom"/>
            <w:tcBorders>
              <w:bottom w:val="single" w:sz="8" w:color="DCE2EF"/>
            </w:tcBorders>
            <w:shd w:val="clear" w:color="auto" w:fill="DCE2EF"/>
          </w:tcPr>
          <w:p>
            <w:pPr>
              <w:spacing w:after="0"/>
              <w:rPr>
                <w:sz w:val="12"/>
                <w:szCs w:val="12"/>
                <w:color w:val="auto"/>
              </w:rPr>
            </w:pPr>
          </w:p>
        </w:tc>
        <w:tc>
          <w:tcPr>
            <w:tcW w:w="2160" w:type="dxa"/>
            <w:vAlign w:val="bottom"/>
            <w:tcBorders>
              <w:bottom w:val="single" w:sz="8" w:color="DCE2EF"/>
            </w:tcBorders>
            <w:shd w:val="clear" w:color="auto" w:fill="DCE2EF"/>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300" w:type="dxa"/>
            <w:vAlign w:val="bottom"/>
            <w:shd w:val="clear" w:color="auto" w:fill="DCE2EF"/>
          </w:tcPr>
          <w:p>
            <w:pPr>
              <w:spacing w:after="0"/>
              <w:rPr>
                <w:sz w:val="13"/>
                <w:szCs w:val="13"/>
                <w:color w:val="auto"/>
              </w:rPr>
            </w:pPr>
          </w:p>
        </w:tc>
        <w:tc>
          <w:tcPr>
            <w:tcW w:w="4660" w:type="dxa"/>
            <w:vAlign w:val="bottom"/>
            <w:gridSpan w:val="18"/>
            <w:shd w:val="clear" w:color="auto" w:fill="DCE2EF"/>
          </w:tcPr>
          <w:p>
            <w:pPr>
              <w:spacing w:after="0" w:line="161" w:lineRule="exact"/>
              <w:rPr>
                <w:rFonts w:ascii="Arial" w:cs="Arial" w:eastAsia="Arial" w:hAnsi="Arial"/>
                <w:sz w:val="17"/>
                <w:szCs w:val="17"/>
                <w:color w:val="0000FF"/>
              </w:rPr>
            </w:pPr>
            <w:hyperlink r:id="rId180">
              <w:r>
                <w:rPr>
                  <w:rFonts w:ascii="Arial" w:cs="Arial" w:eastAsia="Arial" w:hAnsi="Arial"/>
                  <w:sz w:val="17"/>
                  <w:szCs w:val="17"/>
                  <w:color w:val="0000FF"/>
                </w:rPr>
                <w:t>pages thereof as lenders and Bank of America, N.A. as</w:t>
              </w:r>
            </w:hyperlink>
          </w:p>
        </w:tc>
        <w:tc>
          <w:tcPr>
            <w:tcW w:w="740" w:type="dxa"/>
            <w:vAlign w:val="bottom"/>
            <w:shd w:val="clear" w:color="auto" w:fill="DCE2EF"/>
          </w:tcPr>
          <w:p>
            <w:pPr>
              <w:spacing w:after="0"/>
              <w:rPr>
                <w:sz w:val="13"/>
                <w:szCs w:val="13"/>
                <w:color w:val="auto"/>
              </w:rPr>
            </w:pPr>
          </w:p>
        </w:tc>
        <w:tc>
          <w:tcPr>
            <w:tcW w:w="1340" w:type="dxa"/>
            <w:vAlign w:val="bottom"/>
            <w:shd w:val="clear" w:color="auto" w:fill="DCE2EF"/>
          </w:tcPr>
          <w:p>
            <w:pPr>
              <w:spacing w:after="0"/>
              <w:rPr>
                <w:sz w:val="13"/>
                <w:szCs w:val="13"/>
                <w:color w:val="auto"/>
              </w:rPr>
            </w:pPr>
          </w:p>
        </w:tc>
        <w:tc>
          <w:tcPr>
            <w:tcW w:w="1040" w:type="dxa"/>
            <w:vAlign w:val="bottom"/>
            <w:shd w:val="clear" w:color="auto" w:fill="DCE2EF"/>
          </w:tcPr>
          <w:p>
            <w:pPr>
              <w:spacing w:after="0"/>
              <w:rPr>
                <w:sz w:val="13"/>
                <w:szCs w:val="13"/>
                <w:color w:val="auto"/>
              </w:rPr>
            </w:pPr>
          </w:p>
        </w:tc>
        <w:tc>
          <w:tcPr>
            <w:tcW w:w="2160" w:type="dxa"/>
            <w:vAlign w:val="bottom"/>
            <w:shd w:val="clear" w:color="auto" w:fill="DCE2EF"/>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1300" w:type="dxa"/>
            <w:vAlign w:val="bottom"/>
            <w:tcBorders>
              <w:top w:val="single" w:sz="8" w:color="DCE2EF"/>
              <w:bottom w:val="single" w:sz="8" w:color="DCE2EF"/>
            </w:tcBorders>
            <w:shd w:val="clear" w:color="auto" w:fill="DCE2EF"/>
          </w:tcPr>
          <w:p>
            <w:pPr>
              <w:spacing w:after="0"/>
              <w:rPr>
                <w:sz w:val="14"/>
                <w:szCs w:val="14"/>
                <w:color w:val="auto"/>
              </w:rPr>
            </w:pPr>
          </w:p>
        </w:tc>
        <w:tc>
          <w:tcPr>
            <w:tcW w:w="4260" w:type="dxa"/>
            <w:vAlign w:val="bottom"/>
            <w:tcBorders>
              <w:top w:val="single" w:sz="8" w:color="0000FF"/>
              <w:bottom w:val="single" w:sz="8" w:color="0000FF"/>
              <w:right w:val="single" w:sz="8" w:color="DCE2EF"/>
            </w:tcBorders>
            <w:gridSpan w:val="9"/>
            <w:shd w:val="clear" w:color="auto" w:fill="DCE2EF"/>
          </w:tcPr>
          <w:p>
            <w:pPr>
              <w:spacing w:after="0" w:line="148" w:lineRule="exact"/>
              <w:rPr>
                <w:rFonts w:ascii="Arial" w:cs="Arial" w:eastAsia="Arial" w:hAnsi="Arial"/>
                <w:sz w:val="17"/>
                <w:szCs w:val="17"/>
                <w:color w:val="0000FF"/>
              </w:rPr>
            </w:pPr>
            <w:hyperlink r:id="rId180">
              <w:r>
                <w:rPr>
                  <w:rFonts w:ascii="Arial" w:cs="Arial" w:eastAsia="Arial" w:hAnsi="Arial"/>
                  <w:sz w:val="17"/>
                  <w:szCs w:val="17"/>
                  <w:color w:val="0000FF"/>
                </w:rPr>
                <w:t>administrative agent and collateral agent for the lenders</w:t>
              </w:r>
            </w:hyperlink>
          </w:p>
        </w:tc>
        <w:tc>
          <w:tcPr>
            <w:tcW w:w="180" w:type="dxa"/>
            <w:vAlign w:val="bottom"/>
            <w:tcBorders>
              <w:top w:val="single" w:sz="8" w:color="DCE2EF"/>
              <w:left w:val="single" w:sz="8" w:color="DCE2EF"/>
              <w:bottom w:val="single" w:sz="8" w:color="DCE2EF"/>
            </w:tcBorders>
            <w:gridSpan w:val="3"/>
            <w:shd w:val="clear" w:color="auto" w:fill="DCE2EF"/>
          </w:tcPr>
          <w:p>
            <w:pPr>
              <w:spacing w:after="0"/>
              <w:rPr>
                <w:sz w:val="14"/>
                <w:szCs w:val="14"/>
                <w:color w:val="auto"/>
              </w:rPr>
            </w:pPr>
          </w:p>
        </w:tc>
        <w:tc>
          <w:tcPr>
            <w:tcW w:w="80" w:type="dxa"/>
            <w:vAlign w:val="bottom"/>
            <w:tcBorders>
              <w:top w:val="single" w:sz="8" w:color="DCE2EF"/>
              <w:bottom w:val="single" w:sz="8" w:color="DCE2EF"/>
            </w:tcBorders>
            <w:gridSpan w:val="5"/>
            <w:shd w:val="clear" w:color="auto" w:fill="DCE2EF"/>
          </w:tcPr>
          <w:p>
            <w:pPr>
              <w:spacing w:after="0"/>
              <w:rPr>
                <w:sz w:val="14"/>
                <w:szCs w:val="14"/>
                <w:color w:val="auto"/>
              </w:rPr>
            </w:pPr>
          </w:p>
        </w:tc>
        <w:tc>
          <w:tcPr>
            <w:tcW w:w="140" w:type="dxa"/>
            <w:vAlign w:val="bottom"/>
            <w:tcBorders>
              <w:top w:val="single" w:sz="8" w:color="DCE2EF"/>
              <w:bottom w:val="single" w:sz="8" w:color="DCE2EF"/>
            </w:tcBorders>
            <w:shd w:val="clear" w:color="auto" w:fill="DCE2EF"/>
          </w:tcPr>
          <w:p>
            <w:pPr>
              <w:spacing w:after="0"/>
              <w:rPr>
                <w:sz w:val="14"/>
                <w:szCs w:val="14"/>
                <w:color w:val="auto"/>
              </w:rPr>
            </w:pPr>
          </w:p>
        </w:tc>
        <w:tc>
          <w:tcPr>
            <w:tcW w:w="740" w:type="dxa"/>
            <w:vAlign w:val="bottom"/>
            <w:tcBorders>
              <w:top w:val="single" w:sz="8" w:color="DCE2EF"/>
              <w:bottom w:val="single" w:sz="8" w:color="DCE2EF"/>
            </w:tcBorders>
            <w:shd w:val="clear" w:color="auto" w:fill="DCE2EF"/>
          </w:tcPr>
          <w:p>
            <w:pPr>
              <w:spacing w:after="0"/>
              <w:rPr>
                <w:sz w:val="14"/>
                <w:szCs w:val="14"/>
                <w:color w:val="auto"/>
              </w:rPr>
            </w:pPr>
          </w:p>
        </w:tc>
        <w:tc>
          <w:tcPr>
            <w:tcW w:w="1340" w:type="dxa"/>
            <w:vAlign w:val="bottom"/>
            <w:tcBorders>
              <w:top w:val="single" w:sz="8" w:color="DCE2EF"/>
              <w:bottom w:val="single" w:sz="8" w:color="DCE2EF"/>
            </w:tcBorders>
            <w:shd w:val="clear" w:color="auto" w:fill="DCE2EF"/>
          </w:tcPr>
          <w:p>
            <w:pPr>
              <w:spacing w:after="0"/>
              <w:rPr>
                <w:sz w:val="14"/>
                <w:szCs w:val="14"/>
                <w:color w:val="auto"/>
              </w:rPr>
            </w:pPr>
          </w:p>
        </w:tc>
        <w:tc>
          <w:tcPr>
            <w:tcW w:w="1040" w:type="dxa"/>
            <w:vAlign w:val="bottom"/>
            <w:tcBorders>
              <w:top w:val="single" w:sz="8" w:color="DCE2EF"/>
              <w:bottom w:val="single" w:sz="8" w:color="DCE2EF"/>
            </w:tcBorders>
            <w:shd w:val="clear" w:color="auto" w:fill="DCE2EF"/>
          </w:tcPr>
          <w:p>
            <w:pPr>
              <w:spacing w:after="0"/>
              <w:rPr>
                <w:sz w:val="14"/>
                <w:szCs w:val="14"/>
                <w:color w:val="auto"/>
              </w:rPr>
            </w:pPr>
          </w:p>
        </w:tc>
        <w:tc>
          <w:tcPr>
            <w:tcW w:w="2160" w:type="dxa"/>
            <w:vAlign w:val="bottom"/>
            <w:tcBorders>
              <w:top w:val="single" w:sz="8" w:color="DCE2EF"/>
              <w:bottom w:val="single" w:sz="8" w:color="DCE2EF"/>
            </w:tcBorders>
            <w:shd w:val="clear" w:color="auto" w:fill="DCE2EF"/>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1300" w:type="dxa"/>
            <w:vAlign w:val="bottom"/>
          </w:tcPr>
          <w:p>
            <w:pPr>
              <w:ind w:left="20"/>
              <w:spacing w:after="0" w:line="180" w:lineRule="exact"/>
              <w:rPr>
                <w:sz w:val="20"/>
                <w:szCs w:val="20"/>
                <w:color w:val="auto"/>
              </w:rPr>
            </w:pPr>
            <w:r>
              <w:rPr>
                <w:rFonts w:ascii="Arial" w:cs="Arial" w:eastAsia="Arial" w:hAnsi="Arial"/>
                <w:sz w:val="17"/>
                <w:szCs w:val="17"/>
                <w:color w:val="auto"/>
              </w:rPr>
              <w:t>10.10*</w:t>
            </w:r>
          </w:p>
        </w:tc>
        <w:tc>
          <w:tcPr>
            <w:tcW w:w="3920" w:type="dxa"/>
            <w:vAlign w:val="bottom"/>
            <w:tcBorders>
              <w:bottom w:val="single" w:sz="8" w:color="0000FF"/>
            </w:tcBorders>
            <w:gridSpan w:val="8"/>
          </w:tcPr>
          <w:p>
            <w:pPr>
              <w:spacing w:after="0" w:line="180" w:lineRule="exact"/>
              <w:rPr>
                <w:rFonts w:ascii="Arial" w:cs="Arial" w:eastAsia="Arial" w:hAnsi="Arial"/>
                <w:sz w:val="17"/>
                <w:szCs w:val="17"/>
                <w:color w:val="0000FF"/>
              </w:rPr>
            </w:pPr>
            <w:hyperlink r:id="rId180">
              <w:r>
                <w:rPr>
                  <w:rFonts w:ascii="Arial" w:cs="Arial" w:eastAsia="Arial" w:hAnsi="Arial"/>
                  <w:sz w:val="17"/>
                  <w:szCs w:val="17"/>
                  <w:color w:val="0000FF"/>
                </w:rPr>
                <w:t>ABM Executive Retiree Healthcare and Dental Plan</w:t>
              </w:r>
            </w:hyperlink>
          </w:p>
        </w:tc>
        <w:tc>
          <w:tcPr>
            <w:tcW w:w="740" w:type="dxa"/>
            <w:vAlign w:val="bottom"/>
            <w:gridSpan w:val="10"/>
          </w:tcPr>
          <w:p>
            <w:pPr>
              <w:spacing w:after="0"/>
              <w:rPr>
                <w:sz w:val="16"/>
                <w:szCs w:val="16"/>
                <w:color w:val="auto"/>
              </w:rPr>
            </w:pPr>
          </w:p>
        </w:tc>
        <w:tc>
          <w:tcPr>
            <w:tcW w:w="740" w:type="dxa"/>
            <w:vAlign w:val="bottom"/>
          </w:tcPr>
          <w:p>
            <w:pPr>
              <w:jc w:val="center"/>
              <w:ind w:right="14"/>
              <w:spacing w:after="0" w:line="180" w:lineRule="exact"/>
              <w:rPr>
                <w:sz w:val="20"/>
                <w:szCs w:val="20"/>
                <w:color w:val="auto"/>
              </w:rPr>
            </w:pPr>
            <w:r>
              <w:rPr>
                <w:rFonts w:ascii="Arial" w:cs="Arial" w:eastAsia="Arial" w:hAnsi="Arial"/>
                <w:sz w:val="17"/>
                <w:szCs w:val="17"/>
                <w:color w:val="auto"/>
              </w:rPr>
              <w:t>10-K</w:t>
            </w:r>
          </w:p>
        </w:tc>
        <w:tc>
          <w:tcPr>
            <w:tcW w:w="1340" w:type="dxa"/>
            <w:vAlign w:val="bottom"/>
          </w:tcPr>
          <w:p>
            <w:pPr>
              <w:jc w:val="right"/>
              <w:ind w:right="194"/>
              <w:spacing w:after="0" w:line="180" w:lineRule="exact"/>
              <w:rPr>
                <w:sz w:val="20"/>
                <w:szCs w:val="20"/>
                <w:color w:val="auto"/>
              </w:rPr>
            </w:pPr>
            <w:r>
              <w:rPr>
                <w:rFonts w:ascii="Arial" w:cs="Arial" w:eastAsia="Arial" w:hAnsi="Arial"/>
                <w:sz w:val="17"/>
                <w:szCs w:val="17"/>
                <w:color w:val="auto"/>
              </w:rPr>
              <w:t>001-08929</w:t>
            </w:r>
          </w:p>
        </w:tc>
        <w:tc>
          <w:tcPr>
            <w:tcW w:w="1040" w:type="dxa"/>
            <w:vAlign w:val="bottom"/>
          </w:tcPr>
          <w:p>
            <w:pPr>
              <w:jc w:val="center"/>
              <w:spacing w:after="0" w:line="180" w:lineRule="exact"/>
              <w:rPr>
                <w:sz w:val="20"/>
                <w:szCs w:val="20"/>
                <w:color w:val="auto"/>
              </w:rPr>
            </w:pPr>
            <w:r>
              <w:rPr>
                <w:rFonts w:ascii="Arial" w:cs="Arial" w:eastAsia="Arial" w:hAnsi="Arial"/>
                <w:sz w:val="17"/>
                <w:szCs w:val="17"/>
                <w:color w:val="auto"/>
              </w:rPr>
              <w:t>10.17</w:t>
            </w:r>
          </w:p>
        </w:tc>
        <w:tc>
          <w:tcPr>
            <w:tcW w:w="2160" w:type="dxa"/>
            <w:vAlign w:val="bottom"/>
          </w:tcPr>
          <w:p>
            <w:pPr>
              <w:jc w:val="center"/>
              <w:spacing w:after="0" w:line="180" w:lineRule="exact"/>
              <w:rPr>
                <w:sz w:val="20"/>
                <w:szCs w:val="20"/>
                <w:color w:val="auto"/>
              </w:rPr>
            </w:pPr>
            <w:r>
              <w:rPr>
                <w:rFonts w:ascii="Arial" w:cs="Arial" w:eastAsia="Arial" w:hAnsi="Arial"/>
                <w:sz w:val="17"/>
                <w:szCs w:val="17"/>
                <w:color w:val="auto"/>
              </w:rPr>
              <w:t>January 14, 2005</w:t>
            </w:r>
          </w:p>
        </w:tc>
        <w:tc>
          <w:tcPr>
            <w:tcW w:w="0" w:type="dxa"/>
            <w:vAlign w:val="bottom"/>
          </w:tcPr>
          <w:p>
            <w:pPr>
              <w:spacing w:after="0"/>
              <w:rPr>
                <w:sz w:val="1"/>
                <w:szCs w:val="1"/>
                <w:color w:val="auto"/>
              </w:rPr>
            </w:pPr>
          </w:p>
        </w:tc>
      </w:tr>
      <w:tr>
        <w:trPr>
          <w:trHeight w:val="190"/>
        </w:trPr>
        <w:tc>
          <w:tcPr>
            <w:tcW w:w="1300" w:type="dxa"/>
            <w:vAlign w:val="bottom"/>
            <w:shd w:val="clear" w:color="auto" w:fill="DCE2EF"/>
          </w:tcPr>
          <w:p>
            <w:pPr>
              <w:ind w:left="20"/>
              <w:spacing w:after="0" w:line="190" w:lineRule="exact"/>
              <w:rPr>
                <w:sz w:val="20"/>
                <w:szCs w:val="20"/>
                <w:color w:val="auto"/>
              </w:rPr>
            </w:pPr>
            <w:r>
              <w:rPr>
                <w:rFonts w:ascii="Arial" w:cs="Arial" w:eastAsia="Arial" w:hAnsi="Arial"/>
                <w:sz w:val="17"/>
                <w:szCs w:val="17"/>
                <w:color w:val="auto"/>
              </w:rPr>
              <w:t>10.11*</w:t>
            </w:r>
          </w:p>
        </w:tc>
        <w:tc>
          <w:tcPr>
            <w:tcW w:w="4660" w:type="dxa"/>
            <w:vAlign w:val="bottom"/>
            <w:gridSpan w:val="18"/>
            <w:shd w:val="clear" w:color="auto" w:fill="DCE2EF"/>
          </w:tcPr>
          <w:p>
            <w:pPr>
              <w:spacing w:after="0" w:line="190" w:lineRule="exact"/>
              <w:rPr>
                <w:rFonts w:ascii="Arial" w:cs="Arial" w:eastAsia="Arial" w:hAnsi="Arial"/>
                <w:sz w:val="17"/>
                <w:szCs w:val="17"/>
                <w:color w:val="0000FF"/>
              </w:rPr>
            </w:pPr>
            <w:hyperlink r:id="rId181">
              <w:r>
                <w:rPr>
                  <w:rFonts w:ascii="Arial" w:cs="Arial" w:eastAsia="Arial" w:hAnsi="Arial"/>
                  <w:sz w:val="17"/>
                  <w:szCs w:val="17"/>
                  <w:color w:val="0000FF"/>
                </w:rPr>
                <w:t>Deferred Compensation Plan for Non-Employee Directors,</w:t>
              </w:r>
            </w:hyperlink>
          </w:p>
        </w:tc>
        <w:tc>
          <w:tcPr>
            <w:tcW w:w="740" w:type="dxa"/>
            <w:vAlign w:val="bottom"/>
            <w:shd w:val="clear" w:color="auto" w:fill="DCE2EF"/>
          </w:tcPr>
          <w:p>
            <w:pPr>
              <w:jc w:val="center"/>
              <w:ind w:right="14"/>
              <w:spacing w:after="0" w:line="190" w:lineRule="exact"/>
              <w:rPr>
                <w:sz w:val="20"/>
                <w:szCs w:val="20"/>
                <w:color w:val="auto"/>
              </w:rPr>
            </w:pPr>
            <w:r>
              <w:rPr>
                <w:rFonts w:ascii="Arial" w:cs="Arial" w:eastAsia="Arial" w:hAnsi="Arial"/>
                <w:sz w:val="17"/>
                <w:szCs w:val="17"/>
                <w:color w:val="auto"/>
              </w:rPr>
              <w:t>10-K</w:t>
            </w:r>
          </w:p>
        </w:tc>
        <w:tc>
          <w:tcPr>
            <w:tcW w:w="1340" w:type="dxa"/>
            <w:vAlign w:val="bottom"/>
            <w:shd w:val="clear" w:color="auto" w:fill="DCE2EF"/>
          </w:tcPr>
          <w:p>
            <w:pPr>
              <w:jc w:val="right"/>
              <w:ind w:right="194"/>
              <w:spacing w:after="0" w:line="190" w:lineRule="exact"/>
              <w:rPr>
                <w:sz w:val="20"/>
                <w:szCs w:val="20"/>
                <w:color w:val="auto"/>
              </w:rPr>
            </w:pPr>
            <w:r>
              <w:rPr>
                <w:rFonts w:ascii="Arial" w:cs="Arial" w:eastAsia="Arial" w:hAnsi="Arial"/>
                <w:sz w:val="17"/>
                <w:szCs w:val="17"/>
                <w:color w:val="auto"/>
              </w:rPr>
              <w:t>001-08929</w:t>
            </w:r>
          </w:p>
        </w:tc>
        <w:tc>
          <w:tcPr>
            <w:tcW w:w="1040" w:type="dxa"/>
            <w:vAlign w:val="bottom"/>
            <w:shd w:val="clear" w:color="auto" w:fill="DCE2EF"/>
          </w:tcPr>
          <w:p>
            <w:pPr>
              <w:jc w:val="center"/>
              <w:spacing w:after="0" w:line="190" w:lineRule="exact"/>
              <w:rPr>
                <w:sz w:val="20"/>
                <w:szCs w:val="20"/>
                <w:color w:val="auto"/>
              </w:rPr>
            </w:pPr>
            <w:r>
              <w:rPr>
                <w:rFonts w:ascii="Arial" w:cs="Arial" w:eastAsia="Arial" w:hAnsi="Arial"/>
                <w:sz w:val="17"/>
                <w:szCs w:val="17"/>
                <w:color w:val="auto"/>
              </w:rPr>
              <w:t>10.7</w:t>
            </w:r>
          </w:p>
        </w:tc>
        <w:tc>
          <w:tcPr>
            <w:tcW w:w="2160" w:type="dxa"/>
            <w:vAlign w:val="bottom"/>
            <w:shd w:val="clear" w:color="auto" w:fill="DCE2EF"/>
          </w:tcPr>
          <w:p>
            <w:pPr>
              <w:jc w:val="center"/>
              <w:spacing w:after="0" w:line="190" w:lineRule="exact"/>
              <w:rPr>
                <w:sz w:val="20"/>
                <w:szCs w:val="20"/>
                <w:color w:val="auto"/>
              </w:rPr>
            </w:pPr>
            <w:r>
              <w:rPr>
                <w:rFonts w:ascii="Arial" w:cs="Arial" w:eastAsia="Arial" w:hAnsi="Arial"/>
                <w:sz w:val="17"/>
                <w:szCs w:val="17"/>
                <w:color w:val="auto"/>
              </w:rPr>
              <w:t>December 23, 2010</w:t>
            </w:r>
          </w:p>
        </w:tc>
        <w:tc>
          <w:tcPr>
            <w:tcW w:w="0" w:type="dxa"/>
            <w:vAlign w:val="bottom"/>
          </w:tcPr>
          <w:p>
            <w:pPr>
              <w:spacing w:after="0"/>
              <w:rPr>
                <w:sz w:val="1"/>
                <w:szCs w:val="1"/>
                <w:color w:val="auto"/>
              </w:rPr>
            </w:pPr>
          </w:p>
        </w:tc>
      </w:tr>
      <w:tr>
        <w:trPr>
          <w:trHeight w:val="179"/>
        </w:trPr>
        <w:tc>
          <w:tcPr>
            <w:tcW w:w="1300" w:type="dxa"/>
            <w:vAlign w:val="bottom"/>
            <w:tcBorders>
              <w:top w:val="single" w:sz="8" w:color="DCE2EF"/>
            </w:tcBorders>
            <w:shd w:val="clear" w:color="auto" w:fill="DCE2EF"/>
          </w:tcPr>
          <w:p>
            <w:pPr>
              <w:spacing w:after="0"/>
              <w:rPr>
                <w:sz w:val="15"/>
                <w:szCs w:val="15"/>
                <w:color w:val="auto"/>
              </w:rPr>
            </w:pPr>
          </w:p>
        </w:tc>
        <w:tc>
          <w:tcPr>
            <w:tcW w:w="4440" w:type="dxa"/>
            <w:vAlign w:val="bottom"/>
            <w:tcBorders>
              <w:top w:val="single" w:sz="8" w:color="0000FF"/>
            </w:tcBorders>
            <w:gridSpan w:val="12"/>
            <w:shd w:val="clear" w:color="auto" w:fill="DCE2EF"/>
          </w:tcPr>
          <w:p>
            <w:pPr>
              <w:spacing w:after="0" w:line="148" w:lineRule="exact"/>
              <w:rPr>
                <w:rFonts w:ascii="Arial" w:cs="Arial" w:eastAsia="Arial" w:hAnsi="Arial"/>
                <w:sz w:val="17"/>
                <w:szCs w:val="17"/>
                <w:color w:val="0000FF"/>
              </w:rPr>
            </w:pPr>
            <w:hyperlink r:id="rId181">
              <w:r>
                <w:rPr>
                  <w:rFonts w:ascii="Arial" w:cs="Arial" w:eastAsia="Arial" w:hAnsi="Arial"/>
                  <w:sz w:val="17"/>
                  <w:szCs w:val="17"/>
                  <w:color w:val="0000FF"/>
                </w:rPr>
                <w:t>as amended and restated December 13, 2010</w:t>
              </w:r>
            </w:hyperlink>
          </w:p>
        </w:tc>
        <w:tc>
          <w:tcPr>
            <w:tcW w:w="80" w:type="dxa"/>
            <w:vAlign w:val="bottom"/>
            <w:tcBorders>
              <w:top w:val="single" w:sz="8" w:color="DCE2EF"/>
            </w:tcBorders>
            <w:gridSpan w:val="5"/>
            <w:shd w:val="clear" w:color="auto" w:fill="DCE2EF"/>
          </w:tcPr>
          <w:p>
            <w:pPr>
              <w:spacing w:after="0"/>
              <w:rPr>
                <w:sz w:val="15"/>
                <w:szCs w:val="15"/>
                <w:color w:val="auto"/>
              </w:rPr>
            </w:pPr>
          </w:p>
        </w:tc>
        <w:tc>
          <w:tcPr>
            <w:tcW w:w="140" w:type="dxa"/>
            <w:vAlign w:val="bottom"/>
            <w:tcBorders>
              <w:top w:val="single" w:sz="8" w:color="DCE2EF"/>
            </w:tcBorders>
            <w:shd w:val="clear" w:color="auto" w:fill="DCE2EF"/>
          </w:tcPr>
          <w:p>
            <w:pPr>
              <w:spacing w:after="0"/>
              <w:rPr>
                <w:sz w:val="15"/>
                <w:szCs w:val="15"/>
                <w:color w:val="auto"/>
              </w:rPr>
            </w:pPr>
          </w:p>
        </w:tc>
        <w:tc>
          <w:tcPr>
            <w:tcW w:w="740" w:type="dxa"/>
            <w:vAlign w:val="bottom"/>
            <w:tcBorders>
              <w:top w:val="single" w:sz="8" w:color="DCE2EF"/>
            </w:tcBorders>
            <w:shd w:val="clear" w:color="auto" w:fill="DCE2EF"/>
          </w:tcPr>
          <w:p>
            <w:pPr>
              <w:spacing w:after="0"/>
              <w:rPr>
                <w:sz w:val="15"/>
                <w:szCs w:val="15"/>
                <w:color w:val="auto"/>
              </w:rPr>
            </w:pPr>
          </w:p>
        </w:tc>
        <w:tc>
          <w:tcPr>
            <w:tcW w:w="1340" w:type="dxa"/>
            <w:vAlign w:val="bottom"/>
            <w:tcBorders>
              <w:top w:val="single" w:sz="8" w:color="DCE2EF"/>
            </w:tcBorders>
            <w:shd w:val="clear" w:color="auto" w:fill="DCE2EF"/>
          </w:tcPr>
          <w:p>
            <w:pPr>
              <w:spacing w:after="0"/>
              <w:rPr>
                <w:sz w:val="15"/>
                <w:szCs w:val="15"/>
                <w:color w:val="auto"/>
              </w:rPr>
            </w:pPr>
          </w:p>
        </w:tc>
        <w:tc>
          <w:tcPr>
            <w:tcW w:w="1040" w:type="dxa"/>
            <w:vAlign w:val="bottom"/>
            <w:tcBorders>
              <w:top w:val="single" w:sz="8" w:color="DCE2EF"/>
            </w:tcBorders>
            <w:shd w:val="clear" w:color="auto" w:fill="DCE2EF"/>
          </w:tcPr>
          <w:p>
            <w:pPr>
              <w:spacing w:after="0"/>
              <w:rPr>
                <w:sz w:val="15"/>
                <w:szCs w:val="15"/>
                <w:color w:val="auto"/>
              </w:rPr>
            </w:pPr>
          </w:p>
        </w:tc>
        <w:tc>
          <w:tcPr>
            <w:tcW w:w="2160" w:type="dxa"/>
            <w:vAlign w:val="bottom"/>
            <w:tcBorders>
              <w:top w:val="single" w:sz="8" w:color="DCE2EF"/>
            </w:tcBorders>
            <w:shd w:val="clear" w:color="auto" w:fill="DCE2E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300" w:type="dxa"/>
            <w:vAlign w:val="bottom"/>
            <w:tcBorders>
              <w:top w:val="single" w:sz="8" w:color="DCE2EF"/>
            </w:tcBorders>
          </w:tcPr>
          <w:p>
            <w:pPr>
              <w:ind w:left="20"/>
              <w:spacing w:after="0" w:line="180" w:lineRule="exact"/>
              <w:rPr>
                <w:sz w:val="20"/>
                <w:szCs w:val="20"/>
                <w:color w:val="auto"/>
              </w:rPr>
            </w:pPr>
            <w:r>
              <w:rPr>
                <w:rFonts w:ascii="Arial" w:cs="Arial" w:eastAsia="Arial" w:hAnsi="Arial"/>
                <w:sz w:val="17"/>
                <w:szCs w:val="17"/>
                <w:color w:val="auto"/>
              </w:rPr>
              <w:t>10.12*</w:t>
            </w:r>
          </w:p>
        </w:tc>
        <w:tc>
          <w:tcPr>
            <w:tcW w:w="3460" w:type="dxa"/>
            <w:vAlign w:val="bottom"/>
            <w:tcBorders>
              <w:top w:val="single" w:sz="8" w:color="0000FF"/>
              <w:bottom w:val="single" w:sz="8" w:color="0000FF"/>
            </w:tcBorders>
            <w:gridSpan w:val="5"/>
          </w:tcPr>
          <w:p>
            <w:pPr>
              <w:spacing w:after="0" w:line="180" w:lineRule="exact"/>
              <w:rPr>
                <w:rFonts w:ascii="Arial" w:cs="Arial" w:eastAsia="Arial" w:hAnsi="Arial"/>
                <w:sz w:val="17"/>
                <w:szCs w:val="17"/>
                <w:color w:val="0000FF"/>
              </w:rPr>
            </w:pPr>
            <w:hyperlink r:id="rId182">
              <w:r>
                <w:rPr>
                  <w:rFonts w:ascii="Arial" w:cs="Arial" w:eastAsia="Arial" w:hAnsi="Arial"/>
                  <w:sz w:val="17"/>
                  <w:szCs w:val="17"/>
                  <w:color w:val="0000FF"/>
                </w:rPr>
                <w:t>Form of Director’s Indemnification Agreement</w:t>
              </w:r>
            </w:hyperlink>
          </w:p>
        </w:tc>
        <w:tc>
          <w:tcPr>
            <w:tcW w:w="40" w:type="dxa"/>
            <w:vAlign w:val="bottom"/>
            <w:tcBorders>
              <w:top w:val="single" w:sz="8" w:color="0000FF"/>
            </w:tcBorders>
          </w:tcPr>
          <w:p>
            <w:pPr>
              <w:spacing w:after="0"/>
              <w:rPr>
                <w:sz w:val="16"/>
                <w:szCs w:val="16"/>
                <w:color w:val="auto"/>
              </w:rPr>
            </w:pPr>
          </w:p>
        </w:tc>
        <w:tc>
          <w:tcPr>
            <w:tcW w:w="1160" w:type="dxa"/>
            <w:vAlign w:val="bottom"/>
            <w:tcBorders>
              <w:top w:val="single" w:sz="8" w:color="DCE2EF"/>
            </w:tcBorders>
            <w:gridSpan w:val="12"/>
          </w:tcPr>
          <w:p>
            <w:pPr>
              <w:spacing w:after="0"/>
              <w:rPr>
                <w:sz w:val="16"/>
                <w:szCs w:val="16"/>
                <w:color w:val="auto"/>
              </w:rPr>
            </w:pPr>
          </w:p>
        </w:tc>
        <w:tc>
          <w:tcPr>
            <w:tcW w:w="740" w:type="dxa"/>
            <w:vAlign w:val="bottom"/>
            <w:tcBorders>
              <w:top w:val="single" w:sz="8" w:color="DCE2EF"/>
            </w:tcBorders>
          </w:tcPr>
          <w:p>
            <w:pPr>
              <w:jc w:val="center"/>
              <w:ind w:right="14"/>
              <w:spacing w:after="0" w:line="180" w:lineRule="exact"/>
              <w:rPr>
                <w:sz w:val="20"/>
                <w:szCs w:val="20"/>
                <w:color w:val="auto"/>
              </w:rPr>
            </w:pPr>
            <w:r>
              <w:rPr>
                <w:rFonts w:ascii="Arial" w:cs="Arial" w:eastAsia="Arial" w:hAnsi="Arial"/>
                <w:sz w:val="17"/>
                <w:szCs w:val="17"/>
                <w:color w:val="auto"/>
              </w:rPr>
              <w:t>10-K</w:t>
            </w:r>
          </w:p>
        </w:tc>
        <w:tc>
          <w:tcPr>
            <w:tcW w:w="1340" w:type="dxa"/>
            <w:vAlign w:val="bottom"/>
            <w:tcBorders>
              <w:top w:val="single" w:sz="8" w:color="DCE2EF"/>
            </w:tcBorders>
          </w:tcPr>
          <w:p>
            <w:pPr>
              <w:jc w:val="right"/>
              <w:ind w:right="194"/>
              <w:spacing w:after="0" w:line="180" w:lineRule="exact"/>
              <w:rPr>
                <w:sz w:val="20"/>
                <w:szCs w:val="20"/>
                <w:color w:val="auto"/>
              </w:rPr>
            </w:pPr>
            <w:r>
              <w:rPr>
                <w:rFonts w:ascii="Arial" w:cs="Arial" w:eastAsia="Arial" w:hAnsi="Arial"/>
                <w:sz w:val="17"/>
                <w:szCs w:val="17"/>
                <w:color w:val="auto"/>
              </w:rPr>
              <w:t>001-08929</w:t>
            </w:r>
          </w:p>
        </w:tc>
        <w:tc>
          <w:tcPr>
            <w:tcW w:w="1040" w:type="dxa"/>
            <w:vAlign w:val="bottom"/>
            <w:tcBorders>
              <w:top w:val="single" w:sz="8" w:color="DCE2EF"/>
            </w:tcBorders>
          </w:tcPr>
          <w:p>
            <w:pPr>
              <w:jc w:val="center"/>
              <w:spacing w:after="0" w:line="180" w:lineRule="exact"/>
              <w:rPr>
                <w:sz w:val="20"/>
                <w:szCs w:val="20"/>
                <w:color w:val="auto"/>
              </w:rPr>
            </w:pPr>
            <w:r>
              <w:rPr>
                <w:rFonts w:ascii="Arial" w:cs="Arial" w:eastAsia="Arial" w:hAnsi="Arial"/>
                <w:sz w:val="17"/>
                <w:szCs w:val="17"/>
                <w:color w:val="auto"/>
              </w:rPr>
              <w:t>10.9</w:t>
            </w:r>
          </w:p>
        </w:tc>
        <w:tc>
          <w:tcPr>
            <w:tcW w:w="2160" w:type="dxa"/>
            <w:vAlign w:val="bottom"/>
            <w:tcBorders>
              <w:top w:val="single" w:sz="8" w:color="DCE2EF"/>
            </w:tcBorders>
          </w:tcPr>
          <w:p>
            <w:pPr>
              <w:jc w:val="center"/>
              <w:spacing w:after="0" w:line="180" w:lineRule="exact"/>
              <w:rPr>
                <w:sz w:val="20"/>
                <w:szCs w:val="20"/>
                <w:color w:val="auto"/>
              </w:rPr>
            </w:pPr>
            <w:r>
              <w:rPr>
                <w:rFonts w:ascii="Arial" w:cs="Arial" w:eastAsia="Arial" w:hAnsi="Arial"/>
                <w:sz w:val="17"/>
                <w:szCs w:val="17"/>
                <w:color w:val="auto"/>
              </w:rPr>
              <w:t>December 21, 2018</w:t>
            </w:r>
          </w:p>
        </w:tc>
        <w:tc>
          <w:tcPr>
            <w:tcW w:w="0" w:type="dxa"/>
            <w:vAlign w:val="bottom"/>
          </w:tcPr>
          <w:p>
            <w:pPr>
              <w:spacing w:after="0"/>
              <w:rPr>
                <w:sz w:val="1"/>
                <w:szCs w:val="1"/>
                <w:color w:val="auto"/>
              </w:rPr>
            </w:pPr>
          </w:p>
        </w:tc>
      </w:tr>
      <w:tr>
        <w:trPr>
          <w:trHeight w:val="190"/>
        </w:trPr>
        <w:tc>
          <w:tcPr>
            <w:tcW w:w="1300" w:type="dxa"/>
            <w:vAlign w:val="bottom"/>
            <w:shd w:val="clear" w:color="auto" w:fill="DCE2EF"/>
          </w:tcPr>
          <w:p>
            <w:pPr>
              <w:ind w:left="20"/>
              <w:spacing w:after="0" w:line="190" w:lineRule="exact"/>
              <w:rPr>
                <w:sz w:val="20"/>
                <w:szCs w:val="20"/>
                <w:color w:val="auto"/>
              </w:rPr>
            </w:pPr>
            <w:r>
              <w:rPr>
                <w:rFonts w:ascii="Arial" w:cs="Arial" w:eastAsia="Arial" w:hAnsi="Arial"/>
                <w:sz w:val="17"/>
                <w:szCs w:val="17"/>
                <w:color w:val="auto"/>
              </w:rPr>
              <w:t>10.13*</w:t>
            </w:r>
          </w:p>
        </w:tc>
        <w:tc>
          <w:tcPr>
            <w:tcW w:w="4660" w:type="dxa"/>
            <w:vAlign w:val="bottom"/>
            <w:gridSpan w:val="18"/>
            <w:shd w:val="clear" w:color="auto" w:fill="DCE2EF"/>
          </w:tcPr>
          <w:p>
            <w:pPr>
              <w:spacing w:after="0" w:line="190" w:lineRule="exact"/>
              <w:rPr>
                <w:rFonts w:ascii="Arial" w:cs="Arial" w:eastAsia="Arial" w:hAnsi="Arial"/>
                <w:sz w:val="17"/>
                <w:szCs w:val="17"/>
                <w:color w:val="0000FF"/>
              </w:rPr>
            </w:pPr>
            <w:hyperlink r:id="rId183">
              <w:r>
                <w:rPr>
                  <w:rFonts w:ascii="Arial" w:cs="Arial" w:eastAsia="Arial" w:hAnsi="Arial"/>
                  <w:sz w:val="17"/>
                  <w:szCs w:val="17"/>
                  <w:color w:val="0000FF"/>
                </w:rPr>
                <w:t>2006 Equity Incentive Plan, as amended and restated</w:t>
              </w:r>
            </w:hyperlink>
          </w:p>
        </w:tc>
        <w:tc>
          <w:tcPr>
            <w:tcW w:w="740" w:type="dxa"/>
            <w:vAlign w:val="bottom"/>
            <w:shd w:val="clear" w:color="auto" w:fill="DCE2EF"/>
          </w:tcPr>
          <w:p>
            <w:pPr>
              <w:jc w:val="center"/>
              <w:ind w:right="14"/>
              <w:spacing w:after="0" w:line="190" w:lineRule="exact"/>
              <w:rPr>
                <w:sz w:val="20"/>
                <w:szCs w:val="20"/>
                <w:color w:val="auto"/>
              </w:rPr>
            </w:pPr>
            <w:r>
              <w:rPr>
                <w:rFonts w:ascii="Arial" w:cs="Arial" w:eastAsia="Arial" w:hAnsi="Arial"/>
                <w:sz w:val="17"/>
                <w:szCs w:val="17"/>
                <w:color w:val="auto"/>
              </w:rPr>
              <w:t>8-K</w:t>
            </w:r>
          </w:p>
        </w:tc>
        <w:tc>
          <w:tcPr>
            <w:tcW w:w="1340" w:type="dxa"/>
            <w:vAlign w:val="bottom"/>
            <w:shd w:val="clear" w:color="auto" w:fill="DCE2EF"/>
          </w:tcPr>
          <w:p>
            <w:pPr>
              <w:jc w:val="right"/>
              <w:ind w:right="194"/>
              <w:spacing w:after="0" w:line="190" w:lineRule="exact"/>
              <w:rPr>
                <w:sz w:val="20"/>
                <w:szCs w:val="20"/>
                <w:color w:val="auto"/>
              </w:rPr>
            </w:pPr>
            <w:r>
              <w:rPr>
                <w:rFonts w:ascii="Arial" w:cs="Arial" w:eastAsia="Arial" w:hAnsi="Arial"/>
                <w:sz w:val="17"/>
                <w:szCs w:val="17"/>
                <w:color w:val="auto"/>
              </w:rPr>
              <w:t>001-08929</w:t>
            </w:r>
          </w:p>
        </w:tc>
        <w:tc>
          <w:tcPr>
            <w:tcW w:w="1040" w:type="dxa"/>
            <w:vAlign w:val="bottom"/>
            <w:shd w:val="clear" w:color="auto" w:fill="DCE2EF"/>
          </w:tcPr>
          <w:p>
            <w:pPr>
              <w:jc w:val="center"/>
              <w:spacing w:after="0" w:line="190" w:lineRule="exact"/>
              <w:rPr>
                <w:sz w:val="20"/>
                <w:szCs w:val="20"/>
                <w:color w:val="auto"/>
              </w:rPr>
            </w:pPr>
            <w:r>
              <w:rPr>
                <w:rFonts w:ascii="Arial" w:cs="Arial" w:eastAsia="Arial" w:hAnsi="Arial"/>
                <w:sz w:val="17"/>
                <w:szCs w:val="17"/>
                <w:color w:val="auto"/>
              </w:rPr>
              <w:t>10.1</w:t>
            </w:r>
          </w:p>
        </w:tc>
        <w:tc>
          <w:tcPr>
            <w:tcW w:w="2160" w:type="dxa"/>
            <w:vAlign w:val="bottom"/>
            <w:shd w:val="clear" w:color="auto" w:fill="DCE2EF"/>
          </w:tcPr>
          <w:p>
            <w:pPr>
              <w:jc w:val="center"/>
              <w:spacing w:after="0" w:line="190" w:lineRule="exact"/>
              <w:rPr>
                <w:sz w:val="20"/>
                <w:szCs w:val="20"/>
                <w:color w:val="auto"/>
              </w:rPr>
            </w:pPr>
            <w:r>
              <w:rPr>
                <w:rFonts w:ascii="Arial" w:cs="Arial" w:eastAsia="Arial" w:hAnsi="Arial"/>
                <w:sz w:val="17"/>
                <w:szCs w:val="17"/>
                <w:color w:val="auto"/>
              </w:rPr>
              <w:t>March 8, 2018</w:t>
            </w:r>
          </w:p>
        </w:tc>
        <w:tc>
          <w:tcPr>
            <w:tcW w:w="0" w:type="dxa"/>
            <w:vAlign w:val="bottom"/>
          </w:tcPr>
          <w:p>
            <w:pPr>
              <w:spacing w:after="0"/>
              <w:rPr>
                <w:sz w:val="1"/>
                <w:szCs w:val="1"/>
                <w:color w:val="auto"/>
              </w:rPr>
            </w:pPr>
          </w:p>
        </w:tc>
      </w:tr>
      <w:tr>
        <w:trPr>
          <w:trHeight w:val="179"/>
        </w:trPr>
        <w:tc>
          <w:tcPr>
            <w:tcW w:w="1300" w:type="dxa"/>
            <w:vAlign w:val="bottom"/>
            <w:tcBorders>
              <w:top w:val="single" w:sz="8" w:color="DCE2EF"/>
              <w:bottom w:val="single" w:sz="8" w:color="DCE2EF"/>
            </w:tcBorders>
            <w:shd w:val="clear" w:color="auto" w:fill="DCE2EF"/>
          </w:tcPr>
          <w:p>
            <w:pPr>
              <w:spacing w:after="0"/>
              <w:rPr>
                <w:sz w:val="15"/>
                <w:szCs w:val="15"/>
                <w:color w:val="auto"/>
              </w:rPr>
            </w:pPr>
          </w:p>
        </w:tc>
        <w:tc>
          <w:tcPr>
            <w:tcW w:w="1100" w:type="dxa"/>
            <w:vAlign w:val="bottom"/>
            <w:tcBorders>
              <w:top w:val="single" w:sz="8" w:color="0000FF"/>
              <w:bottom w:val="single" w:sz="8" w:color="0000FF"/>
            </w:tcBorders>
            <w:gridSpan w:val="2"/>
            <w:shd w:val="clear" w:color="auto" w:fill="DCE2EF"/>
          </w:tcPr>
          <w:p>
            <w:pPr>
              <w:spacing w:after="0" w:line="148" w:lineRule="exact"/>
              <w:rPr>
                <w:rFonts w:ascii="Arial" w:cs="Arial" w:eastAsia="Arial" w:hAnsi="Arial"/>
                <w:sz w:val="17"/>
                <w:szCs w:val="17"/>
                <w:color w:val="0000FF"/>
                <w:w w:val="99"/>
              </w:rPr>
            </w:pPr>
            <w:hyperlink r:id="rId183">
              <w:r>
                <w:rPr>
                  <w:rFonts w:ascii="Arial" w:cs="Arial" w:eastAsia="Arial" w:hAnsi="Arial"/>
                  <w:sz w:val="17"/>
                  <w:szCs w:val="17"/>
                  <w:color w:val="0000FF"/>
                  <w:w w:val="99"/>
                </w:rPr>
                <w:t>March 7, 2018</w:t>
              </w:r>
            </w:hyperlink>
          </w:p>
        </w:tc>
        <w:tc>
          <w:tcPr>
            <w:tcW w:w="3160" w:type="dxa"/>
            <w:vAlign w:val="bottom"/>
            <w:tcBorders>
              <w:top w:val="single" w:sz="8" w:color="0000FF"/>
              <w:bottom w:val="single" w:sz="8" w:color="DCE2EF"/>
              <w:right w:val="single" w:sz="8" w:color="DCE2EF"/>
            </w:tcBorders>
            <w:gridSpan w:val="7"/>
            <w:shd w:val="clear" w:color="auto" w:fill="DCE2EF"/>
          </w:tcPr>
          <w:p>
            <w:pPr>
              <w:spacing w:after="0"/>
              <w:rPr>
                <w:sz w:val="15"/>
                <w:szCs w:val="15"/>
                <w:color w:val="auto"/>
              </w:rPr>
            </w:pPr>
          </w:p>
        </w:tc>
        <w:tc>
          <w:tcPr>
            <w:tcW w:w="260" w:type="dxa"/>
            <w:vAlign w:val="bottom"/>
            <w:tcBorders>
              <w:top w:val="single" w:sz="8" w:color="DCE2EF"/>
              <w:left w:val="single" w:sz="8" w:color="DCE2EF"/>
              <w:bottom w:val="single" w:sz="8" w:color="DCE2EF"/>
            </w:tcBorders>
            <w:gridSpan w:val="8"/>
            <w:shd w:val="clear" w:color="auto" w:fill="DCE2EF"/>
          </w:tcPr>
          <w:p>
            <w:pPr>
              <w:spacing w:after="0"/>
              <w:rPr>
                <w:sz w:val="15"/>
                <w:szCs w:val="15"/>
                <w:color w:val="auto"/>
              </w:rPr>
            </w:pPr>
          </w:p>
        </w:tc>
        <w:tc>
          <w:tcPr>
            <w:tcW w:w="140" w:type="dxa"/>
            <w:vAlign w:val="bottom"/>
            <w:tcBorders>
              <w:top w:val="single" w:sz="8" w:color="DCE2EF"/>
              <w:bottom w:val="single" w:sz="8" w:color="DCE2EF"/>
            </w:tcBorders>
            <w:shd w:val="clear" w:color="auto" w:fill="DCE2EF"/>
          </w:tcPr>
          <w:p>
            <w:pPr>
              <w:spacing w:after="0"/>
              <w:rPr>
                <w:sz w:val="15"/>
                <w:szCs w:val="15"/>
                <w:color w:val="auto"/>
              </w:rPr>
            </w:pPr>
          </w:p>
        </w:tc>
        <w:tc>
          <w:tcPr>
            <w:tcW w:w="740" w:type="dxa"/>
            <w:vAlign w:val="bottom"/>
            <w:tcBorders>
              <w:top w:val="single" w:sz="8" w:color="DCE2EF"/>
              <w:bottom w:val="single" w:sz="8" w:color="DCE2EF"/>
            </w:tcBorders>
            <w:shd w:val="clear" w:color="auto" w:fill="DCE2EF"/>
          </w:tcPr>
          <w:p>
            <w:pPr>
              <w:spacing w:after="0"/>
              <w:rPr>
                <w:sz w:val="15"/>
                <w:szCs w:val="15"/>
                <w:color w:val="auto"/>
              </w:rPr>
            </w:pPr>
          </w:p>
        </w:tc>
        <w:tc>
          <w:tcPr>
            <w:tcW w:w="1340" w:type="dxa"/>
            <w:vAlign w:val="bottom"/>
            <w:tcBorders>
              <w:top w:val="single" w:sz="8" w:color="DCE2EF"/>
              <w:bottom w:val="single" w:sz="8" w:color="DCE2EF"/>
            </w:tcBorders>
            <w:shd w:val="clear" w:color="auto" w:fill="DCE2EF"/>
          </w:tcPr>
          <w:p>
            <w:pPr>
              <w:spacing w:after="0"/>
              <w:rPr>
                <w:sz w:val="15"/>
                <w:szCs w:val="15"/>
                <w:color w:val="auto"/>
              </w:rPr>
            </w:pPr>
          </w:p>
        </w:tc>
        <w:tc>
          <w:tcPr>
            <w:tcW w:w="1040" w:type="dxa"/>
            <w:vAlign w:val="bottom"/>
            <w:tcBorders>
              <w:top w:val="single" w:sz="8" w:color="DCE2EF"/>
              <w:bottom w:val="single" w:sz="8" w:color="DCE2EF"/>
            </w:tcBorders>
            <w:shd w:val="clear" w:color="auto" w:fill="DCE2EF"/>
          </w:tcPr>
          <w:p>
            <w:pPr>
              <w:spacing w:after="0"/>
              <w:rPr>
                <w:sz w:val="15"/>
                <w:szCs w:val="15"/>
                <w:color w:val="auto"/>
              </w:rPr>
            </w:pPr>
          </w:p>
        </w:tc>
        <w:tc>
          <w:tcPr>
            <w:tcW w:w="2160" w:type="dxa"/>
            <w:vAlign w:val="bottom"/>
            <w:tcBorders>
              <w:top w:val="single" w:sz="8" w:color="DCE2EF"/>
              <w:bottom w:val="single" w:sz="8" w:color="DCE2EF"/>
            </w:tcBorders>
            <w:shd w:val="clear" w:color="auto" w:fill="DCE2E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300" w:type="dxa"/>
            <w:vAlign w:val="bottom"/>
          </w:tcPr>
          <w:p>
            <w:pPr>
              <w:ind w:left="20"/>
              <w:spacing w:after="0" w:line="167" w:lineRule="exact"/>
              <w:rPr>
                <w:sz w:val="20"/>
                <w:szCs w:val="20"/>
                <w:color w:val="auto"/>
              </w:rPr>
            </w:pPr>
            <w:r>
              <w:rPr>
                <w:rFonts w:ascii="Arial" w:cs="Arial" w:eastAsia="Arial" w:hAnsi="Arial"/>
                <w:sz w:val="17"/>
                <w:szCs w:val="17"/>
                <w:color w:val="auto"/>
              </w:rPr>
              <w:t>10.14*</w:t>
            </w:r>
          </w:p>
        </w:tc>
        <w:tc>
          <w:tcPr>
            <w:tcW w:w="4660" w:type="dxa"/>
            <w:vAlign w:val="bottom"/>
            <w:gridSpan w:val="18"/>
          </w:tcPr>
          <w:p>
            <w:pPr>
              <w:spacing w:after="0" w:line="167" w:lineRule="exact"/>
              <w:rPr>
                <w:rFonts w:ascii="Arial" w:cs="Arial" w:eastAsia="Arial" w:hAnsi="Arial"/>
                <w:sz w:val="17"/>
                <w:szCs w:val="17"/>
                <w:color w:val="0000FF"/>
              </w:rPr>
            </w:pPr>
            <w:hyperlink r:id="rId184">
              <w:r>
                <w:rPr>
                  <w:rFonts w:ascii="Arial" w:cs="Arial" w:eastAsia="Arial" w:hAnsi="Arial"/>
                  <w:sz w:val="17"/>
                  <w:szCs w:val="17"/>
                  <w:color w:val="0000FF"/>
                </w:rPr>
                <w:t>ABM Industries Incorporated 2021 Equity and Incentive</w:t>
              </w:r>
            </w:hyperlink>
          </w:p>
        </w:tc>
        <w:tc>
          <w:tcPr>
            <w:tcW w:w="740" w:type="dxa"/>
            <w:vAlign w:val="bottom"/>
          </w:tcPr>
          <w:p>
            <w:pPr>
              <w:jc w:val="center"/>
              <w:ind w:right="14"/>
              <w:spacing w:after="0" w:line="167" w:lineRule="exact"/>
              <w:rPr>
                <w:sz w:val="20"/>
                <w:szCs w:val="20"/>
                <w:color w:val="auto"/>
              </w:rPr>
            </w:pPr>
            <w:r>
              <w:rPr>
                <w:rFonts w:ascii="Arial" w:cs="Arial" w:eastAsia="Arial" w:hAnsi="Arial"/>
                <w:sz w:val="17"/>
                <w:szCs w:val="17"/>
                <w:color w:val="auto"/>
              </w:rPr>
              <w:t>10-K</w:t>
            </w:r>
          </w:p>
        </w:tc>
        <w:tc>
          <w:tcPr>
            <w:tcW w:w="1340" w:type="dxa"/>
            <w:vAlign w:val="bottom"/>
          </w:tcPr>
          <w:p>
            <w:pPr>
              <w:jc w:val="right"/>
              <w:ind w:right="194"/>
              <w:spacing w:after="0" w:line="167" w:lineRule="exact"/>
              <w:rPr>
                <w:sz w:val="20"/>
                <w:szCs w:val="20"/>
                <w:color w:val="auto"/>
              </w:rPr>
            </w:pPr>
            <w:r>
              <w:rPr>
                <w:rFonts w:ascii="Arial" w:cs="Arial" w:eastAsia="Arial" w:hAnsi="Arial"/>
                <w:sz w:val="17"/>
                <w:szCs w:val="17"/>
                <w:color w:val="auto"/>
              </w:rPr>
              <w:t>001-08929</w:t>
            </w:r>
          </w:p>
        </w:tc>
        <w:tc>
          <w:tcPr>
            <w:tcW w:w="1040" w:type="dxa"/>
            <w:vAlign w:val="bottom"/>
          </w:tcPr>
          <w:p>
            <w:pPr>
              <w:jc w:val="center"/>
              <w:spacing w:after="0" w:line="167" w:lineRule="exact"/>
              <w:rPr>
                <w:sz w:val="20"/>
                <w:szCs w:val="20"/>
                <w:color w:val="auto"/>
              </w:rPr>
            </w:pPr>
            <w:r>
              <w:rPr>
                <w:rFonts w:ascii="Arial" w:cs="Arial" w:eastAsia="Arial" w:hAnsi="Arial"/>
                <w:sz w:val="17"/>
                <w:szCs w:val="17"/>
                <w:color w:val="auto"/>
              </w:rPr>
              <w:t>10.13</w:t>
            </w:r>
          </w:p>
        </w:tc>
        <w:tc>
          <w:tcPr>
            <w:tcW w:w="2160" w:type="dxa"/>
            <w:vAlign w:val="bottom"/>
          </w:tcPr>
          <w:p>
            <w:pPr>
              <w:jc w:val="center"/>
              <w:spacing w:after="0" w:line="167" w:lineRule="exact"/>
              <w:rPr>
                <w:sz w:val="20"/>
                <w:szCs w:val="20"/>
                <w:color w:val="auto"/>
              </w:rPr>
            </w:pPr>
            <w:r>
              <w:rPr>
                <w:rFonts w:ascii="Arial" w:cs="Arial" w:eastAsia="Arial" w:hAnsi="Arial"/>
                <w:sz w:val="17"/>
                <w:szCs w:val="17"/>
                <w:color w:val="auto"/>
              </w:rPr>
              <w:t>December 18, 2023</w:t>
            </w:r>
          </w:p>
        </w:tc>
        <w:tc>
          <w:tcPr>
            <w:tcW w:w="0" w:type="dxa"/>
            <w:vAlign w:val="bottom"/>
          </w:tcPr>
          <w:p>
            <w:pPr>
              <w:spacing w:after="0"/>
              <w:rPr>
                <w:sz w:val="1"/>
                <w:szCs w:val="1"/>
                <w:color w:val="auto"/>
              </w:rPr>
            </w:pPr>
          </w:p>
        </w:tc>
      </w:tr>
      <w:tr>
        <w:trPr>
          <w:trHeight w:val="155"/>
        </w:trPr>
        <w:tc>
          <w:tcPr>
            <w:tcW w:w="1300" w:type="dxa"/>
            <w:vAlign w:val="bottom"/>
          </w:tcPr>
          <w:p>
            <w:pPr>
              <w:spacing w:after="0"/>
              <w:rPr>
                <w:sz w:val="13"/>
                <w:szCs w:val="13"/>
                <w:color w:val="auto"/>
              </w:rPr>
            </w:pPr>
          </w:p>
        </w:tc>
        <w:tc>
          <w:tcPr>
            <w:tcW w:w="4260" w:type="dxa"/>
            <w:vAlign w:val="bottom"/>
            <w:tcBorders>
              <w:top w:val="single" w:sz="8" w:color="0000FF"/>
            </w:tcBorders>
            <w:gridSpan w:val="9"/>
          </w:tcPr>
          <w:p>
            <w:pPr>
              <w:spacing w:after="0" w:line="154" w:lineRule="exact"/>
              <w:rPr>
                <w:rFonts w:ascii="Arial" w:cs="Arial" w:eastAsia="Arial" w:hAnsi="Arial"/>
                <w:sz w:val="17"/>
                <w:szCs w:val="17"/>
                <w:color w:val="0000FF"/>
              </w:rPr>
            </w:pPr>
            <w:hyperlink r:id="rId184">
              <w:r>
                <w:rPr>
                  <w:rFonts w:ascii="Arial" w:cs="Arial" w:eastAsia="Arial" w:hAnsi="Arial"/>
                  <w:sz w:val="17"/>
                  <w:szCs w:val="17"/>
                  <w:color w:val="0000FF"/>
                </w:rPr>
                <w:t>Compensation Plan, as amended and restated October</w:t>
              </w:r>
            </w:hyperlink>
          </w:p>
        </w:tc>
        <w:tc>
          <w:tcPr>
            <w:tcW w:w="400" w:type="dxa"/>
            <w:vAlign w:val="bottom"/>
            <w:gridSpan w:val="9"/>
          </w:tcPr>
          <w:p>
            <w:pPr>
              <w:jc w:val="center"/>
              <w:ind w:right="160"/>
              <w:spacing w:after="0" w:line="154" w:lineRule="exact"/>
              <w:rPr>
                <w:rFonts w:ascii="Arial" w:cs="Arial" w:eastAsia="Arial" w:hAnsi="Arial"/>
                <w:sz w:val="17"/>
                <w:szCs w:val="17"/>
                <w:color w:val="0000FF"/>
                <w:w w:val="84"/>
              </w:rPr>
            </w:pPr>
            <w:hyperlink r:id="rId184">
              <w:r>
                <w:rPr>
                  <w:rFonts w:ascii="Arial" w:cs="Arial" w:eastAsia="Arial" w:hAnsi="Arial"/>
                  <w:sz w:val="17"/>
                  <w:szCs w:val="17"/>
                  <w:color w:val="0000FF"/>
                  <w:w w:val="84"/>
                </w:rPr>
                <w:t>23,</w:t>
              </w:r>
            </w:hyperlink>
          </w:p>
        </w:tc>
        <w:tc>
          <w:tcPr>
            <w:tcW w:w="7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300" w:type="dxa"/>
            <w:vAlign w:val="bottom"/>
          </w:tcPr>
          <w:p>
            <w:pPr>
              <w:spacing w:after="0"/>
              <w:rPr>
                <w:sz w:val="13"/>
                <w:szCs w:val="13"/>
                <w:color w:val="auto"/>
              </w:rPr>
            </w:pPr>
          </w:p>
        </w:tc>
        <w:tc>
          <w:tcPr>
            <w:tcW w:w="380" w:type="dxa"/>
            <w:vAlign w:val="bottom"/>
            <w:tcBorders>
              <w:top w:val="single" w:sz="8" w:color="0000FF"/>
              <w:bottom w:val="single" w:sz="8" w:color="0000FF"/>
            </w:tcBorders>
          </w:tcPr>
          <w:p>
            <w:pPr>
              <w:spacing w:after="0" w:line="161" w:lineRule="exact"/>
              <w:rPr>
                <w:rFonts w:ascii="Arial" w:cs="Arial" w:eastAsia="Arial" w:hAnsi="Arial"/>
                <w:sz w:val="17"/>
                <w:szCs w:val="17"/>
                <w:color w:val="0000FF"/>
                <w:w w:val="95"/>
              </w:rPr>
            </w:pPr>
            <w:hyperlink r:id="rId184">
              <w:r>
                <w:rPr>
                  <w:rFonts w:ascii="Arial" w:cs="Arial" w:eastAsia="Arial" w:hAnsi="Arial"/>
                  <w:sz w:val="17"/>
                  <w:szCs w:val="17"/>
                  <w:color w:val="0000FF"/>
                  <w:w w:val="95"/>
                </w:rPr>
                <w:t>2023</w:t>
              </w:r>
            </w:hyperlink>
          </w:p>
        </w:tc>
        <w:tc>
          <w:tcPr>
            <w:tcW w:w="72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1380" w:type="dxa"/>
            <w:vAlign w:val="bottom"/>
            <w:tcBorders>
              <w:top w:val="single" w:sz="8" w:color="0000FF"/>
            </w:tcBorders>
          </w:tcPr>
          <w:p>
            <w:pPr>
              <w:spacing w:after="0"/>
              <w:rPr>
                <w:sz w:val="13"/>
                <w:szCs w:val="13"/>
                <w:color w:val="auto"/>
              </w:rPr>
            </w:pPr>
          </w:p>
        </w:tc>
        <w:tc>
          <w:tcPr>
            <w:tcW w:w="5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3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0" w:type="dxa"/>
            <w:vAlign w:val="bottom"/>
            <w:tcBorders>
              <w:top w:val="single" w:sz="8" w:color="0000FF"/>
            </w:tcBorders>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8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82" w:right="339" w:bottom="1440" w:gutter="0" w:footer="0" w:header="0"/>
        </w:sectPr>
      </w:pPr>
    </w:p>
    <w:bookmarkStart w:id="101" w:name="page102"/>
    <w:bookmarkEnd w:id="101"/>
    <w:tbl>
      <w:tblPr>
        <w:tblLayout w:type="fixed"/>
        <w:tblInd w:w="0" w:type="dxa"/>
        <w:tblCellMar>
          <w:top w:w="0" w:type="dxa"/>
          <w:left w:w="0" w:type="dxa"/>
          <w:bottom w:w="0" w:type="dxa"/>
          <w:right w:w="0" w:type="dxa"/>
        </w:tblCellMar>
      </w:tblPr>
      <w:tr>
        <w:trPr>
          <w:trHeight w:val="195"/>
        </w:trPr>
        <w:tc>
          <w:tcPr>
            <w:tcW w:w="1280" w:type="dxa"/>
            <w:vAlign w:val="bottom"/>
            <w:shd w:val="clear" w:color="auto" w:fill="DCE2EF"/>
          </w:tcPr>
          <w:p>
            <w:pPr>
              <w:jc w:val="right"/>
              <w:ind w:right="674"/>
              <w:spacing w:after="0"/>
              <w:rPr>
                <w:sz w:val="20"/>
                <w:szCs w:val="20"/>
                <w:color w:val="auto"/>
              </w:rPr>
            </w:pPr>
            <w:r>
              <w:rPr>
                <w:rFonts w:ascii="Arial" w:cs="Arial" w:eastAsia="Arial" w:hAnsi="Arial"/>
                <w:sz w:val="17"/>
                <w:szCs w:val="17"/>
                <w:color w:val="auto"/>
              </w:rPr>
              <w:t>10.15*</w:t>
            </w:r>
          </w:p>
        </w:tc>
        <w:tc>
          <w:tcPr>
            <w:tcW w:w="20" w:type="dxa"/>
            <w:vAlign w:val="bottom"/>
            <w:shd w:val="clear" w:color="auto" w:fill="DCE2EF"/>
          </w:tcPr>
          <w:p>
            <w:pPr>
              <w:spacing w:after="0"/>
              <w:rPr>
                <w:sz w:val="16"/>
                <w:szCs w:val="16"/>
                <w:color w:val="auto"/>
              </w:rPr>
            </w:pPr>
          </w:p>
        </w:tc>
        <w:tc>
          <w:tcPr>
            <w:tcW w:w="4540" w:type="dxa"/>
            <w:vAlign w:val="bottom"/>
            <w:gridSpan w:val="28"/>
            <w:shd w:val="clear" w:color="auto" w:fill="DCE2EF"/>
          </w:tcPr>
          <w:p>
            <w:pPr>
              <w:spacing w:after="0"/>
              <w:rPr>
                <w:rFonts w:ascii="Arial" w:cs="Arial" w:eastAsia="Arial" w:hAnsi="Arial"/>
                <w:sz w:val="17"/>
                <w:szCs w:val="17"/>
                <w:color w:val="0000FF"/>
              </w:rPr>
            </w:pPr>
            <w:hyperlink r:id="rId186">
              <w:r>
                <w:rPr>
                  <w:rFonts w:ascii="Arial" w:cs="Arial" w:eastAsia="Arial" w:hAnsi="Arial"/>
                  <w:sz w:val="17"/>
                  <w:szCs w:val="17"/>
                  <w:color w:val="0000FF"/>
                </w:rPr>
                <w:t>Statement of Terms and Conditions Applicable to Options,</w:t>
              </w:r>
            </w:hyperlink>
          </w:p>
        </w:tc>
        <w:tc>
          <w:tcPr>
            <w:tcW w:w="860" w:type="dxa"/>
            <w:vAlign w:val="bottom"/>
            <w:shd w:val="clear" w:color="auto" w:fill="DCE2EF"/>
          </w:tcPr>
          <w:p>
            <w:pPr>
              <w:ind w:left="260"/>
              <w:spacing w:after="0"/>
              <w:rPr>
                <w:sz w:val="20"/>
                <w:szCs w:val="20"/>
                <w:color w:val="auto"/>
              </w:rPr>
            </w:pPr>
            <w:r>
              <w:rPr>
                <w:rFonts w:ascii="Arial" w:cs="Arial" w:eastAsia="Arial" w:hAnsi="Arial"/>
                <w:sz w:val="17"/>
                <w:szCs w:val="17"/>
                <w:color w:val="auto"/>
              </w:rPr>
              <w:t>10-Q</w:t>
            </w:r>
          </w:p>
        </w:tc>
        <w:tc>
          <w:tcPr>
            <w:tcW w:w="1340" w:type="dxa"/>
            <w:vAlign w:val="bottom"/>
            <w:shd w:val="clear" w:color="auto" w:fill="DCE2EF"/>
          </w:tcPr>
          <w:p>
            <w:pPr>
              <w:jc w:val="right"/>
              <w:ind w:right="194"/>
              <w:spacing w:after="0"/>
              <w:rPr>
                <w:sz w:val="20"/>
                <w:szCs w:val="20"/>
                <w:color w:val="auto"/>
              </w:rPr>
            </w:pPr>
            <w:r>
              <w:rPr>
                <w:rFonts w:ascii="Arial" w:cs="Arial" w:eastAsia="Arial" w:hAnsi="Arial"/>
                <w:sz w:val="17"/>
                <w:szCs w:val="17"/>
                <w:color w:val="auto"/>
              </w:rPr>
              <w:t>001-08929</w:t>
            </w:r>
          </w:p>
        </w:tc>
        <w:tc>
          <w:tcPr>
            <w:tcW w:w="1040" w:type="dxa"/>
            <w:vAlign w:val="bottom"/>
            <w:shd w:val="clear" w:color="auto" w:fill="DCE2EF"/>
          </w:tcPr>
          <w:p>
            <w:pPr>
              <w:jc w:val="center"/>
              <w:spacing w:after="0"/>
              <w:rPr>
                <w:sz w:val="20"/>
                <w:szCs w:val="20"/>
                <w:color w:val="auto"/>
              </w:rPr>
            </w:pPr>
            <w:r>
              <w:rPr>
                <w:rFonts w:ascii="Arial" w:cs="Arial" w:eastAsia="Arial" w:hAnsi="Arial"/>
                <w:sz w:val="17"/>
                <w:szCs w:val="17"/>
                <w:color w:val="auto"/>
              </w:rPr>
              <w:t>10.2</w:t>
            </w:r>
          </w:p>
        </w:tc>
        <w:tc>
          <w:tcPr>
            <w:tcW w:w="2160" w:type="dxa"/>
            <w:vAlign w:val="bottom"/>
            <w:shd w:val="clear" w:color="auto" w:fill="DCE2EF"/>
          </w:tcPr>
          <w:p>
            <w:pPr>
              <w:jc w:val="center"/>
              <w:spacing w:after="0"/>
              <w:rPr>
                <w:sz w:val="20"/>
                <w:szCs w:val="20"/>
                <w:color w:val="auto"/>
              </w:rPr>
            </w:pPr>
            <w:r>
              <w:rPr>
                <w:rFonts w:ascii="Arial" w:cs="Arial" w:eastAsia="Arial" w:hAnsi="Arial"/>
                <w:sz w:val="17"/>
                <w:szCs w:val="17"/>
                <w:color w:val="auto"/>
              </w:rPr>
              <w:t>June 3, 2015</w:t>
            </w:r>
          </w:p>
        </w:tc>
        <w:tc>
          <w:tcPr>
            <w:tcW w:w="0" w:type="dxa"/>
            <w:vAlign w:val="bottom"/>
          </w:tcPr>
          <w:p>
            <w:pPr>
              <w:spacing w:after="0"/>
              <w:rPr>
                <w:sz w:val="1"/>
                <w:szCs w:val="1"/>
                <w:color w:val="auto"/>
              </w:rPr>
            </w:pPr>
          </w:p>
        </w:tc>
      </w:tr>
      <w:tr>
        <w:trPr>
          <w:trHeight w:val="148"/>
        </w:trPr>
        <w:tc>
          <w:tcPr>
            <w:tcW w:w="1280" w:type="dxa"/>
            <w:vAlign w:val="bottom"/>
            <w:tcBorders>
              <w:top w:val="single" w:sz="8" w:color="DCE2EF"/>
            </w:tcBorders>
            <w:shd w:val="clear" w:color="auto" w:fill="DCE2EF"/>
          </w:tcPr>
          <w:p>
            <w:pPr>
              <w:spacing w:after="0"/>
              <w:rPr>
                <w:sz w:val="12"/>
                <w:szCs w:val="12"/>
                <w:color w:val="auto"/>
              </w:rPr>
            </w:pPr>
          </w:p>
        </w:tc>
        <w:tc>
          <w:tcPr>
            <w:tcW w:w="20" w:type="dxa"/>
            <w:vAlign w:val="bottom"/>
            <w:tcBorders>
              <w:top w:val="single" w:sz="8" w:color="DCE2EF"/>
            </w:tcBorders>
            <w:shd w:val="clear" w:color="auto" w:fill="DCE2EF"/>
          </w:tcPr>
          <w:p>
            <w:pPr>
              <w:spacing w:after="0"/>
              <w:rPr>
                <w:sz w:val="12"/>
                <w:szCs w:val="12"/>
                <w:color w:val="auto"/>
              </w:rPr>
            </w:pPr>
          </w:p>
        </w:tc>
        <w:tc>
          <w:tcPr>
            <w:tcW w:w="4400" w:type="dxa"/>
            <w:vAlign w:val="bottom"/>
            <w:tcBorders>
              <w:top w:val="single" w:sz="8" w:color="0000FF"/>
            </w:tcBorders>
            <w:gridSpan w:val="23"/>
            <w:shd w:val="clear" w:color="auto" w:fill="DCE2EF"/>
          </w:tcPr>
          <w:p>
            <w:pPr>
              <w:spacing w:after="0" w:line="148" w:lineRule="exact"/>
              <w:rPr>
                <w:rFonts w:ascii="Arial" w:cs="Arial" w:eastAsia="Arial" w:hAnsi="Arial"/>
                <w:sz w:val="17"/>
                <w:szCs w:val="17"/>
                <w:color w:val="0000FF"/>
              </w:rPr>
            </w:pPr>
            <w:hyperlink r:id="rId186">
              <w:r>
                <w:rPr>
                  <w:rFonts w:ascii="Arial" w:cs="Arial" w:eastAsia="Arial" w:hAnsi="Arial"/>
                  <w:sz w:val="17"/>
                  <w:szCs w:val="17"/>
                  <w:color w:val="0000FF"/>
                </w:rPr>
                <w:t>Restricted Stock and Restricted Stock Units, and</w:t>
              </w:r>
            </w:hyperlink>
          </w:p>
        </w:tc>
        <w:tc>
          <w:tcPr>
            <w:tcW w:w="20" w:type="dxa"/>
            <w:vAlign w:val="bottom"/>
            <w:tcBorders>
              <w:top w:val="single" w:sz="8" w:color="DCE2EF"/>
            </w:tcBorders>
            <w:shd w:val="clear" w:color="auto" w:fill="DCE2EF"/>
          </w:tcPr>
          <w:p>
            <w:pPr>
              <w:spacing w:after="0"/>
              <w:rPr>
                <w:sz w:val="12"/>
                <w:szCs w:val="12"/>
                <w:color w:val="auto"/>
              </w:rPr>
            </w:pPr>
          </w:p>
        </w:tc>
        <w:tc>
          <w:tcPr>
            <w:tcW w:w="60" w:type="dxa"/>
            <w:vAlign w:val="bottom"/>
            <w:tcBorders>
              <w:top w:val="single" w:sz="8" w:color="DCE2EF"/>
            </w:tcBorders>
            <w:shd w:val="clear" w:color="auto" w:fill="DCE2EF"/>
          </w:tcPr>
          <w:p>
            <w:pPr>
              <w:spacing w:after="0"/>
              <w:rPr>
                <w:sz w:val="12"/>
                <w:szCs w:val="12"/>
                <w:color w:val="auto"/>
              </w:rPr>
            </w:pPr>
          </w:p>
        </w:tc>
        <w:tc>
          <w:tcPr>
            <w:tcW w:w="20" w:type="dxa"/>
            <w:vAlign w:val="bottom"/>
            <w:tcBorders>
              <w:top w:val="single" w:sz="8" w:color="DCE2EF"/>
            </w:tcBorders>
            <w:shd w:val="clear" w:color="auto" w:fill="DCE2EF"/>
          </w:tcPr>
          <w:p>
            <w:pPr>
              <w:spacing w:after="0"/>
              <w:rPr>
                <w:sz w:val="12"/>
                <w:szCs w:val="12"/>
                <w:color w:val="auto"/>
              </w:rPr>
            </w:pPr>
          </w:p>
        </w:tc>
        <w:tc>
          <w:tcPr>
            <w:tcW w:w="20" w:type="dxa"/>
            <w:vAlign w:val="bottom"/>
            <w:tcBorders>
              <w:top w:val="single" w:sz="8" w:color="DCE2EF"/>
            </w:tcBorders>
            <w:shd w:val="clear" w:color="auto" w:fill="DCE2EF"/>
          </w:tcPr>
          <w:p>
            <w:pPr>
              <w:spacing w:after="0"/>
              <w:rPr>
                <w:sz w:val="12"/>
                <w:szCs w:val="12"/>
                <w:color w:val="auto"/>
              </w:rPr>
            </w:pPr>
          </w:p>
        </w:tc>
        <w:tc>
          <w:tcPr>
            <w:tcW w:w="20" w:type="dxa"/>
            <w:vAlign w:val="bottom"/>
            <w:tcBorders>
              <w:top w:val="single" w:sz="8" w:color="DCE2EF"/>
            </w:tcBorders>
            <w:shd w:val="clear" w:color="auto" w:fill="DCE2EF"/>
          </w:tcPr>
          <w:p>
            <w:pPr>
              <w:spacing w:after="0"/>
              <w:rPr>
                <w:sz w:val="12"/>
                <w:szCs w:val="12"/>
                <w:color w:val="auto"/>
              </w:rPr>
            </w:pPr>
          </w:p>
        </w:tc>
        <w:tc>
          <w:tcPr>
            <w:tcW w:w="860" w:type="dxa"/>
            <w:vAlign w:val="bottom"/>
            <w:tcBorders>
              <w:top w:val="single" w:sz="8" w:color="DCE2EF"/>
            </w:tcBorders>
            <w:shd w:val="clear" w:color="auto" w:fill="DCE2EF"/>
          </w:tcPr>
          <w:p>
            <w:pPr>
              <w:spacing w:after="0"/>
              <w:rPr>
                <w:sz w:val="12"/>
                <w:szCs w:val="12"/>
                <w:color w:val="auto"/>
              </w:rPr>
            </w:pPr>
          </w:p>
        </w:tc>
        <w:tc>
          <w:tcPr>
            <w:tcW w:w="1340" w:type="dxa"/>
            <w:vAlign w:val="bottom"/>
            <w:tcBorders>
              <w:top w:val="single" w:sz="8" w:color="DCE2EF"/>
            </w:tcBorders>
            <w:shd w:val="clear" w:color="auto" w:fill="DCE2EF"/>
          </w:tcPr>
          <w:p>
            <w:pPr>
              <w:spacing w:after="0"/>
              <w:rPr>
                <w:sz w:val="12"/>
                <w:szCs w:val="12"/>
                <w:color w:val="auto"/>
              </w:rPr>
            </w:pPr>
          </w:p>
        </w:tc>
        <w:tc>
          <w:tcPr>
            <w:tcW w:w="1040" w:type="dxa"/>
            <w:vAlign w:val="bottom"/>
            <w:tcBorders>
              <w:top w:val="single" w:sz="8" w:color="DCE2EF"/>
            </w:tcBorders>
            <w:shd w:val="clear" w:color="auto" w:fill="DCE2EF"/>
          </w:tcPr>
          <w:p>
            <w:pPr>
              <w:spacing w:after="0"/>
              <w:rPr>
                <w:sz w:val="12"/>
                <w:szCs w:val="12"/>
                <w:color w:val="auto"/>
              </w:rPr>
            </w:pPr>
          </w:p>
        </w:tc>
        <w:tc>
          <w:tcPr>
            <w:tcW w:w="2160" w:type="dxa"/>
            <w:vAlign w:val="bottom"/>
            <w:tcBorders>
              <w:top w:val="single" w:sz="8" w:color="DCE2EF"/>
            </w:tcBorders>
            <w:shd w:val="clear" w:color="auto" w:fill="DCE2E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DCE2EF"/>
          </w:tcPr>
          <w:p>
            <w:pPr>
              <w:spacing w:after="0" w:line="20" w:lineRule="exact"/>
              <w:rPr>
                <w:sz w:val="1"/>
                <w:szCs w:val="1"/>
                <w:color w:val="auto"/>
              </w:rPr>
            </w:pPr>
          </w:p>
        </w:tc>
        <w:tc>
          <w:tcPr>
            <w:tcW w:w="20" w:type="dxa"/>
            <w:vAlign w:val="bottom"/>
            <w:shd w:val="clear" w:color="auto" w:fill="DCE2E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60" w:type="dxa"/>
            <w:vAlign w:val="bottom"/>
            <w:shd w:val="clear" w:color="auto" w:fill="DCE2EF"/>
          </w:tcPr>
          <w:p>
            <w:pPr>
              <w:spacing w:after="0" w:line="20" w:lineRule="exact"/>
              <w:rPr>
                <w:sz w:val="1"/>
                <w:szCs w:val="1"/>
                <w:color w:val="auto"/>
              </w:rPr>
            </w:pPr>
          </w:p>
        </w:tc>
        <w:tc>
          <w:tcPr>
            <w:tcW w:w="120" w:type="dxa"/>
            <w:vAlign w:val="bottom"/>
            <w:shd w:val="clear" w:color="auto" w:fill="DCE2EF"/>
          </w:tcPr>
          <w:p>
            <w:pPr>
              <w:spacing w:after="0" w:line="20" w:lineRule="exact"/>
              <w:rPr>
                <w:sz w:val="1"/>
                <w:szCs w:val="1"/>
                <w:color w:val="auto"/>
              </w:rPr>
            </w:pPr>
          </w:p>
        </w:tc>
        <w:tc>
          <w:tcPr>
            <w:tcW w:w="20" w:type="dxa"/>
            <w:vAlign w:val="bottom"/>
            <w:shd w:val="clear" w:color="auto" w:fill="DCE2EF"/>
          </w:tcPr>
          <w:p>
            <w:pPr>
              <w:spacing w:after="0" w:line="20" w:lineRule="exact"/>
              <w:rPr>
                <w:sz w:val="1"/>
                <w:szCs w:val="1"/>
                <w:color w:val="auto"/>
              </w:rPr>
            </w:pPr>
          </w:p>
        </w:tc>
        <w:tc>
          <w:tcPr>
            <w:tcW w:w="20" w:type="dxa"/>
            <w:vAlign w:val="bottom"/>
            <w:shd w:val="clear" w:color="auto" w:fill="DCE2EF"/>
          </w:tcPr>
          <w:p>
            <w:pPr>
              <w:spacing w:after="0" w:line="20" w:lineRule="exact"/>
              <w:rPr>
                <w:sz w:val="1"/>
                <w:szCs w:val="1"/>
                <w:color w:val="auto"/>
              </w:rPr>
            </w:pPr>
          </w:p>
        </w:tc>
        <w:tc>
          <w:tcPr>
            <w:tcW w:w="40" w:type="dxa"/>
            <w:vAlign w:val="bottom"/>
            <w:shd w:val="clear" w:color="auto" w:fill="DCE2EF"/>
          </w:tcPr>
          <w:p>
            <w:pPr>
              <w:spacing w:after="0" w:line="20" w:lineRule="exact"/>
              <w:rPr>
                <w:sz w:val="1"/>
                <w:szCs w:val="1"/>
                <w:color w:val="auto"/>
              </w:rPr>
            </w:pPr>
          </w:p>
        </w:tc>
        <w:tc>
          <w:tcPr>
            <w:tcW w:w="20" w:type="dxa"/>
            <w:vAlign w:val="bottom"/>
            <w:shd w:val="clear" w:color="auto" w:fill="DCE2EF"/>
          </w:tcPr>
          <w:p>
            <w:pPr>
              <w:spacing w:after="0" w:line="20" w:lineRule="exact"/>
              <w:rPr>
                <w:sz w:val="1"/>
                <w:szCs w:val="1"/>
                <w:color w:val="auto"/>
              </w:rPr>
            </w:pPr>
          </w:p>
        </w:tc>
        <w:tc>
          <w:tcPr>
            <w:tcW w:w="20" w:type="dxa"/>
            <w:vAlign w:val="bottom"/>
            <w:shd w:val="clear" w:color="auto" w:fill="DCE2EF"/>
          </w:tcPr>
          <w:p>
            <w:pPr>
              <w:spacing w:after="0" w:line="20" w:lineRule="exact"/>
              <w:rPr>
                <w:sz w:val="1"/>
                <w:szCs w:val="1"/>
                <w:color w:val="auto"/>
              </w:rPr>
            </w:pPr>
          </w:p>
        </w:tc>
        <w:tc>
          <w:tcPr>
            <w:tcW w:w="20" w:type="dxa"/>
            <w:vAlign w:val="bottom"/>
            <w:shd w:val="clear" w:color="auto" w:fill="DCE2EF"/>
          </w:tcPr>
          <w:p>
            <w:pPr>
              <w:spacing w:after="0" w:line="20" w:lineRule="exact"/>
              <w:rPr>
                <w:sz w:val="1"/>
                <w:szCs w:val="1"/>
                <w:color w:val="auto"/>
              </w:rPr>
            </w:pPr>
          </w:p>
        </w:tc>
        <w:tc>
          <w:tcPr>
            <w:tcW w:w="20" w:type="dxa"/>
            <w:vAlign w:val="bottom"/>
            <w:shd w:val="clear" w:color="auto" w:fill="DCE2EF"/>
          </w:tcPr>
          <w:p>
            <w:pPr>
              <w:spacing w:after="0" w:line="20" w:lineRule="exact"/>
              <w:rPr>
                <w:sz w:val="1"/>
                <w:szCs w:val="1"/>
                <w:color w:val="auto"/>
              </w:rPr>
            </w:pPr>
          </w:p>
        </w:tc>
        <w:tc>
          <w:tcPr>
            <w:tcW w:w="20" w:type="dxa"/>
            <w:vAlign w:val="bottom"/>
            <w:shd w:val="clear" w:color="auto" w:fill="DCE2EF"/>
          </w:tcPr>
          <w:p>
            <w:pPr>
              <w:spacing w:after="0" w:line="20" w:lineRule="exact"/>
              <w:rPr>
                <w:sz w:val="1"/>
                <w:szCs w:val="1"/>
                <w:color w:val="auto"/>
              </w:rPr>
            </w:pPr>
          </w:p>
        </w:tc>
        <w:tc>
          <w:tcPr>
            <w:tcW w:w="20" w:type="dxa"/>
            <w:vAlign w:val="bottom"/>
            <w:shd w:val="clear" w:color="auto" w:fill="DCE2EF"/>
          </w:tcPr>
          <w:p>
            <w:pPr>
              <w:spacing w:after="0" w:line="20" w:lineRule="exact"/>
              <w:rPr>
                <w:sz w:val="1"/>
                <w:szCs w:val="1"/>
                <w:color w:val="auto"/>
              </w:rPr>
            </w:pPr>
          </w:p>
        </w:tc>
        <w:tc>
          <w:tcPr>
            <w:tcW w:w="40" w:type="dxa"/>
            <w:vAlign w:val="bottom"/>
            <w:gridSpan w:val="2"/>
            <w:shd w:val="clear" w:color="auto" w:fill="DCE2EF"/>
          </w:tcPr>
          <w:p>
            <w:pPr>
              <w:spacing w:after="0" w:line="20" w:lineRule="exact"/>
              <w:rPr>
                <w:sz w:val="1"/>
                <w:szCs w:val="1"/>
                <w:color w:val="auto"/>
              </w:rPr>
            </w:pPr>
          </w:p>
        </w:tc>
        <w:tc>
          <w:tcPr>
            <w:tcW w:w="60" w:type="dxa"/>
            <w:vAlign w:val="bottom"/>
            <w:shd w:val="clear" w:color="auto" w:fill="DCE2EF"/>
          </w:tcPr>
          <w:p>
            <w:pPr>
              <w:spacing w:after="0" w:line="20" w:lineRule="exact"/>
              <w:rPr>
                <w:sz w:val="1"/>
                <w:szCs w:val="1"/>
                <w:color w:val="auto"/>
              </w:rPr>
            </w:pPr>
          </w:p>
        </w:tc>
        <w:tc>
          <w:tcPr>
            <w:tcW w:w="20" w:type="dxa"/>
            <w:vAlign w:val="bottom"/>
            <w:shd w:val="clear" w:color="auto" w:fill="DCE2EF"/>
          </w:tcPr>
          <w:p>
            <w:pPr>
              <w:spacing w:after="0" w:line="20" w:lineRule="exact"/>
              <w:rPr>
                <w:sz w:val="1"/>
                <w:szCs w:val="1"/>
                <w:color w:val="auto"/>
              </w:rPr>
            </w:pPr>
          </w:p>
        </w:tc>
        <w:tc>
          <w:tcPr>
            <w:tcW w:w="20" w:type="dxa"/>
            <w:vAlign w:val="bottom"/>
            <w:shd w:val="clear" w:color="auto" w:fill="DCE2EF"/>
          </w:tcPr>
          <w:p>
            <w:pPr>
              <w:spacing w:after="0" w:line="20" w:lineRule="exact"/>
              <w:rPr>
                <w:sz w:val="1"/>
                <w:szCs w:val="1"/>
                <w:color w:val="auto"/>
              </w:rPr>
            </w:pPr>
          </w:p>
        </w:tc>
        <w:tc>
          <w:tcPr>
            <w:tcW w:w="20" w:type="dxa"/>
            <w:vAlign w:val="bottom"/>
            <w:shd w:val="clear" w:color="auto" w:fill="DCE2EF"/>
          </w:tcPr>
          <w:p>
            <w:pPr>
              <w:spacing w:after="0" w:line="20" w:lineRule="exact"/>
              <w:rPr>
                <w:sz w:val="1"/>
                <w:szCs w:val="1"/>
                <w:color w:val="auto"/>
              </w:rPr>
            </w:pPr>
          </w:p>
        </w:tc>
        <w:tc>
          <w:tcPr>
            <w:tcW w:w="860" w:type="dxa"/>
            <w:vAlign w:val="bottom"/>
            <w:shd w:val="clear" w:color="auto" w:fill="DCE2EF"/>
          </w:tcPr>
          <w:p>
            <w:pPr>
              <w:spacing w:after="0" w:line="20" w:lineRule="exact"/>
              <w:rPr>
                <w:sz w:val="1"/>
                <w:szCs w:val="1"/>
                <w:color w:val="auto"/>
              </w:rPr>
            </w:pPr>
          </w:p>
        </w:tc>
        <w:tc>
          <w:tcPr>
            <w:tcW w:w="1340" w:type="dxa"/>
            <w:vAlign w:val="bottom"/>
            <w:shd w:val="clear" w:color="auto" w:fill="DCE2EF"/>
          </w:tcPr>
          <w:p>
            <w:pPr>
              <w:spacing w:after="0" w:line="20" w:lineRule="exact"/>
              <w:rPr>
                <w:sz w:val="1"/>
                <w:szCs w:val="1"/>
                <w:color w:val="auto"/>
              </w:rPr>
            </w:pPr>
          </w:p>
        </w:tc>
        <w:tc>
          <w:tcPr>
            <w:tcW w:w="1040" w:type="dxa"/>
            <w:vAlign w:val="bottom"/>
            <w:shd w:val="clear" w:color="auto" w:fill="DCE2EF"/>
          </w:tcPr>
          <w:p>
            <w:pPr>
              <w:spacing w:after="0" w:line="20" w:lineRule="exact"/>
              <w:rPr>
                <w:sz w:val="1"/>
                <w:szCs w:val="1"/>
                <w:color w:val="auto"/>
              </w:rPr>
            </w:pPr>
          </w:p>
        </w:tc>
        <w:tc>
          <w:tcPr>
            <w:tcW w:w="2160" w:type="dxa"/>
            <w:vAlign w:val="bottom"/>
            <w:shd w:val="clear" w:color="auto" w:fill="DCE2E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280" w:type="dxa"/>
            <w:vAlign w:val="bottom"/>
            <w:tcBorders>
              <w:bottom w:val="single" w:sz="8" w:color="DCE2EF"/>
            </w:tcBorders>
            <w:shd w:val="clear" w:color="auto" w:fill="DCE2EF"/>
          </w:tcPr>
          <w:p>
            <w:pPr>
              <w:spacing w:after="0"/>
              <w:rPr>
                <w:sz w:val="13"/>
                <w:szCs w:val="13"/>
                <w:color w:val="auto"/>
              </w:rPr>
            </w:pPr>
          </w:p>
        </w:tc>
        <w:tc>
          <w:tcPr>
            <w:tcW w:w="20" w:type="dxa"/>
            <w:vAlign w:val="bottom"/>
            <w:tcBorders>
              <w:bottom w:val="single" w:sz="8" w:color="DCE2EF"/>
            </w:tcBorders>
            <w:shd w:val="clear" w:color="auto" w:fill="DCE2EF"/>
          </w:tcPr>
          <w:p>
            <w:pPr>
              <w:spacing w:after="0"/>
              <w:rPr>
                <w:sz w:val="13"/>
                <w:szCs w:val="13"/>
                <w:color w:val="auto"/>
              </w:rPr>
            </w:pPr>
          </w:p>
        </w:tc>
        <w:tc>
          <w:tcPr>
            <w:tcW w:w="4280" w:type="dxa"/>
            <w:vAlign w:val="bottom"/>
            <w:tcBorders>
              <w:bottom w:val="single" w:sz="8" w:color="0000FF"/>
            </w:tcBorders>
            <w:gridSpan w:val="17"/>
            <w:shd w:val="clear" w:color="auto" w:fill="DCE2EF"/>
          </w:tcPr>
          <w:p>
            <w:pPr>
              <w:spacing w:after="0" w:line="161" w:lineRule="exact"/>
              <w:rPr>
                <w:rFonts w:ascii="Arial" w:cs="Arial" w:eastAsia="Arial" w:hAnsi="Arial"/>
                <w:sz w:val="17"/>
                <w:szCs w:val="17"/>
                <w:color w:val="0000FF"/>
              </w:rPr>
            </w:pPr>
            <w:hyperlink r:id="rId186">
              <w:r>
                <w:rPr>
                  <w:rFonts w:ascii="Arial" w:cs="Arial" w:eastAsia="Arial" w:hAnsi="Arial"/>
                  <w:sz w:val="17"/>
                  <w:szCs w:val="17"/>
                  <w:color w:val="0000FF"/>
                </w:rPr>
                <w:t>Performance Shares Granted to Employees Pursuant to</w:t>
              </w:r>
            </w:hyperlink>
          </w:p>
        </w:tc>
        <w:tc>
          <w:tcPr>
            <w:tcW w:w="260" w:type="dxa"/>
            <w:vAlign w:val="bottom"/>
            <w:tcBorders>
              <w:bottom w:val="single" w:sz="8" w:color="DCE2EF"/>
            </w:tcBorders>
            <w:gridSpan w:val="11"/>
            <w:shd w:val="clear" w:color="auto" w:fill="DCE2EF"/>
          </w:tcPr>
          <w:p>
            <w:pPr>
              <w:spacing w:after="0"/>
              <w:rPr>
                <w:sz w:val="13"/>
                <w:szCs w:val="13"/>
                <w:color w:val="auto"/>
              </w:rPr>
            </w:pPr>
          </w:p>
        </w:tc>
        <w:tc>
          <w:tcPr>
            <w:tcW w:w="860" w:type="dxa"/>
            <w:vAlign w:val="bottom"/>
            <w:tcBorders>
              <w:bottom w:val="single" w:sz="8" w:color="DCE2EF"/>
            </w:tcBorders>
            <w:shd w:val="clear" w:color="auto" w:fill="DCE2EF"/>
          </w:tcPr>
          <w:p>
            <w:pPr>
              <w:spacing w:after="0"/>
              <w:rPr>
                <w:sz w:val="13"/>
                <w:szCs w:val="13"/>
                <w:color w:val="auto"/>
              </w:rPr>
            </w:pPr>
          </w:p>
        </w:tc>
        <w:tc>
          <w:tcPr>
            <w:tcW w:w="1340" w:type="dxa"/>
            <w:vAlign w:val="bottom"/>
            <w:tcBorders>
              <w:bottom w:val="single" w:sz="8" w:color="DCE2EF"/>
            </w:tcBorders>
            <w:shd w:val="clear" w:color="auto" w:fill="DCE2EF"/>
          </w:tcPr>
          <w:p>
            <w:pPr>
              <w:spacing w:after="0"/>
              <w:rPr>
                <w:sz w:val="13"/>
                <w:szCs w:val="13"/>
                <w:color w:val="auto"/>
              </w:rPr>
            </w:pPr>
          </w:p>
        </w:tc>
        <w:tc>
          <w:tcPr>
            <w:tcW w:w="1040" w:type="dxa"/>
            <w:vAlign w:val="bottom"/>
            <w:tcBorders>
              <w:bottom w:val="single" w:sz="8" w:color="DCE2EF"/>
            </w:tcBorders>
            <w:shd w:val="clear" w:color="auto" w:fill="DCE2EF"/>
          </w:tcPr>
          <w:p>
            <w:pPr>
              <w:spacing w:after="0"/>
              <w:rPr>
                <w:sz w:val="13"/>
                <w:szCs w:val="13"/>
                <w:color w:val="auto"/>
              </w:rPr>
            </w:pPr>
          </w:p>
        </w:tc>
        <w:tc>
          <w:tcPr>
            <w:tcW w:w="2160" w:type="dxa"/>
            <w:vAlign w:val="bottom"/>
            <w:tcBorders>
              <w:bottom w:val="single" w:sz="8" w:color="DCE2EF"/>
            </w:tcBorders>
            <w:shd w:val="clear" w:color="auto" w:fill="DCE2E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280" w:type="dxa"/>
            <w:vAlign w:val="bottom"/>
            <w:shd w:val="clear" w:color="auto" w:fill="DCE2EF"/>
          </w:tcPr>
          <w:p>
            <w:pPr>
              <w:spacing w:after="0"/>
              <w:rPr>
                <w:sz w:val="12"/>
                <w:szCs w:val="12"/>
                <w:color w:val="auto"/>
              </w:rPr>
            </w:pPr>
          </w:p>
        </w:tc>
        <w:tc>
          <w:tcPr>
            <w:tcW w:w="20" w:type="dxa"/>
            <w:vAlign w:val="bottom"/>
            <w:shd w:val="clear" w:color="auto" w:fill="DCE2EF"/>
          </w:tcPr>
          <w:p>
            <w:pPr>
              <w:spacing w:after="0"/>
              <w:rPr>
                <w:sz w:val="12"/>
                <w:szCs w:val="12"/>
                <w:color w:val="auto"/>
              </w:rPr>
            </w:pPr>
          </w:p>
        </w:tc>
        <w:tc>
          <w:tcPr>
            <w:tcW w:w="4540" w:type="dxa"/>
            <w:vAlign w:val="bottom"/>
            <w:gridSpan w:val="28"/>
            <w:shd w:val="clear" w:color="auto" w:fill="DCE2EF"/>
          </w:tcPr>
          <w:p>
            <w:pPr>
              <w:spacing w:after="0" w:line="148" w:lineRule="exact"/>
              <w:rPr>
                <w:rFonts w:ascii="Arial" w:cs="Arial" w:eastAsia="Arial" w:hAnsi="Arial"/>
                <w:sz w:val="17"/>
                <w:szCs w:val="17"/>
                <w:color w:val="0000FF"/>
              </w:rPr>
            </w:pPr>
            <w:hyperlink r:id="rId186">
              <w:r>
                <w:rPr>
                  <w:rFonts w:ascii="Arial" w:cs="Arial" w:eastAsia="Arial" w:hAnsi="Arial"/>
                  <w:sz w:val="17"/>
                  <w:szCs w:val="17"/>
                  <w:color w:val="0000FF"/>
                </w:rPr>
                <w:t>the 2006 Equity Incentive Plan, for Awards Granted on or</w:t>
              </w:r>
            </w:hyperlink>
          </w:p>
        </w:tc>
        <w:tc>
          <w:tcPr>
            <w:tcW w:w="860" w:type="dxa"/>
            <w:vAlign w:val="bottom"/>
            <w:shd w:val="clear" w:color="auto" w:fill="DCE2EF"/>
          </w:tcPr>
          <w:p>
            <w:pPr>
              <w:spacing w:after="0"/>
              <w:rPr>
                <w:sz w:val="12"/>
                <w:szCs w:val="12"/>
                <w:color w:val="auto"/>
              </w:rPr>
            </w:pPr>
          </w:p>
        </w:tc>
        <w:tc>
          <w:tcPr>
            <w:tcW w:w="1340" w:type="dxa"/>
            <w:vAlign w:val="bottom"/>
            <w:shd w:val="clear" w:color="auto" w:fill="DCE2EF"/>
          </w:tcPr>
          <w:p>
            <w:pPr>
              <w:spacing w:after="0"/>
              <w:rPr>
                <w:sz w:val="12"/>
                <w:szCs w:val="12"/>
                <w:color w:val="auto"/>
              </w:rPr>
            </w:pPr>
          </w:p>
        </w:tc>
        <w:tc>
          <w:tcPr>
            <w:tcW w:w="1040" w:type="dxa"/>
            <w:vAlign w:val="bottom"/>
            <w:shd w:val="clear" w:color="auto" w:fill="DCE2EF"/>
          </w:tcPr>
          <w:p>
            <w:pPr>
              <w:spacing w:after="0"/>
              <w:rPr>
                <w:sz w:val="12"/>
                <w:szCs w:val="12"/>
                <w:color w:val="auto"/>
              </w:rPr>
            </w:pPr>
          </w:p>
        </w:tc>
        <w:tc>
          <w:tcPr>
            <w:tcW w:w="2160" w:type="dxa"/>
            <w:vAlign w:val="bottom"/>
            <w:shd w:val="clear" w:color="auto" w:fill="DCE2E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80" w:type="dxa"/>
            <w:vAlign w:val="bottom"/>
            <w:tcBorders>
              <w:top w:val="single" w:sz="8" w:color="DCE2EF"/>
            </w:tcBorders>
            <w:shd w:val="clear" w:color="auto" w:fill="DCE2EF"/>
          </w:tcPr>
          <w:p>
            <w:pPr>
              <w:spacing w:after="0"/>
              <w:rPr>
                <w:sz w:val="12"/>
                <w:szCs w:val="12"/>
                <w:color w:val="auto"/>
              </w:rPr>
            </w:pPr>
          </w:p>
        </w:tc>
        <w:tc>
          <w:tcPr>
            <w:tcW w:w="20" w:type="dxa"/>
            <w:vAlign w:val="bottom"/>
            <w:tcBorders>
              <w:top w:val="single" w:sz="8" w:color="DCE2EF"/>
            </w:tcBorders>
            <w:shd w:val="clear" w:color="auto" w:fill="DCE2EF"/>
          </w:tcPr>
          <w:p>
            <w:pPr>
              <w:spacing w:after="0"/>
              <w:rPr>
                <w:sz w:val="12"/>
                <w:szCs w:val="12"/>
                <w:color w:val="auto"/>
              </w:rPr>
            </w:pPr>
          </w:p>
        </w:tc>
        <w:tc>
          <w:tcPr>
            <w:tcW w:w="4360" w:type="dxa"/>
            <w:vAlign w:val="bottom"/>
            <w:tcBorders>
              <w:top w:val="single" w:sz="8" w:color="0000FF"/>
            </w:tcBorders>
            <w:gridSpan w:val="21"/>
            <w:shd w:val="clear" w:color="auto" w:fill="DCE2EF"/>
          </w:tcPr>
          <w:p>
            <w:pPr>
              <w:spacing w:after="0" w:line="148" w:lineRule="exact"/>
              <w:rPr>
                <w:rFonts w:ascii="Arial" w:cs="Arial" w:eastAsia="Arial" w:hAnsi="Arial"/>
                <w:sz w:val="17"/>
                <w:szCs w:val="17"/>
                <w:color w:val="0000FF"/>
              </w:rPr>
            </w:pPr>
            <w:hyperlink r:id="rId186">
              <w:r>
                <w:rPr>
                  <w:rFonts w:ascii="Arial" w:cs="Arial" w:eastAsia="Arial" w:hAnsi="Arial"/>
                  <w:sz w:val="17"/>
                  <w:szCs w:val="17"/>
                  <w:color w:val="0000FF"/>
                </w:rPr>
                <w:t>after March 4, 2015</w:t>
              </w:r>
            </w:hyperlink>
          </w:p>
        </w:tc>
        <w:tc>
          <w:tcPr>
            <w:tcW w:w="20" w:type="dxa"/>
            <w:vAlign w:val="bottom"/>
            <w:tcBorders>
              <w:top w:val="single" w:sz="8" w:color="DCE2EF"/>
            </w:tcBorders>
            <w:shd w:val="clear" w:color="auto" w:fill="DCE2EF"/>
          </w:tcPr>
          <w:p>
            <w:pPr>
              <w:spacing w:after="0"/>
              <w:rPr>
                <w:sz w:val="12"/>
                <w:szCs w:val="12"/>
                <w:color w:val="auto"/>
              </w:rPr>
            </w:pPr>
          </w:p>
        </w:tc>
        <w:tc>
          <w:tcPr>
            <w:tcW w:w="40" w:type="dxa"/>
            <w:vAlign w:val="bottom"/>
            <w:tcBorders>
              <w:top w:val="single" w:sz="8" w:color="DCE2EF"/>
            </w:tcBorders>
            <w:gridSpan w:val="2"/>
            <w:shd w:val="clear" w:color="auto" w:fill="DCE2EF"/>
          </w:tcPr>
          <w:p>
            <w:pPr>
              <w:spacing w:after="0"/>
              <w:rPr>
                <w:sz w:val="12"/>
                <w:szCs w:val="12"/>
                <w:color w:val="auto"/>
              </w:rPr>
            </w:pPr>
          </w:p>
        </w:tc>
        <w:tc>
          <w:tcPr>
            <w:tcW w:w="60" w:type="dxa"/>
            <w:vAlign w:val="bottom"/>
            <w:tcBorders>
              <w:top w:val="single" w:sz="8" w:color="DCE2EF"/>
            </w:tcBorders>
            <w:shd w:val="clear" w:color="auto" w:fill="DCE2EF"/>
          </w:tcPr>
          <w:p>
            <w:pPr>
              <w:spacing w:after="0"/>
              <w:rPr>
                <w:sz w:val="12"/>
                <w:szCs w:val="12"/>
                <w:color w:val="auto"/>
              </w:rPr>
            </w:pPr>
          </w:p>
        </w:tc>
        <w:tc>
          <w:tcPr>
            <w:tcW w:w="20" w:type="dxa"/>
            <w:vAlign w:val="bottom"/>
            <w:tcBorders>
              <w:top w:val="single" w:sz="8" w:color="DCE2EF"/>
            </w:tcBorders>
            <w:shd w:val="clear" w:color="auto" w:fill="DCE2EF"/>
          </w:tcPr>
          <w:p>
            <w:pPr>
              <w:spacing w:after="0"/>
              <w:rPr>
                <w:sz w:val="12"/>
                <w:szCs w:val="12"/>
                <w:color w:val="auto"/>
              </w:rPr>
            </w:pPr>
          </w:p>
        </w:tc>
        <w:tc>
          <w:tcPr>
            <w:tcW w:w="20" w:type="dxa"/>
            <w:vAlign w:val="bottom"/>
            <w:tcBorders>
              <w:top w:val="single" w:sz="8" w:color="DCE2EF"/>
            </w:tcBorders>
            <w:shd w:val="clear" w:color="auto" w:fill="DCE2EF"/>
          </w:tcPr>
          <w:p>
            <w:pPr>
              <w:spacing w:after="0"/>
              <w:rPr>
                <w:sz w:val="12"/>
                <w:szCs w:val="12"/>
                <w:color w:val="auto"/>
              </w:rPr>
            </w:pPr>
          </w:p>
        </w:tc>
        <w:tc>
          <w:tcPr>
            <w:tcW w:w="20" w:type="dxa"/>
            <w:vAlign w:val="bottom"/>
            <w:tcBorders>
              <w:top w:val="single" w:sz="8" w:color="DCE2EF"/>
            </w:tcBorders>
            <w:shd w:val="clear" w:color="auto" w:fill="DCE2EF"/>
          </w:tcPr>
          <w:p>
            <w:pPr>
              <w:spacing w:after="0"/>
              <w:rPr>
                <w:sz w:val="12"/>
                <w:szCs w:val="12"/>
                <w:color w:val="auto"/>
              </w:rPr>
            </w:pPr>
          </w:p>
        </w:tc>
        <w:tc>
          <w:tcPr>
            <w:tcW w:w="860" w:type="dxa"/>
            <w:vAlign w:val="bottom"/>
            <w:tcBorders>
              <w:top w:val="single" w:sz="8" w:color="DCE2EF"/>
            </w:tcBorders>
            <w:shd w:val="clear" w:color="auto" w:fill="DCE2EF"/>
          </w:tcPr>
          <w:p>
            <w:pPr>
              <w:spacing w:after="0"/>
              <w:rPr>
                <w:sz w:val="12"/>
                <w:szCs w:val="12"/>
                <w:color w:val="auto"/>
              </w:rPr>
            </w:pPr>
          </w:p>
        </w:tc>
        <w:tc>
          <w:tcPr>
            <w:tcW w:w="1340" w:type="dxa"/>
            <w:vAlign w:val="bottom"/>
            <w:tcBorders>
              <w:top w:val="single" w:sz="8" w:color="DCE2EF"/>
            </w:tcBorders>
            <w:shd w:val="clear" w:color="auto" w:fill="DCE2EF"/>
          </w:tcPr>
          <w:p>
            <w:pPr>
              <w:spacing w:after="0"/>
              <w:rPr>
                <w:sz w:val="12"/>
                <w:szCs w:val="12"/>
                <w:color w:val="auto"/>
              </w:rPr>
            </w:pPr>
          </w:p>
        </w:tc>
        <w:tc>
          <w:tcPr>
            <w:tcW w:w="1040" w:type="dxa"/>
            <w:vAlign w:val="bottom"/>
            <w:tcBorders>
              <w:top w:val="single" w:sz="8" w:color="DCE2EF"/>
            </w:tcBorders>
            <w:shd w:val="clear" w:color="auto" w:fill="DCE2EF"/>
          </w:tcPr>
          <w:p>
            <w:pPr>
              <w:spacing w:after="0"/>
              <w:rPr>
                <w:sz w:val="12"/>
                <w:szCs w:val="12"/>
                <w:color w:val="auto"/>
              </w:rPr>
            </w:pPr>
          </w:p>
        </w:tc>
        <w:tc>
          <w:tcPr>
            <w:tcW w:w="2160" w:type="dxa"/>
            <w:vAlign w:val="bottom"/>
            <w:tcBorders>
              <w:top w:val="single" w:sz="8" w:color="DCE2EF"/>
            </w:tcBorders>
            <w:shd w:val="clear" w:color="auto" w:fill="DCE2EF"/>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128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340" w:type="dxa"/>
            <w:vAlign w:val="bottom"/>
            <w:tcBorders>
              <w:top w:val="single" w:sz="8" w:color="0000FF"/>
            </w:tcBorders>
            <w:shd w:val="clear" w:color="auto" w:fill="DCE2EF"/>
          </w:tcPr>
          <w:p>
            <w:pPr>
              <w:spacing w:after="0"/>
              <w:rPr>
                <w:sz w:val="2"/>
                <w:szCs w:val="2"/>
                <w:color w:val="auto"/>
              </w:rPr>
            </w:pPr>
          </w:p>
        </w:tc>
        <w:tc>
          <w:tcPr>
            <w:tcW w:w="1140" w:type="dxa"/>
            <w:vAlign w:val="bottom"/>
            <w:tcBorders>
              <w:top w:val="single" w:sz="8" w:color="0000FF"/>
            </w:tcBorders>
            <w:shd w:val="clear" w:color="auto" w:fill="DCE2EF"/>
          </w:tcPr>
          <w:p>
            <w:pPr>
              <w:spacing w:after="0"/>
              <w:rPr>
                <w:sz w:val="2"/>
                <w:szCs w:val="2"/>
                <w:color w:val="auto"/>
              </w:rPr>
            </w:pPr>
          </w:p>
        </w:tc>
        <w:tc>
          <w:tcPr>
            <w:tcW w:w="240" w:type="dxa"/>
            <w:vAlign w:val="bottom"/>
            <w:tcBorders>
              <w:top w:val="single" w:sz="8" w:color="DCE2EF"/>
              <w:right w:val="single" w:sz="8" w:color="DCE2EF"/>
            </w:tcBorders>
            <w:shd w:val="clear" w:color="auto" w:fill="DCE2EF"/>
          </w:tcPr>
          <w:p>
            <w:pPr>
              <w:spacing w:after="0"/>
              <w:rPr>
                <w:sz w:val="2"/>
                <w:szCs w:val="2"/>
                <w:color w:val="auto"/>
              </w:rPr>
            </w:pPr>
          </w:p>
        </w:tc>
        <w:tc>
          <w:tcPr>
            <w:tcW w:w="180" w:type="dxa"/>
            <w:vAlign w:val="bottom"/>
            <w:tcBorders>
              <w:top w:val="single" w:sz="8" w:color="DCE2EF"/>
            </w:tcBorders>
            <w:shd w:val="clear" w:color="auto" w:fill="DCE2EF"/>
          </w:tcPr>
          <w:p>
            <w:pPr>
              <w:spacing w:after="0"/>
              <w:rPr>
                <w:sz w:val="2"/>
                <w:szCs w:val="2"/>
                <w:color w:val="auto"/>
              </w:rPr>
            </w:pPr>
          </w:p>
        </w:tc>
        <w:tc>
          <w:tcPr>
            <w:tcW w:w="100" w:type="dxa"/>
            <w:vAlign w:val="bottom"/>
            <w:tcBorders>
              <w:top w:val="single" w:sz="8" w:color="DCE2EF"/>
            </w:tcBorders>
            <w:shd w:val="clear" w:color="auto" w:fill="DCE2EF"/>
          </w:tcPr>
          <w:p>
            <w:pPr>
              <w:spacing w:after="0"/>
              <w:rPr>
                <w:sz w:val="2"/>
                <w:szCs w:val="2"/>
                <w:color w:val="auto"/>
              </w:rPr>
            </w:pPr>
          </w:p>
        </w:tc>
        <w:tc>
          <w:tcPr>
            <w:tcW w:w="240" w:type="dxa"/>
            <w:vAlign w:val="bottom"/>
            <w:tcBorders>
              <w:top w:val="single" w:sz="8" w:color="DCE2EF"/>
            </w:tcBorders>
            <w:shd w:val="clear" w:color="auto" w:fill="DCE2EF"/>
          </w:tcPr>
          <w:p>
            <w:pPr>
              <w:spacing w:after="0"/>
              <w:rPr>
                <w:sz w:val="2"/>
                <w:szCs w:val="2"/>
                <w:color w:val="auto"/>
              </w:rPr>
            </w:pPr>
          </w:p>
        </w:tc>
        <w:tc>
          <w:tcPr>
            <w:tcW w:w="860" w:type="dxa"/>
            <w:vAlign w:val="bottom"/>
            <w:tcBorders>
              <w:top w:val="single" w:sz="8" w:color="DCE2EF"/>
            </w:tcBorders>
            <w:shd w:val="clear" w:color="auto" w:fill="DCE2EF"/>
          </w:tcPr>
          <w:p>
            <w:pPr>
              <w:spacing w:after="0"/>
              <w:rPr>
                <w:sz w:val="2"/>
                <w:szCs w:val="2"/>
                <w:color w:val="auto"/>
              </w:rPr>
            </w:pPr>
          </w:p>
        </w:tc>
        <w:tc>
          <w:tcPr>
            <w:tcW w:w="120" w:type="dxa"/>
            <w:vAlign w:val="bottom"/>
            <w:tcBorders>
              <w:top w:val="single" w:sz="8" w:color="DCE2EF"/>
            </w:tcBorders>
            <w:shd w:val="clear" w:color="auto" w:fill="DCE2EF"/>
          </w:tcPr>
          <w:p>
            <w:pPr>
              <w:spacing w:after="0"/>
              <w:rPr>
                <w:sz w:val="2"/>
                <w:szCs w:val="2"/>
                <w:color w:val="auto"/>
              </w:rPr>
            </w:pPr>
          </w:p>
        </w:tc>
        <w:tc>
          <w:tcPr>
            <w:tcW w:w="120" w:type="dxa"/>
            <w:vAlign w:val="bottom"/>
            <w:tcBorders>
              <w:top w:val="single" w:sz="8" w:color="DCE2EF"/>
            </w:tcBorders>
            <w:shd w:val="clear" w:color="auto" w:fill="DCE2EF"/>
          </w:tcPr>
          <w:p>
            <w:pPr>
              <w:spacing w:after="0"/>
              <w:rPr>
                <w:sz w:val="2"/>
                <w:szCs w:val="2"/>
                <w:color w:val="auto"/>
              </w:rPr>
            </w:pPr>
          </w:p>
        </w:tc>
        <w:tc>
          <w:tcPr>
            <w:tcW w:w="180" w:type="dxa"/>
            <w:vAlign w:val="bottom"/>
            <w:tcBorders>
              <w:top w:val="single" w:sz="8" w:color="DCE2EF"/>
            </w:tcBorders>
            <w:shd w:val="clear" w:color="auto" w:fill="DCE2EF"/>
          </w:tcPr>
          <w:p>
            <w:pPr>
              <w:spacing w:after="0"/>
              <w:rPr>
                <w:sz w:val="2"/>
                <w:szCs w:val="2"/>
                <w:color w:val="auto"/>
              </w:rPr>
            </w:pPr>
          </w:p>
        </w:tc>
        <w:tc>
          <w:tcPr>
            <w:tcW w:w="180" w:type="dxa"/>
            <w:vAlign w:val="bottom"/>
            <w:tcBorders>
              <w:top w:val="single" w:sz="8" w:color="DCE2EF"/>
            </w:tcBorders>
            <w:shd w:val="clear" w:color="auto" w:fill="DCE2EF"/>
          </w:tcPr>
          <w:p>
            <w:pPr>
              <w:spacing w:after="0"/>
              <w:rPr>
                <w:sz w:val="2"/>
                <w:szCs w:val="2"/>
                <w:color w:val="auto"/>
              </w:rPr>
            </w:pPr>
          </w:p>
        </w:tc>
        <w:tc>
          <w:tcPr>
            <w:tcW w:w="360" w:type="dxa"/>
            <w:vAlign w:val="bottom"/>
            <w:tcBorders>
              <w:top w:val="single" w:sz="8" w:color="DCE2EF"/>
            </w:tcBorders>
            <w:shd w:val="clear" w:color="auto" w:fill="DCE2EF"/>
          </w:tcPr>
          <w:p>
            <w:pPr>
              <w:spacing w:after="0"/>
              <w:rPr>
                <w:sz w:val="2"/>
                <w:szCs w:val="2"/>
                <w:color w:val="auto"/>
              </w:rPr>
            </w:pPr>
          </w:p>
        </w:tc>
        <w:tc>
          <w:tcPr>
            <w:tcW w:w="12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4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6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860" w:type="dxa"/>
            <w:vAlign w:val="bottom"/>
            <w:tcBorders>
              <w:top w:val="single" w:sz="8" w:color="DCE2EF"/>
            </w:tcBorders>
            <w:shd w:val="clear" w:color="auto" w:fill="DCE2EF"/>
          </w:tcPr>
          <w:p>
            <w:pPr>
              <w:spacing w:after="0"/>
              <w:rPr>
                <w:sz w:val="2"/>
                <w:szCs w:val="2"/>
                <w:color w:val="auto"/>
              </w:rPr>
            </w:pPr>
          </w:p>
        </w:tc>
        <w:tc>
          <w:tcPr>
            <w:tcW w:w="1340" w:type="dxa"/>
            <w:vAlign w:val="bottom"/>
            <w:tcBorders>
              <w:top w:val="single" w:sz="8" w:color="DCE2EF"/>
            </w:tcBorders>
            <w:shd w:val="clear" w:color="auto" w:fill="DCE2EF"/>
          </w:tcPr>
          <w:p>
            <w:pPr>
              <w:spacing w:after="0"/>
              <w:rPr>
                <w:sz w:val="2"/>
                <w:szCs w:val="2"/>
                <w:color w:val="auto"/>
              </w:rPr>
            </w:pPr>
          </w:p>
        </w:tc>
        <w:tc>
          <w:tcPr>
            <w:tcW w:w="1040" w:type="dxa"/>
            <w:vAlign w:val="bottom"/>
            <w:tcBorders>
              <w:top w:val="single" w:sz="8" w:color="DCE2EF"/>
            </w:tcBorders>
            <w:shd w:val="clear" w:color="auto" w:fill="DCE2EF"/>
          </w:tcPr>
          <w:p>
            <w:pPr>
              <w:spacing w:after="0"/>
              <w:rPr>
                <w:sz w:val="2"/>
                <w:szCs w:val="2"/>
                <w:color w:val="auto"/>
              </w:rPr>
            </w:pPr>
          </w:p>
        </w:tc>
        <w:tc>
          <w:tcPr>
            <w:tcW w:w="2160" w:type="dxa"/>
            <w:vAlign w:val="bottom"/>
            <w:tcBorders>
              <w:top w:val="single" w:sz="8" w:color="DCE2EF"/>
            </w:tcBorders>
            <w:shd w:val="clear" w:color="auto" w:fill="DCE2E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1280" w:type="dxa"/>
            <w:vAlign w:val="bottom"/>
          </w:tcPr>
          <w:p>
            <w:pPr>
              <w:jc w:val="right"/>
              <w:ind w:right="674"/>
              <w:spacing w:after="0" w:line="180" w:lineRule="exact"/>
              <w:rPr>
                <w:sz w:val="20"/>
                <w:szCs w:val="20"/>
                <w:color w:val="auto"/>
              </w:rPr>
            </w:pPr>
            <w:r>
              <w:rPr>
                <w:rFonts w:ascii="Arial" w:cs="Arial" w:eastAsia="Arial" w:hAnsi="Arial"/>
                <w:sz w:val="17"/>
                <w:szCs w:val="17"/>
                <w:color w:val="auto"/>
              </w:rPr>
              <w:t>10.16*</w:t>
            </w:r>
          </w:p>
        </w:tc>
        <w:tc>
          <w:tcPr>
            <w:tcW w:w="20" w:type="dxa"/>
            <w:vAlign w:val="bottom"/>
          </w:tcPr>
          <w:p>
            <w:pPr>
              <w:spacing w:after="0"/>
              <w:rPr>
                <w:sz w:val="15"/>
                <w:szCs w:val="15"/>
                <w:color w:val="auto"/>
              </w:rPr>
            </w:pPr>
          </w:p>
        </w:tc>
        <w:tc>
          <w:tcPr>
            <w:tcW w:w="4540" w:type="dxa"/>
            <w:vAlign w:val="bottom"/>
            <w:gridSpan w:val="28"/>
          </w:tcPr>
          <w:p>
            <w:pPr>
              <w:spacing w:after="0" w:line="180" w:lineRule="exact"/>
              <w:rPr>
                <w:rFonts w:ascii="Arial" w:cs="Arial" w:eastAsia="Arial" w:hAnsi="Arial"/>
                <w:sz w:val="17"/>
                <w:szCs w:val="17"/>
                <w:color w:val="0000FF"/>
              </w:rPr>
            </w:pPr>
            <w:hyperlink r:id="rId187">
              <w:r>
                <w:rPr>
                  <w:rFonts w:ascii="Arial" w:cs="Arial" w:eastAsia="Arial" w:hAnsi="Arial"/>
                  <w:sz w:val="17"/>
                  <w:szCs w:val="17"/>
                  <w:color w:val="0000FF"/>
                </w:rPr>
                <w:t>Statement of Terms and Conditions Applicable to Options,</w:t>
              </w:r>
            </w:hyperlink>
          </w:p>
        </w:tc>
        <w:tc>
          <w:tcPr>
            <w:tcW w:w="860" w:type="dxa"/>
            <w:vAlign w:val="bottom"/>
          </w:tcPr>
          <w:p>
            <w:pPr>
              <w:ind w:left="260"/>
              <w:spacing w:after="0" w:line="180" w:lineRule="exact"/>
              <w:rPr>
                <w:sz w:val="20"/>
                <w:szCs w:val="20"/>
                <w:color w:val="auto"/>
              </w:rPr>
            </w:pPr>
            <w:r>
              <w:rPr>
                <w:rFonts w:ascii="Arial" w:cs="Arial" w:eastAsia="Arial" w:hAnsi="Arial"/>
                <w:sz w:val="17"/>
                <w:szCs w:val="17"/>
                <w:color w:val="auto"/>
              </w:rPr>
              <w:t>10-Q</w:t>
            </w:r>
          </w:p>
        </w:tc>
        <w:tc>
          <w:tcPr>
            <w:tcW w:w="1340" w:type="dxa"/>
            <w:vAlign w:val="bottom"/>
          </w:tcPr>
          <w:p>
            <w:pPr>
              <w:jc w:val="right"/>
              <w:ind w:right="194"/>
              <w:spacing w:after="0" w:line="180" w:lineRule="exact"/>
              <w:rPr>
                <w:sz w:val="20"/>
                <w:szCs w:val="20"/>
                <w:color w:val="auto"/>
              </w:rPr>
            </w:pPr>
            <w:r>
              <w:rPr>
                <w:rFonts w:ascii="Arial" w:cs="Arial" w:eastAsia="Arial" w:hAnsi="Arial"/>
                <w:sz w:val="17"/>
                <w:szCs w:val="17"/>
                <w:color w:val="auto"/>
              </w:rPr>
              <w:t>001-08929</w:t>
            </w:r>
          </w:p>
        </w:tc>
        <w:tc>
          <w:tcPr>
            <w:tcW w:w="1040" w:type="dxa"/>
            <w:vAlign w:val="bottom"/>
          </w:tcPr>
          <w:p>
            <w:pPr>
              <w:jc w:val="center"/>
              <w:spacing w:after="0" w:line="180" w:lineRule="exact"/>
              <w:rPr>
                <w:sz w:val="20"/>
                <w:szCs w:val="20"/>
                <w:color w:val="auto"/>
              </w:rPr>
            </w:pPr>
            <w:r>
              <w:rPr>
                <w:rFonts w:ascii="Arial" w:cs="Arial" w:eastAsia="Arial" w:hAnsi="Arial"/>
                <w:sz w:val="17"/>
                <w:szCs w:val="17"/>
                <w:color w:val="auto"/>
              </w:rPr>
              <w:t>10.1</w:t>
            </w:r>
          </w:p>
        </w:tc>
        <w:tc>
          <w:tcPr>
            <w:tcW w:w="2160" w:type="dxa"/>
            <w:vAlign w:val="bottom"/>
          </w:tcPr>
          <w:p>
            <w:pPr>
              <w:jc w:val="center"/>
              <w:spacing w:after="0" w:line="180" w:lineRule="exact"/>
              <w:rPr>
                <w:sz w:val="20"/>
                <w:szCs w:val="20"/>
                <w:color w:val="auto"/>
              </w:rPr>
            </w:pPr>
            <w:r>
              <w:rPr>
                <w:rFonts w:ascii="Arial" w:cs="Arial" w:eastAsia="Arial" w:hAnsi="Arial"/>
                <w:sz w:val="17"/>
                <w:szCs w:val="17"/>
                <w:color w:val="auto"/>
              </w:rPr>
              <w:t>March 5, 2020</w:t>
            </w:r>
          </w:p>
        </w:tc>
        <w:tc>
          <w:tcPr>
            <w:tcW w:w="0" w:type="dxa"/>
            <w:vAlign w:val="bottom"/>
          </w:tcPr>
          <w:p>
            <w:pPr>
              <w:spacing w:after="0"/>
              <w:rPr>
                <w:sz w:val="1"/>
                <w:szCs w:val="1"/>
                <w:color w:val="auto"/>
              </w:rPr>
            </w:pPr>
          </w:p>
        </w:tc>
      </w:tr>
      <w:tr>
        <w:trPr>
          <w:trHeight w:val="148"/>
        </w:trPr>
        <w:tc>
          <w:tcPr>
            <w:tcW w:w="1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0" w:type="dxa"/>
            <w:vAlign w:val="bottom"/>
            <w:tcBorders>
              <w:top w:val="single" w:sz="8" w:color="0000FF"/>
            </w:tcBorders>
            <w:gridSpan w:val="23"/>
          </w:tcPr>
          <w:p>
            <w:pPr>
              <w:spacing w:after="0" w:line="148" w:lineRule="exact"/>
              <w:rPr>
                <w:rFonts w:ascii="Arial" w:cs="Arial" w:eastAsia="Arial" w:hAnsi="Arial"/>
                <w:sz w:val="17"/>
                <w:szCs w:val="17"/>
                <w:color w:val="0000FF"/>
              </w:rPr>
            </w:pPr>
            <w:hyperlink r:id="rId187">
              <w:r>
                <w:rPr>
                  <w:rFonts w:ascii="Arial" w:cs="Arial" w:eastAsia="Arial" w:hAnsi="Arial"/>
                  <w:sz w:val="17"/>
                  <w:szCs w:val="17"/>
                  <w:color w:val="0000FF"/>
                </w:rPr>
                <w:t>Restricted Stock and Restricted Stock Units, and</w:t>
              </w:r>
            </w:hyperlink>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38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80" w:type="dxa"/>
            <w:vAlign w:val="bottom"/>
            <w:tcBorders>
              <w:bottom w:val="single" w:sz="8" w:color="0000FF"/>
            </w:tcBorders>
            <w:gridSpan w:val="17"/>
          </w:tcPr>
          <w:p>
            <w:pPr>
              <w:spacing w:after="0" w:line="161" w:lineRule="exact"/>
              <w:rPr>
                <w:rFonts w:ascii="Arial" w:cs="Arial" w:eastAsia="Arial" w:hAnsi="Arial"/>
                <w:sz w:val="17"/>
                <w:szCs w:val="17"/>
                <w:color w:val="0000FF"/>
              </w:rPr>
            </w:pPr>
            <w:hyperlink r:id="rId187">
              <w:r>
                <w:rPr>
                  <w:rFonts w:ascii="Arial" w:cs="Arial" w:eastAsia="Arial" w:hAnsi="Arial"/>
                  <w:sz w:val="17"/>
                  <w:szCs w:val="17"/>
                  <w:color w:val="0000FF"/>
                </w:rPr>
                <w:t>Performance Shares Granted to Employees Pursuant to</w:t>
              </w:r>
            </w:hyperlink>
          </w:p>
        </w:tc>
        <w:tc>
          <w:tcPr>
            <w:tcW w:w="260" w:type="dxa"/>
            <w:vAlign w:val="bottom"/>
            <w:gridSpan w:val="11"/>
          </w:tcPr>
          <w:p>
            <w:pPr>
              <w:spacing w:after="0"/>
              <w:rPr>
                <w:sz w:val="13"/>
                <w:szCs w:val="13"/>
                <w:color w:val="auto"/>
              </w:rPr>
            </w:pPr>
          </w:p>
        </w:tc>
        <w:tc>
          <w:tcPr>
            <w:tcW w:w="8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540" w:type="dxa"/>
            <w:vAlign w:val="bottom"/>
            <w:gridSpan w:val="28"/>
          </w:tcPr>
          <w:p>
            <w:pPr>
              <w:spacing w:after="0" w:line="148" w:lineRule="exact"/>
              <w:rPr>
                <w:rFonts w:ascii="Arial" w:cs="Arial" w:eastAsia="Arial" w:hAnsi="Arial"/>
                <w:sz w:val="17"/>
                <w:szCs w:val="17"/>
                <w:color w:val="0000FF"/>
              </w:rPr>
            </w:pPr>
            <w:hyperlink r:id="rId187">
              <w:r>
                <w:rPr>
                  <w:rFonts w:ascii="Arial" w:cs="Arial" w:eastAsia="Arial" w:hAnsi="Arial"/>
                  <w:sz w:val="17"/>
                  <w:szCs w:val="17"/>
                  <w:color w:val="0000FF"/>
                </w:rPr>
                <w:t>the 2006 Equity Incentive Plan, for Awards Granted on or</w:t>
              </w:r>
            </w:hyperlink>
          </w:p>
        </w:tc>
        <w:tc>
          <w:tcPr>
            <w:tcW w:w="8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360" w:type="dxa"/>
            <w:vAlign w:val="bottom"/>
            <w:tcBorders>
              <w:top w:val="single" w:sz="8" w:color="0000FF"/>
            </w:tcBorders>
            <w:gridSpan w:val="21"/>
          </w:tcPr>
          <w:p>
            <w:pPr>
              <w:spacing w:after="0" w:line="148" w:lineRule="exact"/>
              <w:rPr>
                <w:rFonts w:ascii="Arial" w:cs="Arial" w:eastAsia="Arial" w:hAnsi="Arial"/>
                <w:sz w:val="17"/>
                <w:szCs w:val="17"/>
                <w:color w:val="0000FF"/>
              </w:rPr>
            </w:pPr>
            <w:hyperlink r:id="rId187">
              <w:r>
                <w:rPr>
                  <w:rFonts w:ascii="Arial" w:cs="Arial" w:eastAsia="Arial" w:hAnsi="Arial"/>
                  <w:sz w:val="17"/>
                  <w:szCs w:val="17"/>
                  <w:color w:val="0000FF"/>
                </w:rPr>
                <w:t>after January 1, 2020</w:t>
              </w:r>
            </w:hyperlink>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114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1280" w:type="dxa"/>
            <w:vAlign w:val="bottom"/>
            <w:shd w:val="clear" w:color="auto" w:fill="DCE2EF"/>
          </w:tcPr>
          <w:p>
            <w:pPr>
              <w:jc w:val="right"/>
              <w:ind w:right="674"/>
              <w:spacing w:after="0" w:line="180" w:lineRule="exact"/>
              <w:rPr>
                <w:sz w:val="20"/>
                <w:szCs w:val="20"/>
                <w:color w:val="auto"/>
              </w:rPr>
            </w:pPr>
            <w:r>
              <w:rPr>
                <w:rFonts w:ascii="Arial" w:cs="Arial" w:eastAsia="Arial" w:hAnsi="Arial"/>
                <w:sz w:val="17"/>
                <w:szCs w:val="17"/>
                <w:color w:val="auto"/>
              </w:rPr>
              <w:t>10.17*</w:t>
            </w:r>
          </w:p>
        </w:tc>
        <w:tc>
          <w:tcPr>
            <w:tcW w:w="20" w:type="dxa"/>
            <w:vAlign w:val="bottom"/>
            <w:shd w:val="clear" w:color="auto" w:fill="DCE2EF"/>
          </w:tcPr>
          <w:p>
            <w:pPr>
              <w:spacing w:after="0"/>
              <w:rPr>
                <w:sz w:val="15"/>
                <w:szCs w:val="15"/>
                <w:color w:val="auto"/>
              </w:rPr>
            </w:pPr>
          </w:p>
        </w:tc>
        <w:tc>
          <w:tcPr>
            <w:tcW w:w="4540" w:type="dxa"/>
            <w:vAlign w:val="bottom"/>
            <w:gridSpan w:val="28"/>
            <w:shd w:val="clear" w:color="auto" w:fill="DCE2EF"/>
          </w:tcPr>
          <w:p>
            <w:pPr>
              <w:spacing w:after="0" w:line="180" w:lineRule="exact"/>
              <w:rPr>
                <w:rFonts w:ascii="Arial" w:cs="Arial" w:eastAsia="Arial" w:hAnsi="Arial"/>
                <w:sz w:val="17"/>
                <w:szCs w:val="17"/>
                <w:color w:val="0000FF"/>
              </w:rPr>
            </w:pPr>
            <w:hyperlink r:id="rId188">
              <w:r>
                <w:rPr>
                  <w:rFonts w:ascii="Arial" w:cs="Arial" w:eastAsia="Arial" w:hAnsi="Arial"/>
                  <w:sz w:val="17"/>
                  <w:szCs w:val="17"/>
                  <w:color w:val="0000FF"/>
                </w:rPr>
                <w:t>Statement of Terms and Conditions Applicable to Awards</w:t>
              </w:r>
            </w:hyperlink>
          </w:p>
        </w:tc>
        <w:tc>
          <w:tcPr>
            <w:tcW w:w="860" w:type="dxa"/>
            <w:vAlign w:val="bottom"/>
            <w:shd w:val="clear" w:color="auto" w:fill="DCE2EF"/>
          </w:tcPr>
          <w:p>
            <w:pPr>
              <w:ind w:left="260"/>
              <w:spacing w:after="0" w:line="180" w:lineRule="exact"/>
              <w:rPr>
                <w:sz w:val="20"/>
                <w:szCs w:val="20"/>
                <w:color w:val="auto"/>
              </w:rPr>
            </w:pPr>
            <w:r>
              <w:rPr>
                <w:rFonts w:ascii="Arial" w:cs="Arial" w:eastAsia="Arial" w:hAnsi="Arial"/>
                <w:sz w:val="17"/>
                <w:szCs w:val="17"/>
                <w:color w:val="auto"/>
              </w:rPr>
              <w:t>10-Q</w:t>
            </w:r>
          </w:p>
        </w:tc>
        <w:tc>
          <w:tcPr>
            <w:tcW w:w="1340" w:type="dxa"/>
            <w:vAlign w:val="bottom"/>
            <w:shd w:val="clear" w:color="auto" w:fill="DCE2EF"/>
          </w:tcPr>
          <w:p>
            <w:pPr>
              <w:jc w:val="right"/>
              <w:ind w:right="194"/>
              <w:spacing w:after="0" w:line="180" w:lineRule="exact"/>
              <w:rPr>
                <w:sz w:val="20"/>
                <w:szCs w:val="20"/>
                <w:color w:val="auto"/>
              </w:rPr>
            </w:pPr>
            <w:r>
              <w:rPr>
                <w:rFonts w:ascii="Arial" w:cs="Arial" w:eastAsia="Arial" w:hAnsi="Arial"/>
                <w:sz w:val="17"/>
                <w:szCs w:val="17"/>
                <w:color w:val="auto"/>
              </w:rPr>
              <w:t>001-08929</w:t>
            </w:r>
          </w:p>
        </w:tc>
        <w:tc>
          <w:tcPr>
            <w:tcW w:w="1040" w:type="dxa"/>
            <w:vAlign w:val="bottom"/>
            <w:shd w:val="clear" w:color="auto" w:fill="DCE2EF"/>
          </w:tcPr>
          <w:p>
            <w:pPr>
              <w:jc w:val="center"/>
              <w:spacing w:after="0" w:line="180" w:lineRule="exact"/>
              <w:rPr>
                <w:sz w:val="20"/>
                <w:szCs w:val="20"/>
                <w:color w:val="auto"/>
              </w:rPr>
            </w:pPr>
            <w:r>
              <w:rPr>
                <w:rFonts w:ascii="Arial" w:cs="Arial" w:eastAsia="Arial" w:hAnsi="Arial"/>
                <w:sz w:val="17"/>
                <w:szCs w:val="17"/>
                <w:color w:val="auto"/>
              </w:rPr>
              <w:t>10.1</w:t>
            </w:r>
          </w:p>
        </w:tc>
        <w:tc>
          <w:tcPr>
            <w:tcW w:w="2160" w:type="dxa"/>
            <w:vAlign w:val="bottom"/>
            <w:shd w:val="clear" w:color="auto" w:fill="DCE2EF"/>
          </w:tcPr>
          <w:p>
            <w:pPr>
              <w:jc w:val="center"/>
              <w:spacing w:after="0" w:line="180" w:lineRule="exact"/>
              <w:rPr>
                <w:sz w:val="20"/>
                <w:szCs w:val="20"/>
                <w:color w:val="auto"/>
              </w:rPr>
            </w:pPr>
            <w:r>
              <w:rPr>
                <w:rFonts w:ascii="Arial" w:cs="Arial" w:eastAsia="Arial" w:hAnsi="Arial"/>
                <w:sz w:val="17"/>
                <w:szCs w:val="17"/>
                <w:color w:val="auto"/>
              </w:rPr>
              <w:t>June 9, 2021</w:t>
            </w:r>
          </w:p>
        </w:tc>
        <w:tc>
          <w:tcPr>
            <w:tcW w:w="0" w:type="dxa"/>
            <w:vAlign w:val="bottom"/>
          </w:tcPr>
          <w:p>
            <w:pPr>
              <w:spacing w:after="0"/>
              <w:rPr>
                <w:sz w:val="1"/>
                <w:szCs w:val="1"/>
                <w:color w:val="auto"/>
              </w:rPr>
            </w:pPr>
          </w:p>
        </w:tc>
      </w:tr>
      <w:tr>
        <w:trPr>
          <w:trHeight w:val="148"/>
        </w:trPr>
        <w:tc>
          <w:tcPr>
            <w:tcW w:w="1280" w:type="dxa"/>
            <w:vAlign w:val="bottom"/>
            <w:tcBorders>
              <w:top w:val="single" w:sz="8" w:color="DCE2EF"/>
            </w:tcBorders>
            <w:shd w:val="clear" w:color="auto" w:fill="DCE2EF"/>
          </w:tcPr>
          <w:p>
            <w:pPr>
              <w:spacing w:after="0"/>
              <w:rPr>
                <w:sz w:val="12"/>
                <w:szCs w:val="12"/>
                <w:color w:val="auto"/>
              </w:rPr>
            </w:pPr>
          </w:p>
        </w:tc>
        <w:tc>
          <w:tcPr>
            <w:tcW w:w="20" w:type="dxa"/>
            <w:vAlign w:val="bottom"/>
            <w:tcBorders>
              <w:top w:val="single" w:sz="8" w:color="DCE2EF"/>
            </w:tcBorders>
            <w:shd w:val="clear" w:color="auto" w:fill="DCE2EF"/>
          </w:tcPr>
          <w:p>
            <w:pPr>
              <w:spacing w:after="0"/>
              <w:rPr>
                <w:sz w:val="12"/>
                <w:szCs w:val="12"/>
                <w:color w:val="auto"/>
              </w:rPr>
            </w:pPr>
          </w:p>
        </w:tc>
        <w:tc>
          <w:tcPr>
            <w:tcW w:w="4320" w:type="dxa"/>
            <w:vAlign w:val="bottom"/>
            <w:tcBorders>
              <w:top w:val="single" w:sz="8" w:color="0000FF"/>
            </w:tcBorders>
            <w:gridSpan w:val="19"/>
            <w:shd w:val="clear" w:color="auto" w:fill="DCE2EF"/>
          </w:tcPr>
          <w:p>
            <w:pPr>
              <w:spacing w:after="0" w:line="148" w:lineRule="exact"/>
              <w:rPr>
                <w:rFonts w:ascii="Arial" w:cs="Arial" w:eastAsia="Arial" w:hAnsi="Arial"/>
                <w:sz w:val="17"/>
                <w:szCs w:val="17"/>
                <w:color w:val="0000FF"/>
              </w:rPr>
            </w:pPr>
            <w:hyperlink r:id="rId188">
              <w:r>
                <w:rPr>
                  <w:rFonts w:ascii="Arial" w:cs="Arial" w:eastAsia="Arial" w:hAnsi="Arial"/>
                  <w:sz w:val="17"/>
                  <w:szCs w:val="17"/>
                  <w:color w:val="0000FF"/>
                </w:rPr>
                <w:t>Granted to Employees Pursuant to the 2021 Equity and</w:t>
              </w:r>
            </w:hyperlink>
          </w:p>
        </w:tc>
        <w:tc>
          <w:tcPr>
            <w:tcW w:w="20" w:type="dxa"/>
            <w:vAlign w:val="bottom"/>
            <w:tcBorders>
              <w:top w:val="single" w:sz="8" w:color="DCE2EF"/>
            </w:tcBorders>
            <w:shd w:val="clear" w:color="auto" w:fill="DCE2EF"/>
          </w:tcPr>
          <w:p>
            <w:pPr>
              <w:spacing w:after="0"/>
              <w:rPr>
                <w:sz w:val="12"/>
                <w:szCs w:val="12"/>
                <w:color w:val="auto"/>
              </w:rPr>
            </w:pPr>
          </w:p>
        </w:tc>
        <w:tc>
          <w:tcPr>
            <w:tcW w:w="40" w:type="dxa"/>
            <w:vAlign w:val="bottom"/>
            <w:tcBorders>
              <w:top w:val="single" w:sz="8" w:color="DCE2EF"/>
            </w:tcBorders>
            <w:gridSpan w:val="2"/>
            <w:shd w:val="clear" w:color="auto" w:fill="DCE2EF"/>
          </w:tcPr>
          <w:p>
            <w:pPr>
              <w:spacing w:after="0"/>
              <w:rPr>
                <w:sz w:val="12"/>
                <w:szCs w:val="12"/>
                <w:color w:val="auto"/>
              </w:rPr>
            </w:pPr>
          </w:p>
        </w:tc>
        <w:tc>
          <w:tcPr>
            <w:tcW w:w="40" w:type="dxa"/>
            <w:vAlign w:val="bottom"/>
            <w:tcBorders>
              <w:top w:val="single" w:sz="8" w:color="DCE2EF"/>
            </w:tcBorders>
            <w:gridSpan w:val="2"/>
            <w:shd w:val="clear" w:color="auto" w:fill="DCE2EF"/>
          </w:tcPr>
          <w:p>
            <w:pPr>
              <w:spacing w:after="0"/>
              <w:rPr>
                <w:sz w:val="12"/>
                <w:szCs w:val="12"/>
                <w:color w:val="auto"/>
              </w:rPr>
            </w:pPr>
          </w:p>
        </w:tc>
        <w:tc>
          <w:tcPr>
            <w:tcW w:w="60" w:type="dxa"/>
            <w:vAlign w:val="bottom"/>
            <w:tcBorders>
              <w:top w:val="single" w:sz="8" w:color="DCE2EF"/>
            </w:tcBorders>
            <w:shd w:val="clear" w:color="auto" w:fill="DCE2EF"/>
          </w:tcPr>
          <w:p>
            <w:pPr>
              <w:spacing w:after="0"/>
              <w:rPr>
                <w:sz w:val="12"/>
                <w:szCs w:val="12"/>
                <w:color w:val="auto"/>
              </w:rPr>
            </w:pPr>
          </w:p>
        </w:tc>
        <w:tc>
          <w:tcPr>
            <w:tcW w:w="20" w:type="dxa"/>
            <w:vAlign w:val="bottom"/>
            <w:tcBorders>
              <w:top w:val="single" w:sz="8" w:color="DCE2EF"/>
            </w:tcBorders>
            <w:shd w:val="clear" w:color="auto" w:fill="DCE2EF"/>
          </w:tcPr>
          <w:p>
            <w:pPr>
              <w:spacing w:after="0"/>
              <w:rPr>
                <w:sz w:val="12"/>
                <w:szCs w:val="12"/>
                <w:color w:val="auto"/>
              </w:rPr>
            </w:pPr>
          </w:p>
        </w:tc>
        <w:tc>
          <w:tcPr>
            <w:tcW w:w="20" w:type="dxa"/>
            <w:vAlign w:val="bottom"/>
            <w:tcBorders>
              <w:top w:val="single" w:sz="8" w:color="DCE2EF"/>
            </w:tcBorders>
            <w:shd w:val="clear" w:color="auto" w:fill="DCE2EF"/>
          </w:tcPr>
          <w:p>
            <w:pPr>
              <w:spacing w:after="0"/>
              <w:rPr>
                <w:sz w:val="12"/>
                <w:szCs w:val="12"/>
                <w:color w:val="auto"/>
              </w:rPr>
            </w:pPr>
          </w:p>
        </w:tc>
        <w:tc>
          <w:tcPr>
            <w:tcW w:w="20" w:type="dxa"/>
            <w:vAlign w:val="bottom"/>
            <w:tcBorders>
              <w:top w:val="single" w:sz="8" w:color="DCE2EF"/>
            </w:tcBorders>
            <w:shd w:val="clear" w:color="auto" w:fill="DCE2EF"/>
          </w:tcPr>
          <w:p>
            <w:pPr>
              <w:spacing w:after="0"/>
              <w:rPr>
                <w:sz w:val="12"/>
                <w:szCs w:val="12"/>
                <w:color w:val="auto"/>
              </w:rPr>
            </w:pPr>
          </w:p>
        </w:tc>
        <w:tc>
          <w:tcPr>
            <w:tcW w:w="860" w:type="dxa"/>
            <w:vAlign w:val="bottom"/>
            <w:tcBorders>
              <w:top w:val="single" w:sz="8" w:color="DCE2EF"/>
            </w:tcBorders>
            <w:shd w:val="clear" w:color="auto" w:fill="DCE2EF"/>
          </w:tcPr>
          <w:p>
            <w:pPr>
              <w:spacing w:after="0"/>
              <w:rPr>
                <w:sz w:val="12"/>
                <w:szCs w:val="12"/>
                <w:color w:val="auto"/>
              </w:rPr>
            </w:pPr>
          </w:p>
        </w:tc>
        <w:tc>
          <w:tcPr>
            <w:tcW w:w="1340" w:type="dxa"/>
            <w:vAlign w:val="bottom"/>
            <w:tcBorders>
              <w:top w:val="single" w:sz="8" w:color="DCE2EF"/>
            </w:tcBorders>
            <w:shd w:val="clear" w:color="auto" w:fill="DCE2EF"/>
          </w:tcPr>
          <w:p>
            <w:pPr>
              <w:spacing w:after="0"/>
              <w:rPr>
                <w:sz w:val="12"/>
                <w:szCs w:val="12"/>
                <w:color w:val="auto"/>
              </w:rPr>
            </w:pPr>
          </w:p>
        </w:tc>
        <w:tc>
          <w:tcPr>
            <w:tcW w:w="1040" w:type="dxa"/>
            <w:vAlign w:val="bottom"/>
            <w:tcBorders>
              <w:top w:val="single" w:sz="8" w:color="DCE2EF"/>
            </w:tcBorders>
            <w:shd w:val="clear" w:color="auto" w:fill="DCE2EF"/>
          </w:tcPr>
          <w:p>
            <w:pPr>
              <w:spacing w:after="0"/>
              <w:rPr>
                <w:sz w:val="12"/>
                <w:szCs w:val="12"/>
                <w:color w:val="auto"/>
              </w:rPr>
            </w:pPr>
          </w:p>
        </w:tc>
        <w:tc>
          <w:tcPr>
            <w:tcW w:w="2160" w:type="dxa"/>
            <w:vAlign w:val="bottom"/>
            <w:tcBorders>
              <w:top w:val="single" w:sz="8" w:color="DCE2EF"/>
            </w:tcBorders>
            <w:shd w:val="clear" w:color="auto" w:fill="DCE2EF"/>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1280" w:type="dxa"/>
            <w:vAlign w:val="bottom"/>
            <w:tcBorders>
              <w:top w:val="single" w:sz="8" w:color="DCE2EF"/>
              <w:bottom w:val="single" w:sz="8" w:color="DCE2EF"/>
            </w:tcBorders>
            <w:shd w:val="clear" w:color="auto" w:fill="DCE2EF"/>
          </w:tcPr>
          <w:p>
            <w:pPr>
              <w:spacing w:after="0"/>
              <w:rPr>
                <w:sz w:val="15"/>
                <w:szCs w:val="15"/>
                <w:color w:val="auto"/>
              </w:rPr>
            </w:pPr>
          </w:p>
        </w:tc>
        <w:tc>
          <w:tcPr>
            <w:tcW w:w="20" w:type="dxa"/>
            <w:vAlign w:val="bottom"/>
            <w:tcBorders>
              <w:top w:val="single" w:sz="8" w:color="DCE2EF"/>
              <w:bottom w:val="single" w:sz="8" w:color="DCE2EF"/>
            </w:tcBorders>
            <w:shd w:val="clear" w:color="auto" w:fill="DCE2EF"/>
          </w:tcPr>
          <w:p>
            <w:pPr>
              <w:spacing w:after="0"/>
              <w:rPr>
                <w:sz w:val="15"/>
                <w:szCs w:val="15"/>
                <w:color w:val="auto"/>
              </w:rPr>
            </w:pPr>
          </w:p>
        </w:tc>
        <w:tc>
          <w:tcPr>
            <w:tcW w:w="2240" w:type="dxa"/>
            <w:vAlign w:val="bottom"/>
            <w:tcBorders>
              <w:top w:val="single" w:sz="8" w:color="0000FF"/>
              <w:bottom w:val="single" w:sz="8" w:color="0000FF"/>
            </w:tcBorders>
            <w:gridSpan w:val="6"/>
            <w:shd w:val="clear" w:color="auto" w:fill="DCE2EF"/>
          </w:tcPr>
          <w:p>
            <w:pPr>
              <w:spacing w:after="0" w:line="161" w:lineRule="exact"/>
              <w:rPr>
                <w:rFonts w:ascii="Arial" w:cs="Arial" w:eastAsia="Arial" w:hAnsi="Arial"/>
                <w:sz w:val="17"/>
                <w:szCs w:val="17"/>
                <w:color w:val="0000FF"/>
              </w:rPr>
            </w:pPr>
            <w:hyperlink r:id="rId188">
              <w:r>
                <w:rPr>
                  <w:rFonts w:ascii="Arial" w:cs="Arial" w:eastAsia="Arial" w:hAnsi="Arial"/>
                  <w:sz w:val="17"/>
                  <w:szCs w:val="17"/>
                  <w:color w:val="0000FF"/>
                </w:rPr>
                <w:t>Incentive Compensation Plan</w:t>
              </w:r>
            </w:hyperlink>
          </w:p>
        </w:tc>
        <w:tc>
          <w:tcPr>
            <w:tcW w:w="1960" w:type="dxa"/>
            <w:vAlign w:val="bottom"/>
            <w:tcBorders>
              <w:top w:val="single" w:sz="8" w:color="0000FF"/>
              <w:bottom w:val="single" w:sz="8" w:color="DCE2EF"/>
            </w:tcBorders>
            <w:gridSpan w:val="8"/>
            <w:shd w:val="clear" w:color="auto" w:fill="DCE2EF"/>
          </w:tcPr>
          <w:p>
            <w:pPr>
              <w:spacing w:after="0"/>
              <w:rPr>
                <w:sz w:val="15"/>
                <w:szCs w:val="15"/>
                <w:color w:val="auto"/>
              </w:rPr>
            </w:pPr>
          </w:p>
        </w:tc>
        <w:tc>
          <w:tcPr>
            <w:tcW w:w="20" w:type="dxa"/>
            <w:vAlign w:val="bottom"/>
            <w:tcBorders>
              <w:top w:val="single" w:sz="8" w:color="DCE2EF"/>
              <w:bottom w:val="single" w:sz="8" w:color="DCE2EF"/>
            </w:tcBorders>
            <w:shd w:val="clear" w:color="auto" w:fill="DCE2EF"/>
          </w:tcPr>
          <w:p>
            <w:pPr>
              <w:spacing w:after="0"/>
              <w:rPr>
                <w:sz w:val="15"/>
                <w:szCs w:val="15"/>
                <w:color w:val="auto"/>
              </w:rPr>
            </w:pPr>
          </w:p>
        </w:tc>
        <w:tc>
          <w:tcPr>
            <w:tcW w:w="40" w:type="dxa"/>
            <w:vAlign w:val="bottom"/>
            <w:tcBorders>
              <w:top w:val="single" w:sz="8" w:color="DCE2EF"/>
              <w:bottom w:val="single" w:sz="8" w:color="DCE2EF"/>
            </w:tcBorders>
            <w:shd w:val="clear" w:color="auto" w:fill="DCE2EF"/>
          </w:tcPr>
          <w:p>
            <w:pPr>
              <w:spacing w:after="0"/>
              <w:rPr>
                <w:sz w:val="15"/>
                <w:szCs w:val="15"/>
                <w:color w:val="auto"/>
              </w:rPr>
            </w:pPr>
          </w:p>
        </w:tc>
        <w:tc>
          <w:tcPr>
            <w:tcW w:w="20" w:type="dxa"/>
            <w:vAlign w:val="bottom"/>
            <w:tcBorders>
              <w:top w:val="single" w:sz="8" w:color="DCE2EF"/>
              <w:bottom w:val="single" w:sz="8" w:color="DCE2EF"/>
            </w:tcBorders>
            <w:shd w:val="clear" w:color="auto" w:fill="DCE2EF"/>
          </w:tcPr>
          <w:p>
            <w:pPr>
              <w:spacing w:after="0"/>
              <w:rPr>
                <w:sz w:val="15"/>
                <w:szCs w:val="15"/>
                <w:color w:val="auto"/>
              </w:rPr>
            </w:pPr>
          </w:p>
        </w:tc>
        <w:tc>
          <w:tcPr>
            <w:tcW w:w="20" w:type="dxa"/>
            <w:vAlign w:val="bottom"/>
            <w:tcBorders>
              <w:top w:val="single" w:sz="8" w:color="DCE2EF"/>
              <w:bottom w:val="single" w:sz="8" w:color="DCE2EF"/>
            </w:tcBorders>
            <w:shd w:val="clear" w:color="auto" w:fill="DCE2EF"/>
          </w:tcPr>
          <w:p>
            <w:pPr>
              <w:spacing w:after="0"/>
              <w:rPr>
                <w:sz w:val="15"/>
                <w:szCs w:val="15"/>
                <w:color w:val="auto"/>
              </w:rPr>
            </w:pPr>
          </w:p>
        </w:tc>
        <w:tc>
          <w:tcPr>
            <w:tcW w:w="40" w:type="dxa"/>
            <w:vAlign w:val="bottom"/>
            <w:tcBorders>
              <w:top w:val="single" w:sz="8" w:color="DCE2EF"/>
              <w:bottom w:val="single" w:sz="8" w:color="DCE2EF"/>
            </w:tcBorders>
            <w:gridSpan w:val="2"/>
            <w:shd w:val="clear" w:color="auto" w:fill="DCE2EF"/>
          </w:tcPr>
          <w:p>
            <w:pPr>
              <w:spacing w:after="0"/>
              <w:rPr>
                <w:sz w:val="15"/>
                <w:szCs w:val="15"/>
                <w:color w:val="auto"/>
              </w:rPr>
            </w:pPr>
          </w:p>
        </w:tc>
        <w:tc>
          <w:tcPr>
            <w:tcW w:w="40" w:type="dxa"/>
            <w:vAlign w:val="bottom"/>
            <w:tcBorders>
              <w:top w:val="single" w:sz="8" w:color="DCE2EF"/>
              <w:bottom w:val="single" w:sz="8" w:color="DCE2EF"/>
            </w:tcBorders>
            <w:gridSpan w:val="2"/>
            <w:shd w:val="clear" w:color="auto" w:fill="DCE2EF"/>
          </w:tcPr>
          <w:p>
            <w:pPr>
              <w:spacing w:after="0"/>
              <w:rPr>
                <w:sz w:val="15"/>
                <w:szCs w:val="15"/>
                <w:color w:val="auto"/>
              </w:rPr>
            </w:pPr>
          </w:p>
        </w:tc>
        <w:tc>
          <w:tcPr>
            <w:tcW w:w="40" w:type="dxa"/>
            <w:vAlign w:val="bottom"/>
            <w:tcBorders>
              <w:top w:val="single" w:sz="8" w:color="DCE2EF"/>
              <w:bottom w:val="single" w:sz="8" w:color="DCE2EF"/>
            </w:tcBorders>
            <w:gridSpan w:val="2"/>
            <w:shd w:val="clear" w:color="auto" w:fill="DCE2EF"/>
          </w:tcPr>
          <w:p>
            <w:pPr>
              <w:spacing w:after="0"/>
              <w:rPr>
                <w:sz w:val="15"/>
                <w:szCs w:val="15"/>
                <w:color w:val="auto"/>
              </w:rPr>
            </w:pPr>
          </w:p>
        </w:tc>
        <w:tc>
          <w:tcPr>
            <w:tcW w:w="60" w:type="dxa"/>
            <w:vAlign w:val="bottom"/>
            <w:tcBorders>
              <w:top w:val="single" w:sz="8" w:color="DCE2EF"/>
              <w:bottom w:val="single" w:sz="8" w:color="DCE2EF"/>
            </w:tcBorders>
            <w:shd w:val="clear" w:color="auto" w:fill="DCE2EF"/>
          </w:tcPr>
          <w:p>
            <w:pPr>
              <w:spacing w:after="0"/>
              <w:rPr>
                <w:sz w:val="15"/>
                <w:szCs w:val="15"/>
                <w:color w:val="auto"/>
              </w:rPr>
            </w:pPr>
          </w:p>
        </w:tc>
        <w:tc>
          <w:tcPr>
            <w:tcW w:w="20" w:type="dxa"/>
            <w:vAlign w:val="bottom"/>
            <w:tcBorders>
              <w:top w:val="single" w:sz="8" w:color="DCE2EF"/>
              <w:bottom w:val="single" w:sz="8" w:color="DCE2EF"/>
            </w:tcBorders>
            <w:shd w:val="clear" w:color="auto" w:fill="DCE2EF"/>
          </w:tcPr>
          <w:p>
            <w:pPr>
              <w:spacing w:after="0"/>
              <w:rPr>
                <w:sz w:val="15"/>
                <w:szCs w:val="15"/>
                <w:color w:val="auto"/>
              </w:rPr>
            </w:pPr>
          </w:p>
        </w:tc>
        <w:tc>
          <w:tcPr>
            <w:tcW w:w="20" w:type="dxa"/>
            <w:vAlign w:val="bottom"/>
            <w:tcBorders>
              <w:top w:val="single" w:sz="8" w:color="DCE2EF"/>
              <w:bottom w:val="single" w:sz="8" w:color="DCE2EF"/>
            </w:tcBorders>
            <w:shd w:val="clear" w:color="auto" w:fill="DCE2EF"/>
          </w:tcPr>
          <w:p>
            <w:pPr>
              <w:spacing w:after="0"/>
              <w:rPr>
                <w:sz w:val="15"/>
                <w:szCs w:val="15"/>
                <w:color w:val="auto"/>
              </w:rPr>
            </w:pPr>
          </w:p>
        </w:tc>
        <w:tc>
          <w:tcPr>
            <w:tcW w:w="20" w:type="dxa"/>
            <w:vAlign w:val="bottom"/>
            <w:tcBorders>
              <w:top w:val="single" w:sz="8" w:color="DCE2EF"/>
              <w:bottom w:val="single" w:sz="8" w:color="DCE2EF"/>
            </w:tcBorders>
            <w:shd w:val="clear" w:color="auto" w:fill="DCE2EF"/>
          </w:tcPr>
          <w:p>
            <w:pPr>
              <w:spacing w:after="0"/>
              <w:rPr>
                <w:sz w:val="15"/>
                <w:szCs w:val="15"/>
                <w:color w:val="auto"/>
              </w:rPr>
            </w:pPr>
          </w:p>
        </w:tc>
        <w:tc>
          <w:tcPr>
            <w:tcW w:w="860" w:type="dxa"/>
            <w:vAlign w:val="bottom"/>
            <w:tcBorders>
              <w:top w:val="single" w:sz="8" w:color="DCE2EF"/>
              <w:bottom w:val="single" w:sz="8" w:color="DCE2EF"/>
            </w:tcBorders>
            <w:shd w:val="clear" w:color="auto" w:fill="DCE2EF"/>
          </w:tcPr>
          <w:p>
            <w:pPr>
              <w:spacing w:after="0"/>
              <w:rPr>
                <w:sz w:val="15"/>
                <w:szCs w:val="15"/>
                <w:color w:val="auto"/>
              </w:rPr>
            </w:pPr>
          </w:p>
        </w:tc>
        <w:tc>
          <w:tcPr>
            <w:tcW w:w="1340" w:type="dxa"/>
            <w:vAlign w:val="bottom"/>
            <w:tcBorders>
              <w:top w:val="single" w:sz="8" w:color="DCE2EF"/>
              <w:bottom w:val="single" w:sz="8" w:color="DCE2EF"/>
            </w:tcBorders>
            <w:shd w:val="clear" w:color="auto" w:fill="DCE2EF"/>
          </w:tcPr>
          <w:p>
            <w:pPr>
              <w:spacing w:after="0"/>
              <w:rPr>
                <w:sz w:val="15"/>
                <w:szCs w:val="15"/>
                <w:color w:val="auto"/>
              </w:rPr>
            </w:pPr>
          </w:p>
        </w:tc>
        <w:tc>
          <w:tcPr>
            <w:tcW w:w="1040" w:type="dxa"/>
            <w:vAlign w:val="bottom"/>
            <w:tcBorders>
              <w:top w:val="single" w:sz="8" w:color="DCE2EF"/>
              <w:bottom w:val="single" w:sz="8" w:color="DCE2EF"/>
            </w:tcBorders>
            <w:shd w:val="clear" w:color="auto" w:fill="DCE2EF"/>
          </w:tcPr>
          <w:p>
            <w:pPr>
              <w:spacing w:after="0"/>
              <w:rPr>
                <w:sz w:val="15"/>
                <w:szCs w:val="15"/>
                <w:color w:val="auto"/>
              </w:rPr>
            </w:pPr>
          </w:p>
        </w:tc>
        <w:tc>
          <w:tcPr>
            <w:tcW w:w="2160" w:type="dxa"/>
            <w:vAlign w:val="bottom"/>
            <w:tcBorders>
              <w:top w:val="single" w:sz="8" w:color="DCE2EF"/>
              <w:bottom w:val="single" w:sz="8" w:color="DCE2EF"/>
            </w:tcBorders>
            <w:shd w:val="clear" w:color="auto" w:fill="DCE2E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280" w:type="dxa"/>
            <w:vAlign w:val="bottom"/>
          </w:tcPr>
          <w:p>
            <w:pPr>
              <w:jc w:val="right"/>
              <w:ind w:right="674"/>
              <w:spacing w:after="0" w:line="180" w:lineRule="exact"/>
              <w:rPr>
                <w:sz w:val="20"/>
                <w:szCs w:val="20"/>
                <w:color w:val="auto"/>
              </w:rPr>
            </w:pPr>
            <w:r>
              <w:rPr>
                <w:rFonts w:ascii="Arial" w:cs="Arial" w:eastAsia="Arial" w:hAnsi="Arial"/>
                <w:sz w:val="17"/>
                <w:szCs w:val="17"/>
                <w:color w:val="auto"/>
              </w:rPr>
              <w:t>10.18*</w:t>
            </w:r>
          </w:p>
        </w:tc>
        <w:tc>
          <w:tcPr>
            <w:tcW w:w="20" w:type="dxa"/>
            <w:vAlign w:val="bottom"/>
          </w:tcPr>
          <w:p>
            <w:pPr>
              <w:spacing w:after="0"/>
              <w:rPr>
                <w:sz w:val="15"/>
                <w:szCs w:val="15"/>
                <w:color w:val="auto"/>
              </w:rPr>
            </w:pPr>
          </w:p>
        </w:tc>
        <w:tc>
          <w:tcPr>
            <w:tcW w:w="4340" w:type="dxa"/>
            <w:vAlign w:val="bottom"/>
            <w:tcBorders>
              <w:bottom w:val="single" w:sz="8" w:color="0000FF"/>
            </w:tcBorders>
            <w:gridSpan w:val="20"/>
          </w:tcPr>
          <w:p>
            <w:pPr>
              <w:spacing w:after="0" w:line="180" w:lineRule="exact"/>
              <w:rPr>
                <w:rFonts w:ascii="Arial" w:cs="Arial" w:eastAsia="Arial" w:hAnsi="Arial"/>
                <w:sz w:val="17"/>
                <w:szCs w:val="17"/>
                <w:color w:val="0000FF"/>
              </w:rPr>
            </w:pPr>
            <w:hyperlink r:id="rId189">
              <w:r>
                <w:rPr>
                  <w:rFonts w:ascii="Arial" w:cs="Arial" w:eastAsia="Arial" w:hAnsi="Arial"/>
                  <w:sz w:val="17"/>
                  <w:szCs w:val="17"/>
                  <w:color w:val="0000FF"/>
                </w:rPr>
                <w:t>Statement of Terms and Conditions Applicable to Awards</w:t>
              </w:r>
            </w:hyperlink>
          </w:p>
        </w:tc>
        <w:tc>
          <w:tcPr>
            <w:tcW w:w="200" w:type="dxa"/>
            <w:vAlign w:val="bottom"/>
            <w:gridSpan w:val="8"/>
          </w:tcPr>
          <w:p>
            <w:pPr>
              <w:spacing w:after="0"/>
              <w:rPr>
                <w:sz w:val="15"/>
                <w:szCs w:val="15"/>
                <w:color w:val="auto"/>
              </w:rPr>
            </w:pPr>
          </w:p>
        </w:tc>
        <w:tc>
          <w:tcPr>
            <w:tcW w:w="860" w:type="dxa"/>
            <w:vAlign w:val="bottom"/>
          </w:tcPr>
          <w:p>
            <w:pPr>
              <w:ind w:left="260"/>
              <w:spacing w:after="0" w:line="180" w:lineRule="exact"/>
              <w:rPr>
                <w:sz w:val="20"/>
                <w:szCs w:val="20"/>
                <w:color w:val="auto"/>
              </w:rPr>
            </w:pPr>
            <w:r>
              <w:rPr>
                <w:rFonts w:ascii="Arial" w:cs="Arial" w:eastAsia="Arial" w:hAnsi="Arial"/>
                <w:sz w:val="17"/>
                <w:szCs w:val="17"/>
                <w:color w:val="auto"/>
              </w:rPr>
              <w:t>10-K</w:t>
            </w:r>
          </w:p>
        </w:tc>
        <w:tc>
          <w:tcPr>
            <w:tcW w:w="1340" w:type="dxa"/>
            <w:vAlign w:val="bottom"/>
          </w:tcPr>
          <w:p>
            <w:pPr>
              <w:jc w:val="right"/>
              <w:ind w:right="194"/>
              <w:spacing w:after="0" w:line="180" w:lineRule="exact"/>
              <w:rPr>
                <w:sz w:val="20"/>
                <w:szCs w:val="20"/>
                <w:color w:val="auto"/>
              </w:rPr>
            </w:pPr>
            <w:r>
              <w:rPr>
                <w:rFonts w:ascii="Arial" w:cs="Arial" w:eastAsia="Arial" w:hAnsi="Arial"/>
                <w:sz w:val="17"/>
                <w:szCs w:val="17"/>
                <w:color w:val="auto"/>
              </w:rPr>
              <w:t>001-08929</w:t>
            </w:r>
          </w:p>
        </w:tc>
        <w:tc>
          <w:tcPr>
            <w:tcW w:w="1040" w:type="dxa"/>
            <w:vAlign w:val="bottom"/>
          </w:tcPr>
          <w:p>
            <w:pPr>
              <w:jc w:val="center"/>
              <w:spacing w:after="0" w:line="180" w:lineRule="exact"/>
              <w:rPr>
                <w:sz w:val="20"/>
                <w:szCs w:val="20"/>
                <w:color w:val="auto"/>
              </w:rPr>
            </w:pPr>
            <w:r>
              <w:rPr>
                <w:rFonts w:ascii="Arial" w:cs="Arial" w:eastAsia="Arial" w:hAnsi="Arial"/>
                <w:sz w:val="17"/>
                <w:szCs w:val="17"/>
                <w:color w:val="auto"/>
              </w:rPr>
              <w:t>10.20</w:t>
            </w:r>
          </w:p>
        </w:tc>
        <w:tc>
          <w:tcPr>
            <w:tcW w:w="2160" w:type="dxa"/>
            <w:vAlign w:val="bottom"/>
          </w:tcPr>
          <w:p>
            <w:pPr>
              <w:jc w:val="center"/>
              <w:spacing w:after="0" w:line="180" w:lineRule="exact"/>
              <w:rPr>
                <w:sz w:val="20"/>
                <w:szCs w:val="20"/>
                <w:color w:val="auto"/>
              </w:rPr>
            </w:pPr>
            <w:r>
              <w:rPr>
                <w:rFonts w:ascii="Arial" w:cs="Arial" w:eastAsia="Arial" w:hAnsi="Arial"/>
                <w:sz w:val="17"/>
                <w:szCs w:val="17"/>
                <w:color w:val="auto"/>
              </w:rPr>
              <w:t>December 21, 2022</w:t>
            </w:r>
          </w:p>
        </w:tc>
        <w:tc>
          <w:tcPr>
            <w:tcW w:w="0" w:type="dxa"/>
            <w:vAlign w:val="bottom"/>
          </w:tcPr>
          <w:p>
            <w:pPr>
              <w:spacing w:after="0"/>
              <w:rPr>
                <w:sz w:val="1"/>
                <w:szCs w:val="1"/>
                <w:color w:val="auto"/>
              </w:rPr>
            </w:pPr>
          </w:p>
        </w:tc>
      </w:tr>
      <w:tr>
        <w:trPr>
          <w:trHeight w:val="148"/>
        </w:trPr>
        <w:tc>
          <w:tcPr>
            <w:tcW w:w="1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540" w:type="dxa"/>
            <w:vAlign w:val="bottom"/>
            <w:gridSpan w:val="28"/>
          </w:tcPr>
          <w:p>
            <w:pPr>
              <w:spacing w:after="0" w:line="148" w:lineRule="exact"/>
              <w:rPr>
                <w:rFonts w:ascii="Arial" w:cs="Arial" w:eastAsia="Arial" w:hAnsi="Arial"/>
                <w:sz w:val="17"/>
                <w:szCs w:val="17"/>
                <w:color w:val="0000FF"/>
              </w:rPr>
            </w:pPr>
            <w:hyperlink r:id="rId189">
              <w:r>
                <w:rPr>
                  <w:rFonts w:ascii="Arial" w:cs="Arial" w:eastAsia="Arial" w:hAnsi="Arial"/>
                  <w:sz w:val="17"/>
                  <w:szCs w:val="17"/>
                  <w:color w:val="0000FF"/>
                </w:rPr>
                <w:t>Granted to UK Employees Pursuant to the 2021 Equity and</w:t>
              </w:r>
            </w:hyperlink>
          </w:p>
        </w:tc>
        <w:tc>
          <w:tcPr>
            <w:tcW w:w="8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1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40" w:type="dxa"/>
            <w:vAlign w:val="bottom"/>
            <w:tcBorders>
              <w:top w:val="single" w:sz="8" w:color="0000FF"/>
              <w:bottom w:val="single" w:sz="8" w:color="0000FF"/>
            </w:tcBorders>
            <w:gridSpan w:val="6"/>
          </w:tcPr>
          <w:p>
            <w:pPr>
              <w:spacing w:after="0" w:line="161" w:lineRule="exact"/>
              <w:rPr>
                <w:rFonts w:ascii="Arial" w:cs="Arial" w:eastAsia="Arial" w:hAnsi="Arial"/>
                <w:sz w:val="17"/>
                <w:szCs w:val="17"/>
                <w:color w:val="0000FF"/>
              </w:rPr>
            </w:pPr>
            <w:hyperlink r:id="rId189">
              <w:r>
                <w:rPr>
                  <w:rFonts w:ascii="Arial" w:cs="Arial" w:eastAsia="Arial" w:hAnsi="Arial"/>
                  <w:sz w:val="17"/>
                  <w:szCs w:val="17"/>
                  <w:color w:val="0000FF"/>
                </w:rPr>
                <w:t>Incentive Compensation Plan</w:t>
              </w:r>
            </w:hyperlink>
          </w:p>
        </w:tc>
        <w:tc>
          <w:tcPr>
            <w:tcW w:w="2260" w:type="dxa"/>
            <w:vAlign w:val="bottom"/>
            <w:tcBorders>
              <w:top w:val="single" w:sz="8" w:color="0000FF"/>
            </w:tcBorders>
            <w:gridSpan w:val="20"/>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1280" w:type="dxa"/>
            <w:vAlign w:val="bottom"/>
            <w:shd w:val="clear" w:color="auto" w:fill="DCE2EF"/>
          </w:tcPr>
          <w:p>
            <w:pPr>
              <w:jc w:val="right"/>
              <w:ind w:right="674"/>
              <w:spacing w:after="0" w:line="190" w:lineRule="exact"/>
              <w:rPr>
                <w:sz w:val="20"/>
                <w:szCs w:val="20"/>
                <w:color w:val="auto"/>
              </w:rPr>
            </w:pPr>
            <w:r>
              <w:rPr>
                <w:rFonts w:ascii="Arial" w:cs="Arial" w:eastAsia="Arial" w:hAnsi="Arial"/>
                <w:sz w:val="17"/>
                <w:szCs w:val="17"/>
                <w:color w:val="auto"/>
              </w:rPr>
              <w:t>10.19*</w:t>
            </w:r>
          </w:p>
        </w:tc>
        <w:tc>
          <w:tcPr>
            <w:tcW w:w="20" w:type="dxa"/>
            <w:vAlign w:val="bottom"/>
            <w:shd w:val="clear" w:color="auto" w:fill="DCE2EF"/>
          </w:tcPr>
          <w:p>
            <w:pPr>
              <w:spacing w:after="0"/>
              <w:rPr>
                <w:sz w:val="16"/>
                <w:szCs w:val="16"/>
                <w:color w:val="auto"/>
              </w:rPr>
            </w:pPr>
          </w:p>
        </w:tc>
        <w:tc>
          <w:tcPr>
            <w:tcW w:w="4540" w:type="dxa"/>
            <w:vAlign w:val="bottom"/>
            <w:gridSpan w:val="28"/>
            <w:shd w:val="clear" w:color="auto" w:fill="DCE2EF"/>
          </w:tcPr>
          <w:p>
            <w:pPr>
              <w:spacing w:after="0" w:line="190" w:lineRule="exact"/>
              <w:rPr>
                <w:rFonts w:ascii="Arial" w:cs="Arial" w:eastAsia="Arial" w:hAnsi="Arial"/>
                <w:sz w:val="17"/>
                <w:szCs w:val="17"/>
                <w:color w:val="0000FF"/>
              </w:rPr>
            </w:pPr>
            <w:hyperlink r:id="rId190">
              <w:r>
                <w:rPr>
                  <w:rFonts w:ascii="Arial" w:cs="Arial" w:eastAsia="Arial" w:hAnsi="Arial"/>
                  <w:sz w:val="17"/>
                  <w:szCs w:val="17"/>
                  <w:color w:val="0000FF"/>
                </w:rPr>
                <w:t>Statement of Terms and Conditions Applicable to Awards</w:t>
              </w:r>
            </w:hyperlink>
          </w:p>
        </w:tc>
        <w:tc>
          <w:tcPr>
            <w:tcW w:w="860" w:type="dxa"/>
            <w:vAlign w:val="bottom"/>
            <w:shd w:val="clear" w:color="auto" w:fill="DCE2EF"/>
          </w:tcPr>
          <w:p>
            <w:pPr>
              <w:ind w:left="260"/>
              <w:spacing w:after="0" w:line="190" w:lineRule="exact"/>
              <w:rPr>
                <w:sz w:val="20"/>
                <w:szCs w:val="20"/>
                <w:color w:val="auto"/>
              </w:rPr>
            </w:pPr>
            <w:r>
              <w:rPr>
                <w:rFonts w:ascii="Arial" w:cs="Arial" w:eastAsia="Arial" w:hAnsi="Arial"/>
                <w:sz w:val="17"/>
                <w:szCs w:val="17"/>
                <w:color w:val="auto"/>
              </w:rPr>
              <w:t>10-Q</w:t>
            </w:r>
          </w:p>
        </w:tc>
        <w:tc>
          <w:tcPr>
            <w:tcW w:w="1340" w:type="dxa"/>
            <w:vAlign w:val="bottom"/>
            <w:shd w:val="clear" w:color="auto" w:fill="DCE2EF"/>
          </w:tcPr>
          <w:p>
            <w:pPr>
              <w:jc w:val="right"/>
              <w:ind w:right="194"/>
              <w:spacing w:after="0" w:line="190" w:lineRule="exact"/>
              <w:rPr>
                <w:sz w:val="20"/>
                <w:szCs w:val="20"/>
                <w:color w:val="auto"/>
              </w:rPr>
            </w:pPr>
            <w:r>
              <w:rPr>
                <w:rFonts w:ascii="Arial" w:cs="Arial" w:eastAsia="Arial" w:hAnsi="Arial"/>
                <w:sz w:val="17"/>
                <w:szCs w:val="17"/>
                <w:color w:val="auto"/>
              </w:rPr>
              <w:t>001-08929</w:t>
            </w:r>
          </w:p>
        </w:tc>
        <w:tc>
          <w:tcPr>
            <w:tcW w:w="1040" w:type="dxa"/>
            <w:vAlign w:val="bottom"/>
            <w:shd w:val="clear" w:color="auto" w:fill="DCE2EF"/>
          </w:tcPr>
          <w:p>
            <w:pPr>
              <w:jc w:val="center"/>
              <w:spacing w:after="0" w:line="190" w:lineRule="exact"/>
              <w:rPr>
                <w:sz w:val="20"/>
                <w:szCs w:val="20"/>
                <w:color w:val="auto"/>
              </w:rPr>
            </w:pPr>
            <w:r>
              <w:rPr>
                <w:rFonts w:ascii="Arial" w:cs="Arial" w:eastAsia="Arial" w:hAnsi="Arial"/>
                <w:sz w:val="17"/>
                <w:szCs w:val="17"/>
                <w:color w:val="auto"/>
              </w:rPr>
              <w:t>10.1</w:t>
            </w:r>
          </w:p>
        </w:tc>
        <w:tc>
          <w:tcPr>
            <w:tcW w:w="2160" w:type="dxa"/>
            <w:vAlign w:val="bottom"/>
            <w:shd w:val="clear" w:color="auto" w:fill="DCE2EF"/>
          </w:tcPr>
          <w:p>
            <w:pPr>
              <w:jc w:val="center"/>
              <w:spacing w:after="0" w:line="190" w:lineRule="exact"/>
              <w:rPr>
                <w:sz w:val="20"/>
                <w:szCs w:val="20"/>
                <w:color w:val="auto"/>
              </w:rPr>
            </w:pPr>
            <w:r>
              <w:rPr>
                <w:rFonts w:ascii="Arial" w:cs="Arial" w:eastAsia="Arial" w:hAnsi="Arial"/>
                <w:sz w:val="17"/>
                <w:szCs w:val="17"/>
                <w:color w:val="auto"/>
              </w:rPr>
              <w:t>March 9, 2022</w:t>
            </w:r>
          </w:p>
        </w:tc>
        <w:tc>
          <w:tcPr>
            <w:tcW w:w="0" w:type="dxa"/>
            <w:vAlign w:val="bottom"/>
          </w:tcPr>
          <w:p>
            <w:pPr>
              <w:spacing w:after="0"/>
              <w:rPr>
                <w:sz w:val="1"/>
                <w:szCs w:val="1"/>
                <w:color w:val="auto"/>
              </w:rPr>
            </w:pPr>
          </w:p>
        </w:tc>
      </w:tr>
      <w:tr>
        <w:trPr>
          <w:trHeight w:val="148"/>
        </w:trPr>
        <w:tc>
          <w:tcPr>
            <w:tcW w:w="1280" w:type="dxa"/>
            <w:vAlign w:val="bottom"/>
            <w:tcBorders>
              <w:top w:val="single" w:sz="8" w:color="DCE2EF"/>
              <w:bottom w:val="single" w:sz="8" w:color="DCE2EF"/>
            </w:tcBorders>
            <w:shd w:val="clear" w:color="auto" w:fill="DCE2EF"/>
          </w:tcPr>
          <w:p>
            <w:pPr>
              <w:spacing w:after="0"/>
              <w:rPr>
                <w:sz w:val="12"/>
                <w:szCs w:val="12"/>
                <w:color w:val="auto"/>
              </w:rPr>
            </w:pPr>
          </w:p>
        </w:tc>
        <w:tc>
          <w:tcPr>
            <w:tcW w:w="20" w:type="dxa"/>
            <w:vAlign w:val="bottom"/>
            <w:tcBorders>
              <w:top w:val="single" w:sz="8" w:color="DCE2EF"/>
              <w:bottom w:val="single" w:sz="8" w:color="DCE2EF"/>
            </w:tcBorders>
            <w:shd w:val="clear" w:color="auto" w:fill="DCE2EF"/>
          </w:tcPr>
          <w:p>
            <w:pPr>
              <w:spacing w:after="0"/>
              <w:rPr>
                <w:sz w:val="12"/>
                <w:szCs w:val="12"/>
                <w:color w:val="auto"/>
              </w:rPr>
            </w:pPr>
          </w:p>
        </w:tc>
        <w:tc>
          <w:tcPr>
            <w:tcW w:w="4220" w:type="dxa"/>
            <w:vAlign w:val="bottom"/>
            <w:tcBorders>
              <w:top w:val="single" w:sz="8" w:color="0000FF"/>
              <w:bottom w:val="single" w:sz="8" w:color="0000FF"/>
            </w:tcBorders>
            <w:gridSpan w:val="15"/>
            <w:shd w:val="clear" w:color="auto" w:fill="DCE2EF"/>
          </w:tcPr>
          <w:p>
            <w:pPr>
              <w:spacing w:after="0" w:line="148" w:lineRule="exact"/>
              <w:rPr>
                <w:rFonts w:ascii="Arial" w:cs="Arial" w:eastAsia="Arial" w:hAnsi="Arial"/>
                <w:sz w:val="17"/>
                <w:szCs w:val="17"/>
                <w:color w:val="0000FF"/>
              </w:rPr>
            </w:pPr>
            <w:hyperlink r:id="rId190">
              <w:r>
                <w:rPr>
                  <w:rFonts w:ascii="Arial" w:cs="Arial" w:eastAsia="Arial" w:hAnsi="Arial"/>
                  <w:sz w:val="17"/>
                  <w:szCs w:val="17"/>
                  <w:color w:val="0000FF"/>
                </w:rPr>
                <w:t>Granted to Employees Pursuant to the 2021 Equity and</w:t>
              </w:r>
            </w:hyperlink>
          </w:p>
        </w:tc>
        <w:tc>
          <w:tcPr>
            <w:tcW w:w="100" w:type="dxa"/>
            <w:vAlign w:val="bottom"/>
            <w:tcBorders>
              <w:top w:val="single" w:sz="8" w:color="0000FF"/>
              <w:bottom w:val="single" w:sz="8" w:color="DCE2EF"/>
            </w:tcBorders>
            <w:gridSpan w:val="4"/>
            <w:shd w:val="clear" w:color="auto" w:fill="DCE2EF"/>
          </w:tcPr>
          <w:p>
            <w:pPr>
              <w:spacing w:after="0"/>
              <w:rPr>
                <w:sz w:val="12"/>
                <w:szCs w:val="12"/>
                <w:color w:val="auto"/>
              </w:rPr>
            </w:pPr>
          </w:p>
        </w:tc>
        <w:tc>
          <w:tcPr>
            <w:tcW w:w="60" w:type="dxa"/>
            <w:vAlign w:val="bottom"/>
            <w:tcBorders>
              <w:top w:val="single" w:sz="8" w:color="DCE2EF"/>
              <w:bottom w:val="single" w:sz="8" w:color="DCE2EF"/>
            </w:tcBorders>
            <w:gridSpan w:val="3"/>
            <w:shd w:val="clear" w:color="auto" w:fill="DCE2EF"/>
          </w:tcPr>
          <w:p>
            <w:pPr>
              <w:spacing w:after="0"/>
              <w:rPr>
                <w:sz w:val="12"/>
                <w:szCs w:val="12"/>
                <w:color w:val="auto"/>
              </w:rPr>
            </w:pPr>
          </w:p>
        </w:tc>
        <w:tc>
          <w:tcPr>
            <w:tcW w:w="40" w:type="dxa"/>
            <w:vAlign w:val="bottom"/>
            <w:tcBorders>
              <w:top w:val="single" w:sz="8" w:color="DCE2EF"/>
              <w:bottom w:val="single" w:sz="8" w:color="DCE2EF"/>
            </w:tcBorders>
            <w:gridSpan w:val="2"/>
            <w:shd w:val="clear" w:color="auto" w:fill="DCE2EF"/>
          </w:tcPr>
          <w:p>
            <w:pPr>
              <w:spacing w:after="0"/>
              <w:rPr>
                <w:sz w:val="12"/>
                <w:szCs w:val="12"/>
                <w:color w:val="auto"/>
              </w:rPr>
            </w:pPr>
          </w:p>
        </w:tc>
        <w:tc>
          <w:tcPr>
            <w:tcW w:w="60" w:type="dxa"/>
            <w:vAlign w:val="bottom"/>
            <w:tcBorders>
              <w:top w:val="single" w:sz="8" w:color="DCE2EF"/>
              <w:bottom w:val="single" w:sz="8" w:color="DCE2EF"/>
            </w:tcBorders>
            <w:shd w:val="clear" w:color="auto" w:fill="DCE2EF"/>
          </w:tcPr>
          <w:p>
            <w:pPr>
              <w:spacing w:after="0"/>
              <w:rPr>
                <w:sz w:val="12"/>
                <w:szCs w:val="12"/>
                <w:color w:val="auto"/>
              </w:rPr>
            </w:pPr>
          </w:p>
        </w:tc>
        <w:tc>
          <w:tcPr>
            <w:tcW w:w="40" w:type="dxa"/>
            <w:vAlign w:val="bottom"/>
            <w:tcBorders>
              <w:top w:val="single" w:sz="8" w:color="DCE2EF"/>
              <w:bottom w:val="single" w:sz="8" w:color="DCE2EF"/>
            </w:tcBorders>
            <w:gridSpan w:val="2"/>
            <w:shd w:val="clear" w:color="auto" w:fill="DCE2EF"/>
          </w:tcPr>
          <w:p>
            <w:pPr>
              <w:spacing w:after="0"/>
              <w:rPr>
                <w:sz w:val="12"/>
                <w:szCs w:val="12"/>
                <w:color w:val="auto"/>
              </w:rPr>
            </w:pPr>
          </w:p>
        </w:tc>
        <w:tc>
          <w:tcPr>
            <w:tcW w:w="20" w:type="dxa"/>
            <w:vAlign w:val="bottom"/>
            <w:tcBorders>
              <w:top w:val="single" w:sz="8" w:color="DCE2EF"/>
              <w:bottom w:val="single" w:sz="8" w:color="DCE2EF"/>
            </w:tcBorders>
            <w:shd w:val="clear" w:color="auto" w:fill="DCE2EF"/>
          </w:tcPr>
          <w:p>
            <w:pPr>
              <w:spacing w:after="0"/>
              <w:rPr>
                <w:sz w:val="12"/>
                <w:szCs w:val="12"/>
                <w:color w:val="auto"/>
              </w:rPr>
            </w:pPr>
          </w:p>
        </w:tc>
        <w:tc>
          <w:tcPr>
            <w:tcW w:w="860" w:type="dxa"/>
            <w:vAlign w:val="bottom"/>
            <w:tcBorders>
              <w:top w:val="single" w:sz="8" w:color="DCE2EF"/>
              <w:bottom w:val="single" w:sz="8" w:color="DCE2EF"/>
            </w:tcBorders>
            <w:shd w:val="clear" w:color="auto" w:fill="DCE2EF"/>
          </w:tcPr>
          <w:p>
            <w:pPr>
              <w:spacing w:after="0"/>
              <w:rPr>
                <w:sz w:val="12"/>
                <w:szCs w:val="12"/>
                <w:color w:val="auto"/>
              </w:rPr>
            </w:pPr>
          </w:p>
        </w:tc>
        <w:tc>
          <w:tcPr>
            <w:tcW w:w="1340" w:type="dxa"/>
            <w:vAlign w:val="bottom"/>
            <w:tcBorders>
              <w:top w:val="single" w:sz="8" w:color="DCE2EF"/>
              <w:bottom w:val="single" w:sz="8" w:color="DCE2EF"/>
            </w:tcBorders>
            <w:shd w:val="clear" w:color="auto" w:fill="DCE2EF"/>
          </w:tcPr>
          <w:p>
            <w:pPr>
              <w:spacing w:after="0"/>
              <w:rPr>
                <w:sz w:val="12"/>
                <w:szCs w:val="12"/>
                <w:color w:val="auto"/>
              </w:rPr>
            </w:pPr>
          </w:p>
        </w:tc>
        <w:tc>
          <w:tcPr>
            <w:tcW w:w="1040" w:type="dxa"/>
            <w:vAlign w:val="bottom"/>
            <w:tcBorders>
              <w:top w:val="single" w:sz="8" w:color="DCE2EF"/>
              <w:bottom w:val="single" w:sz="8" w:color="DCE2EF"/>
            </w:tcBorders>
            <w:shd w:val="clear" w:color="auto" w:fill="DCE2EF"/>
          </w:tcPr>
          <w:p>
            <w:pPr>
              <w:spacing w:after="0"/>
              <w:rPr>
                <w:sz w:val="12"/>
                <w:szCs w:val="12"/>
                <w:color w:val="auto"/>
              </w:rPr>
            </w:pPr>
          </w:p>
        </w:tc>
        <w:tc>
          <w:tcPr>
            <w:tcW w:w="2160" w:type="dxa"/>
            <w:vAlign w:val="bottom"/>
            <w:tcBorders>
              <w:top w:val="single" w:sz="8" w:color="DCE2EF"/>
              <w:bottom w:val="single" w:sz="8" w:color="DCE2EF"/>
            </w:tcBorders>
            <w:shd w:val="clear" w:color="auto" w:fill="DCE2EF"/>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280" w:type="dxa"/>
            <w:vAlign w:val="bottom"/>
            <w:shd w:val="clear" w:color="auto" w:fill="DCE2EF"/>
          </w:tcPr>
          <w:p>
            <w:pPr>
              <w:spacing w:after="0"/>
              <w:rPr>
                <w:sz w:val="13"/>
                <w:szCs w:val="13"/>
                <w:color w:val="auto"/>
              </w:rPr>
            </w:pPr>
          </w:p>
        </w:tc>
        <w:tc>
          <w:tcPr>
            <w:tcW w:w="20" w:type="dxa"/>
            <w:vAlign w:val="bottom"/>
            <w:shd w:val="clear" w:color="auto" w:fill="DCE2EF"/>
          </w:tcPr>
          <w:p>
            <w:pPr>
              <w:spacing w:after="0"/>
              <w:rPr>
                <w:sz w:val="13"/>
                <w:szCs w:val="13"/>
                <w:color w:val="auto"/>
              </w:rPr>
            </w:pPr>
          </w:p>
        </w:tc>
        <w:tc>
          <w:tcPr>
            <w:tcW w:w="4540" w:type="dxa"/>
            <w:vAlign w:val="bottom"/>
            <w:gridSpan w:val="28"/>
            <w:shd w:val="clear" w:color="auto" w:fill="DCE2EF"/>
          </w:tcPr>
          <w:p>
            <w:pPr>
              <w:spacing w:after="0" w:line="161" w:lineRule="exact"/>
              <w:rPr>
                <w:rFonts w:ascii="Arial" w:cs="Arial" w:eastAsia="Arial" w:hAnsi="Arial"/>
                <w:sz w:val="17"/>
                <w:szCs w:val="17"/>
                <w:color w:val="0000FF"/>
              </w:rPr>
            </w:pPr>
            <w:hyperlink r:id="rId190">
              <w:r>
                <w:rPr>
                  <w:rFonts w:ascii="Arial" w:cs="Arial" w:eastAsia="Arial" w:hAnsi="Arial"/>
                  <w:sz w:val="17"/>
                  <w:szCs w:val="17"/>
                  <w:color w:val="0000FF"/>
                </w:rPr>
                <w:t>Incentive Compensation Plan, for Awards Granted on or</w:t>
              </w:r>
            </w:hyperlink>
          </w:p>
        </w:tc>
        <w:tc>
          <w:tcPr>
            <w:tcW w:w="860" w:type="dxa"/>
            <w:vAlign w:val="bottom"/>
            <w:shd w:val="clear" w:color="auto" w:fill="DCE2EF"/>
          </w:tcPr>
          <w:p>
            <w:pPr>
              <w:spacing w:after="0"/>
              <w:rPr>
                <w:sz w:val="13"/>
                <w:szCs w:val="13"/>
                <w:color w:val="auto"/>
              </w:rPr>
            </w:pPr>
          </w:p>
        </w:tc>
        <w:tc>
          <w:tcPr>
            <w:tcW w:w="1340" w:type="dxa"/>
            <w:vAlign w:val="bottom"/>
            <w:shd w:val="clear" w:color="auto" w:fill="DCE2EF"/>
          </w:tcPr>
          <w:p>
            <w:pPr>
              <w:spacing w:after="0"/>
              <w:rPr>
                <w:sz w:val="13"/>
                <w:szCs w:val="13"/>
                <w:color w:val="auto"/>
              </w:rPr>
            </w:pPr>
          </w:p>
        </w:tc>
        <w:tc>
          <w:tcPr>
            <w:tcW w:w="1040" w:type="dxa"/>
            <w:vAlign w:val="bottom"/>
            <w:shd w:val="clear" w:color="auto" w:fill="DCE2EF"/>
          </w:tcPr>
          <w:p>
            <w:pPr>
              <w:spacing w:after="0"/>
              <w:rPr>
                <w:sz w:val="13"/>
                <w:szCs w:val="13"/>
                <w:color w:val="auto"/>
              </w:rPr>
            </w:pPr>
          </w:p>
        </w:tc>
        <w:tc>
          <w:tcPr>
            <w:tcW w:w="2160" w:type="dxa"/>
            <w:vAlign w:val="bottom"/>
            <w:shd w:val="clear" w:color="auto" w:fill="DCE2E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280" w:type="dxa"/>
            <w:vAlign w:val="bottom"/>
            <w:tcBorders>
              <w:top w:val="single" w:sz="8" w:color="DCE2EF"/>
            </w:tcBorders>
            <w:shd w:val="clear" w:color="auto" w:fill="DCE2EF"/>
          </w:tcPr>
          <w:p>
            <w:pPr>
              <w:spacing w:after="0"/>
              <w:rPr>
                <w:sz w:val="12"/>
                <w:szCs w:val="12"/>
                <w:color w:val="auto"/>
              </w:rPr>
            </w:pPr>
          </w:p>
        </w:tc>
        <w:tc>
          <w:tcPr>
            <w:tcW w:w="20" w:type="dxa"/>
            <w:vAlign w:val="bottom"/>
            <w:tcBorders>
              <w:top w:val="single" w:sz="8" w:color="DCE2EF"/>
            </w:tcBorders>
            <w:shd w:val="clear" w:color="auto" w:fill="DCE2EF"/>
          </w:tcPr>
          <w:p>
            <w:pPr>
              <w:spacing w:after="0"/>
              <w:rPr>
                <w:sz w:val="12"/>
                <w:szCs w:val="12"/>
                <w:color w:val="auto"/>
              </w:rPr>
            </w:pPr>
          </w:p>
        </w:tc>
        <w:tc>
          <w:tcPr>
            <w:tcW w:w="4260" w:type="dxa"/>
            <w:vAlign w:val="bottom"/>
            <w:tcBorders>
              <w:top w:val="single" w:sz="8" w:color="0000FF"/>
            </w:tcBorders>
            <w:gridSpan w:val="16"/>
            <w:shd w:val="clear" w:color="auto" w:fill="DCE2EF"/>
          </w:tcPr>
          <w:p>
            <w:pPr>
              <w:spacing w:after="0" w:line="148" w:lineRule="exact"/>
              <w:rPr>
                <w:rFonts w:ascii="Arial" w:cs="Arial" w:eastAsia="Arial" w:hAnsi="Arial"/>
                <w:sz w:val="17"/>
                <w:szCs w:val="17"/>
                <w:color w:val="0000FF"/>
              </w:rPr>
            </w:pPr>
            <w:hyperlink r:id="rId190">
              <w:r>
                <w:rPr>
                  <w:rFonts w:ascii="Arial" w:cs="Arial" w:eastAsia="Arial" w:hAnsi="Arial"/>
                  <w:sz w:val="17"/>
                  <w:szCs w:val="17"/>
                  <w:color w:val="0000FF"/>
                </w:rPr>
                <w:t>after January 1, 2022</w:t>
              </w:r>
            </w:hyperlink>
          </w:p>
        </w:tc>
        <w:tc>
          <w:tcPr>
            <w:tcW w:w="20" w:type="dxa"/>
            <w:vAlign w:val="bottom"/>
            <w:tcBorders>
              <w:top w:val="single" w:sz="8" w:color="DCE2EF"/>
            </w:tcBorders>
            <w:shd w:val="clear" w:color="auto" w:fill="DCE2EF"/>
          </w:tcPr>
          <w:p>
            <w:pPr>
              <w:spacing w:after="0"/>
              <w:rPr>
                <w:sz w:val="12"/>
                <w:szCs w:val="12"/>
                <w:color w:val="auto"/>
              </w:rPr>
            </w:pPr>
          </w:p>
        </w:tc>
        <w:tc>
          <w:tcPr>
            <w:tcW w:w="20" w:type="dxa"/>
            <w:vAlign w:val="bottom"/>
            <w:tcBorders>
              <w:top w:val="single" w:sz="8" w:color="DCE2EF"/>
            </w:tcBorders>
            <w:shd w:val="clear" w:color="auto" w:fill="DCE2EF"/>
          </w:tcPr>
          <w:p>
            <w:pPr>
              <w:spacing w:after="0"/>
              <w:rPr>
                <w:sz w:val="12"/>
                <w:szCs w:val="12"/>
                <w:color w:val="auto"/>
              </w:rPr>
            </w:pPr>
          </w:p>
        </w:tc>
        <w:tc>
          <w:tcPr>
            <w:tcW w:w="80" w:type="dxa"/>
            <w:vAlign w:val="bottom"/>
            <w:tcBorders>
              <w:top w:val="single" w:sz="8" w:color="DCE2EF"/>
            </w:tcBorders>
            <w:gridSpan w:val="4"/>
            <w:shd w:val="clear" w:color="auto" w:fill="DCE2EF"/>
          </w:tcPr>
          <w:p>
            <w:pPr>
              <w:spacing w:after="0"/>
              <w:rPr>
                <w:sz w:val="12"/>
                <w:szCs w:val="12"/>
                <w:color w:val="auto"/>
              </w:rPr>
            </w:pPr>
          </w:p>
        </w:tc>
        <w:tc>
          <w:tcPr>
            <w:tcW w:w="40" w:type="dxa"/>
            <w:vAlign w:val="bottom"/>
            <w:tcBorders>
              <w:top w:val="single" w:sz="8" w:color="DCE2EF"/>
            </w:tcBorders>
            <w:gridSpan w:val="2"/>
            <w:shd w:val="clear" w:color="auto" w:fill="DCE2EF"/>
          </w:tcPr>
          <w:p>
            <w:pPr>
              <w:spacing w:after="0"/>
              <w:rPr>
                <w:sz w:val="12"/>
                <w:szCs w:val="12"/>
                <w:color w:val="auto"/>
              </w:rPr>
            </w:pPr>
          </w:p>
        </w:tc>
        <w:tc>
          <w:tcPr>
            <w:tcW w:w="60" w:type="dxa"/>
            <w:vAlign w:val="bottom"/>
            <w:tcBorders>
              <w:top w:val="single" w:sz="8" w:color="DCE2EF"/>
            </w:tcBorders>
            <w:shd w:val="clear" w:color="auto" w:fill="DCE2EF"/>
          </w:tcPr>
          <w:p>
            <w:pPr>
              <w:spacing w:after="0"/>
              <w:rPr>
                <w:sz w:val="12"/>
                <w:szCs w:val="12"/>
                <w:color w:val="auto"/>
              </w:rPr>
            </w:pPr>
          </w:p>
        </w:tc>
        <w:tc>
          <w:tcPr>
            <w:tcW w:w="40" w:type="dxa"/>
            <w:vAlign w:val="bottom"/>
            <w:tcBorders>
              <w:top w:val="single" w:sz="8" w:color="DCE2EF"/>
            </w:tcBorders>
            <w:gridSpan w:val="2"/>
            <w:shd w:val="clear" w:color="auto" w:fill="DCE2EF"/>
          </w:tcPr>
          <w:p>
            <w:pPr>
              <w:spacing w:after="0"/>
              <w:rPr>
                <w:sz w:val="12"/>
                <w:szCs w:val="12"/>
                <w:color w:val="auto"/>
              </w:rPr>
            </w:pPr>
          </w:p>
        </w:tc>
        <w:tc>
          <w:tcPr>
            <w:tcW w:w="20" w:type="dxa"/>
            <w:vAlign w:val="bottom"/>
            <w:tcBorders>
              <w:top w:val="single" w:sz="8" w:color="DCE2EF"/>
            </w:tcBorders>
            <w:shd w:val="clear" w:color="auto" w:fill="DCE2EF"/>
          </w:tcPr>
          <w:p>
            <w:pPr>
              <w:spacing w:after="0"/>
              <w:rPr>
                <w:sz w:val="12"/>
                <w:szCs w:val="12"/>
                <w:color w:val="auto"/>
              </w:rPr>
            </w:pPr>
          </w:p>
        </w:tc>
        <w:tc>
          <w:tcPr>
            <w:tcW w:w="860" w:type="dxa"/>
            <w:vAlign w:val="bottom"/>
            <w:tcBorders>
              <w:top w:val="single" w:sz="8" w:color="DCE2EF"/>
            </w:tcBorders>
            <w:shd w:val="clear" w:color="auto" w:fill="DCE2EF"/>
          </w:tcPr>
          <w:p>
            <w:pPr>
              <w:spacing w:after="0"/>
              <w:rPr>
                <w:sz w:val="12"/>
                <w:szCs w:val="12"/>
                <w:color w:val="auto"/>
              </w:rPr>
            </w:pPr>
          </w:p>
        </w:tc>
        <w:tc>
          <w:tcPr>
            <w:tcW w:w="1340" w:type="dxa"/>
            <w:vAlign w:val="bottom"/>
            <w:tcBorders>
              <w:top w:val="single" w:sz="8" w:color="DCE2EF"/>
            </w:tcBorders>
            <w:shd w:val="clear" w:color="auto" w:fill="DCE2EF"/>
          </w:tcPr>
          <w:p>
            <w:pPr>
              <w:spacing w:after="0"/>
              <w:rPr>
                <w:sz w:val="12"/>
                <w:szCs w:val="12"/>
                <w:color w:val="auto"/>
              </w:rPr>
            </w:pPr>
          </w:p>
        </w:tc>
        <w:tc>
          <w:tcPr>
            <w:tcW w:w="1040" w:type="dxa"/>
            <w:vAlign w:val="bottom"/>
            <w:tcBorders>
              <w:top w:val="single" w:sz="8" w:color="DCE2EF"/>
            </w:tcBorders>
            <w:shd w:val="clear" w:color="auto" w:fill="DCE2EF"/>
          </w:tcPr>
          <w:p>
            <w:pPr>
              <w:spacing w:after="0"/>
              <w:rPr>
                <w:sz w:val="12"/>
                <w:szCs w:val="12"/>
                <w:color w:val="auto"/>
              </w:rPr>
            </w:pPr>
          </w:p>
        </w:tc>
        <w:tc>
          <w:tcPr>
            <w:tcW w:w="2160" w:type="dxa"/>
            <w:vAlign w:val="bottom"/>
            <w:tcBorders>
              <w:top w:val="single" w:sz="8" w:color="DCE2EF"/>
            </w:tcBorders>
            <w:shd w:val="clear" w:color="auto" w:fill="DCE2EF"/>
          </w:tcPr>
          <w:p>
            <w:pPr>
              <w:spacing w:after="0"/>
              <w:rPr>
                <w:sz w:val="12"/>
                <w:szCs w:val="12"/>
                <w:color w:val="auto"/>
              </w:rPr>
            </w:pPr>
          </w:p>
        </w:tc>
        <w:tc>
          <w:tcPr>
            <w:tcW w:w="0" w:type="dxa"/>
            <w:vAlign w:val="bottom"/>
          </w:tcPr>
          <w:p>
            <w:pPr>
              <w:spacing w:after="0"/>
              <w:rPr>
                <w:sz w:val="1"/>
                <w:szCs w:val="1"/>
                <w:color w:val="auto"/>
              </w:rPr>
            </w:pPr>
          </w:p>
        </w:tc>
      </w:tr>
      <w:tr>
        <w:trPr>
          <w:trHeight w:val="39"/>
        </w:trPr>
        <w:tc>
          <w:tcPr>
            <w:tcW w:w="1280" w:type="dxa"/>
            <w:vAlign w:val="bottom"/>
            <w:shd w:val="clear" w:color="auto" w:fill="DCE2EF"/>
          </w:tcPr>
          <w:p>
            <w:pPr>
              <w:spacing w:after="0"/>
              <w:rPr>
                <w:sz w:val="3"/>
                <w:szCs w:val="3"/>
                <w:color w:val="auto"/>
              </w:rPr>
            </w:pPr>
          </w:p>
        </w:tc>
        <w:tc>
          <w:tcPr>
            <w:tcW w:w="20" w:type="dxa"/>
            <w:vAlign w:val="bottom"/>
            <w:shd w:val="clear" w:color="auto" w:fill="DCE2EF"/>
          </w:tcPr>
          <w:p>
            <w:pPr>
              <w:spacing w:after="0"/>
              <w:rPr>
                <w:sz w:val="3"/>
                <w:szCs w:val="3"/>
                <w:color w:val="auto"/>
              </w:rPr>
            </w:pPr>
          </w:p>
        </w:tc>
        <w:tc>
          <w:tcPr>
            <w:tcW w:w="340" w:type="dxa"/>
            <w:vAlign w:val="bottom"/>
            <w:shd w:val="clear" w:color="auto" w:fill="0000FF"/>
          </w:tcPr>
          <w:p>
            <w:pPr>
              <w:spacing w:after="0"/>
              <w:rPr>
                <w:sz w:val="3"/>
                <w:szCs w:val="3"/>
                <w:color w:val="auto"/>
              </w:rPr>
            </w:pPr>
          </w:p>
        </w:tc>
        <w:tc>
          <w:tcPr>
            <w:tcW w:w="1140" w:type="dxa"/>
            <w:vAlign w:val="bottom"/>
            <w:shd w:val="clear" w:color="auto" w:fill="0000FF"/>
          </w:tcPr>
          <w:p>
            <w:pPr>
              <w:spacing w:after="0"/>
              <w:rPr>
                <w:sz w:val="3"/>
                <w:szCs w:val="3"/>
                <w:color w:val="auto"/>
              </w:rPr>
            </w:pPr>
          </w:p>
        </w:tc>
        <w:tc>
          <w:tcPr>
            <w:tcW w:w="240" w:type="dxa"/>
            <w:vAlign w:val="bottom"/>
            <w:tcBorders>
              <w:right w:val="single" w:sz="8" w:color="DCE2EF"/>
            </w:tcBorders>
            <w:shd w:val="clear" w:color="auto" w:fill="0000FF"/>
          </w:tcPr>
          <w:p>
            <w:pPr>
              <w:spacing w:after="0"/>
              <w:rPr>
                <w:sz w:val="3"/>
                <w:szCs w:val="3"/>
                <w:color w:val="auto"/>
              </w:rPr>
            </w:pPr>
          </w:p>
        </w:tc>
        <w:tc>
          <w:tcPr>
            <w:tcW w:w="180" w:type="dxa"/>
            <w:vAlign w:val="bottom"/>
            <w:shd w:val="clear" w:color="auto" w:fill="DCE2EF"/>
          </w:tcPr>
          <w:p>
            <w:pPr>
              <w:spacing w:after="0"/>
              <w:rPr>
                <w:sz w:val="3"/>
                <w:szCs w:val="3"/>
                <w:color w:val="auto"/>
              </w:rPr>
            </w:pPr>
          </w:p>
        </w:tc>
        <w:tc>
          <w:tcPr>
            <w:tcW w:w="100" w:type="dxa"/>
            <w:vAlign w:val="bottom"/>
            <w:shd w:val="clear" w:color="auto" w:fill="DCE2EF"/>
          </w:tcPr>
          <w:p>
            <w:pPr>
              <w:spacing w:after="0"/>
              <w:rPr>
                <w:sz w:val="3"/>
                <w:szCs w:val="3"/>
                <w:color w:val="auto"/>
              </w:rPr>
            </w:pPr>
          </w:p>
        </w:tc>
        <w:tc>
          <w:tcPr>
            <w:tcW w:w="240" w:type="dxa"/>
            <w:vAlign w:val="bottom"/>
            <w:shd w:val="clear" w:color="auto" w:fill="DCE2EF"/>
          </w:tcPr>
          <w:p>
            <w:pPr>
              <w:spacing w:after="0"/>
              <w:rPr>
                <w:sz w:val="3"/>
                <w:szCs w:val="3"/>
                <w:color w:val="auto"/>
              </w:rPr>
            </w:pPr>
          </w:p>
        </w:tc>
        <w:tc>
          <w:tcPr>
            <w:tcW w:w="860" w:type="dxa"/>
            <w:vAlign w:val="bottom"/>
            <w:shd w:val="clear" w:color="auto" w:fill="DCE2EF"/>
          </w:tcPr>
          <w:p>
            <w:pPr>
              <w:spacing w:after="0"/>
              <w:rPr>
                <w:sz w:val="3"/>
                <w:szCs w:val="3"/>
                <w:color w:val="auto"/>
              </w:rPr>
            </w:pPr>
          </w:p>
        </w:tc>
        <w:tc>
          <w:tcPr>
            <w:tcW w:w="120" w:type="dxa"/>
            <w:vAlign w:val="bottom"/>
            <w:shd w:val="clear" w:color="auto" w:fill="DCE2EF"/>
          </w:tcPr>
          <w:p>
            <w:pPr>
              <w:spacing w:after="0"/>
              <w:rPr>
                <w:sz w:val="3"/>
                <w:szCs w:val="3"/>
                <w:color w:val="auto"/>
              </w:rPr>
            </w:pPr>
          </w:p>
        </w:tc>
        <w:tc>
          <w:tcPr>
            <w:tcW w:w="120" w:type="dxa"/>
            <w:vAlign w:val="bottom"/>
            <w:shd w:val="clear" w:color="auto" w:fill="DCE2EF"/>
          </w:tcPr>
          <w:p>
            <w:pPr>
              <w:spacing w:after="0"/>
              <w:rPr>
                <w:sz w:val="3"/>
                <w:szCs w:val="3"/>
                <w:color w:val="auto"/>
              </w:rPr>
            </w:pPr>
          </w:p>
        </w:tc>
        <w:tc>
          <w:tcPr>
            <w:tcW w:w="180" w:type="dxa"/>
            <w:vAlign w:val="bottom"/>
            <w:shd w:val="clear" w:color="auto" w:fill="DCE2EF"/>
          </w:tcPr>
          <w:p>
            <w:pPr>
              <w:spacing w:after="0"/>
              <w:rPr>
                <w:sz w:val="3"/>
                <w:szCs w:val="3"/>
                <w:color w:val="auto"/>
              </w:rPr>
            </w:pPr>
          </w:p>
        </w:tc>
        <w:tc>
          <w:tcPr>
            <w:tcW w:w="180" w:type="dxa"/>
            <w:vAlign w:val="bottom"/>
            <w:shd w:val="clear" w:color="auto" w:fill="DCE2EF"/>
          </w:tcPr>
          <w:p>
            <w:pPr>
              <w:spacing w:after="0"/>
              <w:rPr>
                <w:sz w:val="3"/>
                <w:szCs w:val="3"/>
                <w:color w:val="auto"/>
              </w:rPr>
            </w:pPr>
          </w:p>
        </w:tc>
        <w:tc>
          <w:tcPr>
            <w:tcW w:w="360" w:type="dxa"/>
            <w:vAlign w:val="bottom"/>
            <w:shd w:val="clear" w:color="auto" w:fill="DCE2EF"/>
          </w:tcPr>
          <w:p>
            <w:pPr>
              <w:spacing w:after="0"/>
              <w:rPr>
                <w:sz w:val="3"/>
                <w:szCs w:val="3"/>
                <w:color w:val="auto"/>
              </w:rPr>
            </w:pPr>
          </w:p>
        </w:tc>
        <w:tc>
          <w:tcPr>
            <w:tcW w:w="120" w:type="dxa"/>
            <w:vAlign w:val="bottom"/>
            <w:shd w:val="clear" w:color="auto" w:fill="DCE2EF"/>
          </w:tcPr>
          <w:p>
            <w:pPr>
              <w:spacing w:after="0"/>
              <w:rPr>
                <w:sz w:val="3"/>
                <w:szCs w:val="3"/>
                <w:color w:val="auto"/>
              </w:rPr>
            </w:pPr>
          </w:p>
        </w:tc>
        <w:tc>
          <w:tcPr>
            <w:tcW w:w="20" w:type="dxa"/>
            <w:vAlign w:val="bottom"/>
            <w:shd w:val="clear" w:color="auto" w:fill="DCE2EF"/>
          </w:tcPr>
          <w:p>
            <w:pPr>
              <w:spacing w:after="0"/>
              <w:rPr>
                <w:sz w:val="3"/>
                <w:szCs w:val="3"/>
                <w:color w:val="auto"/>
              </w:rPr>
            </w:pPr>
          </w:p>
        </w:tc>
        <w:tc>
          <w:tcPr>
            <w:tcW w:w="20" w:type="dxa"/>
            <w:vAlign w:val="bottom"/>
            <w:shd w:val="clear" w:color="auto" w:fill="DCE2EF"/>
          </w:tcPr>
          <w:p>
            <w:pPr>
              <w:spacing w:after="0"/>
              <w:rPr>
                <w:sz w:val="3"/>
                <w:szCs w:val="3"/>
                <w:color w:val="auto"/>
              </w:rPr>
            </w:pPr>
          </w:p>
        </w:tc>
        <w:tc>
          <w:tcPr>
            <w:tcW w:w="40" w:type="dxa"/>
            <w:vAlign w:val="bottom"/>
            <w:shd w:val="clear" w:color="auto" w:fill="DCE2EF"/>
          </w:tcPr>
          <w:p>
            <w:pPr>
              <w:spacing w:after="0"/>
              <w:rPr>
                <w:sz w:val="3"/>
                <w:szCs w:val="3"/>
                <w:color w:val="auto"/>
              </w:rPr>
            </w:pPr>
          </w:p>
        </w:tc>
        <w:tc>
          <w:tcPr>
            <w:tcW w:w="20" w:type="dxa"/>
            <w:vAlign w:val="bottom"/>
            <w:shd w:val="clear" w:color="auto" w:fill="DCE2EF"/>
          </w:tcPr>
          <w:p>
            <w:pPr>
              <w:spacing w:after="0"/>
              <w:rPr>
                <w:sz w:val="3"/>
                <w:szCs w:val="3"/>
                <w:color w:val="auto"/>
              </w:rPr>
            </w:pPr>
          </w:p>
        </w:tc>
        <w:tc>
          <w:tcPr>
            <w:tcW w:w="20" w:type="dxa"/>
            <w:vAlign w:val="bottom"/>
            <w:shd w:val="clear" w:color="auto" w:fill="DCE2EF"/>
          </w:tcPr>
          <w:p>
            <w:pPr>
              <w:spacing w:after="0"/>
              <w:rPr>
                <w:sz w:val="3"/>
                <w:szCs w:val="3"/>
                <w:color w:val="auto"/>
              </w:rPr>
            </w:pPr>
          </w:p>
        </w:tc>
        <w:tc>
          <w:tcPr>
            <w:tcW w:w="20" w:type="dxa"/>
            <w:vAlign w:val="bottom"/>
            <w:shd w:val="clear" w:color="auto" w:fill="DCE2EF"/>
          </w:tcPr>
          <w:p>
            <w:pPr>
              <w:spacing w:after="0"/>
              <w:rPr>
                <w:sz w:val="3"/>
                <w:szCs w:val="3"/>
                <w:color w:val="auto"/>
              </w:rPr>
            </w:pPr>
          </w:p>
        </w:tc>
        <w:tc>
          <w:tcPr>
            <w:tcW w:w="20" w:type="dxa"/>
            <w:vAlign w:val="bottom"/>
            <w:shd w:val="clear" w:color="auto" w:fill="DCE2EF"/>
          </w:tcPr>
          <w:p>
            <w:pPr>
              <w:spacing w:after="0"/>
              <w:rPr>
                <w:sz w:val="3"/>
                <w:szCs w:val="3"/>
                <w:color w:val="auto"/>
              </w:rPr>
            </w:pPr>
          </w:p>
        </w:tc>
        <w:tc>
          <w:tcPr>
            <w:tcW w:w="20" w:type="dxa"/>
            <w:vAlign w:val="bottom"/>
            <w:shd w:val="clear" w:color="auto" w:fill="DCE2EF"/>
          </w:tcPr>
          <w:p>
            <w:pPr>
              <w:spacing w:after="0"/>
              <w:rPr>
                <w:sz w:val="3"/>
                <w:szCs w:val="3"/>
                <w:color w:val="auto"/>
              </w:rPr>
            </w:pPr>
          </w:p>
        </w:tc>
        <w:tc>
          <w:tcPr>
            <w:tcW w:w="20" w:type="dxa"/>
            <w:vAlign w:val="bottom"/>
            <w:shd w:val="clear" w:color="auto" w:fill="DCE2EF"/>
          </w:tcPr>
          <w:p>
            <w:pPr>
              <w:spacing w:after="0"/>
              <w:rPr>
                <w:sz w:val="3"/>
                <w:szCs w:val="3"/>
                <w:color w:val="auto"/>
              </w:rPr>
            </w:pPr>
          </w:p>
        </w:tc>
        <w:tc>
          <w:tcPr>
            <w:tcW w:w="20" w:type="dxa"/>
            <w:vAlign w:val="bottom"/>
            <w:shd w:val="clear" w:color="auto" w:fill="DCE2EF"/>
          </w:tcPr>
          <w:p>
            <w:pPr>
              <w:spacing w:after="0"/>
              <w:rPr>
                <w:sz w:val="3"/>
                <w:szCs w:val="3"/>
                <w:color w:val="auto"/>
              </w:rPr>
            </w:pPr>
          </w:p>
        </w:tc>
        <w:tc>
          <w:tcPr>
            <w:tcW w:w="20" w:type="dxa"/>
            <w:vAlign w:val="bottom"/>
            <w:shd w:val="clear" w:color="auto" w:fill="DCE2EF"/>
          </w:tcPr>
          <w:p>
            <w:pPr>
              <w:spacing w:after="0"/>
              <w:rPr>
                <w:sz w:val="3"/>
                <w:szCs w:val="3"/>
                <w:color w:val="auto"/>
              </w:rPr>
            </w:pPr>
          </w:p>
        </w:tc>
        <w:tc>
          <w:tcPr>
            <w:tcW w:w="60" w:type="dxa"/>
            <w:vAlign w:val="bottom"/>
            <w:shd w:val="clear" w:color="auto" w:fill="DCE2EF"/>
          </w:tcPr>
          <w:p>
            <w:pPr>
              <w:spacing w:after="0"/>
              <w:rPr>
                <w:sz w:val="3"/>
                <w:szCs w:val="3"/>
                <w:color w:val="auto"/>
              </w:rPr>
            </w:pPr>
          </w:p>
        </w:tc>
        <w:tc>
          <w:tcPr>
            <w:tcW w:w="20" w:type="dxa"/>
            <w:vAlign w:val="bottom"/>
            <w:shd w:val="clear" w:color="auto" w:fill="DCE2EF"/>
          </w:tcPr>
          <w:p>
            <w:pPr>
              <w:spacing w:after="0"/>
              <w:rPr>
                <w:sz w:val="3"/>
                <w:szCs w:val="3"/>
                <w:color w:val="auto"/>
              </w:rPr>
            </w:pPr>
          </w:p>
        </w:tc>
        <w:tc>
          <w:tcPr>
            <w:tcW w:w="20" w:type="dxa"/>
            <w:vAlign w:val="bottom"/>
            <w:shd w:val="clear" w:color="auto" w:fill="DCE2EF"/>
          </w:tcPr>
          <w:p>
            <w:pPr>
              <w:spacing w:after="0"/>
              <w:rPr>
                <w:sz w:val="3"/>
                <w:szCs w:val="3"/>
                <w:color w:val="auto"/>
              </w:rPr>
            </w:pPr>
          </w:p>
        </w:tc>
        <w:tc>
          <w:tcPr>
            <w:tcW w:w="20" w:type="dxa"/>
            <w:vAlign w:val="bottom"/>
            <w:shd w:val="clear" w:color="auto" w:fill="DCE2EF"/>
          </w:tcPr>
          <w:p>
            <w:pPr>
              <w:spacing w:after="0"/>
              <w:rPr>
                <w:sz w:val="3"/>
                <w:szCs w:val="3"/>
                <w:color w:val="auto"/>
              </w:rPr>
            </w:pPr>
          </w:p>
        </w:tc>
        <w:tc>
          <w:tcPr>
            <w:tcW w:w="860" w:type="dxa"/>
            <w:vAlign w:val="bottom"/>
            <w:shd w:val="clear" w:color="auto" w:fill="DCE2EF"/>
          </w:tcPr>
          <w:p>
            <w:pPr>
              <w:spacing w:after="0"/>
              <w:rPr>
                <w:sz w:val="3"/>
                <w:szCs w:val="3"/>
                <w:color w:val="auto"/>
              </w:rPr>
            </w:pPr>
          </w:p>
        </w:tc>
        <w:tc>
          <w:tcPr>
            <w:tcW w:w="1340" w:type="dxa"/>
            <w:vAlign w:val="bottom"/>
            <w:shd w:val="clear" w:color="auto" w:fill="DCE2EF"/>
          </w:tcPr>
          <w:p>
            <w:pPr>
              <w:spacing w:after="0"/>
              <w:rPr>
                <w:sz w:val="3"/>
                <w:szCs w:val="3"/>
                <w:color w:val="auto"/>
              </w:rPr>
            </w:pPr>
          </w:p>
        </w:tc>
        <w:tc>
          <w:tcPr>
            <w:tcW w:w="1040" w:type="dxa"/>
            <w:vAlign w:val="bottom"/>
            <w:shd w:val="clear" w:color="auto" w:fill="DCE2EF"/>
          </w:tcPr>
          <w:p>
            <w:pPr>
              <w:spacing w:after="0"/>
              <w:rPr>
                <w:sz w:val="3"/>
                <w:szCs w:val="3"/>
                <w:color w:val="auto"/>
              </w:rPr>
            </w:pPr>
          </w:p>
        </w:tc>
        <w:tc>
          <w:tcPr>
            <w:tcW w:w="2160" w:type="dxa"/>
            <w:vAlign w:val="bottom"/>
            <w:shd w:val="clear" w:color="auto" w:fill="DCE2E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0"/>
        </w:trPr>
        <w:tc>
          <w:tcPr>
            <w:tcW w:w="1280" w:type="dxa"/>
            <w:vAlign w:val="bottom"/>
          </w:tcPr>
          <w:p>
            <w:pPr>
              <w:jc w:val="right"/>
              <w:ind w:right="674"/>
              <w:spacing w:after="0" w:line="180" w:lineRule="exact"/>
              <w:rPr>
                <w:sz w:val="20"/>
                <w:szCs w:val="20"/>
                <w:color w:val="auto"/>
              </w:rPr>
            </w:pPr>
            <w:r>
              <w:rPr>
                <w:rFonts w:ascii="Arial" w:cs="Arial" w:eastAsia="Arial" w:hAnsi="Arial"/>
                <w:sz w:val="17"/>
                <w:szCs w:val="17"/>
                <w:color w:val="auto"/>
              </w:rPr>
              <w:t>10.20*</w:t>
            </w:r>
          </w:p>
        </w:tc>
        <w:tc>
          <w:tcPr>
            <w:tcW w:w="20" w:type="dxa"/>
            <w:vAlign w:val="bottom"/>
          </w:tcPr>
          <w:p>
            <w:pPr>
              <w:spacing w:after="0"/>
              <w:rPr>
                <w:sz w:val="15"/>
                <w:szCs w:val="15"/>
                <w:color w:val="auto"/>
              </w:rPr>
            </w:pPr>
          </w:p>
        </w:tc>
        <w:tc>
          <w:tcPr>
            <w:tcW w:w="4540" w:type="dxa"/>
            <w:vAlign w:val="bottom"/>
            <w:gridSpan w:val="28"/>
          </w:tcPr>
          <w:p>
            <w:pPr>
              <w:spacing w:after="0" w:line="180" w:lineRule="exact"/>
              <w:rPr>
                <w:rFonts w:ascii="Arial" w:cs="Arial" w:eastAsia="Arial" w:hAnsi="Arial"/>
                <w:sz w:val="17"/>
                <w:szCs w:val="17"/>
                <w:color w:val="0000FF"/>
              </w:rPr>
            </w:pPr>
            <w:hyperlink r:id="rId191">
              <w:r>
                <w:rPr>
                  <w:rFonts w:ascii="Arial" w:cs="Arial" w:eastAsia="Arial" w:hAnsi="Arial"/>
                  <w:sz w:val="17"/>
                  <w:szCs w:val="17"/>
                  <w:color w:val="0000FF"/>
                </w:rPr>
                <w:t>Statement of Terms and Conditions Applicable to Awards</w:t>
              </w:r>
            </w:hyperlink>
          </w:p>
        </w:tc>
        <w:tc>
          <w:tcPr>
            <w:tcW w:w="860" w:type="dxa"/>
            <w:vAlign w:val="bottom"/>
          </w:tcPr>
          <w:p>
            <w:pPr>
              <w:ind w:left="260"/>
              <w:spacing w:after="0" w:line="180" w:lineRule="exact"/>
              <w:rPr>
                <w:sz w:val="20"/>
                <w:szCs w:val="20"/>
                <w:color w:val="auto"/>
              </w:rPr>
            </w:pPr>
            <w:r>
              <w:rPr>
                <w:rFonts w:ascii="Arial" w:cs="Arial" w:eastAsia="Arial" w:hAnsi="Arial"/>
                <w:sz w:val="17"/>
                <w:szCs w:val="17"/>
                <w:color w:val="auto"/>
              </w:rPr>
              <w:t>10-K</w:t>
            </w:r>
          </w:p>
        </w:tc>
        <w:tc>
          <w:tcPr>
            <w:tcW w:w="1340" w:type="dxa"/>
            <w:vAlign w:val="bottom"/>
          </w:tcPr>
          <w:p>
            <w:pPr>
              <w:jc w:val="right"/>
              <w:ind w:right="194"/>
              <w:spacing w:after="0" w:line="180" w:lineRule="exact"/>
              <w:rPr>
                <w:sz w:val="20"/>
                <w:szCs w:val="20"/>
                <w:color w:val="auto"/>
              </w:rPr>
            </w:pPr>
            <w:r>
              <w:rPr>
                <w:rFonts w:ascii="Arial" w:cs="Arial" w:eastAsia="Arial" w:hAnsi="Arial"/>
                <w:sz w:val="17"/>
                <w:szCs w:val="17"/>
                <w:color w:val="auto"/>
              </w:rPr>
              <w:t>001-08929</w:t>
            </w:r>
          </w:p>
        </w:tc>
        <w:tc>
          <w:tcPr>
            <w:tcW w:w="1040" w:type="dxa"/>
            <w:vAlign w:val="bottom"/>
          </w:tcPr>
          <w:p>
            <w:pPr>
              <w:jc w:val="center"/>
              <w:spacing w:after="0" w:line="180" w:lineRule="exact"/>
              <w:rPr>
                <w:sz w:val="20"/>
                <w:szCs w:val="20"/>
                <w:color w:val="auto"/>
              </w:rPr>
            </w:pPr>
            <w:r>
              <w:rPr>
                <w:rFonts w:ascii="Arial" w:cs="Arial" w:eastAsia="Arial" w:hAnsi="Arial"/>
                <w:sz w:val="17"/>
                <w:szCs w:val="17"/>
                <w:color w:val="auto"/>
              </w:rPr>
              <w:t>10.19</w:t>
            </w:r>
          </w:p>
        </w:tc>
        <w:tc>
          <w:tcPr>
            <w:tcW w:w="2160" w:type="dxa"/>
            <w:vAlign w:val="bottom"/>
          </w:tcPr>
          <w:p>
            <w:pPr>
              <w:jc w:val="center"/>
              <w:spacing w:after="0" w:line="180" w:lineRule="exact"/>
              <w:rPr>
                <w:sz w:val="20"/>
                <w:szCs w:val="20"/>
                <w:color w:val="auto"/>
              </w:rPr>
            </w:pPr>
            <w:r>
              <w:rPr>
                <w:rFonts w:ascii="Arial" w:cs="Arial" w:eastAsia="Arial" w:hAnsi="Arial"/>
                <w:sz w:val="17"/>
                <w:szCs w:val="17"/>
                <w:color w:val="auto"/>
              </w:rPr>
              <w:t>December 18, 2023</w:t>
            </w:r>
          </w:p>
        </w:tc>
        <w:tc>
          <w:tcPr>
            <w:tcW w:w="0" w:type="dxa"/>
            <w:vAlign w:val="bottom"/>
          </w:tcPr>
          <w:p>
            <w:pPr>
              <w:spacing w:after="0"/>
              <w:rPr>
                <w:sz w:val="1"/>
                <w:szCs w:val="1"/>
                <w:color w:val="auto"/>
              </w:rPr>
            </w:pPr>
          </w:p>
        </w:tc>
      </w:tr>
      <w:tr>
        <w:trPr>
          <w:trHeight w:val="148"/>
        </w:trPr>
        <w:tc>
          <w:tcPr>
            <w:tcW w:w="1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20" w:type="dxa"/>
            <w:vAlign w:val="bottom"/>
            <w:tcBorders>
              <w:top w:val="single" w:sz="8" w:color="0000FF"/>
              <w:bottom w:val="single" w:sz="8" w:color="0000FF"/>
            </w:tcBorders>
            <w:gridSpan w:val="15"/>
          </w:tcPr>
          <w:p>
            <w:pPr>
              <w:spacing w:after="0" w:line="148" w:lineRule="exact"/>
              <w:rPr>
                <w:rFonts w:ascii="Arial" w:cs="Arial" w:eastAsia="Arial" w:hAnsi="Arial"/>
                <w:sz w:val="17"/>
                <w:szCs w:val="17"/>
                <w:color w:val="0000FF"/>
              </w:rPr>
            </w:pPr>
            <w:hyperlink r:id="rId191">
              <w:r>
                <w:rPr>
                  <w:rFonts w:ascii="Arial" w:cs="Arial" w:eastAsia="Arial" w:hAnsi="Arial"/>
                  <w:sz w:val="17"/>
                  <w:szCs w:val="17"/>
                  <w:color w:val="0000FF"/>
                </w:rPr>
                <w:t>Granted to Employees Pursuant to the 2021 Equity and</w:t>
              </w:r>
            </w:hyperlink>
          </w:p>
        </w:tc>
        <w:tc>
          <w:tcPr>
            <w:tcW w:w="100" w:type="dxa"/>
            <w:vAlign w:val="bottom"/>
            <w:tcBorders>
              <w:top w:val="single" w:sz="8" w:color="0000FF"/>
            </w:tcBorders>
            <w:gridSpan w:val="4"/>
          </w:tcPr>
          <w:p>
            <w:pPr>
              <w:spacing w:after="0"/>
              <w:rPr>
                <w:sz w:val="12"/>
                <w:szCs w:val="12"/>
                <w:color w:val="auto"/>
              </w:rPr>
            </w:pPr>
          </w:p>
        </w:tc>
        <w:tc>
          <w:tcPr>
            <w:tcW w:w="6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540" w:type="dxa"/>
            <w:vAlign w:val="bottom"/>
            <w:gridSpan w:val="28"/>
          </w:tcPr>
          <w:p>
            <w:pPr>
              <w:spacing w:after="0" w:line="161" w:lineRule="exact"/>
              <w:rPr>
                <w:rFonts w:ascii="Arial" w:cs="Arial" w:eastAsia="Arial" w:hAnsi="Arial"/>
                <w:sz w:val="17"/>
                <w:szCs w:val="17"/>
                <w:color w:val="0000FF"/>
              </w:rPr>
            </w:pPr>
            <w:hyperlink r:id="rId191">
              <w:r>
                <w:rPr>
                  <w:rFonts w:ascii="Arial" w:cs="Arial" w:eastAsia="Arial" w:hAnsi="Arial"/>
                  <w:sz w:val="17"/>
                  <w:szCs w:val="17"/>
                  <w:color w:val="0000FF"/>
                </w:rPr>
                <w:t>Incentive Compensation Plan, for Awards Granted on or</w:t>
              </w:r>
            </w:hyperlink>
          </w:p>
        </w:tc>
        <w:tc>
          <w:tcPr>
            <w:tcW w:w="8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720" w:type="dxa"/>
            <w:vAlign w:val="bottom"/>
            <w:tcBorders>
              <w:top w:val="single" w:sz="8" w:color="0000FF"/>
              <w:bottom w:val="single" w:sz="8" w:color="0000FF"/>
            </w:tcBorders>
            <w:gridSpan w:val="3"/>
          </w:tcPr>
          <w:p>
            <w:pPr>
              <w:spacing w:after="0" w:line="148" w:lineRule="exact"/>
              <w:rPr>
                <w:rFonts w:ascii="Arial" w:cs="Arial" w:eastAsia="Arial" w:hAnsi="Arial"/>
                <w:sz w:val="17"/>
                <w:szCs w:val="17"/>
                <w:color w:val="0000FF"/>
                <w:w w:val="98"/>
              </w:rPr>
            </w:pPr>
            <w:hyperlink r:id="rId191">
              <w:r>
                <w:rPr>
                  <w:rFonts w:ascii="Arial" w:cs="Arial" w:eastAsia="Arial" w:hAnsi="Arial"/>
                  <w:sz w:val="17"/>
                  <w:szCs w:val="17"/>
                  <w:color w:val="0000FF"/>
                  <w:w w:val="98"/>
                </w:rPr>
                <w:t>after October 23, 2023</w:t>
              </w:r>
            </w:hyperlink>
          </w:p>
        </w:tc>
        <w:tc>
          <w:tcPr>
            <w:tcW w:w="2540" w:type="dxa"/>
            <w:vAlign w:val="bottom"/>
            <w:tcBorders>
              <w:top w:val="single" w:sz="8" w:color="0000FF"/>
            </w:tcBorders>
            <w:gridSpan w:val="1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1280" w:type="dxa"/>
            <w:vAlign w:val="bottom"/>
            <w:shd w:val="clear" w:color="auto" w:fill="DCE2EF"/>
          </w:tcPr>
          <w:p>
            <w:pPr>
              <w:jc w:val="right"/>
              <w:ind w:right="674"/>
              <w:spacing w:after="0" w:line="190" w:lineRule="exact"/>
              <w:rPr>
                <w:sz w:val="20"/>
                <w:szCs w:val="20"/>
                <w:color w:val="auto"/>
              </w:rPr>
            </w:pPr>
            <w:r>
              <w:rPr>
                <w:rFonts w:ascii="Arial" w:cs="Arial" w:eastAsia="Arial" w:hAnsi="Arial"/>
                <w:sz w:val="17"/>
                <w:szCs w:val="17"/>
                <w:color w:val="auto"/>
              </w:rPr>
              <w:t>10.21*</w:t>
            </w:r>
          </w:p>
        </w:tc>
        <w:tc>
          <w:tcPr>
            <w:tcW w:w="20" w:type="dxa"/>
            <w:vAlign w:val="bottom"/>
            <w:shd w:val="clear" w:color="auto" w:fill="DCE2EF"/>
          </w:tcPr>
          <w:p>
            <w:pPr>
              <w:spacing w:after="0"/>
              <w:rPr>
                <w:sz w:val="16"/>
                <w:szCs w:val="16"/>
                <w:color w:val="auto"/>
              </w:rPr>
            </w:pPr>
          </w:p>
        </w:tc>
        <w:tc>
          <w:tcPr>
            <w:tcW w:w="4540" w:type="dxa"/>
            <w:vAlign w:val="bottom"/>
            <w:gridSpan w:val="28"/>
            <w:shd w:val="clear" w:color="auto" w:fill="DCE2EF"/>
          </w:tcPr>
          <w:p>
            <w:pPr>
              <w:spacing w:after="0" w:line="190" w:lineRule="exact"/>
              <w:rPr>
                <w:rFonts w:ascii="Arial" w:cs="Arial" w:eastAsia="Arial" w:hAnsi="Arial"/>
                <w:sz w:val="17"/>
                <w:szCs w:val="17"/>
                <w:color w:val="0000FF"/>
              </w:rPr>
            </w:pPr>
            <w:hyperlink r:id="rId192">
              <w:r>
                <w:rPr>
                  <w:rFonts w:ascii="Arial" w:cs="Arial" w:eastAsia="Arial" w:hAnsi="Arial"/>
                  <w:sz w:val="17"/>
                  <w:szCs w:val="17"/>
                  <w:color w:val="0000FF"/>
                </w:rPr>
                <w:t>Statement of Terms and Conditions Applicable to Options,</w:t>
              </w:r>
            </w:hyperlink>
          </w:p>
        </w:tc>
        <w:tc>
          <w:tcPr>
            <w:tcW w:w="860" w:type="dxa"/>
            <w:vAlign w:val="bottom"/>
            <w:shd w:val="clear" w:color="auto" w:fill="DCE2EF"/>
          </w:tcPr>
          <w:p>
            <w:pPr>
              <w:ind w:left="260"/>
              <w:spacing w:after="0" w:line="190" w:lineRule="exact"/>
              <w:rPr>
                <w:sz w:val="20"/>
                <w:szCs w:val="20"/>
                <w:color w:val="auto"/>
              </w:rPr>
            </w:pPr>
            <w:r>
              <w:rPr>
                <w:rFonts w:ascii="Arial" w:cs="Arial" w:eastAsia="Arial" w:hAnsi="Arial"/>
                <w:sz w:val="17"/>
                <w:szCs w:val="17"/>
                <w:color w:val="auto"/>
              </w:rPr>
              <w:t>10-Q</w:t>
            </w:r>
          </w:p>
        </w:tc>
        <w:tc>
          <w:tcPr>
            <w:tcW w:w="1340" w:type="dxa"/>
            <w:vAlign w:val="bottom"/>
            <w:shd w:val="clear" w:color="auto" w:fill="DCE2EF"/>
          </w:tcPr>
          <w:p>
            <w:pPr>
              <w:jc w:val="right"/>
              <w:ind w:right="194"/>
              <w:spacing w:after="0" w:line="190" w:lineRule="exact"/>
              <w:rPr>
                <w:sz w:val="20"/>
                <w:szCs w:val="20"/>
                <w:color w:val="auto"/>
              </w:rPr>
            </w:pPr>
            <w:r>
              <w:rPr>
                <w:rFonts w:ascii="Arial" w:cs="Arial" w:eastAsia="Arial" w:hAnsi="Arial"/>
                <w:sz w:val="17"/>
                <w:szCs w:val="17"/>
                <w:color w:val="auto"/>
              </w:rPr>
              <w:t>001-08929</w:t>
            </w:r>
          </w:p>
        </w:tc>
        <w:tc>
          <w:tcPr>
            <w:tcW w:w="1040" w:type="dxa"/>
            <w:vAlign w:val="bottom"/>
            <w:shd w:val="clear" w:color="auto" w:fill="DCE2EF"/>
          </w:tcPr>
          <w:p>
            <w:pPr>
              <w:jc w:val="center"/>
              <w:spacing w:after="0" w:line="190" w:lineRule="exact"/>
              <w:rPr>
                <w:sz w:val="20"/>
                <w:szCs w:val="20"/>
                <w:color w:val="auto"/>
              </w:rPr>
            </w:pPr>
            <w:r>
              <w:rPr>
                <w:rFonts w:ascii="Arial" w:cs="Arial" w:eastAsia="Arial" w:hAnsi="Arial"/>
                <w:sz w:val="17"/>
                <w:szCs w:val="17"/>
                <w:color w:val="auto"/>
              </w:rPr>
              <w:t>10.3</w:t>
            </w:r>
          </w:p>
        </w:tc>
        <w:tc>
          <w:tcPr>
            <w:tcW w:w="2160" w:type="dxa"/>
            <w:vAlign w:val="bottom"/>
            <w:shd w:val="clear" w:color="auto" w:fill="DCE2EF"/>
          </w:tcPr>
          <w:p>
            <w:pPr>
              <w:jc w:val="center"/>
              <w:spacing w:after="0" w:line="190" w:lineRule="exact"/>
              <w:rPr>
                <w:sz w:val="20"/>
                <w:szCs w:val="20"/>
                <w:color w:val="auto"/>
              </w:rPr>
            </w:pPr>
            <w:r>
              <w:rPr>
                <w:rFonts w:ascii="Arial" w:cs="Arial" w:eastAsia="Arial" w:hAnsi="Arial"/>
                <w:sz w:val="17"/>
                <w:szCs w:val="17"/>
                <w:color w:val="auto"/>
              </w:rPr>
              <w:t>June 3, 2015</w:t>
            </w:r>
          </w:p>
        </w:tc>
        <w:tc>
          <w:tcPr>
            <w:tcW w:w="0" w:type="dxa"/>
            <w:vAlign w:val="bottom"/>
          </w:tcPr>
          <w:p>
            <w:pPr>
              <w:spacing w:after="0"/>
              <w:rPr>
                <w:sz w:val="1"/>
                <w:szCs w:val="1"/>
                <w:color w:val="auto"/>
              </w:rPr>
            </w:pPr>
          </w:p>
        </w:tc>
      </w:tr>
      <w:tr>
        <w:trPr>
          <w:trHeight w:val="148"/>
        </w:trPr>
        <w:tc>
          <w:tcPr>
            <w:tcW w:w="1280" w:type="dxa"/>
            <w:vAlign w:val="bottom"/>
            <w:tcBorders>
              <w:top w:val="single" w:sz="8" w:color="DCE2EF"/>
            </w:tcBorders>
            <w:shd w:val="clear" w:color="auto" w:fill="DCE2EF"/>
          </w:tcPr>
          <w:p>
            <w:pPr>
              <w:spacing w:after="0"/>
              <w:rPr>
                <w:sz w:val="12"/>
                <w:szCs w:val="12"/>
                <w:color w:val="auto"/>
              </w:rPr>
            </w:pPr>
          </w:p>
        </w:tc>
        <w:tc>
          <w:tcPr>
            <w:tcW w:w="20" w:type="dxa"/>
            <w:vAlign w:val="bottom"/>
            <w:tcBorders>
              <w:top w:val="single" w:sz="8" w:color="DCE2EF"/>
            </w:tcBorders>
            <w:shd w:val="clear" w:color="auto" w:fill="DCE2EF"/>
          </w:tcPr>
          <w:p>
            <w:pPr>
              <w:spacing w:after="0"/>
              <w:rPr>
                <w:sz w:val="12"/>
                <w:szCs w:val="12"/>
                <w:color w:val="auto"/>
              </w:rPr>
            </w:pPr>
          </w:p>
        </w:tc>
        <w:tc>
          <w:tcPr>
            <w:tcW w:w="4400" w:type="dxa"/>
            <w:vAlign w:val="bottom"/>
            <w:tcBorders>
              <w:top w:val="single" w:sz="8" w:color="0000FF"/>
            </w:tcBorders>
            <w:gridSpan w:val="23"/>
            <w:shd w:val="clear" w:color="auto" w:fill="DCE2EF"/>
          </w:tcPr>
          <w:p>
            <w:pPr>
              <w:spacing w:after="0" w:line="148" w:lineRule="exact"/>
              <w:rPr>
                <w:rFonts w:ascii="Arial" w:cs="Arial" w:eastAsia="Arial" w:hAnsi="Arial"/>
                <w:sz w:val="17"/>
                <w:szCs w:val="17"/>
                <w:color w:val="0000FF"/>
              </w:rPr>
            </w:pPr>
            <w:hyperlink r:id="rId192">
              <w:r>
                <w:rPr>
                  <w:rFonts w:ascii="Arial" w:cs="Arial" w:eastAsia="Arial" w:hAnsi="Arial"/>
                  <w:sz w:val="17"/>
                  <w:szCs w:val="17"/>
                  <w:color w:val="0000FF"/>
                </w:rPr>
                <w:t>Restricted Stock, and Restricted Stock Units Granted to</w:t>
              </w:r>
            </w:hyperlink>
          </w:p>
        </w:tc>
        <w:tc>
          <w:tcPr>
            <w:tcW w:w="20" w:type="dxa"/>
            <w:vAlign w:val="bottom"/>
            <w:tcBorders>
              <w:top w:val="single" w:sz="8" w:color="DCE2EF"/>
            </w:tcBorders>
            <w:shd w:val="clear" w:color="auto" w:fill="DCE2EF"/>
          </w:tcPr>
          <w:p>
            <w:pPr>
              <w:spacing w:after="0"/>
              <w:rPr>
                <w:sz w:val="12"/>
                <w:szCs w:val="12"/>
                <w:color w:val="auto"/>
              </w:rPr>
            </w:pPr>
          </w:p>
        </w:tc>
        <w:tc>
          <w:tcPr>
            <w:tcW w:w="60" w:type="dxa"/>
            <w:vAlign w:val="bottom"/>
            <w:tcBorders>
              <w:top w:val="single" w:sz="8" w:color="DCE2EF"/>
            </w:tcBorders>
            <w:shd w:val="clear" w:color="auto" w:fill="DCE2EF"/>
          </w:tcPr>
          <w:p>
            <w:pPr>
              <w:spacing w:after="0"/>
              <w:rPr>
                <w:sz w:val="12"/>
                <w:szCs w:val="12"/>
                <w:color w:val="auto"/>
              </w:rPr>
            </w:pPr>
          </w:p>
        </w:tc>
        <w:tc>
          <w:tcPr>
            <w:tcW w:w="40" w:type="dxa"/>
            <w:vAlign w:val="bottom"/>
            <w:tcBorders>
              <w:top w:val="single" w:sz="8" w:color="DCE2EF"/>
            </w:tcBorders>
            <w:gridSpan w:val="2"/>
            <w:shd w:val="clear" w:color="auto" w:fill="DCE2EF"/>
          </w:tcPr>
          <w:p>
            <w:pPr>
              <w:spacing w:after="0"/>
              <w:rPr>
                <w:sz w:val="12"/>
                <w:szCs w:val="12"/>
                <w:color w:val="auto"/>
              </w:rPr>
            </w:pPr>
          </w:p>
        </w:tc>
        <w:tc>
          <w:tcPr>
            <w:tcW w:w="20" w:type="dxa"/>
            <w:vAlign w:val="bottom"/>
            <w:tcBorders>
              <w:top w:val="single" w:sz="8" w:color="DCE2EF"/>
            </w:tcBorders>
            <w:shd w:val="clear" w:color="auto" w:fill="DCE2EF"/>
          </w:tcPr>
          <w:p>
            <w:pPr>
              <w:spacing w:after="0"/>
              <w:rPr>
                <w:sz w:val="12"/>
                <w:szCs w:val="12"/>
                <w:color w:val="auto"/>
              </w:rPr>
            </w:pPr>
          </w:p>
        </w:tc>
        <w:tc>
          <w:tcPr>
            <w:tcW w:w="860" w:type="dxa"/>
            <w:vAlign w:val="bottom"/>
            <w:tcBorders>
              <w:top w:val="single" w:sz="8" w:color="DCE2EF"/>
            </w:tcBorders>
            <w:shd w:val="clear" w:color="auto" w:fill="DCE2EF"/>
          </w:tcPr>
          <w:p>
            <w:pPr>
              <w:spacing w:after="0"/>
              <w:rPr>
                <w:sz w:val="12"/>
                <w:szCs w:val="12"/>
                <w:color w:val="auto"/>
              </w:rPr>
            </w:pPr>
          </w:p>
        </w:tc>
        <w:tc>
          <w:tcPr>
            <w:tcW w:w="1340" w:type="dxa"/>
            <w:vAlign w:val="bottom"/>
            <w:tcBorders>
              <w:top w:val="single" w:sz="8" w:color="DCE2EF"/>
            </w:tcBorders>
            <w:shd w:val="clear" w:color="auto" w:fill="DCE2EF"/>
          </w:tcPr>
          <w:p>
            <w:pPr>
              <w:spacing w:after="0"/>
              <w:rPr>
                <w:sz w:val="12"/>
                <w:szCs w:val="12"/>
                <w:color w:val="auto"/>
              </w:rPr>
            </w:pPr>
          </w:p>
        </w:tc>
        <w:tc>
          <w:tcPr>
            <w:tcW w:w="1040" w:type="dxa"/>
            <w:vAlign w:val="bottom"/>
            <w:tcBorders>
              <w:top w:val="single" w:sz="8" w:color="DCE2EF"/>
            </w:tcBorders>
            <w:shd w:val="clear" w:color="auto" w:fill="DCE2EF"/>
          </w:tcPr>
          <w:p>
            <w:pPr>
              <w:spacing w:after="0"/>
              <w:rPr>
                <w:sz w:val="12"/>
                <w:szCs w:val="12"/>
                <w:color w:val="auto"/>
              </w:rPr>
            </w:pPr>
          </w:p>
        </w:tc>
        <w:tc>
          <w:tcPr>
            <w:tcW w:w="2160" w:type="dxa"/>
            <w:vAlign w:val="bottom"/>
            <w:tcBorders>
              <w:top w:val="single" w:sz="8" w:color="DCE2EF"/>
            </w:tcBorders>
            <w:shd w:val="clear" w:color="auto" w:fill="DCE2EF"/>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280" w:type="dxa"/>
            <w:vAlign w:val="bottom"/>
            <w:tcBorders>
              <w:top w:val="single" w:sz="8" w:color="DCE2EF"/>
              <w:bottom w:val="single" w:sz="8" w:color="DCE2EF"/>
            </w:tcBorders>
            <w:shd w:val="clear" w:color="auto" w:fill="DCE2EF"/>
          </w:tcPr>
          <w:p>
            <w:pPr>
              <w:spacing w:after="0"/>
              <w:rPr>
                <w:sz w:val="13"/>
                <w:szCs w:val="13"/>
                <w:color w:val="auto"/>
              </w:rPr>
            </w:pPr>
          </w:p>
        </w:tc>
        <w:tc>
          <w:tcPr>
            <w:tcW w:w="20" w:type="dxa"/>
            <w:vAlign w:val="bottom"/>
            <w:tcBorders>
              <w:top w:val="single" w:sz="8" w:color="DCE2EF"/>
              <w:bottom w:val="single" w:sz="8" w:color="DCE2EF"/>
            </w:tcBorders>
            <w:shd w:val="clear" w:color="auto" w:fill="DCE2EF"/>
          </w:tcPr>
          <w:p>
            <w:pPr>
              <w:spacing w:after="0"/>
              <w:rPr>
                <w:sz w:val="13"/>
                <w:szCs w:val="13"/>
                <w:color w:val="auto"/>
              </w:rPr>
            </w:pPr>
          </w:p>
        </w:tc>
        <w:tc>
          <w:tcPr>
            <w:tcW w:w="4220" w:type="dxa"/>
            <w:vAlign w:val="bottom"/>
            <w:tcBorders>
              <w:top w:val="single" w:sz="8" w:color="0000FF"/>
              <w:bottom w:val="single" w:sz="8" w:color="0000FF"/>
            </w:tcBorders>
            <w:gridSpan w:val="15"/>
            <w:shd w:val="clear" w:color="auto" w:fill="DCE2EF"/>
          </w:tcPr>
          <w:p>
            <w:pPr>
              <w:spacing w:after="0" w:line="161" w:lineRule="exact"/>
              <w:rPr>
                <w:rFonts w:ascii="Arial" w:cs="Arial" w:eastAsia="Arial" w:hAnsi="Arial"/>
                <w:sz w:val="17"/>
                <w:szCs w:val="17"/>
                <w:color w:val="0000FF"/>
                <w:w w:val="99"/>
              </w:rPr>
            </w:pPr>
            <w:hyperlink r:id="rId192">
              <w:r>
                <w:rPr>
                  <w:rFonts w:ascii="Arial" w:cs="Arial" w:eastAsia="Arial" w:hAnsi="Arial"/>
                  <w:sz w:val="17"/>
                  <w:szCs w:val="17"/>
                  <w:color w:val="0000FF"/>
                  <w:w w:val="99"/>
                </w:rPr>
                <w:t>Directors Pursuant to the 2006 Equity Incentive Plan, for</w:t>
              </w:r>
            </w:hyperlink>
          </w:p>
        </w:tc>
        <w:tc>
          <w:tcPr>
            <w:tcW w:w="60" w:type="dxa"/>
            <w:vAlign w:val="bottom"/>
            <w:tcBorders>
              <w:top w:val="single" w:sz="8" w:color="DCE2EF"/>
              <w:bottom w:val="single" w:sz="8" w:color="0000FF"/>
            </w:tcBorders>
            <w:gridSpan w:val="2"/>
            <w:shd w:val="clear" w:color="auto" w:fill="DCE2EF"/>
          </w:tcPr>
          <w:p>
            <w:pPr>
              <w:spacing w:after="0"/>
              <w:rPr>
                <w:sz w:val="13"/>
                <w:szCs w:val="13"/>
                <w:color w:val="auto"/>
              </w:rPr>
            </w:pPr>
          </w:p>
        </w:tc>
        <w:tc>
          <w:tcPr>
            <w:tcW w:w="20" w:type="dxa"/>
            <w:vAlign w:val="bottom"/>
            <w:tcBorders>
              <w:top w:val="single" w:sz="8" w:color="DCE2EF"/>
              <w:bottom w:val="single" w:sz="8" w:color="0000FF"/>
            </w:tcBorders>
            <w:shd w:val="clear" w:color="auto" w:fill="DCE2EF"/>
          </w:tcPr>
          <w:p>
            <w:pPr>
              <w:spacing w:after="0"/>
              <w:rPr>
                <w:sz w:val="13"/>
                <w:szCs w:val="13"/>
                <w:color w:val="auto"/>
              </w:rPr>
            </w:pPr>
          </w:p>
        </w:tc>
        <w:tc>
          <w:tcPr>
            <w:tcW w:w="80" w:type="dxa"/>
            <w:vAlign w:val="bottom"/>
            <w:tcBorders>
              <w:top w:val="single" w:sz="8" w:color="DCE2EF"/>
              <w:bottom w:val="single" w:sz="8" w:color="DCE2EF"/>
            </w:tcBorders>
            <w:gridSpan w:val="4"/>
            <w:shd w:val="clear" w:color="auto" w:fill="DCE2EF"/>
          </w:tcPr>
          <w:p>
            <w:pPr>
              <w:spacing w:after="0"/>
              <w:rPr>
                <w:sz w:val="13"/>
                <w:szCs w:val="13"/>
                <w:color w:val="auto"/>
              </w:rPr>
            </w:pPr>
          </w:p>
        </w:tc>
        <w:tc>
          <w:tcPr>
            <w:tcW w:w="40" w:type="dxa"/>
            <w:vAlign w:val="bottom"/>
            <w:tcBorders>
              <w:top w:val="single" w:sz="8" w:color="DCE2EF"/>
              <w:bottom w:val="single" w:sz="8" w:color="DCE2EF"/>
            </w:tcBorders>
            <w:gridSpan w:val="2"/>
            <w:shd w:val="clear" w:color="auto" w:fill="DCE2EF"/>
          </w:tcPr>
          <w:p>
            <w:pPr>
              <w:spacing w:after="0"/>
              <w:rPr>
                <w:sz w:val="13"/>
                <w:szCs w:val="13"/>
                <w:color w:val="auto"/>
              </w:rPr>
            </w:pPr>
          </w:p>
        </w:tc>
        <w:tc>
          <w:tcPr>
            <w:tcW w:w="60" w:type="dxa"/>
            <w:vAlign w:val="bottom"/>
            <w:tcBorders>
              <w:top w:val="single" w:sz="8" w:color="DCE2EF"/>
              <w:bottom w:val="single" w:sz="8" w:color="DCE2EF"/>
            </w:tcBorders>
            <w:shd w:val="clear" w:color="auto" w:fill="DCE2EF"/>
          </w:tcPr>
          <w:p>
            <w:pPr>
              <w:spacing w:after="0"/>
              <w:rPr>
                <w:sz w:val="13"/>
                <w:szCs w:val="13"/>
                <w:color w:val="auto"/>
              </w:rPr>
            </w:pPr>
          </w:p>
        </w:tc>
        <w:tc>
          <w:tcPr>
            <w:tcW w:w="40" w:type="dxa"/>
            <w:vAlign w:val="bottom"/>
            <w:tcBorders>
              <w:top w:val="single" w:sz="8" w:color="DCE2EF"/>
              <w:bottom w:val="single" w:sz="8" w:color="DCE2EF"/>
            </w:tcBorders>
            <w:gridSpan w:val="2"/>
            <w:shd w:val="clear" w:color="auto" w:fill="DCE2EF"/>
          </w:tcPr>
          <w:p>
            <w:pPr>
              <w:spacing w:after="0"/>
              <w:rPr>
                <w:sz w:val="13"/>
                <w:szCs w:val="13"/>
                <w:color w:val="auto"/>
              </w:rPr>
            </w:pPr>
          </w:p>
        </w:tc>
        <w:tc>
          <w:tcPr>
            <w:tcW w:w="20" w:type="dxa"/>
            <w:vAlign w:val="bottom"/>
            <w:tcBorders>
              <w:top w:val="single" w:sz="8" w:color="DCE2EF"/>
              <w:bottom w:val="single" w:sz="8" w:color="DCE2EF"/>
            </w:tcBorders>
            <w:shd w:val="clear" w:color="auto" w:fill="DCE2EF"/>
          </w:tcPr>
          <w:p>
            <w:pPr>
              <w:spacing w:after="0"/>
              <w:rPr>
                <w:sz w:val="13"/>
                <w:szCs w:val="13"/>
                <w:color w:val="auto"/>
              </w:rPr>
            </w:pPr>
          </w:p>
        </w:tc>
        <w:tc>
          <w:tcPr>
            <w:tcW w:w="860" w:type="dxa"/>
            <w:vAlign w:val="bottom"/>
            <w:tcBorders>
              <w:top w:val="single" w:sz="8" w:color="DCE2EF"/>
              <w:bottom w:val="single" w:sz="8" w:color="DCE2EF"/>
            </w:tcBorders>
            <w:shd w:val="clear" w:color="auto" w:fill="DCE2EF"/>
          </w:tcPr>
          <w:p>
            <w:pPr>
              <w:spacing w:after="0"/>
              <w:rPr>
                <w:sz w:val="13"/>
                <w:szCs w:val="13"/>
                <w:color w:val="auto"/>
              </w:rPr>
            </w:pPr>
          </w:p>
        </w:tc>
        <w:tc>
          <w:tcPr>
            <w:tcW w:w="1340" w:type="dxa"/>
            <w:vAlign w:val="bottom"/>
            <w:tcBorders>
              <w:top w:val="single" w:sz="8" w:color="DCE2EF"/>
              <w:bottom w:val="single" w:sz="8" w:color="DCE2EF"/>
            </w:tcBorders>
            <w:shd w:val="clear" w:color="auto" w:fill="DCE2EF"/>
          </w:tcPr>
          <w:p>
            <w:pPr>
              <w:spacing w:after="0"/>
              <w:rPr>
                <w:sz w:val="13"/>
                <w:szCs w:val="13"/>
                <w:color w:val="auto"/>
              </w:rPr>
            </w:pPr>
          </w:p>
        </w:tc>
        <w:tc>
          <w:tcPr>
            <w:tcW w:w="1040" w:type="dxa"/>
            <w:vAlign w:val="bottom"/>
            <w:tcBorders>
              <w:top w:val="single" w:sz="8" w:color="DCE2EF"/>
              <w:bottom w:val="single" w:sz="8" w:color="DCE2EF"/>
            </w:tcBorders>
            <w:shd w:val="clear" w:color="auto" w:fill="DCE2EF"/>
          </w:tcPr>
          <w:p>
            <w:pPr>
              <w:spacing w:after="0"/>
              <w:rPr>
                <w:sz w:val="13"/>
                <w:szCs w:val="13"/>
                <w:color w:val="auto"/>
              </w:rPr>
            </w:pPr>
          </w:p>
        </w:tc>
        <w:tc>
          <w:tcPr>
            <w:tcW w:w="2160" w:type="dxa"/>
            <w:vAlign w:val="bottom"/>
            <w:tcBorders>
              <w:top w:val="single" w:sz="8" w:color="DCE2EF"/>
              <w:bottom w:val="single" w:sz="8" w:color="DCE2EF"/>
            </w:tcBorders>
            <w:shd w:val="clear" w:color="auto" w:fill="DCE2EF"/>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1280" w:type="dxa"/>
            <w:vAlign w:val="bottom"/>
            <w:tcBorders>
              <w:bottom w:val="single" w:sz="8" w:color="DCE2EF"/>
            </w:tcBorders>
            <w:shd w:val="clear" w:color="auto" w:fill="DCE2EF"/>
          </w:tcPr>
          <w:p>
            <w:pPr>
              <w:spacing w:after="0"/>
              <w:rPr>
                <w:sz w:val="14"/>
                <w:szCs w:val="14"/>
                <w:color w:val="auto"/>
              </w:rPr>
            </w:pPr>
          </w:p>
        </w:tc>
        <w:tc>
          <w:tcPr>
            <w:tcW w:w="20" w:type="dxa"/>
            <w:vAlign w:val="bottom"/>
            <w:tcBorders>
              <w:bottom w:val="single" w:sz="8" w:color="DCE2EF"/>
            </w:tcBorders>
            <w:shd w:val="clear" w:color="auto" w:fill="DCE2EF"/>
          </w:tcPr>
          <w:p>
            <w:pPr>
              <w:spacing w:after="0"/>
              <w:rPr>
                <w:sz w:val="14"/>
                <w:szCs w:val="14"/>
                <w:color w:val="auto"/>
              </w:rPr>
            </w:pPr>
          </w:p>
        </w:tc>
        <w:tc>
          <w:tcPr>
            <w:tcW w:w="3220" w:type="dxa"/>
            <w:vAlign w:val="bottom"/>
            <w:tcBorders>
              <w:bottom w:val="single" w:sz="8" w:color="0000FF"/>
            </w:tcBorders>
            <w:gridSpan w:val="8"/>
            <w:shd w:val="clear" w:color="auto" w:fill="DCE2EF"/>
          </w:tcPr>
          <w:p>
            <w:pPr>
              <w:spacing w:after="0" w:line="148" w:lineRule="exact"/>
              <w:rPr>
                <w:rFonts w:ascii="Arial" w:cs="Arial" w:eastAsia="Arial" w:hAnsi="Arial"/>
                <w:sz w:val="17"/>
                <w:szCs w:val="17"/>
                <w:color w:val="0000FF"/>
              </w:rPr>
            </w:pPr>
            <w:hyperlink r:id="rId192">
              <w:r>
                <w:rPr>
                  <w:rFonts w:ascii="Arial" w:cs="Arial" w:eastAsia="Arial" w:hAnsi="Arial"/>
                  <w:sz w:val="17"/>
                  <w:szCs w:val="17"/>
                  <w:color w:val="0000FF"/>
                </w:rPr>
                <w:t>Awards Granted on or after March 4, 2015</w:t>
              </w:r>
            </w:hyperlink>
          </w:p>
        </w:tc>
        <w:tc>
          <w:tcPr>
            <w:tcW w:w="1080" w:type="dxa"/>
            <w:vAlign w:val="bottom"/>
            <w:tcBorders>
              <w:bottom w:val="single" w:sz="8" w:color="DCE2EF"/>
            </w:tcBorders>
            <w:gridSpan w:val="10"/>
            <w:shd w:val="clear" w:color="auto" w:fill="DCE2EF"/>
          </w:tcPr>
          <w:p>
            <w:pPr>
              <w:spacing w:after="0"/>
              <w:rPr>
                <w:sz w:val="14"/>
                <w:szCs w:val="14"/>
                <w:color w:val="auto"/>
              </w:rPr>
            </w:pPr>
          </w:p>
        </w:tc>
        <w:tc>
          <w:tcPr>
            <w:tcW w:w="80" w:type="dxa"/>
            <w:vAlign w:val="bottom"/>
            <w:tcBorders>
              <w:bottom w:val="single" w:sz="8" w:color="DCE2EF"/>
            </w:tcBorders>
            <w:gridSpan w:val="4"/>
            <w:shd w:val="clear" w:color="auto" w:fill="DCE2EF"/>
          </w:tcPr>
          <w:p>
            <w:pPr>
              <w:spacing w:after="0"/>
              <w:rPr>
                <w:sz w:val="14"/>
                <w:szCs w:val="14"/>
                <w:color w:val="auto"/>
              </w:rPr>
            </w:pPr>
          </w:p>
        </w:tc>
        <w:tc>
          <w:tcPr>
            <w:tcW w:w="40" w:type="dxa"/>
            <w:vAlign w:val="bottom"/>
            <w:tcBorders>
              <w:bottom w:val="single" w:sz="8" w:color="DCE2EF"/>
            </w:tcBorders>
            <w:gridSpan w:val="2"/>
            <w:shd w:val="clear" w:color="auto" w:fill="DCE2EF"/>
          </w:tcPr>
          <w:p>
            <w:pPr>
              <w:spacing w:after="0"/>
              <w:rPr>
                <w:sz w:val="14"/>
                <w:szCs w:val="14"/>
                <w:color w:val="auto"/>
              </w:rPr>
            </w:pPr>
          </w:p>
        </w:tc>
        <w:tc>
          <w:tcPr>
            <w:tcW w:w="60" w:type="dxa"/>
            <w:vAlign w:val="bottom"/>
            <w:tcBorders>
              <w:bottom w:val="single" w:sz="8" w:color="DCE2EF"/>
            </w:tcBorders>
            <w:shd w:val="clear" w:color="auto" w:fill="DCE2EF"/>
          </w:tcPr>
          <w:p>
            <w:pPr>
              <w:spacing w:after="0"/>
              <w:rPr>
                <w:sz w:val="14"/>
                <w:szCs w:val="14"/>
                <w:color w:val="auto"/>
              </w:rPr>
            </w:pPr>
          </w:p>
        </w:tc>
        <w:tc>
          <w:tcPr>
            <w:tcW w:w="40" w:type="dxa"/>
            <w:vAlign w:val="bottom"/>
            <w:tcBorders>
              <w:bottom w:val="single" w:sz="8" w:color="DCE2EF"/>
            </w:tcBorders>
            <w:gridSpan w:val="2"/>
            <w:shd w:val="clear" w:color="auto" w:fill="DCE2EF"/>
          </w:tcPr>
          <w:p>
            <w:pPr>
              <w:spacing w:after="0"/>
              <w:rPr>
                <w:sz w:val="14"/>
                <w:szCs w:val="14"/>
                <w:color w:val="auto"/>
              </w:rPr>
            </w:pPr>
          </w:p>
        </w:tc>
        <w:tc>
          <w:tcPr>
            <w:tcW w:w="20" w:type="dxa"/>
            <w:vAlign w:val="bottom"/>
            <w:tcBorders>
              <w:bottom w:val="single" w:sz="8" w:color="DCE2EF"/>
            </w:tcBorders>
            <w:shd w:val="clear" w:color="auto" w:fill="DCE2EF"/>
          </w:tcPr>
          <w:p>
            <w:pPr>
              <w:spacing w:after="0"/>
              <w:rPr>
                <w:sz w:val="14"/>
                <w:szCs w:val="14"/>
                <w:color w:val="auto"/>
              </w:rPr>
            </w:pPr>
          </w:p>
        </w:tc>
        <w:tc>
          <w:tcPr>
            <w:tcW w:w="860" w:type="dxa"/>
            <w:vAlign w:val="bottom"/>
            <w:tcBorders>
              <w:bottom w:val="single" w:sz="8" w:color="DCE2EF"/>
            </w:tcBorders>
            <w:shd w:val="clear" w:color="auto" w:fill="DCE2EF"/>
          </w:tcPr>
          <w:p>
            <w:pPr>
              <w:spacing w:after="0"/>
              <w:rPr>
                <w:sz w:val="14"/>
                <w:szCs w:val="14"/>
                <w:color w:val="auto"/>
              </w:rPr>
            </w:pPr>
          </w:p>
        </w:tc>
        <w:tc>
          <w:tcPr>
            <w:tcW w:w="1340" w:type="dxa"/>
            <w:vAlign w:val="bottom"/>
            <w:tcBorders>
              <w:bottom w:val="single" w:sz="8" w:color="DCE2EF"/>
            </w:tcBorders>
            <w:shd w:val="clear" w:color="auto" w:fill="DCE2EF"/>
          </w:tcPr>
          <w:p>
            <w:pPr>
              <w:spacing w:after="0"/>
              <w:rPr>
                <w:sz w:val="14"/>
                <w:szCs w:val="14"/>
                <w:color w:val="auto"/>
              </w:rPr>
            </w:pPr>
          </w:p>
        </w:tc>
        <w:tc>
          <w:tcPr>
            <w:tcW w:w="1040" w:type="dxa"/>
            <w:vAlign w:val="bottom"/>
            <w:tcBorders>
              <w:bottom w:val="single" w:sz="8" w:color="DCE2EF"/>
            </w:tcBorders>
            <w:shd w:val="clear" w:color="auto" w:fill="DCE2EF"/>
          </w:tcPr>
          <w:p>
            <w:pPr>
              <w:spacing w:after="0"/>
              <w:rPr>
                <w:sz w:val="14"/>
                <w:szCs w:val="14"/>
                <w:color w:val="auto"/>
              </w:rPr>
            </w:pPr>
          </w:p>
        </w:tc>
        <w:tc>
          <w:tcPr>
            <w:tcW w:w="2160" w:type="dxa"/>
            <w:vAlign w:val="bottom"/>
            <w:tcBorders>
              <w:bottom w:val="single" w:sz="8" w:color="DCE2EF"/>
            </w:tcBorders>
            <w:shd w:val="clear" w:color="auto" w:fill="DCE2E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1280" w:type="dxa"/>
            <w:vAlign w:val="bottom"/>
          </w:tcPr>
          <w:p>
            <w:pPr>
              <w:jc w:val="right"/>
              <w:ind w:right="674"/>
              <w:spacing w:after="0" w:line="180" w:lineRule="exact"/>
              <w:rPr>
                <w:sz w:val="20"/>
                <w:szCs w:val="20"/>
                <w:color w:val="auto"/>
              </w:rPr>
            </w:pPr>
            <w:r>
              <w:rPr>
                <w:rFonts w:ascii="Arial" w:cs="Arial" w:eastAsia="Arial" w:hAnsi="Arial"/>
                <w:sz w:val="17"/>
                <w:szCs w:val="17"/>
                <w:color w:val="auto"/>
              </w:rPr>
              <w:t>10.22*</w:t>
            </w:r>
          </w:p>
        </w:tc>
        <w:tc>
          <w:tcPr>
            <w:tcW w:w="20" w:type="dxa"/>
            <w:vAlign w:val="bottom"/>
          </w:tcPr>
          <w:p>
            <w:pPr>
              <w:spacing w:after="0"/>
              <w:rPr>
                <w:sz w:val="15"/>
                <w:szCs w:val="15"/>
                <w:color w:val="auto"/>
              </w:rPr>
            </w:pPr>
          </w:p>
        </w:tc>
        <w:tc>
          <w:tcPr>
            <w:tcW w:w="4540" w:type="dxa"/>
            <w:vAlign w:val="bottom"/>
            <w:gridSpan w:val="28"/>
          </w:tcPr>
          <w:p>
            <w:pPr>
              <w:spacing w:after="0" w:line="180" w:lineRule="exact"/>
              <w:rPr>
                <w:rFonts w:ascii="Arial" w:cs="Arial" w:eastAsia="Arial" w:hAnsi="Arial"/>
                <w:sz w:val="17"/>
                <w:szCs w:val="17"/>
                <w:color w:val="0000FF"/>
              </w:rPr>
            </w:pPr>
            <w:hyperlink r:id="rId193">
              <w:r>
                <w:rPr>
                  <w:rFonts w:ascii="Arial" w:cs="Arial" w:eastAsia="Arial" w:hAnsi="Arial"/>
                  <w:sz w:val="17"/>
                  <w:szCs w:val="17"/>
                  <w:color w:val="0000FF"/>
                </w:rPr>
                <w:t>Statement of Terms and Conditions Applicable to Options,</w:t>
              </w:r>
            </w:hyperlink>
          </w:p>
        </w:tc>
        <w:tc>
          <w:tcPr>
            <w:tcW w:w="860" w:type="dxa"/>
            <w:vAlign w:val="bottom"/>
          </w:tcPr>
          <w:p>
            <w:pPr>
              <w:ind w:left="260"/>
              <w:spacing w:after="0" w:line="180" w:lineRule="exact"/>
              <w:rPr>
                <w:sz w:val="20"/>
                <w:szCs w:val="20"/>
                <w:color w:val="auto"/>
              </w:rPr>
            </w:pPr>
            <w:r>
              <w:rPr>
                <w:rFonts w:ascii="Arial" w:cs="Arial" w:eastAsia="Arial" w:hAnsi="Arial"/>
                <w:sz w:val="17"/>
                <w:szCs w:val="17"/>
                <w:color w:val="auto"/>
              </w:rPr>
              <w:t>10-Q</w:t>
            </w:r>
          </w:p>
        </w:tc>
        <w:tc>
          <w:tcPr>
            <w:tcW w:w="1340" w:type="dxa"/>
            <w:vAlign w:val="bottom"/>
          </w:tcPr>
          <w:p>
            <w:pPr>
              <w:jc w:val="right"/>
              <w:ind w:right="194"/>
              <w:spacing w:after="0" w:line="180" w:lineRule="exact"/>
              <w:rPr>
                <w:sz w:val="20"/>
                <w:szCs w:val="20"/>
                <w:color w:val="auto"/>
              </w:rPr>
            </w:pPr>
            <w:r>
              <w:rPr>
                <w:rFonts w:ascii="Arial" w:cs="Arial" w:eastAsia="Arial" w:hAnsi="Arial"/>
                <w:sz w:val="17"/>
                <w:szCs w:val="17"/>
                <w:color w:val="auto"/>
              </w:rPr>
              <w:t>001-08929</w:t>
            </w:r>
          </w:p>
        </w:tc>
        <w:tc>
          <w:tcPr>
            <w:tcW w:w="1040" w:type="dxa"/>
            <w:vAlign w:val="bottom"/>
          </w:tcPr>
          <w:p>
            <w:pPr>
              <w:jc w:val="center"/>
              <w:spacing w:after="0" w:line="180" w:lineRule="exact"/>
              <w:rPr>
                <w:sz w:val="20"/>
                <w:szCs w:val="20"/>
                <w:color w:val="auto"/>
              </w:rPr>
            </w:pPr>
            <w:r>
              <w:rPr>
                <w:rFonts w:ascii="Arial" w:cs="Arial" w:eastAsia="Arial" w:hAnsi="Arial"/>
                <w:sz w:val="17"/>
                <w:szCs w:val="17"/>
                <w:color w:val="auto"/>
              </w:rPr>
              <w:t>10.2</w:t>
            </w:r>
          </w:p>
        </w:tc>
        <w:tc>
          <w:tcPr>
            <w:tcW w:w="2160" w:type="dxa"/>
            <w:vAlign w:val="bottom"/>
          </w:tcPr>
          <w:p>
            <w:pPr>
              <w:jc w:val="center"/>
              <w:spacing w:after="0" w:line="180" w:lineRule="exact"/>
              <w:rPr>
                <w:sz w:val="20"/>
                <w:szCs w:val="20"/>
                <w:color w:val="auto"/>
              </w:rPr>
            </w:pPr>
            <w:r>
              <w:rPr>
                <w:rFonts w:ascii="Arial" w:cs="Arial" w:eastAsia="Arial" w:hAnsi="Arial"/>
                <w:sz w:val="17"/>
                <w:szCs w:val="17"/>
                <w:color w:val="auto"/>
              </w:rPr>
              <w:t>March 5, 2020</w:t>
            </w:r>
          </w:p>
        </w:tc>
        <w:tc>
          <w:tcPr>
            <w:tcW w:w="0" w:type="dxa"/>
            <w:vAlign w:val="bottom"/>
          </w:tcPr>
          <w:p>
            <w:pPr>
              <w:spacing w:after="0"/>
              <w:rPr>
                <w:sz w:val="1"/>
                <w:szCs w:val="1"/>
                <w:color w:val="auto"/>
              </w:rPr>
            </w:pPr>
          </w:p>
        </w:tc>
      </w:tr>
      <w:tr>
        <w:trPr>
          <w:trHeight w:val="148"/>
        </w:trPr>
        <w:tc>
          <w:tcPr>
            <w:tcW w:w="1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0" w:type="dxa"/>
            <w:vAlign w:val="bottom"/>
            <w:tcBorders>
              <w:top w:val="single" w:sz="8" w:color="0000FF"/>
            </w:tcBorders>
            <w:gridSpan w:val="23"/>
          </w:tcPr>
          <w:p>
            <w:pPr>
              <w:spacing w:after="0" w:line="148" w:lineRule="exact"/>
              <w:rPr>
                <w:rFonts w:ascii="Arial" w:cs="Arial" w:eastAsia="Arial" w:hAnsi="Arial"/>
                <w:sz w:val="17"/>
                <w:szCs w:val="17"/>
                <w:color w:val="0000FF"/>
              </w:rPr>
            </w:pPr>
            <w:hyperlink r:id="rId193">
              <w:r>
                <w:rPr>
                  <w:rFonts w:ascii="Arial" w:cs="Arial" w:eastAsia="Arial" w:hAnsi="Arial"/>
                  <w:sz w:val="17"/>
                  <w:szCs w:val="17"/>
                  <w:color w:val="0000FF"/>
                </w:rPr>
                <w:t>Restricted Stock, and Restricted Stock Units Granted to</w:t>
              </w:r>
            </w:hyperlink>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20" w:type="dxa"/>
            <w:vAlign w:val="bottom"/>
            <w:tcBorders>
              <w:top w:val="single" w:sz="8" w:color="0000FF"/>
            </w:tcBorders>
            <w:gridSpan w:val="15"/>
          </w:tcPr>
          <w:p>
            <w:pPr>
              <w:spacing w:after="0" w:line="161" w:lineRule="exact"/>
              <w:rPr>
                <w:rFonts w:ascii="Arial" w:cs="Arial" w:eastAsia="Arial" w:hAnsi="Arial"/>
                <w:sz w:val="17"/>
                <w:szCs w:val="17"/>
                <w:color w:val="0000FF"/>
                <w:w w:val="99"/>
              </w:rPr>
            </w:pPr>
            <w:hyperlink r:id="rId193">
              <w:r>
                <w:rPr>
                  <w:rFonts w:ascii="Arial" w:cs="Arial" w:eastAsia="Arial" w:hAnsi="Arial"/>
                  <w:sz w:val="17"/>
                  <w:szCs w:val="17"/>
                  <w:color w:val="0000FF"/>
                  <w:w w:val="99"/>
                </w:rPr>
                <w:t>Directors Pursuant to the 2006 Equity Incentive Plan, for</w:t>
              </w:r>
            </w:hyperlink>
          </w:p>
        </w:tc>
        <w:tc>
          <w:tcPr>
            <w:tcW w:w="60" w:type="dxa"/>
            <w:vAlign w:val="bottom"/>
            <w:gridSpan w:val="2"/>
          </w:tcPr>
          <w:p>
            <w:pPr>
              <w:spacing w:after="0"/>
              <w:rPr>
                <w:sz w:val="13"/>
                <w:szCs w:val="13"/>
                <w:color w:val="auto"/>
              </w:rPr>
            </w:pPr>
          </w:p>
        </w:tc>
        <w:tc>
          <w:tcPr>
            <w:tcW w:w="100" w:type="dxa"/>
            <w:vAlign w:val="bottom"/>
            <w:gridSpan w:val="5"/>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300" w:type="dxa"/>
            <w:vAlign w:val="bottom"/>
            <w:tcBorders>
              <w:top w:val="single" w:sz="8" w:color="0000FF"/>
            </w:tcBorders>
            <w:gridSpan w:val="18"/>
          </w:tcPr>
          <w:p>
            <w:pPr>
              <w:spacing w:after="0" w:line="148" w:lineRule="exact"/>
              <w:rPr>
                <w:rFonts w:ascii="Arial" w:cs="Arial" w:eastAsia="Arial" w:hAnsi="Arial"/>
                <w:sz w:val="17"/>
                <w:szCs w:val="17"/>
                <w:color w:val="0000FF"/>
              </w:rPr>
            </w:pPr>
            <w:hyperlink r:id="rId193">
              <w:r>
                <w:rPr>
                  <w:rFonts w:ascii="Arial" w:cs="Arial" w:eastAsia="Arial" w:hAnsi="Arial"/>
                  <w:sz w:val="17"/>
                  <w:szCs w:val="17"/>
                  <w:color w:val="0000FF"/>
                </w:rPr>
                <w:t>Awards Granted on or after January 1, 2020</w:t>
              </w:r>
            </w:hyperlink>
          </w:p>
        </w:tc>
        <w:tc>
          <w:tcPr>
            <w:tcW w:w="80" w:type="dxa"/>
            <w:vAlign w:val="bottom"/>
            <w:gridSpan w:val="4"/>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
        </w:trPr>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1140" w:type="dxa"/>
            <w:vAlign w:val="bottom"/>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86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1280" w:type="dxa"/>
            <w:vAlign w:val="bottom"/>
            <w:shd w:val="clear" w:color="auto" w:fill="DCE2EF"/>
          </w:tcPr>
          <w:p>
            <w:pPr>
              <w:jc w:val="right"/>
              <w:ind w:right="674"/>
              <w:spacing w:after="0" w:line="190" w:lineRule="exact"/>
              <w:rPr>
                <w:sz w:val="20"/>
                <w:szCs w:val="20"/>
                <w:color w:val="auto"/>
              </w:rPr>
            </w:pPr>
            <w:r>
              <w:rPr>
                <w:rFonts w:ascii="Arial" w:cs="Arial" w:eastAsia="Arial" w:hAnsi="Arial"/>
                <w:sz w:val="17"/>
                <w:szCs w:val="17"/>
                <w:color w:val="auto"/>
              </w:rPr>
              <w:t>10.23*</w:t>
            </w:r>
          </w:p>
        </w:tc>
        <w:tc>
          <w:tcPr>
            <w:tcW w:w="20" w:type="dxa"/>
            <w:vAlign w:val="bottom"/>
            <w:shd w:val="clear" w:color="auto" w:fill="DCE2EF"/>
          </w:tcPr>
          <w:p>
            <w:pPr>
              <w:spacing w:after="0"/>
              <w:rPr>
                <w:sz w:val="16"/>
                <w:szCs w:val="16"/>
                <w:color w:val="auto"/>
              </w:rPr>
            </w:pPr>
          </w:p>
        </w:tc>
        <w:tc>
          <w:tcPr>
            <w:tcW w:w="4540" w:type="dxa"/>
            <w:vAlign w:val="bottom"/>
            <w:gridSpan w:val="28"/>
            <w:shd w:val="clear" w:color="auto" w:fill="DCE2EF"/>
          </w:tcPr>
          <w:p>
            <w:pPr>
              <w:spacing w:after="0" w:line="190" w:lineRule="exact"/>
              <w:rPr>
                <w:rFonts w:ascii="Arial" w:cs="Arial" w:eastAsia="Arial" w:hAnsi="Arial"/>
                <w:sz w:val="17"/>
                <w:szCs w:val="17"/>
                <w:color w:val="0000FF"/>
              </w:rPr>
            </w:pPr>
            <w:hyperlink r:id="rId194">
              <w:r>
                <w:rPr>
                  <w:rFonts w:ascii="Arial" w:cs="Arial" w:eastAsia="Arial" w:hAnsi="Arial"/>
                  <w:sz w:val="17"/>
                  <w:szCs w:val="17"/>
                  <w:color w:val="0000FF"/>
                </w:rPr>
                <w:t>Statement of Terms and Conditions Applicable to Awards</w:t>
              </w:r>
            </w:hyperlink>
          </w:p>
        </w:tc>
        <w:tc>
          <w:tcPr>
            <w:tcW w:w="860" w:type="dxa"/>
            <w:vAlign w:val="bottom"/>
            <w:shd w:val="clear" w:color="auto" w:fill="DCE2EF"/>
          </w:tcPr>
          <w:p>
            <w:pPr>
              <w:ind w:left="260"/>
              <w:spacing w:after="0" w:line="190" w:lineRule="exact"/>
              <w:rPr>
                <w:sz w:val="20"/>
                <w:szCs w:val="20"/>
                <w:color w:val="auto"/>
              </w:rPr>
            </w:pPr>
            <w:r>
              <w:rPr>
                <w:rFonts w:ascii="Arial" w:cs="Arial" w:eastAsia="Arial" w:hAnsi="Arial"/>
                <w:sz w:val="17"/>
                <w:szCs w:val="17"/>
                <w:color w:val="auto"/>
              </w:rPr>
              <w:t>10-Q</w:t>
            </w:r>
          </w:p>
        </w:tc>
        <w:tc>
          <w:tcPr>
            <w:tcW w:w="1340" w:type="dxa"/>
            <w:vAlign w:val="bottom"/>
            <w:shd w:val="clear" w:color="auto" w:fill="DCE2EF"/>
          </w:tcPr>
          <w:p>
            <w:pPr>
              <w:jc w:val="right"/>
              <w:ind w:right="194"/>
              <w:spacing w:after="0" w:line="190" w:lineRule="exact"/>
              <w:rPr>
                <w:sz w:val="20"/>
                <w:szCs w:val="20"/>
                <w:color w:val="auto"/>
              </w:rPr>
            </w:pPr>
            <w:r>
              <w:rPr>
                <w:rFonts w:ascii="Arial" w:cs="Arial" w:eastAsia="Arial" w:hAnsi="Arial"/>
                <w:sz w:val="17"/>
                <w:szCs w:val="17"/>
                <w:color w:val="auto"/>
              </w:rPr>
              <w:t>008-08929</w:t>
            </w:r>
          </w:p>
        </w:tc>
        <w:tc>
          <w:tcPr>
            <w:tcW w:w="1040" w:type="dxa"/>
            <w:vAlign w:val="bottom"/>
            <w:shd w:val="clear" w:color="auto" w:fill="DCE2EF"/>
          </w:tcPr>
          <w:p>
            <w:pPr>
              <w:jc w:val="center"/>
              <w:spacing w:after="0" w:line="190" w:lineRule="exact"/>
              <w:rPr>
                <w:sz w:val="20"/>
                <w:szCs w:val="20"/>
                <w:color w:val="auto"/>
              </w:rPr>
            </w:pPr>
            <w:r>
              <w:rPr>
                <w:rFonts w:ascii="Arial" w:cs="Arial" w:eastAsia="Arial" w:hAnsi="Arial"/>
                <w:sz w:val="17"/>
                <w:szCs w:val="17"/>
                <w:color w:val="auto"/>
              </w:rPr>
              <w:t>10.2</w:t>
            </w:r>
          </w:p>
        </w:tc>
        <w:tc>
          <w:tcPr>
            <w:tcW w:w="2160" w:type="dxa"/>
            <w:vAlign w:val="bottom"/>
            <w:shd w:val="clear" w:color="auto" w:fill="DCE2EF"/>
          </w:tcPr>
          <w:p>
            <w:pPr>
              <w:jc w:val="center"/>
              <w:spacing w:after="0" w:line="190" w:lineRule="exact"/>
              <w:rPr>
                <w:sz w:val="20"/>
                <w:szCs w:val="20"/>
                <w:color w:val="auto"/>
              </w:rPr>
            </w:pPr>
            <w:r>
              <w:rPr>
                <w:rFonts w:ascii="Arial" w:cs="Arial" w:eastAsia="Arial" w:hAnsi="Arial"/>
                <w:sz w:val="17"/>
                <w:szCs w:val="17"/>
                <w:color w:val="auto"/>
              </w:rPr>
              <w:t>June 9, 2021</w:t>
            </w:r>
          </w:p>
        </w:tc>
        <w:tc>
          <w:tcPr>
            <w:tcW w:w="0" w:type="dxa"/>
            <w:vAlign w:val="bottom"/>
          </w:tcPr>
          <w:p>
            <w:pPr>
              <w:spacing w:after="0"/>
              <w:rPr>
                <w:sz w:val="1"/>
                <w:szCs w:val="1"/>
                <w:color w:val="auto"/>
              </w:rPr>
            </w:pPr>
          </w:p>
        </w:tc>
      </w:tr>
      <w:tr>
        <w:trPr>
          <w:trHeight w:val="173"/>
        </w:trPr>
        <w:tc>
          <w:tcPr>
            <w:tcW w:w="1280" w:type="dxa"/>
            <w:vAlign w:val="bottom"/>
            <w:tcBorders>
              <w:top w:val="single" w:sz="8" w:color="DCE2EF"/>
              <w:bottom w:val="single" w:sz="8" w:color="DCE2EF"/>
            </w:tcBorders>
            <w:shd w:val="clear" w:color="auto" w:fill="DCE2EF"/>
          </w:tcPr>
          <w:p>
            <w:pPr>
              <w:spacing w:after="0"/>
              <w:rPr>
                <w:sz w:val="15"/>
                <w:szCs w:val="15"/>
                <w:color w:val="auto"/>
              </w:rPr>
            </w:pPr>
          </w:p>
        </w:tc>
        <w:tc>
          <w:tcPr>
            <w:tcW w:w="20" w:type="dxa"/>
            <w:vAlign w:val="bottom"/>
            <w:tcBorders>
              <w:top w:val="single" w:sz="8" w:color="DCE2EF"/>
              <w:bottom w:val="single" w:sz="8" w:color="DCE2EF"/>
            </w:tcBorders>
            <w:shd w:val="clear" w:color="auto" w:fill="DCE2EF"/>
          </w:tcPr>
          <w:p>
            <w:pPr>
              <w:spacing w:after="0"/>
              <w:rPr>
                <w:sz w:val="15"/>
                <w:szCs w:val="15"/>
                <w:color w:val="auto"/>
              </w:rPr>
            </w:pPr>
          </w:p>
        </w:tc>
        <w:tc>
          <w:tcPr>
            <w:tcW w:w="4340" w:type="dxa"/>
            <w:vAlign w:val="bottom"/>
            <w:tcBorders>
              <w:top w:val="single" w:sz="8" w:color="0000FF"/>
              <w:bottom w:val="single" w:sz="8" w:color="0000FF"/>
            </w:tcBorders>
            <w:gridSpan w:val="20"/>
            <w:shd w:val="clear" w:color="auto" w:fill="DCE2EF"/>
          </w:tcPr>
          <w:p>
            <w:pPr>
              <w:spacing w:after="0" w:line="173" w:lineRule="exact"/>
              <w:rPr>
                <w:rFonts w:ascii="Arial" w:cs="Arial" w:eastAsia="Arial" w:hAnsi="Arial"/>
                <w:sz w:val="17"/>
                <w:szCs w:val="17"/>
                <w:color w:val="0000FF"/>
                <w:w w:val="99"/>
              </w:rPr>
            </w:pPr>
            <w:hyperlink r:id="rId194">
              <w:r>
                <w:rPr>
                  <w:rFonts w:ascii="Arial" w:cs="Arial" w:eastAsia="Arial" w:hAnsi="Arial"/>
                  <w:sz w:val="17"/>
                  <w:szCs w:val="17"/>
                  <w:color w:val="0000FF"/>
                  <w:w w:val="99"/>
                </w:rPr>
                <w:t>Granted to Non-Employee Directors Pursuant to the 2021</w:t>
              </w:r>
            </w:hyperlink>
          </w:p>
        </w:tc>
        <w:tc>
          <w:tcPr>
            <w:tcW w:w="40" w:type="dxa"/>
            <w:vAlign w:val="bottom"/>
            <w:tcBorders>
              <w:top w:val="single" w:sz="8" w:color="DCE2EF"/>
              <w:bottom w:val="single" w:sz="8" w:color="0000FF"/>
            </w:tcBorders>
            <w:gridSpan w:val="2"/>
            <w:shd w:val="clear" w:color="auto" w:fill="DCE2EF"/>
          </w:tcPr>
          <w:p>
            <w:pPr>
              <w:spacing w:after="0"/>
              <w:rPr>
                <w:sz w:val="15"/>
                <w:szCs w:val="15"/>
                <w:color w:val="auto"/>
              </w:rPr>
            </w:pPr>
          </w:p>
        </w:tc>
        <w:tc>
          <w:tcPr>
            <w:tcW w:w="40" w:type="dxa"/>
            <w:vAlign w:val="bottom"/>
            <w:tcBorders>
              <w:top w:val="single" w:sz="8" w:color="DCE2EF"/>
              <w:bottom w:val="single" w:sz="8" w:color="DCE2EF"/>
            </w:tcBorders>
            <w:gridSpan w:val="2"/>
            <w:shd w:val="clear" w:color="auto" w:fill="DCE2EF"/>
          </w:tcPr>
          <w:p>
            <w:pPr>
              <w:spacing w:after="0"/>
              <w:rPr>
                <w:sz w:val="15"/>
                <w:szCs w:val="15"/>
                <w:color w:val="auto"/>
              </w:rPr>
            </w:pPr>
          </w:p>
        </w:tc>
        <w:tc>
          <w:tcPr>
            <w:tcW w:w="60" w:type="dxa"/>
            <w:vAlign w:val="bottom"/>
            <w:tcBorders>
              <w:top w:val="single" w:sz="8" w:color="DCE2EF"/>
              <w:bottom w:val="single" w:sz="8" w:color="DCE2EF"/>
            </w:tcBorders>
            <w:shd w:val="clear" w:color="auto" w:fill="DCE2EF"/>
          </w:tcPr>
          <w:p>
            <w:pPr>
              <w:spacing w:after="0"/>
              <w:rPr>
                <w:sz w:val="15"/>
                <w:szCs w:val="15"/>
                <w:color w:val="auto"/>
              </w:rPr>
            </w:pPr>
          </w:p>
        </w:tc>
        <w:tc>
          <w:tcPr>
            <w:tcW w:w="40" w:type="dxa"/>
            <w:vAlign w:val="bottom"/>
            <w:tcBorders>
              <w:top w:val="single" w:sz="8" w:color="DCE2EF"/>
              <w:bottom w:val="single" w:sz="8" w:color="DCE2EF"/>
            </w:tcBorders>
            <w:gridSpan w:val="2"/>
            <w:shd w:val="clear" w:color="auto" w:fill="DCE2EF"/>
          </w:tcPr>
          <w:p>
            <w:pPr>
              <w:spacing w:after="0"/>
              <w:rPr>
                <w:sz w:val="15"/>
                <w:szCs w:val="15"/>
                <w:color w:val="auto"/>
              </w:rPr>
            </w:pPr>
          </w:p>
        </w:tc>
        <w:tc>
          <w:tcPr>
            <w:tcW w:w="20" w:type="dxa"/>
            <w:vAlign w:val="bottom"/>
            <w:tcBorders>
              <w:top w:val="single" w:sz="8" w:color="DCE2EF"/>
              <w:bottom w:val="single" w:sz="8" w:color="DCE2EF"/>
            </w:tcBorders>
            <w:shd w:val="clear" w:color="auto" w:fill="DCE2EF"/>
          </w:tcPr>
          <w:p>
            <w:pPr>
              <w:spacing w:after="0"/>
              <w:rPr>
                <w:sz w:val="15"/>
                <w:szCs w:val="15"/>
                <w:color w:val="auto"/>
              </w:rPr>
            </w:pPr>
          </w:p>
        </w:tc>
        <w:tc>
          <w:tcPr>
            <w:tcW w:w="860" w:type="dxa"/>
            <w:vAlign w:val="bottom"/>
            <w:tcBorders>
              <w:top w:val="single" w:sz="8" w:color="DCE2EF"/>
              <w:bottom w:val="single" w:sz="8" w:color="DCE2EF"/>
            </w:tcBorders>
            <w:shd w:val="clear" w:color="auto" w:fill="DCE2EF"/>
          </w:tcPr>
          <w:p>
            <w:pPr>
              <w:spacing w:after="0"/>
              <w:rPr>
                <w:sz w:val="15"/>
                <w:szCs w:val="15"/>
                <w:color w:val="auto"/>
              </w:rPr>
            </w:pPr>
          </w:p>
        </w:tc>
        <w:tc>
          <w:tcPr>
            <w:tcW w:w="1340" w:type="dxa"/>
            <w:vAlign w:val="bottom"/>
            <w:tcBorders>
              <w:top w:val="single" w:sz="8" w:color="DCE2EF"/>
              <w:bottom w:val="single" w:sz="8" w:color="DCE2EF"/>
            </w:tcBorders>
            <w:shd w:val="clear" w:color="auto" w:fill="DCE2EF"/>
          </w:tcPr>
          <w:p>
            <w:pPr>
              <w:spacing w:after="0"/>
              <w:rPr>
                <w:sz w:val="15"/>
                <w:szCs w:val="15"/>
                <w:color w:val="auto"/>
              </w:rPr>
            </w:pPr>
          </w:p>
        </w:tc>
        <w:tc>
          <w:tcPr>
            <w:tcW w:w="1040" w:type="dxa"/>
            <w:vAlign w:val="bottom"/>
            <w:tcBorders>
              <w:top w:val="single" w:sz="8" w:color="DCE2EF"/>
              <w:bottom w:val="single" w:sz="8" w:color="DCE2EF"/>
            </w:tcBorders>
            <w:shd w:val="clear" w:color="auto" w:fill="DCE2EF"/>
          </w:tcPr>
          <w:p>
            <w:pPr>
              <w:spacing w:after="0"/>
              <w:rPr>
                <w:sz w:val="15"/>
                <w:szCs w:val="15"/>
                <w:color w:val="auto"/>
              </w:rPr>
            </w:pPr>
          </w:p>
        </w:tc>
        <w:tc>
          <w:tcPr>
            <w:tcW w:w="2160" w:type="dxa"/>
            <w:vAlign w:val="bottom"/>
            <w:tcBorders>
              <w:top w:val="single" w:sz="8" w:color="DCE2EF"/>
              <w:bottom w:val="single" w:sz="8" w:color="DCE2EF"/>
            </w:tcBorders>
            <w:shd w:val="clear" w:color="auto" w:fill="DCE2EF"/>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1280" w:type="dxa"/>
            <w:vAlign w:val="bottom"/>
            <w:tcBorders>
              <w:bottom w:val="single" w:sz="8" w:color="DCE2EF"/>
            </w:tcBorders>
            <w:shd w:val="clear" w:color="auto" w:fill="DCE2EF"/>
          </w:tcPr>
          <w:p>
            <w:pPr>
              <w:spacing w:after="0"/>
              <w:rPr>
                <w:sz w:val="18"/>
                <w:szCs w:val="18"/>
                <w:color w:val="auto"/>
              </w:rPr>
            </w:pPr>
          </w:p>
        </w:tc>
        <w:tc>
          <w:tcPr>
            <w:tcW w:w="20" w:type="dxa"/>
            <w:vAlign w:val="bottom"/>
            <w:tcBorders>
              <w:bottom w:val="single" w:sz="8" w:color="DCE2EF"/>
            </w:tcBorders>
            <w:shd w:val="clear" w:color="auto" w:fill="DCE2EF"/>
          </w:tcPr>
          <w:p>
            <w:pPr>
              <w:spacing w:after="0"/>
              <w:rPr>
                <w:sz w:val="18"/>
                <w:szCs w:val="18"/>
                <w:color w:val="auto"/>
              </w:rPr>
            </w:pPr>
          </w:p>
        </w:tc>
        <w:tc>
          <w:tcPr>
            <w:tcW w:w="3100" w:type="dxa"/>
            <w:vAlign w:val="bottom"/>
            <w:tcBorders>
              <w:bottom w:val="single" w:sz="8" w:color="0000FF"/>
            </w:tcBorders>
            <w:gridSpan w:val="7"/>
            <w:shd w:val="clear" w:color="auto" w:fill="DCE2EF"/>
          </w:tcPr>
          <w:p>
            <w:pPr>
              <w:spacing w:after="0" w:line="173" w:lineRule="exact"/>
              <w:rPr>
                <w:rFonts w:ascii="Arial" w:cs="Arial" w:eastAsia="Arial" w:hAnsi="Arial"/>
                <w:sz w:val="17"/>
                <w:szCs w:val="17"/>
                <w:color w:val="0000FF"/>
              </w:rPr>
            </w:pPr>
            <w:hyperlink r:id="rId194">
              <w:r>
                <w:rPr>
                  <w:rFonts w:ascii="Arial" w:cs="Arial" w:eastAsia="Arial" w:hAnsi="Arial"/>
                  <w:sz w:val="17"/>
                  <w:szCs w:val="17"/>
                  <w:color w:val="0000FF"/>
                </w:rPr>
                <w:t>Equity and Incentive Compensation Plan</w:t>
              </w:r>
            </w:hyperlink>
          </w:p>
        </w:tc>
        <w:tc>
          <w:tcPr>
            <w:tcW w:w="1280" w:type="dxa"/>
            <w:vAlign w:val="bottom"/>
            <w:tcBorders>
              <w:bottom w:val="single" w:sz="8" w:color="DCE2EF"/>
            </w:tcBorders>
            <w:gridSpan w:val="15"/>
            <w:shd w:val="clear" w:color="auto" w:fill="DCE2EF"/>
          </w:tcPr>
          <w:p>
            <w:pPr>
              <w:spacing w:after="0"/>
              <w:rPr>
                <w:sz w:val="18"/>
                <w:szCs w:val="18"/>
                <w:color w:val="auto"/>
              </w:rPr>
            </w:pPr>
          </w:p>
        </w:tc>
        <w:tc>
          <w:tcPr>
            <w:tcW w:w="40" w:type="dxa"/>
            <w:vAlign w:val="bottom"/>
            <w:tcBorders>
              <w:bottom w:val="single" w:sz="8" w:color="DCE2EF"/>
            </w:tcBorders>
            <w:gridSpan w:val="2"/>
            <w:shd w:val="clear" w:color="auto" w:fill="DCE2EF"/>
          </w:tcPr>
          <w:p>
            <w:pPr>
              <w:spacing w:after="0"/>
              <w:rPr>
                <w:sz w:val="18"/>
                <w:szCs w:val="18"/>
                <w:color w:val="auto"/>
              </w:rPr>
            </w:pPr>
          </w:p>
        </w:tc>
        <w:tc>
          <w:tcPr>
            <w:tcW w:w="60" w:type="dxa"/>
            <w:vAlign w:val="bottom"/>
            <w:tcBorders>
              <w:bottom w:val="single" w:sz="8" w:color="DCE2EF"/>
            </w:tcBorders>
            <w:shd w:val="clear" w:color="auto" w:fill="DCE2EF"/>
          </w:tcPr>
          <w:p>
            <w:pPr>
              <w:spacing w:after="0"/>
              <w:rPr>
                <w:sz w:val="18"/>
                <w:szCs w:val="18"/>
                <w:color w:val="auto"/>
              </w:rPr>
            </w:pPr>
          </w:p>
        </w:tc>
        <w:tc>
          <w:tcPr>
            <w:tcW w:w="40" w:type="dxa"/>
            <w:vAlign w:val="bottom"/>
            <w:tcBorders>
              <w:bottom w:val="single" w:sz="8" w:color="DCE2EF"/>
            </w:tcBorders>
            <w:gridSpan w:val="2"/>
            <w:shd w:val="clear" w:color="auto" w:fill="DCE2EF"/>
          </w:tcPr>
          <w:p>
            <w:pPr>
              <w:spacing w:after="0"/>
              <w:rPr>
                <w:sz w:val="18"/>
                <w:szCs w:val="18"/>
                <w:color w:val="auto"/>
              </w:rPr>
            </w:pPr>
          </w:p>
        </w:tc>
        <w:tc>
          <w:tcPr>
            <w:tcW w:w="20" w:type="dxa"/>
            <w:vAlign w:val="bottom"/>
            <w:tcBorders>
              <w:bottom w:val="single" w:sz="8" w:color="DCE2EF"/>
            </w:tcBorders>
            <w:shd w:val="clear" w:color="auto" w:fill="DCE2EF"/>
          </w:tcPr>
          <w:p>
            <w:pPr>
              <w:spacing w:after="0"/>
              <w:rPr>
                <w:sz w:val="18"/>
                <w:szCs w:val="18"/>
                <w:color w:val="auto"/>
              </w:rPr>
            </w:pPr>
          </w:p>
        </w:tc>
        <w:tc>
          <w:tcPr>
            <w:tcW w:w="860" w:type="dxa"/>
            <w:vAlign w:val="bottom"/>
            <w:tcBorders>
              <w:bottom w:val="single" w:sz="8" w:color="DCE2EF"/>
            </w:tcBorders>
            <w:shd w:val="clear" w:color="auto" w:fill="DCE2EF"/>
          </w:tcPr>
          <w:p>
            <w:pPr>
              <w:spacing w:after="0"/>
              <w:rPr>
                <w:sz w:val="18"/>
                <w:szCs w:val="18"/>
                <w:color w:val="auto"/>
              </w:rPr>
            </w:pPr>
          </w:p>
        </w:tc>
        <w:tc>
          <w:tcPr>
            <w:tcW w:w="1340" w:type="dxa"/>
            <w:vAlign w:val="bottom"/>
            <w:tcBorders>
              <w:bottom w:val="single" w:sz="8" w:color="DCE2EF"/>
            </w:tcBorders>
            <w:shd w:val="clear" w:color="auto" w:fill="DCE2EF"/>
          </w:tcPr>
          <w:p>
            <w:pPr>
              <w:spacing w:after="0"/>
              <w:rPr>
                <w:sz w:val="18"/>
                <w:szCs w:val="18"/>
                <w:color w:val="auto"/>
              </w:rPr>
            </w:pPr>
          </w:p>
        </w:tc>
        <w:tc>
          <w:tcPr>
            <w:tcW w:w="1040" w:type="dxa"/>
            <w:vAlign w:val="bottom"/>
            <w:tcBorders>
              <w:bottom w:val="single" w:sz="8" w:color="DCE2EF"/>
            </w:tcBorders>
            <w:shd w:val="clear" w:color="auto" w:fill="DCE2EF"/>
          </w:tcPr>
          <w:p>
            <w:pPr>
              <w:spacing w:after="0"/>
              <w:rPr>
                <w:sz w:val="18"/>
                <w:szCs w:val="18"/>
                <w:color w:val="auto"/>
              </w:rPr>
            </w:pPr>
          </w:p>
        </w:tc>
        <w:tc>
          <w:tcPr>
            <w:tcW w:w="2160" w:type="dxa"/>
            <w:vAlign w:val="bottom"/>
            <w:tcBorders>
              <w:bottom w:val="single" w:sz="8" w:color="DCE2EF"/>
            </w:tcBorders>
            <w:shd w:val="clear" w:color="auto" w:fill="DCE2EF"/>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1280" w:type="dxa"/>
            <w:vAlign w:val="bottom"/>
          </w:tcPr>
          <w:p>
            <w:pPr>
              <w:jc w:val="right"/>
              <w:ind w:right="674"/>
              <w:spacing w:after="0" w:line="180" w:lineRule="exact"/>
              <w:rPr>
                <w:sz w:val="20"/>
                <w:szCs w:val="20"/>
                <w:color w:val="auto"/>
              </w:rPr>
            </w:pPr>
            <w:r>
              <w:rPr>
                <w:rFonts w:ascii="Arial" w:cs="Arial" w:eastAsia="Arial" w:hAnsi="Arial"/>
                <w:sz w:val="17"/>
                <w:szCs w:val="17"/>
                <w:color w:val="auto"/>
              </w:rPr>
              <w:t>10.24*</w:t>
            </w:r>
          </w:p>
        </w:tc>
        <w:tc>
          <w:tcPr>
            <w:tcW w:w="20" w:type="dxa"/>
            <w:vAlign w:val="bottom"/>
          </w:tcPr>
          <w:p>
            <w:pPr>
              <w:spacing w:after="0"/>
              <w:rPr>
                <w:sz w:val="15"/>
                <w:szCs w:val="15"/>
                <w:color w:val="auto"/>
              </w:rPr>
            </w:pPr>
          </w:p>
        </w:tc>
        <w:tc>
          <w:tcPr>
            <w:tcW w:w="4540" w:type="dxa"/>
            <w:vAlign w:val="bottom"/>
            <w:gridSpan w:val="28"/>
          </w:tcPr>
          <w:p>
            <w:pPr>
              <w:spacing w:after="0" w:line="180" w:lineRule="exact"/>
              <w:rPr>
                <w:rFonts w:ascii="Arial" w:cs="Arial" w:eastAsia="Arial" w:hAnsi="Arial"/>
                <w:sz w:val="17"/>
                <w:szCs w:val="17"/>
                <w:color w:val="0000FF"/>
              </w:rPr>
            </w:pPr>
            <w:hyperlink r:id="rId195">
              <w:r>
                <w:rPr>
                  <w:rFonts w:ascii="Arial" w:cs="Arial" w:eastAsia="Arial" w:hAnsi="Arial"/>
                  <w:sz w:val="17"/>
                  <w:szCs w:val="17"/>
                  <w:color w:val="0000FF"/>
                </w:rPr>
                <w:t>Form of Restricted Stock Unit Agreement - 2006 Equity</w:t>
              </w:r>
            </w:hyperlink>
          </w:p>
        </w:tc>
        <w:tc>
          <w:tcPr>
            <w:tcW w:w="860" w:type="dxa"/>
            <w:vAlign w:val="bottom"/>
          </w:tcPr>
          <w:p>
            <w:pPr>
              <w:ind w:left="260"/>
              <w:spacing w:after="0" w:line="180" w:lineRule="exact"/>
              <w:rPr>
                <w:sz w:val="20"/>
                <w:szCs w:val="20"/>
                <w:color w:val="auto"/>
              </w:rPr>
            </w:pPr>
            <w:r>
              <w:rPr>
                <w:rFonts w:ascii="Arial" w:cs="Arial" w:eastAsia="Arial" w:hAnsi="Arial"/>
                <w:sz w:val="17"/>
                <w:szCs w:val="17"/>
                <w:color w:val="auto"/>
              </w:rPr>
              <w:t>10-K</w:t>
            </w:r>
          </w:p>
        </w:tc>
        <w:tc>
          <w:tcPr>
            <w:tcW w:w="1340" w:type="dxa"/>
            <w:vAlign w:val="bottom"/>
          </w:tcPr>
          <w:p>
            <w:pPr>
              <w:jc w:val="right"/>
              <w:ind w:right="194"/>
              <w:spacing w:after="0" w:line="180" w:lineRule="exact"/>
              <w:rPr>
                <w:sz w:val="20"/>
                <w:szCs w:val="20"/>
                <w:color w:val="auto"/>
              </w:rPr>
            </w:pPr>
            <w:r>
              <w:rPr>
                <w:rFonts w:ascii="Arial" w:cs="Arial" w:eastAsia="Arial" w:hAnsi="Arial"/>
                <w:sz w:val="17"/>
                <w:szCs w:val="17"/>
                <w:color w:val="auto"/>
              </w:rPr>
              <w:t>001-08929</w:t>
            </w:r>
          </w:p>
        </w:tc>
        <w:tc>
          <w:tcPr>
            <w:tcW w:w="1040" w:type="dxa"/>
            <w:vAlign w:val="bottom"/>
          </w:tcPr>
          <w:p>
            <w:pPr>
              <w:jc w:val="center"/>
              <w:spacing w:after="0" w:line="180" w:lineRule="exact"/>
              <w:rPr>
                <w:sz w:val="20"/>
                <w:szCs w:val="20"/>
                <w:color w:val="auto"/>
              </w:rPr>
            </w:pPr>
            <w:r>
              <w:rPr>
                <w:rFonts w:ascii="Arial" w:cs="Arial" w:eastAsia="Arial" w:hAnsi="Arial"/>
                <w:sz w:val="17"/>
                <w:szCs w:val="17"/>
                <w:color w:val="auto"/>
              </w:rPr>
              <w:t>10.18</w:t>
            </w:r>
          </w:p>
        </w:tc>
        <w:tc>
          <w:tcPr>
            <w:tcW w:w="2160" w:type="dxa"/>
            <w:vAlign w:val="bottom"/>
          </w:tcPr>
          <w:p>
            <w:pPr>
              <w:jc w:val="center"/>
              <w:spacing w:after="0" w:line="180" w:lineRule="exact"/>
              <w:rPr>
                <w:sz w:val="20"/>
                <w:szCs w:val="20"/>
                <w:color w:val="auto"/>
              </w:rPr>
            </w:pPr>
            <w:r>
              <w:rPr>
                <w:rFonts w:ascii="Arial" w:cs="Arial" w:eastAsia="Arial" w:hAnsi="Arial"/>
                <w:sz w:val="17"/>
                <w:szCs w:val="17"/>
                <w:color w:val="auto"/>
              </w:rPr>
              <w:t>December 20, 2019</w:t>
            </w:r>
          </w:p>
        </w:tc>
        <w:tc>
          <w:tcPr>
            <w:tcW w:w="0" w:type="dxa"/>
            <w:vAlign w:val="bottom"/>
          </w:tcPr>
          <w:p>
            <w:pPr>
              <w:spacing w:after="0"/>
              <w:rPr>
                <w:sz w:val="1"/>
                <w:szCs w:val="1"/>
                <w:color w:val="auto"/>
              </w:rPr>
            </w:pPr>
          </w:p>
        </w:tc>
      </w:tr>
      <w:tr>
        <w:trPr>
          <w:trHeight w:val="148"/>
        </w:trPr>
        <w:tc>
          <w:tcPr>
            <w:tcW w:w="1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180" w:type="dxa"/>
            <w:vAlign w:val="bottom"/>
            <w:tcBorders>
              <w:top w:val="single" w:sz="8" w:color="0000FF"/>
            </w:tcBorders>
            <w:gridSpan w:val="13"/>
          </w:tcPr>
          <w:p>
            <w:pPr>
              <w:spacing w:after="0" w:line="148" w:lineRule="exact"/>
              <w:rPr>
                <w:rFonts w:ascii="Arial" w:cs="Arial" w:eastAsia="Arial" w:hAnsi="Arial"/>
                <w:sz w:val="17"/>
                <w:szCs w:val="17"/>
                <w:color w:val="0000FF"/>
              </w:rPr>
            </w:pPr>
            <w:hyperlink r:id="rId195">
              <w:r>
                <w:rPr>
                  <w:rFonts w:ascii="Arial" w:cs="Arial" w:eastAsia="Arial" w:hAnsi="Arial"/>
                  <w:sz w:val="17"/>
                  <w:szCs w:val="17"/>
                  <w:color w:val="0000FF"/>
                </w:rPr>
                <w:t>Plan</w:t>
              </w:r>
            </w:hyperlink>
          </w:p>
        </w:tc>
        <w:tc>
          <w:tcPr>
            <w:tcW w:w="100" w:type="dxa"/>
            <w:vAlign w:val="bottom"/>
            <w:gridSpan w:val="4"/>
          </w:tcPr>
          <w:p>
            <w:pPr>
              <w:spacing w:after="0"/>
              <w:rPr>
                <w:sz w:val="12"/>
                <w:szCs w:val="12"/>
                <w:color w:val="auto"/>
              </w:rPr>
            </w:pPr>
          </w:p>
        </w:tc>
        <w:tc>
          <w:tcPr>
            <w:tcW w:w="140" w:type="dxa"/>
            <w:vAlign w:val="bottom"/>
            <w:gridSpan w:val="7"/>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1280" w:type="dxa"/>
            <w:vAlign w:val="bottom"/>
            <w:shd w:val="clear" w:color="auto" w:fill="DCE2EF"/>
          </w:tcPr>
          <w:p>
            <w:pPr>
              <w:jc w:val="right"/>
              <w:ind w:right="674"/>
              <w:spacing w:after="0" w:line="180" w:lineRule="exact"/>
              <w:rPr>
                <w:sz w:val="20"/>
                <w:szCs w:val="20"/>
                <w:color w:val="auto"/>
              </w:rPr>
            </w:pPr>
            <w:r>
              <w:rPr>
                <w:rFonts w:ascii="Arial" w:cs="Arial" w:eastAsia="Arial" w:hAnsi="Arial"/>
                <w:sz w:val="17"/>
                <w:szCs w:val="17"/>
                <w:color w:val="auto"/>
              </w:rPr>
              <w:t>10.25*</w:t>
            </w:r>
          </w:p>
        </w:tc>
        <w:tc>
          <w:tcPr>
            <w:tcW w:w="20" w:type="dxa"/>
            <w:vAlign w:val="bottom"/>
            <w:shd w:val="clear" w:color="auto" w:fill="DCE2EF"/>
          </w:tcPr>
          <w:p>
            <w:pPr>
              <w:spacing w:after="0"/>
              <w:rPr>
                <w:sz w:val="15"/>
                <w:szCs w:val="15"/>
                <w:color w:val="auto"/>
              </w:rPr>
            </w:pPr>
          </w:p>
        </w:tc>
        <w:tc>
          <w:tcPr>
            <w:tcW w:w="4540" w:type="dxa"/>
            <w:vAlign w:val="bottom"/>
            <w:gridSpan w:val="28"/>
            <w:shd w:val="clear" w:color="auto" w:fill="DCE2EF"/>
          </w:tcPr>
          <w:p>
            <w:pPr>
              <w:spacing w:after="0" w:line="180" w:lineRule="exact"/>
              <w:rPr>
                <w:rFonts w:ascii="Arial" w:cs="Arial" w:eastAsia="Arial" w:hAnsi="Arial"/>
                <w:sz w:val="17"/>
                <w:szCs w:val="17"/>
                <w:color w:val="0000FF"/>
              </w:rPr>
            </w:pPr>
            <w:hyperlink r:id="rId196">
              <w:r>
                <w:rPr>
                  <w:rFonts w:ascii="Arial" w:cs="Arial" w:eastAsia="Arial" w:hAnsi="Arial"/>
                  <w:sz w:val="17"/>
                  <w:szCs w:val="17"/>
                  <w:color w:val="0000FF"/>
                </w:rPr>
                <w:t>Form of Restricted Stock Unit Agreement for Employees –</w:t>
              </w:r>
            </w:hyperlink>
          </w:p>
        </w:tc>
        <w:tc>
          <w:tcPr>
            <w:tcW w:w="860" w:type="dxa"/>
            <w:vAlign w:val="bottom"/>
            <w:shd w:val="clear" w:color="auto" w:fill="DCE2EF"/>
          </w:tcPr>
          <w:p>
            <w:pPr>
              <w:ind w:left="260"/>
              <w:spacing w:after="0" w:line="180" w:lineRule="exact"/>
              <w:rPr>
                <w:sz w:val="20"/>
                <w:szCs w:val="20"/>
                <w:color w:val="auto"/>
              </w:rPr>
            </w:pPr>
            <w:r>
              <w:rPr>
                <w:rFonts w:ascii="Arial" w:cs="Arial" w:eastAsia="Arial" w:hAnsi="Arial"/>
                <w:sz w:val="17"/>
                <w:szCs w:val="17"/>
                <w:color w:val="auto"/>
              </w:rPr>
              <w:t>10-Q</w:t>
            </w:r>
          </w:p>
        </w:tc>
        <w:tc>
          <w:tcPr>
            <w:tcW w:w="1340" w:type="dxa"/>
            <w:vAlign w:val="bottom"/>
            <w:shd w:val="clear" w:color="auto" w:fill="DCE2EF"/>
          </w:tcPr>
          <w:p>
            <w:pPr>
              <w:jc w:val="right"/>
              <w:ind w:right="194"/>
              <w:spacing w:after="0" w:line="180" w:lineRule="exact"/>
              <w:rPr>
                <w:sz w:val="20"/>
                <w:szCs w:val="20"/>
                <w:color w:val="auto"/>
              </w:rPr>
            </w:pPr>
            <w:r>
              <w:rPr>
                <w:rFonts w:ascii="Arial" w:cs="Arial" w:eastAsia="Arial" w:hAnsi="Arial"/>
                <w:sz w:val="17"/>
                <w:szCs w:val="17"/>
                <w:color w:val="auto"/>
              </w:rPr>
              <w:t>001-08929</w:t>
            </w:r>
          </w:p>
        </w:tc>
        <w:tc>
          <w:tcPr>
            <w:tcW w:w="1040" w:type="dxa"/>
            <w:vAlign w:val="bottom"/>
            <w:shd w:val="clear" w:color="auto" w:fill="DCE2EF"/>
          </w:tcPr>
          <w:p>
            <w:pPr>
              <w:jc w:val="center"/>
              <w:spacing w:after="0" w:line="180" w:lineRule="exact"/>
              <w:rPr>
                <w:sz w:val="20"/>
                <w:szCs w:val="20"/>
                <w:color w:val="auto"/>
              </w:rPr>
            </w:pPr>
            <w:r>
              <w:rPr>
                <w:rFonts w:ascii="Arial" w:cs="Arial" w:eastAsia="Arial" w:hAnsi="Arial"/>
                <w:sz w:val="17"/>
                <w:szCs w:val="17"/>
                <w:color w:val="auto"/>
              </w:rPr>
              <w:t>10.2</w:t>
            </w:r>
          </w:p>
        </w:tc>
        <w:tc>
          <w:tcPr>
            <w:tcW w:w="2160" w:type="dxa"/>
            <w:vAlign w:val="bottom"/>
            <w:shd w:val="clear" w:color="auto" w:fill="DCE2EF"/>
          </w:tcPr>
          <w:p>
            <w:pPr>
              <w:jc w:val="center"/>
              <w:spacing w:after="0" w:line="180" w:lineRule="exact"/>
              <w:rPr>
                <w:sz w:val="20"/>
                <w:szCs w:val="20"/>
                <w:color w:val="auto"/>
              </w:rPr>
            </w:pPr>
            <w:r>
              <w:rPr>
                <w:rFonts w:ascii="Arial" w:cs="Arial" w:eastAsia="Arial" w:hAnsi="Arial"/>
                <w:sz w:val="17"/>
                <w:szCs w:val="17"/>
                <w:color w:val="auto"/>
              </w:rPr>
              <w:t>March 9, 2022</w:t>
            </w:r>
          </w:p>
        </w:tc>
        <w:tc>
          <w:tcPr>
            <w:tcW w:w="0" w:type="dxa"/>
            <w:vAlign w:val="bottom"/>
          </w:tcPr>
          <w:p>
            <w:pPr>
              <w:spacing w:after="0"/>
              <w:rPr>
                <w:sz w:val="1"/>
                <w:szCs w:val="1"/>
                <w:color w:val="auto"/>
              </w:rPr>
            </w:pPr>
          </w:p>
        </w:tc>
      </w:tr>
      <w:tr>
        <w:trPr>
          <w:trHeight w:val="148"/>
        </w:trPr>
        <w:tc>
          <w:tcPr>
            <w:tcW w:w="1280" w:type="dxa"/>
            <w:vAlign w:val="bottom"/>
            <w:tcBorders>
              <w:top w:val="single" w:sz="8" w:color="DCE2EF"/>
            </w:tcBorders>
            <w:shd w:val="clear" w:color="auto" w:fill="DCE2EF"/>
          </w:tcPr>
          <w:p>
            <w:pPr>
              <w:spacing w:after="0"/>
              <w:rPr>
                <w:sz w:val="12"/>
                <w:szCs w:val="12"/>
                <w:color w:val="auto"/>
              </w:rPr>
            </w:pPr>
          </w:p>
        </w:tc>
        <w:tc>
          <w:tcPr>
            <w:tcW w:w="20" w:type="dxa"/>
            <w:vAlign w:val="bottom"/>
            <w:tcBorders>
              <w:top w:val="single" w:sz="8" w:color="DCE2EF"/>
            </w:tcBorders>
            <w:shd w:val="clear" w:color="auto" w:fill="DCE2EF"/>
          </w:tcPr>
          <w:p>
            <w:pPr>
              <w:spacing w:after="0"/>
              <w:rPr>
                <w:sz w:val="12"/>
                <w:szCs w:val="12"/>
                <w:color w:val="auto"/>
              </w:rPr>
            </w:pPr>
          </w:p>
        </w:tc>
        <w:tc>
          <w:tcPr>
            <w:tcW w:w="4420" w:type="dxa"/>
            <w:vAlign w:val="bottom"/>
            <w:tcBorders>
              <w:top w:val="single" w:sz="8" w:color="0000FF"/>
            </w:tcBorders>
            <w:gridSpan w:val="24"/>
            <w:shd w:val="clear" w:color="auto" w:fill="DCE2EF"/>
          </w:tcPr>
          <w:p>
            <w:pPr>
              <w:spacing w:after="0" w:line="148" w:lineRule="exact"/>
              <w:rPr>
                <w:rFonts w:ascii="Arial" w:cs="Arial" w:eastAsia="Arial" w:hAnsi="Arial"/>
                <w:sz w:val="17"/>
                <w:szCs w:val="17"/>
                <w:color w:val="0000FF"/>
              </w:rPr>
            </w:pPr>
            <w:hyperlink r:id="rId196">
              <w:r>
                <w:rPr>
                  <w:rFonts w:ascii="Arial" w:cs="Arial" w:eastAsia="Arial" w:hAnsi="Arial"/>
                  <w:sz w:val="17"/>
                  <w:szCs w:val="17"/>
                  <w:color w:val="0000FF"/>
                </w:rPr>
                <w:t>2021 Equity and Incentive Compensation Plan</w:t>
              </w:r>
            </w:hyperlink>
          </w:p>
        </w:tc>
        <w:tc>
          <w:tcPr>
            <w:tcW w:w="60" w:type="dxa"/>
            <w:vAlign w:val="bottom"/>
            <w:tcBorders>
              <w:top w:val="single" w:sz="8" w:color="DCE2EF"/>
            </w:tcBorders>
            <w:shd w:val="clear" w:color="auto" w:fill="DCE2EF"/>
          </w:tcPr>
          <w:p>
            <w:pPr>
              <w:spacing w:after="0"/>
              <w:rPr>
                <w:sz w:val="12"/>
                <w:szCs w:val="12"/>
                <w:color w:val="auto"/>
              </w:rPr>
            </w:pPr>
          </w:p>
        </w:tc>
        <w:tc>
          <w:tcPr>
            <w:tcW w:w="40" w:type="dxa"/>
            <w:vAlign w:val="bottom"/>
            <w:tcBorders>
              <w:top w:val="single" w:sz="8" w:color="DCE2EF"/>
            </w:tcBorders>
            <w:gridSpan w:val="2"/>
            <w:shd w:val="clear" w:color="auto" w:fill="DCE2EF"/>
          </w:tcPr>
          <w:p>
            <w:pPr>
              <w:spacing w:after="0"/>
              <w:rPr>
                <w:sz w:val="12"/>
                <w:szCs w:val="12"/>
                <w:color w:val="auto"/>
              </w:rPr>
            </w:pPr>
          </w:p>
        </w:tc>
        <w:tc>
          <w:tcPr>
            <w:tcW w:w="20" w:type="dxa"/>
            <w:vAlign w:val="bottom"/>
            <w:tcBorders>
              <w:top w:val="single" w:sz="8" w:color="DCE2EF"/>
            </w:tcBorders>
            <w:shd w:val="clear" w:color="auto" w:fill="DCE2EF"/>
          </w:tcPr>
          <w:p>
            <w:pPr>
              <w:spacing w:after="0"/>
              <w:rPr>
                <w:sz w:val="12"/>
                <w:szCs w:val="12"/>
                <w:color w:val="auto"/>
              </w:rPr>
            </w:pPr>
          </w:p>
        </w:tc>
        <w:tc>
          <w:tcPr>
            <w:tcW w:w="860" w:type="dxa"/>
            <w:vAlign w:val="bottom"/>
            <w:tcBorders>
              <w:top w:val="single" w:sz="8" w:color="DCE2EF"/>
            </w:tcBorders>
            <w:shd w:val="clear" w:color="auto" w:fill="DCE2EF"/>
          </w:tcPr>
          <w:p>
            <w:pPr>
              <w:spacing w:after="0"/>
              <w:rPr>
                <w:sz w:val="12"/>
                <w:szCs w:val="12"/>
                <w:color w:val="auto"/>
              </w:rPr>
            </w:pPr>
          </w:p>
        </w:tc>
        <w:tc>
          <w:tcPr>
            <w:tcW w:w="1340" w:type="dxa"/>
            <w:vAlign w:val="bottom"/>
            <w:tcBorders>
              <w:top w:val="single" w:sz="8" w:color="DCE2EF"/>
            </w:tcBorders>
            <w:shd w:val="clear" w:color="auto" w:fill="DCE2EF"/>
          </w:tcPr>
          <w:p>
            <w:pPr>
              <w:spacing w:after="0"/>
              <w:rPr>
                <w:sz w:val="12"/>
                <w:szCs w:val="12"/>
                <w:color w:val="auto"/>
              </w:rPr>
            </w:pPr>
          </w:p>
        </w:tc>
        <w:tc>
          <w:tcPr>
            <w:tcW w:w="1040" w:type="dxa"/>
            <w:vAlign w:val="bottom"/>
            <w:tcBorders>
              <w:top w:val="single" w:sz="8" w:color="DCE2EF"/>
            </w:tcBorders>
            <w:shd w:val="clear" w:color="auto" w:fill="DCE2EF"/>
          </w:tcPr>
          <w:p>
            <w:pPr>
              <w:spacing w:after="0"/>
              <w:rPr>
                <w:sz w:val="12"/>
                <w:szCs w:val="12"/>
                <w:color w:val="auto"/>
              </w:rPr>
            </w:pPr>
          </w:p>
        </w:tc>
        <w:tc>
          <w:tcPr>
            <w:tcW w:w="2160" w:type="dxa"/>
            <w:vAlign w:val="bottom"/>
            <w:tcBorders>
              <w:top w:val="single" w:sz="8" w:color="DCE2EF"/>
            </w:tcBorders>
            <w:shd w:val="clear" w:color="auto" w:fill="DCE2EF"/>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128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340" w:type="dxa"/>
            <w:vAlign w:val="bottom"/>
            <w:tcBorders>
              <w:top w:val="single" w:sz="8" w:color="0000FF"/>
            </w:tcBorders>
            <w:shd w:val="clear" w:color="auto" w:fill="DCE2EF"/>
          </w:tcPr>
          <w:p>
            <w:pPr>
              <w:spacing w:after="0"/>
              <w:rPr>
                <w:sz w:val="2"/>
                <w:szCs w:val="2"/>
                <w:color w:val="auto"/>
              </w:rPr>
            </w:pPr>
          </w:p>
        </w:tc>
        <w:tc>
          <w:tcPr>
            <w:tcW w:w="1140" w:type="dxa"/>
            <w:vAlign w:val="bottom"/>
            <w:tcBorders>
              <w:top w:val="single" w:sz="8" w:color="0000FF"/>
            </w:tcBorders>
            <w:shd w:val="clear" w:color="auto" w:fill="DCE2EF"/>
          </w:tcPr>
          <w:p>
            <w:pPr>
              <w:spacing w:after="0"/>
              <w:rPr>
                <w:sz w:val="2"/>
                <w:szCs w:val="2"/>
                <w:color w:val="auto"/>
              </w:rPr>
            </w:pPr>
          </w:p>
        </w:tc>
        <w:tc>
          <w:tcPr>
            <w:tcW w:w="240" w:type="dxa"/>
            <w:vAlign w:val="bottom"/>
            <w:tcBorders>
              <w:top w:val="single" w:sz="8" w:color="0000FF"/>
              <w:right w:val="single" w:sz="8" w:color="DCE2EF"/>
            </w:tcBorders>
            <w:shd w:val="clear" w:color="auto" w:fill="DCE2EF"/>
          </w:tcPr>
          <w:p>
            <w:pPr>
              <w:spacing w:after="0"/>
              <w:rPr>
                <w:sz w:val="2"/>
                <w:szCs w:val="2"/>
                <w:color w:val="auto"/>
              </w:rPr>
            </w:pPr>
          </w:p>
        </w:tc>
        <w:tc>
          <w:tcPr>
            <w:tcW w:w="180" w:type="dxa"/>
            <w:vAlign w:val="bottom"/>
            <w:tcBorders>
              <w:top w:val="single" w:sz="8" w:color="0000FF"/>
            </w:tcBorders>
            <w:shd w:val="clear" w:color="auto" w:fill="DCE2EF"/>
          </w:tcPr>
          <w:p>
            <w:pPr>
              <w:spacing w:after="0"/>
              <w:rPr>
                <w:sz w:val="2"/>
                <w:szCs w:val="2"/>
                <w:color w:val="auto"/>
              </w:rPr>
            </w:pPr>
          </w:p>
        </w:tc>
        <w:tc>
          <w:tcPr>
            <w:tcW w:w="100" w:type="dxa"/>
            <w:vAlign w:val="bottom"/>
            <w:tcBorders>
              <w:top w:val="single" w:sz="8" w:color="0000FF"/>
            </w:tcBorders>
            <w:shd w:val="clear" w:color="auto" w:fill="DCE2EF"/>
          </w:tcPr>
          <w:p>
            <w:pPr>
              <w:spacing w:after="0"/>
              <w:rPr>
                <w:sz w:val="2"/>
                <w:szCs w:val="2"/>
                <w:color w:val="auto"/>
              </w:rPr>
            </w:pPr>
          </w:p>
        </w:tc>
        <w:tc>
          <w:tcPr>
            <w:tcW w:w="240" w:type="dxa"/>
            <w:vAlign w:val="bottom"/>
            <w:tcBorders>
              <w:top w:val="single" w:sz="8" w:color="0000FF"/>
            </w:tcBorders>
            <w:shd w:val="clear" w:color="auto" w:fill="DCE2EF"/>
          </w:tcPr>
          <w:p>
            <w:pPr>
              <w:spacing w:after="0"/>
              <w:rPr>
                <w:sz w:val="2"/>
                <w:szCs w:val="2"/>
                <w:color w:val="auto"/>
              </w:rPr>
            </w:pPr>
          </w:p>
        </w:tc>
        <w:tc>
          <w:tcPr>
            <w:tcW w:w="860" w:type="dxa"/>
            <w:vAlign w:val="bottom"/>
            <w:tcBorders>
              <w:top w:val="single" w:sz="8" w:color="0000FF"/>
            </w:tcBorders>
            <w:shd w:val="clear" w:color="auto" w:fill="DCE2EF"/>
          </w:tcPr>
          <w:p>
            <w:pPr>
              <w:spacing w:after="0"/>
              <w:rPr>
                <w:sz w:val="2"/>
                <w:szCs w:val="2"/>
                <w:color w:val="auto"/>
              </w:rPr>
            </w:pPr>
          </w:p>
        </w:tc>
        <w:tc>
          <w:tcPr>
            <w:tcW w:w="120" w:type="dxa"/>
            <w:vAlign w:val="bottom"/>
            <w:tcBorders>
              <w:top w:val="single" w:sz="8" w:color="0000FF"/>
            </w:tcBorders>
            <w:shd w:val="clear" w:color="auto" w:fill="DCE2EF"/>
          </w:tcPr>
          <w:p>
            <w:pPr>
              <w:spacing w:after="0"/>
              <w:rPr>
                <w:sz w:val="2"/>
                <w:szCs w:val="2"/>
                <w:color w:val="auto"/>
              </w:rPr>
            </w:pPr>
          </w:p>
        </w:tc>
        <w:tc>
          <w:tcPr>
            <w:tcW w:w="120" w:type="dxa"/>
            <w:vAlign w:val="bottom"/>
            <w:tcBorders>
              <w:top w:val="single" w:sz="8" w:color="0000FF"/>
            </w:tcBorders>
            <w:shd w:val="clear" w:color="auto" w:fill="DCE2EF"/>
          </w:tcPr>
          <w:p>
            <w:pPr>
              <w:spacing w:after="0"/>
              <w:rPr>
                <w:sz w:val="2"/>
                <w:szCs w:val="2"/>
                <w:color w:val="auto"/>
              </w:rPr>
            </w:pPr>
          </w:p>
        </w:tc>
        <w:tc>
          <w:tcPr>
            <w:tcW w:w="180" w:type="dxa"/>
            <w:vAlign w:val="bottom"/>
            <w:tcBorders>
              <w:top w:val="single" w:sz="8" w:color="0000FF"/>
            </w:tcBorders>
            <w:shd w:val="clear" w:color="auto" w:fill="DCE2EF"/>
          </w:tcPr>
          <w:p>
            <w:pPr>
              <w:spacing w:after="0"/>
              <w:rPr>
                <w:sz w:val="2"/>
                <w:szCs w:val="2"/>
                <w:color w:val="auto"/>
              </w:rPr>
            </w:pPr>
          </w:p>
        </w:tc>
        <w:tc>
          <w:tcPr>
            <w:tcW w:w="180" w:type="dxa"/>
            <w:vAlign w:val="bottom"/>
            <w:tcBorders>
              <w:top w:val="single" w:sz="8" w:color="DCE2EF"/>
            </w:tcBorders>
            <w:shd w:val="clear" w:color="auto" w:fill="DCE2EF"/>
          </w:tcPr>
          <w:p>
            <w:pPr>
              <w:spacing w:after="0"/>
              <w:rPr>
                <w:sz w:val="2"/>
                <w:szCs w:val="2"/>
                <w:color w:val="auto"/>
              </w:rPr>
            </w:pPr>
          </w:p>
        </w:tc>
        <w:tc>
          <w:tcPr>
            <w:tcW w:w="360" w:type="dxa"/>
            <w:vAlign w:val="bottom"/>
            <w:tcBorders>
              <w:top w:val="single" w:sz="8" w:color="DCE2EF"/>
            </w:tcBorders>
            <w:shd w:val="clear" w:color="auto" w:fill="DCE2EF"/>
          </w:tcPr>
          <w:p>
            <w:pPr>
              <w:spacing w:after="0"/>
              <w:rPr>
                <w:sz w:val="2"/>
                <w:szCs w:val="2"/>
                <w:color w:val="auto"/>
              </w:rPr>
            </w:pPr>
          </w:p>
        </w:tc>
        <w:tc>
          <w:tcPr>
            <w:tcW w:w="12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4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6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860" w:type="dxa"/>
            <w:vAlign w:val="bottom"/>
            <w:tcBorders>
              <w:top w:val="single" w:sz="8" w:color="DCE2EF"/>
            </w:tcBorders>
            <w:shd w:val="clear" w:color="auto" w:fill="DCE2EF"/>
          </w:tcPr>
          <w:p>
            <w:pPr>
              <w:spacing w:after="0"/>
              <w:rPr>
                <w:sz w:val="2"/>
                <w:szCs w:val="2"/>
                <w:color w:val="auto"/>
              </w:rPr>
            </w:pPr>
          </w:p>
        </w:tc>
        <w:tc>
          <w:tcPr>
            <w:tcW w:w="1340" w:type="dxa"/>
            <w:vAlign w:val="bottom"/>
            <w:tcBorders>
              <w:top w:val="single" w:sz="8" w:color="DCE2EF"/>
            </w:tcBorders>
            <w:shd w:val="clear" w:color="auto" w:fill="DCE2EF"/>
          </w:tcPr>
          <w:p>
            <w:pPr>
              <w:spacing w:after="0"/>
              <w:rPr>
                <w:sz w:val="2"/>
                <w:szCs w:val="2"/>
                <w:color w:val="auto"/>
              </w:rPr>
            </w:pPr>
          </w:p>
        </w:tc>
        <w:tc>
          <w:tcPr>
            <w:tcW w:w="1040" w:type="dxa"/>
            <w:vAlign w:val="bottom"/>
            <w:tcBorders>
              <w:top w:val="single" w:sz="8" w:color="DCE2EF"/>
            </w:tcBorders>
            <w:shd w:val="clear" w:color="auto" w:fill="DCE2EF"/>
          </w:tcPr>
          <w:p>
            <w:pPr>
              <w:spacing w:after="0"/>
              <w:rPr>
                <w:sz w:val="2"/>
                <w:szCs w:val="2"/>
                <w:color w:val="auto"/>
              </w:rPr>
            </w:pPr>
          </w:p>
        </w:tc>
        <w:tc>
          <w:tcPr>
            <w:tcW w:w="2160" w:type="dxa"/>
            <w:vAlign w:val="bottom"/>
            <w:tcBorders>
              <w:top w:val="single" w:sz="8" w:color="DCE2EF"/>
            </w:tcBorders>
            <w:shd w:val="clear" w:color="auto" w:fill="DCE2E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1280" w:type="dxa"/>
            <w:vAlign w:val="bottom"/>
          </w:tcPr>
          <w:p>
            <w:pPr>
              <w:jc w:val="right"/>
              <w:ind w:right="674"/>
              <w:spacing w:after="0" w:line="180" w:lineRule="exact"/>
              <w:rPr>
                <w:sz w:val="20"/>
                <w:szCs w:val="20"/>
                <w:color w:val="auto"/>
              </w:rPr>
            </w:pPr>
            <w:r>
              <w:rPr>
                <w:rFonts w:ascii="Arial" w:cs="Arial" w:eastAsia="Arial" w:hAnsi="Arial"/>
                <w:sz w:val="17"/>
                <w:szCs w:val="17"/>
                <w:color w:val="auto"/>
              </w:rPr>
              <w:t>10.26*</w:t>
            </w:r>
          </w:p>
        </w:tc>
        <w:tc>
          <w:tcPr>
            <w:tcW w:w="20" w:type="dxa"/>
            <w:vAlign w:val="bottom"/>
          </w:tcPr>
          <w:p>
            <w:pPr>
              <w:spacing w:after="0"/>
              <w:rPr>
                <w:sz w:val="15"/>
                <w:szCs w:val="15"/>
                <w:color w:val="auto"/>
              </w:rPr>
            </w:pPr>
          </w:p>
        </w:tc>
        <w:tc>
          <w:tcPr>
            <w:tcW w:w="4540" w:type="dxa"/>
            <w:vAlign w:val="bottom"/>
            <w:gridSpan w:val="28"/>
          </w:tcPr>
          <w:p>
            <w:pPr>
              <w:spacing w:after="0" w:line="180" w:lineRule="exact"/>
              <w:rPr>
                <w:rFonts w:ascii="Arial" w:cs="Arial" w:eastAsia="Arial" w:hAnsi="Arial"/>
                <w:sz w:val="17"/>
                <w:szCs w:val="17"/>
                <w:color w:val="0000FF"/>
              </w:rPr>
            </w:pPr>
            <w:hyperlink r:id="rId197">
              <w:r>
                <w:rPr>
                  <w:rFonts w:ascii="Arial" w:cs="Arial" w:eastAsia="Arial" w:hAnsi="Arial"/>
                  <w:sz w:val="17"/>
                  <w:szCs w:val="17"/>
                  <w:color w:val="0000FF"/>
                </w:rPr>
                <w:t>Form of Performance Share Agreement for Employees -</w:t>
              </w:r>
            </w:hyperlink>
          </w:p>
        </w:tc>
        <w:tc>
          <w:tcPr>
            <w:tcW w:w="860" w:type="dxa"/>
            <w:vAlign w:val="bottom"/>
          </w:tcPr>
          <w:p>
            <w:pPr>
              <w:ind w:left="260"/>
              <w:spacing w:after="0" w:line="180" w:lineRule="exact"/>
              <w:rPr>
                <w:sz w:val="20"/>
                <w:szCs w:val="20"/>
                <w:color w:val="auto"/>
              </w:rPr>
            </w:pPr>
            <w:r>
              <w:rPr>
                <w:rFonts w:ascii="Arial" w:cs="Arial" w:eastAsia="Arial" w:hAnsi="Arial"/>
                <w:sz w:val="17"/>
                <w:szCs w:val="17"/>
                <w:color w:val="auto"/>
              </w:rPr>
              <w:t>10-Q</w:t>
            </w:r>
          </w:p>
        </w:tc>
        <w:tc>
          <w:tcPr>
            <w:tcW w:w="1340" w:type="dxa"/>
            <w:vAlign w:val="bottom"/>
          </w:tcPr>
          <w:p>
            <w:pPr>
              <w:jc w:val="right"/>
              <w:ind w:right="194"/>
              <w:spacing w:after="0" w:line="180" w:lineRule="exact"/>
              <w:rPr>
                <w:sz w:val="20"/>
                <w:szCs w:val="20"/>
                <w:color w:val="auto"/>
              </w:rPr>
            </w:pPr>
            <w:r>
              <w:rPr>
                <w:rFonts w:ascii="Arial" w:cs="Arial" w:eastAsia="Arial" w:hAnsi="Arial"/>
                <w:sz w:val="17"/>
                <w:szCs w:val="17"/>
                <w:color w:val="auto"/>
              </w:rPr>
              <w:t>001-08929</w:t>
            </w:r>
          </w:p>
        </w:tc>
        <w:tc>
          <w:tcPr>
            <w:tcW w:w="1040" w:type="dxa"/>
            <w:vAlign w:val="bottom"/>
          </w:tcPr>
          <w:p>
            <w:pPr>
              <w:jc w:val="center"/>
              <w:spacing w:after="0" w:line="180" w:lineRule="exact"/>
              <w:rPr>
                <w:sz w:val="20"/>
                <w:szCs w:val="20"/>
                <w:color w:val="auto"/>
              </w:rPr>
            </w:pPr>
            <w:r>
              <w:rPr>
                <w:rFonts w:ascii="Arial" w:cs="Arial" w:eastAsia="Arial" w:hAnsi="Arial"/>
                <w:sz w:val="17"/>
                <w:szCs w:val="17"/>
                <w:color w:val="auto"/>
              </w:rPr>
              <w:t>10.3</w:t>
            </w:r>
          </w:p>
        </w:tc>
        <w:tc>
          <w:tcPr>
            <w:tcW w:w="2160" w:type="dxa"/>
            <w:vAlign w:val="bottom"/>
          </w:tcPr>
          <w:p>
            <w:pPr>
              <w:jc w:val="center"/>
              <w:spacing w:after="0" w:line="180" w:lineRule="exact"/>
              <w:rPr>
                <w:sz w:val="20"/>
                <w:szCs w:val="20"/>
                <w:color w:val="auto"/>
              </w:rPr>
            </w:pPr>
            <w:r>
              <w:rPr>
                <w:rFonts w:ascii="Arial" w:cs="Arial" w:eastAsia="Arial" w:hAnsi="Arial"/>
                <w:sz w:val="17"/>
                <w:szCs w:val="17"/>
                <w:color w:val="auto"/>
              </w:rPr>
              <w:t>March 9, 2022</w:t>
            </w:r>
          </w:p>
        </w:tc>
        <w:tc>
          <w:tcPr>
            <w:tcW w:w="0" w:type="dxa"/>
            <w:vAlign w:val="bottom"/>
          </w:tcPr>
          <w:p>
            <w:pPr>
              <w:spacing w:after="0"/>
              <w:rPr>
                <w:sz w:val="1"/>
                <w:szCs w:val="1"/>
                <w:color w:val="auto"/>
              </w:rPr>
            </w:pPr>
          </w:p>
        </w:tc>
      </w:tr>
      <w:tr>
        <w:trPr>
          <w:trHeight w:val="148"/>
        </w:trPr>
        <w:tc>
          <w:tcPr>
            <w:tcW w:w="1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80" w:type="dxa"/>
            <w:vAlign w:val="bottom"/>
            <w:tcBorders>
              <w:top w:val="single" w:sz="8" w:color="0000FF"/>
            </w:tcBorders>
            <w:gridSpan w:val="17"/>
          </w:tcPr>
          <w:p>
            <w:pPr>
              <w:spacing w:after="0" w:line="148" w:lineRule="exact"/>
              <w:rPr>
                <w:rFonts w:ascii="Arial" w:cs="Arial" w:eastAsia="Arial" w:hAnsi="Arial"/>
                <w:sz w:val="17"/>
                <w:szCs w:val="17"/>
                <w:color w:val="0000FF"/>
              </w:rPr>
            </w:pPr>
            <w:hyperlink r:id="rId197">
              <w:r>
                <w:rPr>
                  <w:rFonts w:ascii="Arial" w:cs="Arial" w:eastAsia="Arial" w:hAnsi="Arial"/>
                  <w:sz w:val="17"/>
                  <w:szCs w:val="17"/>
                  <w:color w:val="0000FF"/>
                </w:rPr>
                <w:t>2021 Equity and Incentive Compensation Plan</w:t>
              </w:r>
            </w:hyperlink>
          </w:p>
        </w:tc>
        <w:tc>
          <w:tcPr>
            <w:tcW w:w="200" w:type="dxa"/>
            <w:vAlign w:val="bottom"/>
            <w:gridSpan w:val="8"/>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114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86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1280" w:type="dxa"/>
            <w:vAlign w:val="bottom"/>
            <w:shd w:val="clear" w:color="auto" w:fill="DCE2EF"/>
          </w:tcPr>
          <w:p>
            <w:pPr>
              <w:jc w:val="right"/>
              <w:ind w:right="674"/>
              <w:spacing w:after="0" w:line="167" w:lineRule="exact"/>
              <w:rPr>
                <w:sz w:val="20"/>
                <w:szCs w:val="20"/>
                <w:color w:val="auto"/>
              </w:rPr>
            </w:pPr>
            <w:r>
              <w:rPr>
                <w:rFonts w:ascii="Arial" w:cs="Arial" w:eastAsia="Arial" w:hAnsi="Arial"/>
                <w:sz w:val="17"/>
                <w:szCs w:val="17"/>
                <w:color w:val="auto"/>
              </w:rPr>
              <w:t>10.27*</w:t>
            </w:r>
          </w:p>
        </w:tc>
        <w:tc>
          <w:tcPr>
            <w:tcW w:w="20" w:type="dxa"/>
            <w:vAlign w:val="bottom"/>
            <w:shd w:val="clear" w:color="auto" w:fill="DCE2EF"/>
          </w:tcPr>
          <w:p>
            <w:pPr>
              <w:spacing w:after="0"/>
              <w:rPr>
                <w:sz w:val="15"/>
                <w:szCs w:val="15"/>
                <w:color w:val="auto"/>
              </w:rPr>
            </w:pPr>
          </w:p>
        </w:tc>
        <w:tc>
          <w:tcPr>
            <w:tcW w:w="4540" w:type="dxa"/>
            <w:vAlign w:val="bottom"/>
            <w:gridSpan w:val="28"/>
            <w:shd w:val="clear" w:color="auto" w:fill="DCE2EF"/>
          </w:tcPr>
          <w:p>
            <w:pPr>
              <w:spacing w:after="0" w:line="167" w:lineRule="exact"/>
              <w:rPr>
                <w:rFonts w:ascii="Arial" w:cs="Arial" w:eastAsia="Arial" w:hAnsi="Arial"/>
                <w:sz w:val="17"/>
                <w:szCs w:val="17"/>
                <w:color w:val="0000FF"/>
              </w:rPr>
            </w:pPr>
            <w:hyperlink r:id="rId198">
              <w:r>
                <w:rPr>
                  <w:rFonts w:ascii="Arial" w:cs="Arial" w:eastAsia="Arial" w:hAnsi="Arial"/>
                  <w:sz w:val="17"/>
                  <w:szCs w:val="17"/>
                  <w:color w:val="0000FF"/>
                </w:rPr>
                <w:t>Executive Stock Option Plan (aka Age-Vested Career</w:t>
              </w:r>
            </w:hyperlink>
          </w:p>
        </w:tc>
        <w:tc>
          <w:tcPr>
            <w:tcW w:w="860" w:type="dxa"/>
            <w:vAlign w:val="bottom"/>
            <w:shd w:val="clear" w:color="auto" w:fill="DCE2EF"/>
          </w:tcPr>
          <w:p>
            <w:pPr>
              <w:ind w:left="260"/>
              <w:spacing w:after="0" w:line="167" w:lineRule="exact"/>
              <w:rPr>
                <w:sz w:val="20"/>
                <w:szCs w:val="20"/>
                <w:color w:val="auto"/>
              </w:rPr>
            </w:pPr>
            <w:r>
              <w:rPr>
                <w:rFonts w:ascii="Arial" w:cs="Arial" w:eastAsia="Arial" w:hAnsi="Arial"/>
                <w:sz w:val="17"/>
                <w:szCs w:val="17"/>
                <w:color w:val="auto"/>
              </w:rPr>
              <w:t>10-Q</w:t>
            </w:r>
          </w:p>
        </w:tc>
        <w:tc>
          <w:tcPr>
            <w:tcW w:w="1340" w:type="dxa"/>
            <w:vAlign w:val="bottom"/>
            <w:shd w:val="clear" w:color="auto" w:fill="DCE2EF"/>
          </w:tcPr>
          <w:p>
            <w:pPr>
              <w:jc w:val="right"/>
              <w:ind w:right="194"/>
              <w:spacing w:after="0" w:line="167" w:lineRule="exact"/>
              <w:rPr>
                <w:sz w:val="20"/>
                <w:szCs w:val="20"/>
                <w:color w:val="auto"/>
              </w:rPr>
            </w:pPr>
            <w:r>
              <w:rPr>
                <w:rFonts w:ascii="Arial" w:cs="Arial" w:eastAsia="Arial" w:hAnsi="Arial"/>
                <w:sz w:val="17"/>
                <w:szCs w:val="17"/>
                <w:color w:val="auto"/>
              </w:rPr>
              <w:t>001-08929</w:t>
            </w:r>
          </w:p>
        </w:tc>
        <w:tc>
          <w:tcPr>
            <w:tcW w:w="1040" w:type="dxa"/>
            <w:vAlign w:val="bottom"/>
            <w:shd w:val="clear" w:color="auto" w:fill="DCE2EF"/>
          </w:tcPr>
          <w:p>
            <w:pPr>
              <w:jc w:val="center"/>
              <w:spacing w:after="0" w:line="167" w:lineRule="exact"/>
              <w:rPr>
                <w:sz w:val="20"/>
                <w:szCs w:val="20"/>
                <w:color w:val="auto"/>
              </w:rPr>
            </w:pPr>
            <w:r>
              <w:rPr>
                <w:rFonts w:ascii="Arial" w:cs="Arial" w:eastAsia="Arial" w:hAnsi="Arial"/>
                <w:sz w:val="17"/>
                <w:szCs w:val="17"/>
                <w:color w:val="auto"/>
              </w:rPr>
              <w:t>10.1</w:t>
            </w:r>
          </w:p>
        </w:tc>
        <w:tc>
          <w:tcPr>
            <w:tcW w:w="2160" w:type="dxa"/>
            <w:vAlign w:val="bottom"/>
            <w:shd w:val="clear" w:color="auto" w:fill="DCE2EF"/>
          </w:tcPr>
          <w:p>
            <w:pPr>
              <w:jc w:val="center"/>
              <w:spacing w:after="0" w:line="167" w:lineRule="exact"/>
              <w:rPr>
                <w:sz w:val="20"/>
                <w:szCs w:val="20"/>
                <w:color w:val="auto"/>
              </w:rPr>
            </w:pPr>
            <w:r>
              <w:rPr>
                <w:rFonts w:ascii="Arial" w:cs="Arial" w:eastAsia="Arial" w:hAnsi="Arial"/>
                <w:sz w:val="17"/>
                <w:szCs w:val="17"/>
                <w:color w:val="auto"/>
              </w:rPr>
              <w:t>September 6, 2012</w:t>
            </w:r>
          </w:p>
        </w:tc>
        <w:tc>
          <w:tcPr>
            <w:tcW w:w="0" w:type="dxa"/>
            <w:vAlign w:val="bottom"/>
          </w:tcPr>
          <w:p>
            <w:pPr>
              <w:spacing w:after="0"/>
              <w:rPr>
                <w:sz w:val="1"/>
                <w:szCs w:val="1"/>
                <w:color w:val="auto"/>
              </w:rPr>
            </w:pPr>
          </w:p>
        </w:tc>
      </w:tr>
      <w:tr>
        <w:trPr>
          <w:trHeight w:val="186"/>
        </w:trPr>
        <w:tc>
          <w:tcPr>
            <w:tcW w:w="1280" w:type="dxa"/>
            <w:vAlign w:val="bottom"/>
            <w:tcBorders>
              <w:top w:val="single" w:sz="8" w:color="DCE2EF"/>
              <w:bottom w:val="single" w:sz="8" w:color="DCE2EF"/>
            </w:tcBorders>
            <w:shd w:val="clear" w:color="auto" w:fill="DCE2EF"/>
          </w:tcPr>
          <w:p>
            <w:pPr>
              <w:spacing w:after="0"/>
              <w:rPr>
                <w:sz w:val="16"/>
                <w:szCs w:val="16"/>
                <w:color w:val="auto"/>
              </w:rPr>
            </w:pPr>
          </w:p>
        </w:tc>
        <w:tc>
          <w:tcPr>
            <w:tcW w:w="20" w:type="dxa"/>
            <w:vAlign w:val="bottom"/>
            <w:tcBorders>
              <w:top w:val="single" w:sz="8" w:color="DCE2EF"/>
              <w:bottom w:val="single" w:sz="8" w:color="DCE2EF"/>
            </w:tcBorders>
            <w:shd w:val="clear" w:color="auto" w:fill="DCE2EF"/>
          </w:tcPr>
          <w:p>
            <w:pPr>
              <w:spacing w:after="0"/>
              <w:rPr>
                <w:sz w:val="16"/>
                <w:szCs w:val="16"/>
                <w:color w:val="auto"/>
              </w:rPr>
            </w:pPr>
          </w:p>
        </w:tc>
        <w:tc>
          <w:tcPr>
            <w:tcW w:w="4060" w:type="dxa"/>
            <w:vAlign w:val="bottom"/>
            <w:tcBorders>
              <w:top w:val="single" w:sz="8" w:color="0000FF"/>
              <w:bottom w:val="single" w:sz="8" w:color="0000FF"/>
            </w:tcBorders>
            <w:gridSpan w:val="12"/>
            <w:shd w:val="clear" w:color="auto" w:fill="DCE2EF"/>
          </w:tcPr>
          <w:p>
            <w:pPr>
              <w:spacing w:after="0" w:line="154" w:lineRule="exact"/>
              <w:rPr>
                <w:rFonts w:ascii="Arial" w:cs="Arial" w:eastAsia="Arial" w:hAnsi="Arial"/>
                <w:sz w:val="17"/>
                <w:szCs w:val="17"/>
                <w:color w:val="0000FF"/>
                <w:w w:val="99"/>
              </w:rPr>
            </w:pPr>
            <w:hyperlink r:id="rId198">
              <w:r>
                <w:rPr>
                  <w:rFonts w:ascii="Arial" w:cs="Arial" w:eastAsia="Arial" w:hAnsi="Arial"/>
                  <w:sz w:val="17"/>
                  <w:szCs w:val="17"/>
                  <w:color w:val="0000FF"/>
                  <w:w w:val="99"/>
                </w:rPr>
                <w:t>Stock Option Plan), as amended and restated June 4,</w:t>
              </w:r>
            </w:hyperlink>
          </w:p>
        </w:tc>
        <w:tc>
          <w:tcPr>
            <w:tcW w:w="460" w:type="dxa"/>
            <w:vAlign w:val="bottom"/>
            <w:tcBorders>
              <w:top w:val="single" w:sz="8" w:color="DCE2EF"/>
              <w:bottom w:val="single" w:sz="8" w:color="0000FF"/>
            </w:tcBorders>
            <w:gridSpan w:val="15"/>
            <w:shd w:val="clear" w:color="auto" w:fill="DCE2EF"/>
          </w:tcPr>
          <w:p>
            <w:pPr>
              <w:jc w:val="right"/>
              <w:spacing w:after="0" w:line="154" w:lineRule="exact"/>
              <w:rPr>
                <w:rFonts w:ascii="Arial" w:cs="Arial" w:eastAsia="Arial" w:hAnsi="Arial"/>
                <w:sz w:val="17"/>
                <w:szCs w:val="17"/>
                <w:color w:val="0000FF"/>
              </w:rPr>
            </w:pPr>
            <w:hyperlink r:id="rId198">
              <w:r>
                <w:rPr>
                  <w:rFonts w:ascii="Arial" w:cs="Arial" w:eastAsia="Arial" w:hAnsi="Arial"/>
                  <w:sz w:val="17"/>
                  <w:szCs w:val="17"/>
                  <w:color w:val="0000FF"/>
                </w:rPr>
                <w:t>2012</w:t>
              </w:r>
            </w:hyperlink>
          </w:p>
        </w:tc>
        <w:tc>
          <w:tcPr>
            <w:tcW w:w="20" w:type="dxa"/>
            <w:vAlign w:val="bottom"/>
            <w:tcBorders>
              <w:top w:val="single" w:sz="8" w:color="DCE2EF"/>
              <w:bottom w:val="single" w:sz="8" w:color="DCE2EF"/>
            </w:tcBorders>
            <w:shd w:val="clear" w:color="auto" w:fill="DCE2EF"/>
          </w:tcPr>
          <w:p>
            <w:pPr>
              <w:spacing w:after="0"/>
              <w:rPr>
                <w:sz w:val="16"/>
                <w:szCs w:val="16"/>
                <w:color w:val="auto"/>
              </w:rPr>
            </w:pPr>
          </w:p>
        </w:tc>
        <w:tc>
          <w:tcPr>
            <w:tcW w:w="860" w:type="dxa"/>
            <w:vAlign w:val="bottom"/>
            <w:tcBorders>
              <w:top w:val="single" w:sz="8" w:color="DCE2EF"/>
              <w:bottom w:val="single" w:sz="8" w:color="DCE2EF"/>
            </w:tcBorders>
            <w:shd w:val="clear" w:color="auto" w:fill="DCE2EF"/>
          </w:tcPr>
          <w:p>
            <w:pPr>
              <w:spacing w:after="0"/>
              <w:rPr>
                <w:sz w:val="16"/>
                <w:szCs w:val="16"/>
                <w:color w:val="auto"/>
              </w:rPr>
            </w:pPr>
          </w:p>
        </w:tc>
        <w:tc>
          <w:tcPr>
            <w:tcW w:w="1340" w:type="dxa"/>
            <w:vAlign w:val="bottom"/>
            <w:tcBorders>
              <w:top w:val="single" w:sz="8" w:color="DCE2EF"/>
              <w:bottom w:val="single" w:sz="8" w:color="DCE2EF"/>
            </w:tcBorders>
            <w:shd w:val="clear" w:color="auto" w:fill="DCE2EF"/>
          </w:tcPr>
          <w:p>
            <w:pPr>
              <w:spacing w:after="0"/>
              <w:rPr>
                <w:sz w:val="16"/>
                <w:szCs w:val="16"/>
                <w:color w:val="auto"/>
              </w:rPr>
            </w:pPr>
          </w:p>
        </w:tc>
        <w:tc>
          <w:tcPr>
            <w:tcW w:w="1040" w:type="dxa"/>
            <w:vAlign w:val="bottom"/>
            <w:tcBorders>
              <w:top w:val="single" w:sz="8" w:color="DCE2EF"/>
              <w:bottom w:val="single" w:sz="8" w:color="DCE2EF"/>
            </w:tcBorders>
            <w:shd w:val="clear" w:color="auto" w:fill="DCE2EF"/>
          </w:tcPr>
          <w:p>
            <w:pPr>
              <w:spacing w:after="0"/>
              <w:rPr>
                <w:sz w:val="16"/>
                <w:szCs w:val="16"/>
                <w:color w:val="auto"/>
              </w:rPr>
            </w:pPr>
          </w:p>
        </w:tc>
        <w:tc>
          <w:tcPr>
            <w:tcW w:w="2160" w:type="dxa"/>
            <w:vAlign w:val="bottom"/>
            <w:tcBorders>
              <w:top w:val="single" w:sz="8" w:color="DCE2EF"/>
              <w:bottom w:val="single" w:sz="8" w:color="DCE2EF"/>
            </w:tcBorders>
            <w:shd w:val="clear" w:color="auto" w:fill="DCE2E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280" w:type="dxa"/>
            <w:vAlign w:val="bottom"/>
          </w:tcPr>
          <w:p>
            <w:pPr>
              <w:jc w:val="right"/>
              <w:ind w:right="674"/>
              <w:spacing w:after="0" w:line="180" w:lineRule="exact"/>
              <w:rPr>
                <w:sz w:val="20"/>
                <w:szCs w:val="20"/>
                <w:color w:val="auto"/>
              </w:rPr>
            </w:pPr>
            <w:r>
              <w:rPr>
                <w:rFonts w:ascii="Arial" w:cs="Arial" w:eastAsia="Arial" w:hAnsi="Arial"/>
                <w:sz w:val="17"/>
                <w:szCs w:val="17"/>
                <w:color w:val="auto"/>
              </w:rPr>
              <w:t>10.28*</w:t>
            </w:r>
          </w:p>
        </w:tc>
        <w:tc>
          <w:tcPr>
            <w:tcW w:w="20" w:type="dxa"/>
            <w:vAlign w:val="bottom"/>
          </w:tcPr>
          <w:p>
            <w:pPr>
              <w:spacing w:after="0"/>
              <w:rPr>
                <w:sz w:val="15"/>
                <w:szCs w:val="15"/>
                <w:color w:val="auto"/>
              </w:rPr>
            </w:pPr>
          </w:p>
        </w:tc>
        <w:tc>
          <w:tcPr>
            <w:tcW w:w="4540" w:type="dxa"/>
            <w:vAlign w:val="bottom"/>
            <w:gridSpan w:val="28"/>
          </w:tcPr>
          <w:p>
            <w:pPr>
              <w:spacing w:after="0" w:line="180" w:lineRule="exact"/>
              <w:rPr>
                <w:rFonts w:ascii="Arial" w:cs="Arial" w:eastAsia="Arial" w:hAnsi="Arial"/>
                <w:sz w:val="17"/>
                <w:szCs w:val="17"/>
                <w:color w:val="0000FF"/>
              </w:rPr>
            </w:pPr>
            <w:hyperlink r:id="rId199">
              <w:r>
                <w:rPr>
                  <w:rFonts w:ascii="Arial" w:cs="Arial" w:eastAsia="Arial" w:hAnsi="Arial"/>
                  <w:sz w:val="17"/>
                  <w:szCs w:val="17"/>
                  <w:color w:val="0000FF"/>
                </w:rPr>
                <w:t>Deferred Compensation Plan for Executives, amended and</w:t>
              </w:r>
            </w:hyperlink>
          </w:p>
        </w:tc>
        <w:tc>
          <w:tcPr>
            <w:tcW w:w="860" w:type="dxa"/>
            <w:vAlign w:val="bottom"/>
          </w:tcPr>
          <w:p>
            <w:pPr>
              <w:ind w:left="260"/>
              <w:spacing w:after="0" w:line="180" w:lineRule="exact"/>
              <w:rPr>
                <w:sz w:val="20"/>
                <w:szCs w:val="20"/>
                <w:color w:val="auto"/>
              </w:rPr>
            </w:pPr>
            <w:r>
              <w:rPr>
                <w:rFonts w:ascii="Arial" w:cs="Arial" w:eastAsia="Arial" w:hAnsi="Arial"/>
                <w:sz w:val="17"/>
                <w:szCs w:val="17"/>
                <w:color w:val="auto"/>
              </w:rPr>
              <w:t>10-K</w:t>
            </w:r>
          </w:p>
        </w:tc>
        <w:tc>
          <w:tcPr>
            <w:tcW w:w="1340" w:type="dxa"/>
            <w:vAlign w:val="bottom"/>
          </w:tcPr>
          <w:p>
            <w:pPr>
              <w:jc w:val="right"/>
              <w:ind w:right="194"/>
              <w:spacing w:after="0" w:line="180" w:lineRule="exact"/>
              <w:rPr>
                <w:sz w:val="20"/>
                <w:szCs w:val="20"/>
                <w:color w:val="auto"/>
              </w:rPr>
            </w:pPr>
            <w:r>
              <w:rPr>
                <w:rFonts w:ascii="Arial" w:cs="Arial" w:eastAsia="Arial" w:hAnsi="Arial"/>
                <w:sz w:val="17"/>
                <w:szCs w:val="17"/>
                <w:color w:val="auto"/>
              </w:rPr>
              <w:t>001-08929</w:t>
            </w:r>
          </w:p>
        </w:tc>
        <w:tc>
          <w:tcPr>
            <w:tcW w:w="1040" w:type="dxa"/>
            <w:vAlign w:val="bottom"/>
          </w:tcPr>
          <w:p>
            <w:pPr>
              <w:jc w:val="center"/>
              <w:spacing w:after="0" w:line="180" w:lineRule="exact"/>
              <w:rPr>
                <w:sz w:val="20"/>
                <w:szCs w:val="20"/>
                <w:color w:val="auto"/>
              </w:rPr>
            </w:pPr>
            <w:r>
              <w:rPr>
                <w:rFonts w:ascii="Arial" w:cs="Arial" w:eastAsia="Arial" w:hAnsi="Arial"/>
                <w:sz w:val="17"/>
                <w:szCs w:val="17"/>
                <w:color w:val="auto"/>
              </w:rPr>
              <w:t>10.22</w:t>
            </w:r>
          </w:p>
        </w:tc>
        <w:tc>
          <w:tcPr>
            <w:tcW w:w="2160" w:type="dxa"/>
            <w:vAlign w:val="bottom"/>
          </w:tcPr>
          <w:p>
            <w:pPr>
              <w:jc w:val="center"/>
              <w:spacing w:after="0" w:line="180" w:lineRule="exact"/>
              <w:rPr>
                <w:sz w:val="20"/>
                <w:szCs w:val="20"/>
                <w:color w:val="auto"/>
              </w:rPr>
            </w:pPr>
            <w:r>
              <w:rPr>
                <w:rFonts w:ascii="Arial" w:cs="Arial" w:eastAsia="Arial" w:hAnsi="Arial"/>
                <w:sz w:val="17"/>
                <w:szCs w:val="17"/>
                <w:color w:val="auto"/>
              </w:rPr>
              <w:t>December 23, 2010</w:t>
            </w:r>
          </w:p>
        </w:tc>
        <w:tc>
          <w:tcPr>
            <w:tcW w:w="0" w:type="dxa"/>
            <w:vAlign w:val="bottom"/>
          </w:tcPr>
          <w:p>
            <w:pPr>
              <w:spacing w:after="0"/>
              <w:rPr>
                <w:sz w:val="1"/>
                <w:szCs w:val="1"/>
                <w:color w:val="auto"/>
              </w:rPr>
            </w:pPr>
          </w:p>
        </w:tc>
      </w:tr>
      <w:tr>
        <w:trPr>
          <w:trHeight w:val="148"/>
        </w:trPr>
        <w:tc>
          <w:tcPr>
            <w:tcW w:w="1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0" w:type="dxa"/>
            <w:vAlign w:val="bottom"/>
            <w:tcBorders>
              <w:top w:val="single" w:sz="8" w:color="0000FF"/>
              <w:bottom w:val="single" w:sz="8" w:color="0000FF"/>
            </w:tcBorders>
            <w:gridSpan w:val="5"/>
          </w:tcPr>
          <w:p>
            <w:pPr>
              <w:spacing w:after="0" w:line="148" w:lineRule="exact"/>
              <w:rPr>
                <w:rFonts w:ascii="Arial" w:cs="Arial" w:eastAsia="Arial" w:hAnsi="Arial"/>
                <w:sz w:val="17"/>
                <w:szCs w:val="17"/>
                <w:color w:val="0000FF"/>
              </w:rPr>
            </w:pPr>
            <w:hyperlink r:id="rId199">
              <w:r>
                <w:rPr>
                  <w:rFonts w:ascii="Arial" w:cs="Arial" w:eastAsia="Arial" w:hAnsi="Arial"/>
                  <w:sz w:val="17"/>
                  <w:szCs w:val="17"/>
                  <w:color w:val="0000FF"/>
                </w:rPr>
                <w:t>restated October 25, 2010</w:t>
              </w:r>
            </w:hyperlink>
          </w:p>
        </w:tc>
        <w:tc>
          <w:tcPr>
            <w:tcW w:w="2480" w:type="dxa"/>
            <w:vAlign w:val="bottom"/>
            <w:tcBorders>
              <w:top w:val="single" w:sz="8" w:color="0000FF"/>
            </w:tcBorders>
            <w:gridSpan w:val="20"/>
          </w:tcPr>
          <w:p>
            <w:pPr>
              <w:spacing w:after="0"/>
              <w:rPr>
                <w:sz w:val="12"/>
                <w:szCs w:val="12"/>
                <w:color w:val="auto"/>
              </w:rPr>
            </w:pPr>
          </w:p>
        </w:tc>
        <w:tc>
          <w:tcPr>
            <w:tcW w:w="60" w:type="dxa"/>
            <w:vAlign w:val="bottom"/>
            <w:gridSpan w:val="3"/>
          </w:tcPr>
          <w:p>
            <w:pPr>
              <w:spacing w:after="0"/>
              <w:rPr>
                <w:sz w:val="12"/>
                <w:szCs w:val="12"/>
                <w:color w:val="auto"/>
              </w:rPr>
            </w:pPr>
          </w:p>
        </w:tc>
        <w:tc>
          <w:tcPr>
            <w:tcW w:w="8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128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4540" w:type="dxa"/>
            <w:vAlign w:val="bottom"/>
            <w:gridSpan w:val="28"/>
            <w:vMerge w:val="restart"/>
          </w:tcPr>
          <w:p>
            <w:pPr>
              <w:spacing w:after="0"/>
              <w:rPr>
                <w:rFonts w:ascii="Arial" w:cs="Arial" w:eastAsia="Arial" w:hAnsi="Arial"/>
                <w:sz w:val="17"/>
                <w:szCs w:val="17"/>
                <w:color w:val="0000FF"/>
              </w:rPr>
            </w:pPr>
            <w:hyperlink r:id="rId200">
              <w:r>
                <w:rPr>
                  <w:rFonts w:ascii="Arial" w:cs="Arial" w:eastAsia="Arial" w:hAnsi="Arial"/>
                  <w:sz w:val="17"/>
                  <w:szCs w:val="17"/>
                  <w:color w:val="0000FF"/>
                </w:rPr>
                <w:t>Deferred Compensation Plan for Executives, amended and</w:t>
              </w:r>
            </w:hyperlink>
          </w:p>
        </w:tc>
        <w:tc>
          <w:tcPr>
            <w:tcW w:w="8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1280" w:type="dxa"/>
            <w:vAlign w:val="bottom"/>
            <w:shd w:val="clear" w:color="auto" w:fill="DCE2EF"/>
          </w:tcPr>
          <w:p>
            <w:pPr>
              <w:jc w:val="right"/>
              <w:ind w:right="674"/>
              <w:spacing w:after="0" w:line="180" w:lineRule="exact"/>
              <w:rPr>
                <w:sz w:val="20"/>
                <w:szCs w:val="20"/>
                <w:color w:val="auto"/>
              </w:rPr>
            </w:pPr>
            <w:r>
              <w:rPr>
                <w:rFonts w:ascii="Arial" w:cs="Arial" w:eastAsia="Arial" w:hAnsi="Arial"/>
                <w:sz w:val="17"/>
                <w:szCs w:val="17"/>
                <w:color w:val="auto"/>
              </w:rPr>
              <w:t>10.29*</w:t>
            </w:r>
          </w:p>
        </w:tc>
        <w:tc>
          <w:tcPr>
            <w:tcW w:w="20" w:type="dxa"/>
            <w:vAlign w:val="bottom"/>
            <w:vMerge w:val="continue"/>
          </w:tcPr>
          <w:p>
            <w:pPr>
              <w:spacing w:after="0"/>
              <w:rPr>
                <w:sz w:val="15"/>
                <w:szCs w:val="15"/>
                <w:color w:val="auto"/>
              </w:rPr>
            </w:pPr>
          </w:p>
        </w:tc>
        <w:tc>
          <w:tcPr>
            <w:tcW w:w="4540" w:type="dxa"/>
            <w:vAlign w:val="bottom"/>
            <w:gridSpan w:val="28"/>
            <w:vMerge w:val="continue"/>
          </w:tcPr>
          <w:p>
            <w:pPr>
              <w:spacing w:after="0"/>
              <w:rPr>
                <w:sz w:val="15"/>
                <w:szCs w:val="15"/>
                <w:color w:val="auto"/>
              </w:rPr>
            </w:pPr>
          </w:p>
        </w:tc>
        <w:tc>
          <w:tcPr>
            <w:tcW w:w="860" w:type="dxa"/>
            <w:vAlign w:val="bottom"/>
            <w:shd w:val="clear" w:color="auto" w:fill="DCE2EF"/>
          </w:tcPr>
          <w:p>
            <w:pPr>
              <w:ind w:left="260"/>
              <w:spacing w:after="0" w:line="180" w:lineRule="exact"/>
              <w:rPr>
                <w:sz w:val="20"/>
                <w:szCs w:val="20"/>
                <w:color w:val="auto"/>
              </w:rPr>
            </w:pPr>
            <w:r>
              <w:rPr>
                <w:rFonts w:ascii="Arial" w:cs="Arial" w:eastAsia="Arial" w:hAnsi="Arial"/>
                <w:sz w:val="17"/>
                <w:szCs w:val="17"/>
                <w:color w:val="auto"/>
              </w:rPr>
              <w:t>10-K</w:t>
            </w:r>
          </w:p>
        </w:tc>
        <w:tc>
          <w:tcPr>
            <w:tcW w:w="1340" w:type="dxa"/>
            <w:vAlign w:val="bottom"/>
            <w:shd w:val="clear" w:color="auto" w:fill="DCE2EF"/>
          </w:tcPr>
          <w:p>
            <w:pPr>
              <w:jc w:val="right"/>
              <w:ind w:right="194"/>
              <w:spacing w:after="0" w:line="180" w:lineRule="exact"/>
              <w:rPr>
                <w:sz w:val="20"/>
                <w:szCs w:val="20"/>
                <w:color w:val="auto"/>
              </w:rPr>
            </w:pPr>
            <w:r>
              <w:rPr>
                <w:rFonts w:ascii="Arial" w:cs="Arial" w:eastAsia="Arial" w:hAnsi="Arial"/>
                <w:sz w:val="17"/>
                <w:szCs w:val="17"/>
                <w:color w:val="auto"/>
              </w:rPr>
              <w:t>001-08929</w:t>
            </w:r>
          </w:p>
        </w:tc>
        <w:tc>
          <w:tcPr>
            <w:tcW w:w="1040" w:type="dxa"/>
            <w:vAlign w:val="bottom"/>
            <w:shd w:val="clear" w:color="auto" w:fill="DCE2EF"/>
          </w:tcPr>
          <w:p>
            <w:pPr>
              <w:jc w:val="center"/>
              <w:spacing w:after="0" w:line="180" w:lineRule="exact"/>
              <w:rPr>
                <w:sz w:val="20"/>
                <w:szCs w:val="20"/>
                <w:color w:val="auto"/>
              </w:rPr>
            </w:pPr>
            <w:r>
              <w:rPr>
                <w:rFonts w:ascii="Arial" w:cs="Arial" w:eastAsia="Arial" w:hAnsi="Arial"/>
                <w:sz w:val="17"/>
                <w:szCs w:val="17"/>
                <w:color w:val="auto"/>
              </w:rPr>
              <w:t>10.29</w:t>
            </w:r>
          </w:p>
        </w:tc>
        <w:tc>
          <w:tcPr>
            <w:tcW w:w="2160" w:type="dxa"/>
            <w:vAlign w:val="bottom"/>
            <w:shd w:val="clear" w:color="auto" w:fill="DCE2EF"/>
          </w:tcPr>
          <w:p>
            <w:pPr>
              <w:jc w:val="center"/>
              <w:spacing w:after="0" w:line="180" w:lineRule="exact"/>
              <w:rPr>
                <w:sz w:val="20"/>
                <w:szCs w:val="20"/>
                <w:color w:val="auto"/>
              </w:rPr>
            </w:pPr>
            <w:r>
              <w:rPr>
                <w:rFonts w:ascii="Arial" w:cs="Arial" w:eastAsia="Arial" w:hAnsi="Arial"/>
                <w:sz w:val="17"/>
                <w:szCs w:val="17"/>
                <w:color w:val="auto"/>
              </w:rPr>
              <w:t>December 18, 2023</w:t>
            </w:r>
          </w:p>
        </w:tc>
        <w:tc>
          <w:tcPr>
            <w:tcW w:w="0" w:type="dxa"/>
            <w:vAlign w:val="bottom"/>
          </w:tcPr>
          <w:p>
            <w:pPr>
              <w:spacing w:after="0"/>
              <w:rPr>
                <w:sz w:val="1"/>
                <w:szCs w:val="1"/>
                <w:color w:val="auto"/>
              </w:rPr>
            </w:pPr>
          </w:p>
        </w:tc>
      </w:tr>
      <w:tr>
        <w:trPr>
          <w:trHeight w:val="179"/>
        </w:trPr>
        <w:tc>
          <w:tcPr>
            <w:tcW w:w="1280" w:type="dxa"/>
            <w:vAlign w:val="bottom"/>
            <w:tcBorders>
              <w:top w:val="single" w:sz="8" w:color="DCE2EF"/>
              <w:bottom w:val="single" w:sz="8" w:color="DCE2EF"/>
            </w:tcBorders>
            <w:shd w:val="clear" w:color="auto" w:fill="DCE2EF"/>
          </w:tcPr>
          <w:p>
            <w:pPr>
              <w:spacing w:after="0"/>
              <w:rPr>
                <w:sz w:val="15"/>
                <w:szCs w:val="15"/>
                <w:color w:val="auto"/>
              </w:rPr>
            </w:pPr>
          </w:p>
        </w:tc>
        <w:tc>
          <w:tcPr>
            <w:tcW w:w="20" w:type="dxa"/>
            <w:vAlign w:val="bottom"/>
          </w:tcPr>
          <w:p>
            <w:pPr>
              <w:spacing w:after="0"/>
              <w:rPr>
                <w:sz w:val="15"/>
                <w:szCs w:val="15"/>
                <w:color w:val="auto"/>
              </w:rPr>
            </w:pPr>
          </w:p>
        </w:tc>
        <w:tc>
          <w:tcPr>
            <w:tcW w:w="1900" w:type="dxa"/>
            <w:vAlign w:val="bottom"/>
            <w:tcBorders>
              <w:top w:val="single" w:sz="8" w:color="0000FF"/>
              <w:bottom w:val="single" w:sz="8" w:color="0000FF"/>
            </w:tcBorders>
            <w:gridSpan w:val="4"/>
          </w:tcPr>
          <w:p>
            <w:pPr>
              <w:spacing w:after="0" w:line="148" w:lineRule="exact"/>
              <w:rPr>
                <w:rFonts w:ascii="Arial" w:cs="Arial" w:eastAsia="Arial" w:hAnsi="Arial"/>
                <w:sz w:val="17"/>
                <w:szCs w:val="17"/>
                <w:color w:val="0000FF"/>
                <w:w w:val="99"/>
              </w:rPr>
            </w:pPr>
            <w:hyperlink r:id="rId200">
              <w:r>
                <w:rPr>
                  <w:rFonts w:ascii="Arial" w:cs="Arial" w:eastAsia="Arial" w:hAnsi="Arial"/>
                  <w:sz w:val="17"/>
                  <w:szCs w:val="17"/>
                  <w:color w:val="0000FF"/>
                  <w:w w:val="99"/>
                </w:rPr>
                <w:t>restated October 2, 2023</w:t>
              </w:r>
            </w:hyperlink>
          </w:p>
        </w:tc>
        <w:tc>
          <w:tcPr>
            <w:tcW w:w="2580" w:type="dxa"/>
            <w:vAlign w:val="bottom"/>
            <w:tcBorders>
              <w:top w:val="single" w:sz="8" w:color="0000FF"/>
            </w:tcBorders>
            <w:gridSpan w:val="21"/>
          </w:tcPr>
          <w:p>
            <w:pPr>
              <w:spacing w:after="0"/>
              <w:rPr>
                <w:sz w:val="15"/>
                <w:szCs w:val="15"/>
                <w:color w:val="auto"/>
              </w:rPr>
            </w:pPr>
          </w:p>
        </w:tc>
        <w:tc>
          <w:tcPr>
            <w:tcW w:w="60" w:type="dxa"/>
            <w:vAlign w:val="bottom"/>
            <w:gridSpan w:val="3"/>
          </w:tcPr>
          <w:p>
            <w:pPr>
              <w:spacing w:after="0"/>
              <w:rPr>
                <w:sz w:val="15"/>
                <w:szCs w:val="15"/>
                <w:color w:val="auto"/>
              </w:rPr>
            </w:pPr>
          </w:p>
        </w:tc>
        <w:tc>
          <w:tcPr>
            <w:tcW w:w="860" w:type="dxa"/>
            <w:vAlign w:val="bottom"/>
            <w:tcBorders>
              <w:top w:val="single" w:sz="8" w:color="DCE2EF"/>
              <w:bottom w:val="single" w:sz="8" w:color="DCE2EF"/>
            </w:tcBorders>
            <w:shd w:val="clear" w:color="auto" w:fill="DCE2EF"/>
          </w:tcPr>
          <w:p>
            <w:pPr>
              <w:spacing w:after="0"/>
              <w:rPr>
                <w:sz w:val="15"/>
                <w:szCs w:val="15"/>
                <w:color w:val="auto"/>
              </w:rPr>
            </w:pPr>
          </w:p>
        </w:tc>
        <w:tc>
          <w:tcPr>
            <w:tcW w:w="1340" w:type="dxa"/>
            <w:vAlign w:val="bottom"/>
            <w:tcBorders>
              <w:top w:val="single" w:sz="8" w:color="DCE2EF"/>
              <w:bottom w:val="single" w:sz="8" w:color="DCE2EF"/>
            </w:tcBorders>
            <w:shd w:val="clear" w:color="auto" w:fill="DCE2EF"/>
          </w:tcPr>
          <w:p>
            <w:pPr>
              <w:spacing w:after="0"/>
              <w:rPr>
                <w:sz w:val="15"/>
                <w:szCs w:val="15"/>
                <w:color w:val="auto"/>
              </w:rPr>
            </w:pPr>
          </w:p>
        </w:tc>
        <w:tc>
          <w:tcPr>
            <w:tcW w:w="1040" w:type="dxa"/>
            <w:vAlign w:val="bottom"/>
            <w:tcBorders>
              <w:top w:val="single" w:sz="8" w:color="DCE2EF"/>
              <w:bottom w:val="single" w:sz="8" w:color="DCE2EF"/>
            </w:tcBorders>
            <w:shd w:val="clear" w:color="auto" w:fill="DCE2EF"/>
          </w:tcPr>
          <w:p>
            <w:pPr>
              <w:spacing w:after="0"/>
              <w:rPr>
                <w:sz w:val="15"/>
                <w:szCs w:val="15"/>
                <w:color w:val="auto"/>
              </w:rPr>
            </w:pPr>
          </w:p>
        </w:tc>
        <w:tc>
          <w:tcPr>
            <w:tcW w:w="2160" w:type="dxa"/>
            <w:vAlign w:val="bottom"/>
            <w:tcBorders>
              <w:top w:val="single" w:sz="8" w:color="DCE2EF"/>
              <w:bottom w:val="single" w:sz="8" w:color="DCE2EF"/>
            </w:tcBorders>
            <w:shd w:val="clear" w:color="auto" w:fill="DCE2E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280" w:type="dxa"/>
            <w:vAlign w:val="bottom"/>
          </w:tcPr>
          <w:p>
            <w:pPr>
              <w:jc w:val="right"/>
              <w:ind w:right="674"/>
              <w:spacing w:after="0" w:line="180" w:lineRule="exact"/>
              <w:rPr>
                <w:sz w:val="20"/>
                <w:szCs w:val="20"/>
                <w:color w:val="auto"/>
              </w:rPr>
            </w:pPr>
            <w:r>
              <w:rPr>
                <w:rFonts w:ascii="Arial" w:cs="Arial" w:eastAsia="Arial" w:hAnsi="Arial"/>
                <w:sz w:val="17"/>
                <w:szCs w:val="17"/>
                <w:color w:val="auto"/>
              </w:rPr>
              <w:t>10.30*</w:t>
            </w:r>
          </w:p>
        </w:tc>
        <w:tc>
          <w:tcPr>
            <w:tcW w:w="20" w:type="dxa"/>
            <w:vAlign w:val="bottom"/>
          </w:tcPr>
          <w:p>
            <w:pPr>
              <w:spacing w:after="0"/>
              <w:rPr>
                <w:sz w:val="15"/>
                <w:szCs w:val="15"/>
                <w:color w:val="auto"/>
              </w:rPr>
            </w:pPr>
          </w:p>
        </w:tc>
        <w:tc>
          <w:tcPr>
            <w:tcW w:w="4540" w:type="dxa"/>
            <w:vAlign w:val="bottom"/>
            <w:gridSpan w:val="28"/>
          </w:tcPr>
          <w:p>
            <w:pPr>
              <w:spacing w:after="0" w:line="180" w:lineRule="exact"/>
              <w:rPr>
                <w:rFonts w:ascii="Arial" w:cs="Arial" w:eastAsia="Arial" w:hAnsi="Arial"/>
                <w:sz w:val="17"/>
                <w:szCs w:val="17"/>
                <w:color w:val="0000FF"/>
              </w:rPr>
            </w:pPr>
            <w:hyperlink r:id="rId201">
              <w:r>
                <w:rPr>
                  <w:rFonts w:ascii="Arial" w:cs="Arial" w:eastAsia="Arial" w:hAnsi="Arial"/>
                  <w:sz w:val="17"/>
                  <w:szCs w:val="17"/>
                  <w:color w:val="0000FF"/>
                </w:rPr>
                <w:t>Supplemental Executive Retirement Plan, as amended and</w:t>
              </w:r>
            </w:hyperlink>
          </w:p>
        </w:tc>
        <w:tc>
          <w:tcPr>
            <w:tcW w:w="860" w:type="dxa"/>
            <w:vAlign w:val="bottom"/>
          </w:tcPr>
          <w:p>
            <w:pPr>
              <w:ind w:left="260"/>
              <w:spacing w:after="0" w:line="180" w:lineRule="exact"/>
              <w:rPr>
                <w:sz w:val="20"/>
                <w:szCs w:val="20"/>
                <w:color w:val="auto"/>
              </w:rPr>
            </w:pPr>
            <w:r>
              <w:rPr>
                <w:rFonts w:ascii="Arial" w:cs="Arial" w:eastAsia="Arial" w:hAnsi="Arial"/>
                <w:sz w:val="17"/>
                <w:szCs w:val="17"/>
                <w:color w:val="auto"/>
              </w:rPr>
              <w:t>10-Q</w:t>
            </w:r>
          </w:p>
        </w:tc>
        <w:tc>
          <w:tcPr>
            <w:tcW w:w="1340" w:type="dxa"/>
            <w:vAlign w:val="bottom"/>
          </w:tcPr>
          <w:p>
            <w:pPr>
              <w:jc w:val="right"/>
              <w:ind w:right="194"/>
              <w:spacing w:after="0" w:line="180" w:lineRule="exact"/>
              <w:rPr>
                <w:sz w:val="20"/>
                <w:szCs w:val="20"/>
                <w:color w:val="auto"/>
              </w:rPr>
            </w:pPr>
            <w:r>
              <w:rPr>
                <w:rFonts w:ascii="Arial" w:cs="Arial" w:eastAsia="Arial" w:hAnsi="Arial"/>
                <w:sz w:val="17"/>
                <w:szCs w:val="17"/>
                <w:color w:val="auto"/>
              </w:rPr>
              <w:t>001-08929</w:t>
            </w:r>
          </w:p>
        </w:tc>
        <w:tc>
          <w:tcPr>
            <w:tcW w:w="1040" w:type="dxa"/>
            <w:vAlign w:val="bottom"/>
          </w:tcPr>
          <w:p>
            <w:pPr>
              <w:jc w:val="center"/>
              <w:spacing w:after="0" w:line="180" w:lineRule="exact"/>
              <w:rPr>
                <w:sz w:val="20"/>
                <w:szCs w:val="20"/>
                <w:color w:val="auto"/>
              </w:rPr>
            </w:pPr>
            <w:r>
              <w:rPr>
                <w:rFonts w:ascii="Arial" w:cs="Arial" w:eastAsia="Arial" w:hAnsi="Arial"/>
                <w:sz w:val="17"/>
                <w:szCs w:val="17"/>
                <w:color w:val="auto"/>
              </w:rPr>
              <w:t>10.4</w:t>
            </w:r>
          </w:p>
        </w:tc>
        <w:tc>
          <w:tcPr>
            <w:tcW w:w="2160" w:type="dxa"/>
            <w:vAlign w:val="bottom"/>
          </w:tcPr>
          <w:p>
            <w:pPr>
              <w:jc w:val="center"/>
              <w:spacing w:after="0" w:line="180" w:lineRule="exact"/>
              <w:rPr>
                <w:sz w:val="20"/>
                <w:szCs w:val="20"/>
                <w:color w:val="auto"/>
              </w:rPr>
            </w:pPr>
            <w:r>
              <w:rPr>
                <w:rFonts w:ascii="Arial" w:cs="Arial" w:eastAsia="Arial" w:hAnsi="Arial"/>
                <w:sz w:val="17"/>
                <w:szCs w:val="17"/>
                <w:color w:val="auto"/>
              </w:rPr>
              <w:t>September 8, 2008</w:t>
            </w:r>
          </w:p>
        </w:tc>
        <w:tc>
          <w:tcPr>
            <w:tcW w:w="0" w:type="dxa"/>
            <w:vAlign w:val="bottom"/>
          </w:tcPr>
          <w:p>
            <w:pPr>
              <w:spacing w:after="0"/>
              <w:rPr>
                <w:sz w:val="1"/>
                <w:szCs w:val="1"/>
                <w:color w:val="auto"/>
              </w:rPr>
            </w:pPr>
          </w:p>
        </w:tc>
      </w:tr>
      <w:tr>
        <w:trPr>
          <w:trHeight w:val="148"/>
        </w:trPr>
        <w:tc>
          <w:tcPr>
            <w:tcW w:w="1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20" w:type="dxa"/>
            <w:vAlign w:val="bottom"/>
            <w:tcBorders>
              <w:top w:val="single" w:sz="8" w:color="0000FF"/>
              <w:bottom w:val="single" w:sz="8" w:color="0000FF"/>
            </w:tcBorders>
            <w:gridSpan w:val="3"/>
          </w:tcPr>
          <w:p>
            <w:pPr>
              <w:spacing w:after="0" w:line="148" w:lineRule="exact"/>
              <w:rPr>
                <w:rFonts w:ascii="Arial" w:cs="Arial" w:eastAsia="Arial" w:hAnsi="Arial"/>
                <w:sz w:val="17"/>
                <w:szCs w:val="17"/>
                <w:color w:val="0000FF"/>
              </w:rPr>
            </w:pPr>
            <w:hyperlink r:id="rId201">
              <w:r>
                <w:rPr>
                  <w:rFonts w:ascii="Arial" w:cs="Arial" w:eastAsia="Arial" w:hAnsi="Arial"/>
                  <w:sz w:val="17"/>
                  <w:szCs w:val="17"/>
                  <w:color w:val="0000FF"/>
                </w:rPr>
                <w:t>restated June 3, 2008</w:t>
              </w:r>
            </w:hyperlink>
          </w:p>
        </w:tc>
        <w:tc>
          <w:tcPr>
            <w:tcW w:w="2780" w:type="dxa"/>
            <w:vAlign w:val="bottom"/>
            <w:tcBorders>
              <w:top w:val="single" w:sz="8" w:color="0000FF"/>
            </w:tcBorders>
            <w:gridSpan w:val="23"/>
          </w:tcPr>
          <w:p>
            <w:pPr>
              <w:spacing w:after="0"/>
              <w:rPr>
                <w:sz w:val="12"/>
                <w:szCs w:val="12"/>
                <w:color w:val="auto"/>
              </w:rPr>
            </w:pPr>
          </w:p>
        </w:tc>
        <w:tc>
          <w:tcPr>
            <w:tcW w:w="40" w:type="dxa"/>
            <w:vAlign w:val="bottom"/>
            <w:gridSpan w:val="2"/>
          </w:tcPr>
          <w:p>
            <w:pPr>
              <w:spacing w:after="0"/>
              <w:rPr>
                <w:sz w:val="12"/>
                <w:szCs w:val="12"/>
                <w:color w:val="auto"/>
              </w:rPr>
            </w:pPr>
          </w:p>
        </w:tc>
        <w:tc>
          <w:tcPr>
            <w:tcW w:w="8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0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5" w:right="339" w:bottom="1440" w:gutter="0" w:footer="0" w:header="0"/>
        </w:sectPr>
      </w:pPr>
    </w:p>
    <w:bookmarkStart w:id="102" w:name="page103"/>
    <w:bookmarkEnd w:id="102"/>
    <w:tbl>
      <w:tblPr>
        <w:tblLayout w:type="fixed"/>
        <w:tblInd w:w="0" w:type="dxa"/>
        <w:tblCellMar>
          <w:top w:w="0" w:type="dxa"/>
          <w:left w:w="0" w:type="dxa"/>
          <w:bottom w:w="0" w:type="dxa"/>
          <w:right w:w="0" w:type="dxa"/>
        </w:tblCellMar>
      </w:tblPr>
      <w:tr>
        <w:trPr>
          <w:trHeight w:val="195"/>
        </w:trPr>
        <w:tc>
          <w:tcPr>
            <w:tcW w:w="1300" w:type="dxa"/>
            <w:vAlign w:val="bottom"/>
            <w:shd w:val="clear" w:color="auto" w:fill="DCE2EF"/>
          </w:tcPr>
          <w:p>
            <w:pPr>
              <w:ind w:left="20"/>
              <w:spacing w:after="0"/>
              <w:rPr>
                <w:sz w:val="20"/>
                <w:szCs w:val="20"/>
                <w:color w:val="auto"/>
              </w:rPr>
            </w:pPr>
            <w:r>
              <w:rPr>
                <w:rFonts w:ascii="Arial" w:cs="Arial" w:eastAsia="Arial" w:hAnsi="Arial"/>
                <w:sz w:val="17"/>
                <w:szCs w:val="17"/>
                <w:color w:val="auto"/>
              </w:rPr>
              <w:t>10.31*</w:t>
            </w:r>
          </w:p>
        </w:tc>
        <w:tc>
          <w:tcPr>
            <w:tcW w:w="4540" w:type="dxa"/>
            <w:vAlign w:val="bottom"/>
            <w:gridSpan w:val="35"/>
            <w:shd w:val="clear" w:color="auto" w:fill="DCE2EF"/>
          </w:tcPr>
          <w:p>
            <w:pPr>
              <w:spacing w:after="0"/>
              <w:rPr>
                <w:rFonts w:ascii="Arial" w:cs="Arial" w:eastAsia="Arial" w:hAnsi="Arial"/>
                <w:sz w:val="17"/>
                <w:szCs w:val="17"/>
                <w:color w:val="0000FF"/>
              </w:rPr>
            </w:pPr>
            <w:hyperlink r:id="rId203">
              <w:r>
                <w:rPr>
                  <w:rFonts w:ascii="Arial" w:cs="Arial" w:eastAsia="Arial" w:hAnsi="Arial"/>
                  <w:sz w:val="17"/>
                  <w:szCs w:val="17"/>
                  <w:color w:val="0000FF"/>
                </w:rPr>
                <w:t>Service Award Benefit Plan, as amended and restated</w:t>
              </w:r>
            </w:hyperlink>
          </w:p>
        </w:tc>
        <w:tc>
          <w:tcPr>
            <w:tcW w:w="860" w:type="dxa"/>
            <w:vAlign w:val="bottom"/>
            <w:shd w:val="clear" w:color="auto" w:fill="DCE2EF"/>
          </w:tcPr>
          <w:p>
            <w:pPr>
              <w:ind w:left="260"/>
              <w:spacing w:after="0"/>
              <w:rPr>
                <w:sz w:val="20"/>
                <w:szCs w:val="20"/>
                <w:color w:val="auto"/>
              </w:rPr>
            </w:pPr>
            <w:r>
              <w:rPr>
                <w:rFonts w:ascii="Arial" w:cs="Arial" w:eastAsia="Arial" w:hAnsi="Arial"/>
                <w:sz w:val="17"/>
                <w:szCs w:val="17"/>
                <w:color w:val="auto"/>
              </w:rPr>
              <w:t>10-Q</w:t>
            </w:r>
          </w:p>
        </w:tc>
        <w:tc>
          <w:tcPr>
            <w:tcW w:w="1340" w:type="dxa"/>
            <w:vAlign w:val="bottom"/>
            <w:shd w:val="clear" w:color="auto" w:fill="DCE2EF"/>
          </w:tcPr>
          <w:p>
            <w:pPr>
              <w:jc w:val="right"/>
              <w:ind w:right="194"/>
              <w:spacing w:after="0"/>
              <w:rPr>
                <w:sz w:val="20"/>
                <w:szCs w:val="20"/>
                <w:color w:val="auto"/>
              </w:rPr>
            </w:pPr>
            <w:r>
              <w:rPr>
                <w:rFonts w:ascii="Arial" w:cs="Arial" w:eastAsia="Arial" w:hAnsi="Arial"/>
                <w:sz w:val="17"/>
                <w:szCs w:val="17"/>
                <w:color w:val="auto"/>
              </w:rPr>
              <w:t>001-08929</w:t>
            </w:r>
          </w:p>
        </w:tc>
        <w:tc>
          <w:tcPr>
            <w:tcW w:w="1040" w:type="dxa"/>
            <w:vAlign w:val="bottom"/>
            <w:shd w:val="clear" w:color="auto" w:fill="DCE2EF"/>
          </w:tcPr>
          <w:p>
            <w:pPr>
              <w:jc w:val="center"/>
              <w:spacing w:after="0"/>
              <w:rPr>
                <w:sz w:val="20"/>
                <w:szCs w:val="20"/>
                <w:color w:val="auto"/>
              </w:rPr>
            </w:pPr>
            <w:r>
              <w:rPr>
                <w:rFonts w:ascii="Arial" w:cs="Arial" w:eastAsia="Arial" w:hAnsi="Arial"/>
                <w:sz w:val="17"/>
                <w:szCs w:val="17"/>
                <w:color w:val="auto"/>
              </w:rPr>
              <w:t>10.5</w:t>
            </w:r>
          </w:p>
        </w:tc>
        <w:tc>
          <w:tcPr>
            <w:tcW w:w="2160" w:type="dxa"/>
            <w:vAlign w:val="bottom"/>
            <w:shd w:val="clear" w:color="auto" w:fill="DCE2EF"/>
          </w:tcPr>
          <w:p>
            <w:pPr>
              <w:jc w:val="center"/>
              <w:spacing w:after="0"/>
              <w:rPr>
                <w:sz w:val="20"/>
                <w:szCs w:val="20"/>
                <w:color w:val="auto"/>
              </w:rPr>
            </w:pPr>
            <w:r>
              <w:rPr>
                <w:rFonts w:ascii="Arial" w:cs="Arial" w:eastAsia="Arial" w:hAnsi="Arial"/>
                <w:sz w:val="17"/>
                <w:szCs w:val="17"/>
                <w:color w:val="auto"/>
              </w:rPr>
              <w:t>September 8, 2008</w:t>
            </w:r>
          </w:p>
        </w:tc>
      </w:tr>
      <w:tr>
        <w:trPr>
          <w:trHeight w:val="179"/>
        </w:trPr>
        <w:tc>
          <w:tcPr>
            <w:tcW w:w="1300" w:type="dxa"/>
            <w:vAlign w:val="bottom"/>
            <w:tcBorders>
              <w:top w:val="single" w:sz="8" w:color="DCE2EF"/>
              <w:bottom w:val="single" w:sz="8" w:color="DCE2EF"/>
            </w:tcBorders>
            <w:shd w:val="clear" w:color="auto" w:fill="DCE2EF"/>
          </w:tcPr>
          <w:p>
            <w:pPr>
              <w:spacing w:after="0"/>
              <w:rPr>
                <w:sz w:val="15"/>
                <w:szCs w:val="15"/>
                <w:color w:val="auto"/>
              </w:rPr>
            </w:pPr>
          </w:p>
        </w:tc>
        <w:tc>
          <w:tcPr>
            <w:tcW w:w="1000" w:type="dxa"/>
            <w:vAlign w:val="bottom"/>
            <w:tcBorders>
              <w:top w:val="single" w:sz="8" w:color="0000FF"/>
              <w:bottom w:val="single" w:sz="8" w:color="0000FF"/>
            </w:tcBorders>
            <w:gridSpan w:val="3"/>
            <w:shd w:val="clear" w:color="auto" w:fill="DCE2EF"/>
          </w:tcPr>
          <w:p>
            <w:pPr>
              <w:spacing w:after="0" w:line="148" w:lineRule="exact"/>
              <w:rPr>
                <w:rFonts w:ascii="Arial" w:cs="Arial" w:eastAsia="Arial" w:hAnsi="Arial"/>
                <w:sz w:val="17"/>
                <w:szCs w:val="17"/>
                <w:color w:val="0000FF"/>
                <w:w w:val="99"/>
              </w:rPr>
            </w:pPr>
            <w:hyperlink r:id="rId203">
              <w:r>
                <w:rPr>
                  <w:rFonts w:ascii="Arial" w:cs="Arial" w:eastAsia="Arial" w:hAnsi="Arial"/>
                  <w:sz w:val="17"/>
                  <w:szCs w:val="17"/>
                  <w:color w:val="0000FF"/>
                  <w:w w:val="99"/>
                </w:rPr>
                <w:t>June 3, 2008</w:t>
              </w:r>
            </w:hyperlink>
          </w:p>
        </w:tc>
        <w:tc>
          <w:tcPr>
            <w:tcW w:w="3120" w:type="dxa"/>
            <w:vAlign w:val="bottom"/>
            <w:tcBorders>
              <w:top w:val="single" w:sz="8" w:color="0000FF"/>
              <w:bottom w:val="single" w:sz="8" w:color="DCE2EF"/>
            </w:tcBorders>
            <w:gridSpan w:val="15"/>
            <w:shd w:val="clear" w:color="auto" w:fill="DCE2EF"/>
          </w:tcPr>
          <w:p>
            <w:pPr>
              <w:spacing w:after="0"/>
              <w:rPr>
                <w:sz w:val="15"/>
                <w:szCs w:val="15"/>
                <w:color w:val="auto"/>
              </w:rPr>
            </w:pPr>
          </w:p>
        </w:tc>
        <w:tc>
          <w:tcPr>
            <w:tcW w:w="20" w:type="dxa"/>
            <w:vAlign w:val="bottom"/>
            <w:tcBorders>
              <w:top w:val="single" w:sz="8" w:color="DCE2EF"/>
              <w:bottom w:val="single" w:sz="8" w:color="DCE2EF"/>
            </w:tcBorders>
            <w:shd w:val="clear" w:color="auto" w:fill="DCE2EF"/>
          </w:tcPr>
          <w:p>
            <w:pPr>
              <w:spacing w:after="0"/>
              <w:rPr>
                <w:sz w:val="15"/>
                <w:szCs w:val="15"/>
                <w:color w:val="auto"/>
              </w:rPr>
            </w:pPr>
          </w:p>
        </w:tc>
        <w:tc>
          <w:tcPr>
            <w:tcW w:w="40" w:type="dxa"/>
            <w:vAlign w:val="bottom"/>
            <w:tcBorders>
              <w:top w:val="single" w:sz="8" w:color="DCE2EF"/>
              <w:bottom w:val="single" w:sz="8" w:color="DCE2EF"/>
            </w:tcBorders>
            <w:shd w:val="clear" w:color="auto" w:fill="DCE2EF"/>
          </w:tcPr>
          <w:p>
            <w:pPr>
              <w:spacing w:after="0"/>
              <w:rPr>
                <w:sz w:val="15"/>
                <w:szCs w:val="15"/>
                <w:color w:val="auto"/>
              </w:rPr>
            </w:pPr>
          </w:p>
        </w:tc>
        <w:tc>
          <w:tcPr>
            <w:tcW w:w="20" w:type="dxa"/>
            <w:vAlign w:val="bottom"/>
            <w:tcBorders>
              <w:top w:val="single" w:sz="8" w:color="DCE2EF"/>
              <w:bottom w:val="single" w:sz="8" w:color="DCE2EF"/>
            </w:tcBorders>
            <w:shd w:val="clear" w:color="auto" w:fill="DCE2EF"/>
          </w:tcPr>
          <w:p>
            <w:pPr>
              <w:spacing w:after="0"/>
              <w:rPr>
                <w:sz w:val="15"/>
                <w:szCs w:val="15"/>
                <w:color w:val="auto"/>
              </w:rPr>
            </w:pPr>
          </w:p>
        </w:tc>
        <w:tc>
          <w:tcPr>
            <w:tcW w:w="40" w:type="dxa"/>
            <w:vAlign w:val="bottom"/>
            <w:tcBorders>
              <w:top w:val="single" w:sz="8" w:color="DCE2EF"/>
              <w:bottom w:val="single" w:sz="8" w:color="DCE2EF"/>
            </w:tcBorders>
            <w:shd w:val="clear" w:color="auto" w:fill="DCE2EF"/>
          </w:tcPr>
          <w:p>
            <w:pPr>
              <w:spacing w:after="0"/>
              <w:rPr>
                <w:sz w:val="15"/>
                <w:szCs w:val="15"/>
                <w:color w:val="auto"/>
              </w:rPr>
            </w:pPr>
          </w:p>
        </w:tc>
        <w:tc>
          <w:tcPr>
            <w:tcW w:w="20" w:type="dxa"/>
            <w:vAlign w:val="bottom"/>
            <w:tcBorders>
              <w:top w:val="single" w:sz="8" w:color="DCE2EF"/>
              <w:bottom w:val="single" w:sz="8" w:color="DCE2EF"/>
            </w:tcBorders>
            <w:shd w:val="clear" w:color="auto" w:fill="DCE2EF"/>
          </w:tcPr>
          <w:p>
            <w:pPr>
              <w:spacing w:after="0"/>
              <w:rPr>
                <w:sz w:val="15"/>
                <w:szCs w:val="15"/>
                <w:color w:val="auto"/>
              </w:rPr>
            </w:pPr>
          </w:p>
        </w:tc>
        <w:tc>
          <w:tcPr>
            <w:tcW w:w="40" w:type="dxa"/>
            <w:vAlign w:val="bottom"/>
            <w:tcBorders>
              <w:top w:val="single" w:sz="8" w:color="DCE2EF"/>
              <w:bottom w:val="single" w:sz="8" w:color="DCE2EF"/>
            </w:tcBorders>
            <w:shd w:val="clear" w:color="auto" w:fill="DCE2EF"/>
          </w:tcPr>
          <w:p>
            <w:pPr>
              <w:spacing w:after="0"/>
              <w:rPr>
                <w:sz w:val="15"/>
                <w:szCs w:val="15"/>
                <w:color w:val="auto"/>
              </w:rPr>
            </w:pPr>
          </w:p>
        </w:tc>
        <w:tc>
          <w:tcPr>
            <w:tcW w:w="20" w:type="dxa"/>
            <w:vAlign w:val="bottom"/>
            <w:tcBorders>
              <w:top w:val="single" w:sz="8" w:color="DCE2EF"/>
              <w:bottom w:val="single" w:sz="8" w:color="DCE2EF"/>
            </w:tcBorders>
            <w:shd w:val="clear" w:color="auto" w:fill="DCE2EF"/>
          </w:tcPr>
          <w:p>
            <w:pPr>
              <w:spacing w:after="0"/>
              <w:rPr>
                <w:sz w:val="15"/>
                <w:szCs w:val="15"/>
                <w:color w:val="auto"/>
              </w:rPr>
            </w:pPr>
          </w:p>
        </w:tc>
        <w:tc>
          <w:tcPr>
            <w:tcW w:w="20" w:type="dxa"/>
            <w:vAlign w:val="bottom"/>
            <w:tcBorders>
              <w:top w:val="single" w:sz="8" w:color="DCE2EF"/>
              <w:bottom w:val="single" w:sz="8" w:color="DCE2EF"/>
            </w:tcBorders>
            <w:shd w:val="clear" w:color="auto" w:fill="DCE2EF"/>
          </w:tcPr>
          <w:p>
            <w:pPr>
              <w:spacing w:after="0"/>
              <w:rPr>
                <w:sz w:val="15"/>
                <w:szCs w:val="15"/>
                <w:color w:val="auto"/>
              </w:rPr>
            </w:pPr>
          </w:p>
        </w:tc>
        <w:tc>
          <w:tcPr>
            <w:tcW w:w="40" w:type="dxa"/>
            <w:vAlign w:val="bottom"/>
            <w:tcBorders>
              <w:top w:val="single" w:sz="8" w:color="DCE2EF"/>
              <w:bottom w:val="single" w:sz="8" w:color="DCE2EF"/>
            </w:tcBorders>
            <w:shd w:val="clear" w:color="auto" w:fill="DCE2EF"/>
          </w:tcPr>
          <w:p>
            <w:pPr>
              <w:spacing w:after="0"/>
              <w:rPr>
                <w:sz w:val="15"/>
                <w:szCs w:val="15"/>
                <w:color w:val="auto"/>
              </w:rPr>
            </w:pPr>
          </w:p>
        </w:tc>
        <w:tc>
          <w:tcPr>
            <w:tcW w:w="20" w:type="dxa"/>
            <w:vAlign w:val="bottom"/>
            <w:tcBorders>
              <w:top w:val="single" w:sz="8" w:color="DCE2EF"/>
              <w:bottom w:val="single" w:sz="8" w:color="DCE2EF"/>
            </w:tcBorders>
            <w:shd w:val="clear" w:color="auto" w:fill="DCE2EF"/>
          </w:tcPr>
          <w:p>
            <w:pPr>
              <w:spacing w:after="0"/>
              <w:rPr>
                <w:sz w:val="15"/>
                <w:szCs w:val="15"/>
                <w:color w:val="auto"/>
              </w:rPr>
            </w:pPr>
          </w:p>
        </w:tc>
        <w:tc>
          <w:tcPr>
            <w:tcW w:w="20" w:type="dxa"/>
            <w:vAlign w:val="bottom"/>
            <w:tcBorders>
              <w:top w:val="single" w:sz="8" w:color="DCE2EF"/>
              <w:bottom w:val="single" w:sz="8" w:color="DCE2EF"/>
            </w:tcBorders>
            <w:shd w:val="clear" w:color="auto" w:fill="DCE2EF"/>
          </w:tcPr>
          <w:p>
            <w:pPr>
              <w:spacing w:after="0"/>
              <w:rPr>
                <w:sz w:val="15"/>
                <w:szCs w:val="15"/>
                <w:color w:val="auto"/>
              </w:rPr>
            </w:pPr>
          </w:p>
        </w:tc>
        <w:tc>
          <w:tcPr>
            <w:tcW w:w="20" w:type="dxa"/>
            <w:vAlign w:val="bottom"/>
            <w:tcBorders>
              <w:top w:val="single" w:sz="8" w:color="DCE2EF"/>
              <w:bottom w:val="single" w:sz="8" w:color="DCE2EF"/>
            </w:tcBorders>
            <w:shd w:val="clear" w:color="auto" w:fill="DCE2EF"/>
          </w:tcPr>
          <w:p>
            <w:pPr>
              <w:spacing w:after="0"/>
              <w:rPr>
                <w:sz w:val="15"/>
                <w:szCs w:val="15"/>
                <w:color w:val="auto"/>
              </w:rPr>
            </w:pPr>
          </w:p>
        </w:tc>
        <w:tc>
          <w:tcPr>
            <w:tcW w:w="20" w:type="dxa"/>
            <w:vAlign w:val="bottom"/>
            <w:tcBorders>
              <w:top w:val="single" w:sz="8" w:color="DCE2EF"/>
              <w:bottom w:val="single" w:sz="8" w:color="DCE2EF"/>
            </w:tcBorders>
            <w:shd w:val="clear" w:color="auto" w:fill="DCE2EF"/>
          </w:tcPr>
          <w:p>
            <w:pPr>
              <w:spacing w:after="0"/>
              <w:rPr>
                <w:sz w:val="15"/>
                <w:szCs w:val="15"/>
                <w:color w:val="auto"/>
              </w:rPr>
            </w:pPr>
          </w:p>
        </w:tc>
        <w:tc>
          <w:tcPr>
            <w:tcW w:w="20" w:type="dxa"/>
            <w:vAlign w:val="bottom"/>
            <w:tcBorders>
              <w:top w:val="single" w:sz="8" w:color="DCE2EF"/>
              <w:bottom w:val="single" w:sz="8" w:color="DCE2EF"/>
            </w:tcBorders>
            <w:shd w:val="clear" w:color="auto" w:fill="DCE2EF"/>
          </w:tcPr>
          <w:p>
            <w:pPr>
              <w:spacing w:after="0"/>
              <w:rPr>
                <w:sz w:val="15"/>
                <w:szCs w:val="15"/>
                <w:color w:val="auto"/>
              </w:rPr>
            </w:pPr>
          </w:p>
        </w:tc>
        <w:tc>
          <w:tcPr>
            <w:tcW w:w="20" w:type="dxa"/>
            <w:vAlign w:val="bottom"/>
            <w:tcBorders>
              <w:top w:val="single" w:sz="8" w:color="DCE2EF"/>
              <w:bottom w:val="single" w:sz="8" w:color="DCE2EF"/>
            </w:tcBorders>
            <w:shd w:val="clear" w:color="auto" w:fill="DCE2EF"/>
          </w:tcPr>
          <w:p>
            <w:pPr>
              <w:spacing w:after="0"/>
              <w:rPr>
                <w:sz w:val="15"/>
                <w:szCs w:val="15"/>
                <w:color w:val="auto"/>
              </w:rPr>
            </w:pPr>
          </w:p>
        </w:tc>
        <w:tc>
          <w:tcPr>
            <w:tcW w:w="20" w:type="dxa"/>
            <w:vAlign w:val="bottom"/>
            <w:tcBorders>
              <w:top w:val="single" w:sz="8" w:color="DCE2EF"/>
              <w:bottom w:val="single" w:sz="8" w:color="DCE2EF"/>
            </w:tcBorders>
            <w:shd w:val="clear" w:color="auto" w:fill="DCE2EF"/>
          </w:tcPr>
          <w:p>
            <w:pPr>
              <w:spacing w:after="0"/>
              <w:rPr>
                <w:sz w:val="15"/>
                <w:szCs w:val="15"/>
                <w:color w:val="auto"/>
              </w:rPr>
            </w:pPr>
          </w:p>
        </w:tc>
        <w:tc>
          <w:tcPr>
            <w:tcW w:w="20" w:type="dxa"/>
            <w:vAlign w:val="bottom"/>
            <w:tcBorders>
              <w:top w:val="single" w:sz="8" w:color="DCE2EF"/>
              <w:bottom w:val="single" w:sz="8" w:color="DCE2EF"/>
            </w:tcBorders>
            <w:shd w:val="clear" w:color="auto" w:fill="DCE2EF"/>
          </w:tcPr>
          <w:p>
            <w:pPr>
              <w:spacing w:after="0"/>
              <w:rPr>
                <w:sz w:val="15"/>
                <w:szCs w:val="15"/>
                <w:color w:val="auto"/>
              </w:rPr>
            </w:pPr>
          </w:p>
        </w:tc>
        <w:tc>
          <w:tcPr>
            <w:tcW w:w="860" w:type="dxa"/>
            <w:vAlign w:val="bottom"/>
            <w:tcBorders>
              <w:top w:val="single" w:sz="8" w:color="DCE2EF"/>
              <w:bottom w:val="single" w:sz="8" w:color="DCE2EF"/>
            </w:tcBorders>
            <w:shd w:val="clear" w:color="auto" w:fill="DCE2EF"/>
          </w:tcPr>
          <w:p>
            <w:pPr>
              <w:spacing w:after="0"/>
              <w:rPr>
                <w:sz w:val="15"/>
                <w:szCs w:val="15"/>
                <w:color w:val="auto"/>
              </w:rPr>
            </w:pPr>
          </w:p>
        </w:tc>
        <w:tc>
          <w:tcPr>
            <w:tcW w:w="1340" w:type="dxa"/>
            <w:vAlign w:val="bottom"/>
            <w:tcBorders>
              <w:top w:val="single" w:sz="8" w:color="DCE2EF"/>
              <w:bottom w:val="single" w:sz="8" w:color="DCE2EF"/>
            </w:tcBorders>
            <w:shd w:val="clear" w:color="auto" w:fill="DCE2EF"/>
          </w:tcPr>
          <w:p>
            <w:pPr>
              <w:spacing w:after="0"/>
              <w:rPr>
                <w:sz w:val="15"/>
                <w:szCs w:val="15"/>
                <w:color w:val="auto"/>
              </w:rPr>
            </w:pPr>
          </w:p>
        </w:tc>
        <w:tc>
          <w:tcPr>
            <w:tcW w:w="1040" w:type="dxa"/>
            <w:vAlign w:val="bottom"/>
            <w:tcBorders>
              <w:top w:val="single" w:sz="8" w:color="DCE2EF"/>
              <w:bottom w:val="single" w:sz="8" w:color="DCE2EF"/>
            </w:tcBorders>
            <w:shd w:val="clear" w:color="auto" w:fill="DCE2EF"/>
          </w:tcPr>
          <w:p>
            <w:pPr>
              <w:spacing w:after="0"/>
              <w:rPr>
                <w:sz w:val="15"/>
                <w:szCs w:val="15"/>
                <w:color w:val="auto"/>
              </w:rPr>
            </w:pPr>
          </w:p>
        </w:tc>
        <w:tc>
          <w:tcPr>
            <w:tcW w:w="2160" w:type="dxa"/>
            <w:vAlign w:val="bottom"/>
            <w:tcBorders>
              <w:top w:val="single" w:sz="8" w:color="DCE2EF"/>
              <w:bottom w:val="single" w:sz="8" w:color="DCE2EF"/>
            </w:tcBorders>
            <w:shd w:val="clear" w:color="auto" w:fill="DCE2EF"/>
          </w:tcPr>
          <w:p>
            <w:pPr>
              <w:spacing w:after="0"/>
              <w:rPr>
                <w:sz w:val="15"/>
                <w:szCs w:val="15"/>
                <w:color w:val="auto"/>
              </w:rPr>
            </w:pPr>
          </w:p>
        </w:tc>
      </w:tr>
      <w:tr>
        <w:trPr>
          <w:trHeight w:val="180"/>
        </w:trPr>
        <w:tc>
          <w:tcPr>
            <w:tcW w:w="1300" w:type="dxa"/>
            <w:vAlign w:val="bottom"/>
          </w:tcPr>
          <w:p>
            <w:pPr>
              <w:ind w:left="20"/>
              <w:spacing w:after="0" w:line="180" w:lineRule="exact"/>
              <w:rPr>
                <w:sz w:val="20"/>
                <w:szCs w:val="20"/>
                <w:color w:val="auto"/>
              </w:rPr>
            </w:pPr>
            <w:r>
              <w:rPr>
                <w:rFonts w:ascii="Arial" w:cs="Arial" w:eastAsia="Arial" w:hAnsi="Arial"/>
                <w:sz w:val="17"/>
                <w:szCs w:val="17"/>
                <w:color w:val="auto"/>
              </w:rPr>
              <w:t>10.32*</w:t>
            </w:r>
          </w:p>
        </w:tc>
        <w:tc>
          <w:tcPr>
            <w:tcW w:w="4540" w:type="dxa"/>
            <w:vAlign w:val="bottom"/>
            <w:gridSpan w:val="35"/>
          </w:tcPr>
          <w:p>
            <w:pPr>
              <w:spacing w:after="0" w:line="180" w:lineRule="exact"/>
              <w:rPr>
                <w:rFonts w:ascii="Arial" w:cs="Arial" w:eastAsia="Arial" w:hAnsi="Arial"/>
                <w:sz w:val="17"/>
                <w:szCs w:val="17"/>
                <w:color w:val="0000FF"/>
              </w:rPr>
            </w:pPr>
            <w:hyperlink r:id="rId204">
              <w:r>
                <w:rPr>
                  <w:rFonts w:ascii="Arial" w:cs="Arial" w:eastAsia="Arial" w:hAnsi="Arial"/>
                  <w:sz w:val="17"/>
                  <w:szCs w:val="17"/>
                  <w:color w:val="0000FF"/>
                </w:rPr>
                <w:t>Executive Severance Plan and Summary Plan Description,</w:t>
              </w:r>
            </w:hyperlink>
          </w:p>
        </w:tc>
        <w:tc>
          <w:tcPr>
            <w:tcW w:w="860" w:type="dxa"/>
            <w:vAlign w:val="bottom"/>
          </w:tcPr>
          <w:p>
            <w:pPr>
              <w:ind w:left="260"/>
              <w:spacing w:after="0" w:line="180" w:lineRule="exact"/>
              <w:rPr>
                <w:sz w:val="20"/>
                <w:szCs w:val="20"/>
                <w:color w:val="auto"/>
              </w:rPr>
            </w:pPr>
            <w:r>
              <w:rPr>
                <w:rFonts w:ascii="Arial" w:cs="Arial" w:eastAsia="Arial" w:hAnsi="Arial"/>
                <w:sz w:val="17"/>
                <w:szCs w:val="17"/>
                <w:color w:val="auto"/>
              </w:rPr>
              <w:t>10-K</w:t>
            </w:r>
          </w:p>
        </w:tc>
        <w:tc>
          <w:tcPr>
            <w:tcW w:w="1340" w:type="dxa"/>
            <w:vAlign w:val="bottom"/>
          </w:tcPr>
          <w:p>
            <w:pPr>
              <w:jc w:val="right"/>
              <w:ind w:right="194"/>
              <w:spacing w:after="0" w:line="180" w:lineRule="exact"/>
              <w:rPr>
                <w:sz w:val="20"/>
                <w:szCs w:val="20"/>
                <w:color w:val="auto"/>
              </w:rPr>
            </w:pPr>
            <w:r>
              <w:rPr>
                <w:rFonts w:ascii="Arial" w:cs="Arial" w:eastAsia="Arial" w:hAnsi="Arial"/>
                <w:sz w:val="17"/>
                <w:szCs w:val="17"/>
                <w:color w:val="auto"/>
              </w:rPr>
              <w:t>001-08929</w:t>
            </w:r>
          </w:p>
        </w:tc>
        <w:tc>
          <w:tcPr>
            <w:tcW w:w="1040" w:type="dxa"/>
            <w:vAlign w:val="bottom"/>
          </w:tcPr>
          <w:p>
            <w:pPr>
              <w:jc w:val="center"/>
              <w:spacing w:after="0" w:line="180" w:lineRule="exact"/>
              <w:rPr>
                <w:sz w:val="20"/>
                <w:szCs w:val="20"/>
                <w:color w:val="auto"/>
              </w:rPr>
            </w:pPr>
            <w:r>
              <w:rPr>
                <w:rFonts w:ascii="Arial" w:cs="Arial" w:eastAsia="Arial" w:hAnsi="Arial"/>
                <w:sz w:val="17"/>
                <w:szCs w:val="17"/>
                <w:color w:val="auto"/>
              </w:rPr>
              <w:t>10.31</w:t>
            </w:r>
          </w:p>
        </w:tc>
        <w:tc>
          <w:tcPr>
            <w:tcW w:w="2160" w:type="dxa"/>
            <w:vAlign w:val="bottom"/>
          </w:tcPr>
          <w:p>
            <w:pPr>
              <w:jc w:val="center"/>
              <w:spacing w:after="0" w:line="180" w:lineRule="exact"/>
              <w:rPr>
                <w:sz w:val="20"/>
                <w:szCs w:val="20"/>
                <w:color w:val="auto"/>
              </w:rPr>
            </w:pPr>
            <w:r>
              <w:rPr>
                <w:rFonts w:ascii="Arial" w:cs="Arial" w:eastAsia="Arial" w:hAnsi="Arial"/>
                <w:sz w:val="17"/>
                <w:szCs w:val="17"/>
                <w:color w:val="auto"/>
              </w:rPr>
              <w:t>December 19, 2024</w:t>
            </w:r>
          </w:p>
        </w:tc>
      </w:tr>
      <w:tr>
        <w:trPr>
          <w:trHeight w:val="148"/>
        </w:trPr>
        <w:tc>
          <w:tcPr>
            <w:tcW w:w="1300" w:type="dxa"/>
            <w:vAlign w:val="bottom"/>
          </w:tcPr>
          <w:p>
            <w:pPr>
              <w:spacing w:after="0"/>
              <w:rPr>
                <w:sz w:val="12"/>
                <w:szCs w:val="12"/>
                <w:color w:val="auto"/>
              </w:rPr>
            </w:pPr>
          </w:p>
        </w:tc>
        <w:tc>
          <w:tcPr>
            <w:tcW w:w="4480" w:type="dxa"/>
            <w:vAlign w:val="bottom"/>
            <w:tcBorders>
              <w:top w:val="single" w:sz="8" w:color="0000FF"/>
            </w:tcBorders>
            <w:gridSpan w:val="32"/>
          </w:tcPr>
          <w:p>
            <w:pPr>
              <w:spacing w:after="0" w:line="148" w:lineRule="exact"/>
              <w:rPr>
                <w:rFonts w:ascii="Arial" w:cs="Arial" w:eastAsia="Arial" w:hAnsi="Arial"/>
                <w:sz w:val="17"/>
                <w:szCs w:val="17"/>
                <w:color w:val="0000FF"/>
              </w:rPr>
            </w:pPr>
            <w:hyperlink r:id="rId204">
              <w:r>
                <w:rPr>
                  <w:rFonts w:ascii="Arial" w:cs="Arial" w:eastAsia="Arial" w:hAnsi="Arial"/>
                  <w:sz w:val="17"/>
                  <w:szCs w:val="17"/>
                  <w:color w:val="0000FF"/>
                </w:rPr>
                <w:t>effective as of June 4, 2024</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160" w:type="dxa"/>
            <w:vAlign w:val="bottom"/>
          </w:tcPr>
          <w:p>
            <w:pPr>
              <w:spacing w:after="0"/>
              <w:rPr>
                <w:sz w:val="12"/>
                <w:szCs w:val="12"/>
                <w:color w:val="auto"/>
              </w:rPr>
            </w:pPr>
          </w:p>
        </w:tc>
      </w:tr>
      <w:tr>
        <w:trPr>
          <w:trHeight w:val="32"/>
        </w:trPr>
        <w:tc>
          <w:tcPr>
            <w:tcW w:w="1300" w:type="dxa"/>
            <w:vAlign w:val="bottom"/>
          </w:tcPr>
          <w:p>
            <w:pPr>
              <w:spacing w:after="0"/>
              <w:rPr>
                <w:sz w:val="2"/>
                <w:szCs w:val="2"/>
                <w:color w:val="auto"/>
              </w:rPr>
            </w:pPr>
          </w:p>
        </w:tc>
        <w:tc>
          <w:tcPr>
            <w:tcW w:w="68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180"/>
        </w:trPr>
        <w:tc>
          <w:tcPr>
            <w:tcW w:w="1300" w:type="dxa"/>
            <w:vAlign w:val="bottom"/>
            <w:tcBorders>
              <w:bottom w:val="single" w:sz="8" w:color="DCE2EF"/>
            </w:tcBorders>
            <w:shd w:val="clear" w:color="auto" w:fill="DCE2EF"/>
          </w:tcPr>
          <w:p>
            <w:pPr>
              <w:ind w:left="20"/>
              <w:spacing w:after="0" w:line="180" w:lineRule="exact"/>
              <w:rPr>
                <w:sz w:val="20"/>
                <w:szCs w:val="20"/>
                <w:color w:val="auto"/>
              </w:rPr>
            </w:pPr>
            <w:r>
              <w:rPr>
                <w:rFonts w:ascii="Arial" w:cs="Arial" w:eastAsia="Arial" w:hAnsi="Arial"/>
                <w:sz w:val="17"/>
                <w:szCs w:val="17"/>
                <w:color w:val="auto"/>
              </w:rPr>
              <w:t>10.33*</w:t>
            </w:r>
          </w:p>
        </w:tc>
        <w:tc>
          <w:tcPr>
            <w:tcW w:w="3600" w:type="dxa"/>
            <w:vAlign w:val="bottom"/>
            <w:tcBorders>
              <w:bottom w:val="single" w:sz="8" w:color="0000FF"/>
            </w:tcBorders>
            <w:gridSpan w:val="13"/>
            <w:shd w:val="clear" w:color="auto" w:fill="DCE2EF"/>
          </w:tcPr>
          <w:p>
            <w:pPr>
              <w:spacing w:after="0" w:line="180" w:lineRule="exact"/>
              <w:rPr>
                <w:rFonts w:ascii="Arial" w:cs="Arial" w:eastAsia="Arial" w:hAnsi="Arial"/>
                <w:sz w:val="17"/>
                <w:szCs w:val="17"/>
                <w:color w:val="0000FF"/>
              </w:rPr>
            </w:pPr>
            <w:hyperlink r:id="rId205">
              <w:r>
                <w:rPr>
                  <w:rFonts w:ascii="Arial" w:cs="Arial" w:eastAsia="Arial" w:hAnsi="Arial"/>
                  <w:sz w:val="17"/>
                  <w:szCs w:val="17"/>
                  <w:color w:val="0000FF"/>
                </w:rPr>
                <w:t>Amended and Restated Executive Employment</w:t>
              </w:r>
            </w:hyperlink>
          </w:p>
        </w:tc>
        <w:tc>
          <w:tcPr>
            <w:tcW w:w="940" w:type="dxa"/>
            <w:vAlign w:val="bottom"/>
            <w:tcBorders>
              <w:bottom w:val="single" w:sz="8" w:color="DCE2EF"/>
            </w:tcBorders>
            <w:gridSpan w:val="22"/>
            <w:shd w:val="clear" w:color="auto" w:fill="DCE2EF"/>
          </w:tcPr>
          <w:p>
            <w:pPr>
              <w:spacing w:after="0"/>
              <w:rPr>
                <w:sz w:val="15"/>
                <w:szCs w:val="15"/>
                <w:color w:val="auto"/>
              </w:rPr>
            </w:pPr>
          </w:p>
        </w:tc>
        <w:tc>
          <w:tcPr>
            <w:tcW w:w="860" w:type="dxa"/>
            <w:vAlign w:val="bottom"/>
            <w:tcBorders>
              <w:bottom w:val="single" w:sz="8" w:color="DCE2EF"/>
            </w:tcBorders>
            <w:shd w:val="clear" w:color="auto" w:fill="DCE2EF"/>
          </w:tcPr>
          <w:p>
            <w:pPr>
              <w:ind w:left="260"/>
              <w:spacing w:after="0" w:line="180" w:lineRule="exact"/>
              <w:rPr>
                <w:sz w:val="20"/>
                <w:szCs w:val="20"/>
                <w:color w:val="auto"/>
              </w:rPr>
            </w:pPr>
            <w:r>
              <w:rPr>
                <w:rFonts w:ascii="Arial" w:cs="Arial" w:eastAsia="Arial" w:hAnsi="Arial"/>
                <w:sz w:val="17"/>
                <w:szCs w:val="17"/>
                <w:color w:val="auto"/>
              </w:rPr>
              <w:t>10-K</w:t>
            </w:r>
          </w:p>
        </w:tc>
        <w:tc>
          <w:tcPr>
            <w:tcW w:w="1340" w:type="dxa"/>
            <w:vAlign w:val="bottom"/>
            <w:tcBorders>
              <w:bottom w:val="single" w:sz="8" w:color="DCE2EF"/>
            </w:tcBorders>
            <w:shd w:val="clear" w:color="auto" w:fill="DCE2EF"/>
          </w:tcPr>
          <w:p>
            <w:pPr>
              <w:jc w:val="right"/>
              <w:ind w:right="194"/>
              <w:spacing w:after="0" w:line="180" w:lineRule="exact"/>
              <w:rPr>
                <w:sz w:val="20"/>
                <w:szCs w:val="20"/>
                <w:color w:val="auto"/>
              </w:rPr>
            </w:pPr>
            <w:r>
              <w:rPr>
                <w:rFonts w:ascii="Arial" w:cs="Arial" w:eastAsia="Arial" w:hAnsi="Arial"/>
                <w:sz w:val="17"/>
                <w:szCs w:val="17"/>
                <w:color w:val="auto"/>
              </w:rPr>
              <w:t>001-08929</w:t>
            </w:r>
          </w:p>
        </w:tc>
        <w:tc>
          <w:tcPr>
            <w:tcW w:w="1040" w:type="dxa"/>
            <w:vAlign w:val="bottom"/>
            <w:tcBorders>
              <w:bottom w:val="single" w:sz="8" w:color="DCE2EF"/>
            </w:tcBorders>
            <w:shd w:val="clear" w:color="auto" w:fill="DCE2EF"/>
          </w:tcPr>
          <w:p>
            <w:pPr>
              <w:jc w:val="center"/>
              <w:spacing w:after="0" w:line="180" w:lineRule="exact"/>
              <w:rPr>
                <w:sz w:val="20"/>
                <w:szCs w:val="20"/>
                <w:color w:val="auto"/>
              </w:rPr>
            </w:pPr>
            <w:r>
              <w:rPr>
                <w:rFonts w:ascii="Arial" w:cs="Arial" w:eastAsia="Arial" w:hAnsi="Arial"/>
                <w:sz w:val="17"/>
                <w:szCs w:val="17"/>
                <w:color w:val="auto"/>
              </w:rPr>
              <w:t>10.28</w:t>
            </w:r>
          </w:p>
        </w:tc>
        <w:tc>
          <w:tcPr>
            <w:tcW w:w="2160" w:type="dxa"/>
            <w:vAlign w:val="bottom"/>
            <w:tcBorders>
              <w:bottom w:val="single" w:sz="8" w:color="DCE2EF"/>
            </w:tcBorders>
            <w:shd w:val="clear" w:color="auto" w:fill="DCE2EF"/>
          </w:tcPr>
          <w:p>
            <w:pPr>
              <w:jc w:val="center"/>
              <w:spacing w:after="0" w:line="180" w:lineRule="exact"/>
              <w:rPr>
                <w:sz w:val="20"/>
                <w:szCs w:val="20"/>
                <w:color w:val="auto"/>
              </w:rPr>
            </w:pPr>
            <w:r>
              <w:rPr>
                <w:rFonts w:ascii="Arial" w:cs="Arial" w:eastAsia="Arial" w:hAnsi="Arial"/>
                <w:sz w:val="17"/>
                <w:szCs w:val="17"/>
                <w:color w:val="auto"/>
              </w:rPr>
              <w:t>December 22, 2017</w:t>
            </w:r>
          </w:p>
        </w:tc>
      </w:tr>
      <w:tr>
        <w:trPr>
          <w:trHeight w:val="148"/>
        </w:trPr>
        <w:tc>
          <w:tcPr>
            <w:tcW w:w="1300" w:type="dxa"/>
            <w:vAlign w:val="bottom"/>
            <w:tcBorders>
              <w:bottom w:val="single" w:sz="8" w:color="DCE2EF"/>
            </w:tcBorders>
            <w:shd w:val="clear" w:color="auto" w:fill="DCE2EF"/>
          </w:tcPr>
          <w:p>
            <w:pPr>
              <w:spacing w:after="0"/>
              <w:rPr>
                <w:sz w:val="12"/>
                <w:szCs w:val="12"/>
                <w:color w:val="auto"/>
              </w:rPr>
            </w:pPr>
          </w:p>
        </w:tc>
        <w:tc>
          <w:tcPr>
            <w:tcW w:w="4000" w:type="dxa"/>
            <w:vAlign w:val="bottom"/>
            <w:tcBorders>
              <w:bottom w:val="single" w:sz="8" w:color="0000FF"/>
            </w:tcBorders>
            <w:gridSpan w:val="16"/>
            <w:shd w:val="clear" w:color="auto" w:fill="DCE2EF"/>
          </w:tcPr>
          <w:p>
            <w:pPr>
              <w:spacing w:after="0" w:line="148" w:lineRule="exact"/>
              <w:rPr>
                <w:rFonts w:ascii="Arial" w:cs="Arial" w:eastAsia="Arial" w:hAnsi="Arial"/>
                <w:sz w:val="17"/>
                <w:szCs w:val="17"/>
                <w:color w:val="0000FF"/>
              </w:rPr>
            </w:pPr>
            <w:hyperlink r:id="rId205">
              <w:r>
                <w:rPr>
                  <w:rFonts w:ascii="Arial" w:cs="Arial" w:eastAsia="Arial" w:hAnsi="Arial"/>
                  <w:sz w:val="17"/>
                  <w:szCs w:val="17"/>
                  <w:color w:val="0000FF"/>
                </w:rPr>
                <w:t>Agreement, dated as of September 22, 2017, by and</w:t>
              </w:r>
            </w:hyperlink>
          </w:p>
        </w:tc>
        <w:tc>
          <w:tcPr>
            <w:tcW w:w="540" w:type="dxa"/>
            <w:vAlign w:val="bottom"/>
            <w:tcBorders>
              <w:bottom w:val="single" w:sz="8" w:color="DCE2EF"/>
            </w:tcBorders>
            <w:gridSpan w:val="19"/>
            <w:shd w:val="clear" w:color="auto" w:fill="DCE2EF"/>
          </w:tcPr>
          <w:p>
            <w:pPr>
              <w:spacing w:after="0"/>
              <w:rPr>
                <w:sz w:val="12"/>
                <w:szCs w:val="12"/>
                <w:color w:val="auto"/>
              </w:rPr>
            </w:pPr>
          </w:p>
        </w:tc>
        <w:tc>
          <w:tcPr>
            <w:tcW w:w="860" w:type="dxa"/>
            <w:vAlign w:val="bottom"/>
            <w:tcBorders>
              <w:bottom w:val="single" w:sz="8" w:color="DCE2EF"/>
            </w:tcBorders>
            <w:shd w:val="clear" w:color="auto" w:fill="DCE2EF"/>
          </w:tcPr>
          <w:p>
            <w:pPr>
              <w:spacing w:after="0"/>
              <w:rPr>
                <w:sz w:val="12"/>
                <w:szCs w:val="12"/>
                <w:color w:val="auto"/>
              </w:rPr>
            </w:pPr>
          </w:p>
        </w:tc>
        <w:tc>
          <w:tcPr>
            <w:tcW w:w="1340" w:type="dxa"/>
            <w:vAlign w:val="bottom"/>
            <w:tcBorders>
              <w:bottom w:val="single" w:sz="8" w:color="DCE2EF"/>
            </w:tcBorders>
            <w:shd w:val="clear" w:color="auto" w:fill="DCE2EF"/>
          </w:tcPr>
          <w:p>
            <w:pPr>
              <w:spacing w:after="0"/>
              <w:rPr>
                <w:sz w:val="12"/>
                <w:szCs w:val="12"/>
                <w:color w:val="auto"/>
              </w:rPr>
            </w:pPr>
          </w:p>
        </w:tc>
        <w:tc>
          <w:tcPr>
            <w:tcW w:w="1040" w:type="dxa"/>
            <w:vAlign w:val="bottom"/>
            <w:tcBorders>
              <w:bottom w:val="single" w:sz="8" w:color="DCE2EF"/>
            </w:tcBorders>
            <w:shd w:val="clear" w:color="auto" w:fill="DCE2EF"/>
          </w:tcPr>
          <w:p>
            <w:pPr>
              <w:spacing w:after="0"/>
              <w:rPr>
                <w:sz w:val="12"/>
                <w:szCs w:val="12"/>
                <w:color w:val="auto"/>
              </w:rPr>
            </w:pPr>
          </w:p>
        </w:tc>
        <w:tc>
          <w:tcPr>
            <w:tcW w:w="2160" w:type="dxa"/>
            <w:vAlign w:val="bottom"/>
            <w:tcBorders>
              <w:bottom w:val="single" w:sz="8" w:color="DCE2EF"/>
            </w:tcBorders>
            <w:shd w:val="clear" w:color="auto" w:fill="DCE2EF"/>
          </w:tcPr>
          <w:p>
            <w:pPr>
              <w:spacing w:after="0"/>
              <w:rPr>
                <w:sz w:val="12"/>
                <w:szCs w:val="12"/>
                <w:color w:val="auto"/>
              </w:rPr>
            </w:pPr>
          </w:p>
        </w:tc>
      </w:tr>
      <w:tr>
        <w:trPr>
          <w:trHeight w:val="179"/>
        </w:trPr>
        <w:tc>
          <w:tcPr>
            <w:tcW w:w="1300" w:type="dxa"/>
            <w:vAlign w:val="bottom"/>
            <w:shd w:val="clear" w:color="auto" w:fill="DCE2EF"/>
          </w:tcPr>
          <w:p>
            <w:pPr>
              <w:spacing w:after="0"/>
              <w:rPr>
                <w:sz w:val="15"/>
                <w:szCs w:val="15"/>
                <w:color w:val="auto"/>
              </w:rPr>
            </w:pPr>
          </w:p>
        </w:tc>
        <w:tc>
          <w:tcPr>
            <w:tcW w:w="4540" w:type="dxa"/>
            <w:vAlign w:val="bottom"/>
            <w:gridSpan w:val="35"/>
            <w:shd w:val="clear" w:color="auto" w:fill="DCE2EF"/>
          </w:tcPr>
          <w:p>
            <w:pPr>
              <w:spacing w:after="0" w:line="161" w:lineRule="exact"/>
              <w:rPr>
                <w:rFonts w:ascii="Arial" w:cs="Arial" w:eastAsia="Arial" w:hAnsi="Arial"/>
                <w:sz w:val="17"/>
                <w:szCs w:val="17"/>
                <w:color w:val="0000FF"/>
              </w:rPr>
            </w:pPr>
            <w:hyperlink r:id="rId205">
              <w:r>
                <w:rPr>
                  <w:rFonts w:ascii="Arial" w:cs="Arial" w:eastAsia="Arial" w:hAnsi="Arial"/>
                  <w:sz w:val="17"/>
                  <w:szCs w:val="17"/>
                  <w:color w:val="0000FF"/>
                </w:rPr>
                <w:t>between ABM Industries Incorporated and Scott Salmirs</w:t>
              </w:r>
            </w:hyperlink>
          </w:p>
        </w:tc>
        <w:tc>
          <w:tcPr>
            <w:tcW w:w="860" w:type="dxa"/>
            <w:vAlign w:val="bottom"/>
            <w:shd w:val="clear" w:color="auto" w:fill="DCE2EF"/>
          </w:tcPr>
          <w:p>
            <w:pPr>
              <w:spacing w:after="0"/>
              <w:rPr>
                <w:sz w:val="15"/>
                <w:szCs w:val="15"/>
                <w:color w:val="auto"/>
              </w:rPr>
            </w:pPr>
          </w:p>
        </w:tc>
        <w:tc>
          <w:tcPr>
            <w:tcW w:w="1340" w:type="dxa"/>
            <w:vAlign w:val="bottom"/>
            <w:shd w:val="clear" w:color="auto" w:fill="DCE2EF"/>
          </w:tcPr>
          <w:p>
            <w:pPr>
              <w:spacing w:after="0"/>
              <w:rPr>
                <w:sz w:val="15"/>
                <w:szCs w:val="15"/>
                <w:color w:val="auto"/>
              </w:rPr>
            </w:pPr>
          </w:p>
        </w:tc>
        <w:tc>
          <w:tcPr>
            <w:tcW w:w="1040" w:type="dxa"/>
            <w:vAlign w:val="bottom"/>
            <w:shd w:val="clear" w:color="auto" w:fill="DCE2EF"/>
          </w:tcPr>
          <w:p>
            <w:pPr>
              <w:spacing w:after="0"/>
              <w:rPr>
                <w:sz w:val="15"/>
                <w:szCs w:val="15"/>
                <w:color w:val="auto"/>
              </w:rPr>
            </w:pPr>
          </w:p>
        </w:tc>
        <w:tc>
          <w:tcPr>
            <w:tcW w:w="2160" w:type="dxa"/>
            <w:vAlign w:val="bottom"/>
            <w:shd w:val="clear" w:color="auto" w:fill="DCE2EF"/>
          </w:tcPr>
          <w:p>
            <w:pPr>
              <w:spacing w:after="0"/>
              <w:rPr>
                <w:sz w:val="15"/>
                <w:szCs w:val="15"/>
                <w:color w:val="auto"/>
              </w:rPr>
            </w:pPr>
          </w:p>
        </w:tc>
      </w:tr>
      <w:tr>
        <w:trPr>
          <w:trHeight w:val="180"/>
        </w:trPr>
        <w:tc>
          <w:tcPr>
            <w:tcW w:w="1300" w:type="dxa"/>
            <w:vAlign w:val="bottom"/>
            <w:tcBorders>
              <w:top w:val="single" w:sz="8" w:color="DCE2EF"/>
            </w:tcBorders>
          </w:tcPr>
          <w:p>
            <w:pPr>
              <w:ind w:left="20"/>
              <w:spacing w:after="0" w:line="180" w:lineRule="exact"/>
              <w:rPr>
                <w:sz w:val="20"/>
                <w:szCs w:val="20"/>
                <w:color w:val="auto"/>
              </w:rPr>
            </w:pPr>
            <w:r>
              <w:rPr>
                <w:rFonts w:ascii="Arial" w:cs="Arial" w:eastAsia="Arial" w:hAnsi="Arial"/>
                <w:sz w:val="17"/>
                <w:szCs w:val="17"/>
                <w:color w:val="auto"/>
              </w:rPr>
              <w:t>10.34*</w:t>
            </w:r>
          </w:p>
        </w:tc>
        <w:tc>
          <w:tcPr>
            <w:tcW w:w="4260" w:type="dxa"/>
            <w:vAlign w:val="bottom"/>
            <w:tcBorders>
              <w:top w:val="single" w:sz="8" w:color="0000FF"/>
            </w:tcBorders>
            <w:gridSpan w:val="23"/>
          </w:tcPr>
          <w:p>
            <w:pPr>
              <w:spacing w:after="0" w:line="180" w:lineRule="exact"/>
              <w:rPr>
                <w:rFonts w:ascii="Arial" w:cs="Arial" w:eastAsia="Arial" w:hAnsi="Arial"/>
                <w:sz w:val="17"/>
                <w:szCs w:val="17"/>
                <w:color w:val="0000FF"/>
              </w:rPr>
            </w:pPr>
            <w:hyperlink r:id="rId206">
              <w:r>
                <w:rPr>
                  <w:rFonts w:ascii="Arial" w:cs="Arial" w:eastAsia="Arial" w:hAnsi="Arial"/>
                  <w:sz w:val="17"/>
                  <w:szCs w:val="17"/>
                  <w:color w:val="0000FF"/>
                </w:rPr>
                <w:t>Amended and Restated Change in Control Agreement,</w:t>
              </w:r>
            </w:hyperlink>
          </w:p>
        </w:tc>
        <w:tc>
          <w:tcPr>
            <w:tcW w:w="280" w:type="dxa"/>
            <w:vAlign w:val="bottom"/>
            <w:tcBorders>
              <w:top w:val="single" w:sz="8" w:color="DCE2EF"/>
            </w:tcBorders>
            <w:gridSpan w:val="12"/>
          </w:tcPr>
          <w:p>
            <w:pPr>
              <w:spacing w:after="0"/>
              <w:rPr>
                <w:sz w:val="15"/>
                <w:szCs w:val="15"/>
                <w:color w:val="auto"/>
              </w:rPr>
            </w:pPr>
          </w:p>
        </w:tc>
        <w:tc>
          <w:tcPr>
            <w:tcW w:w="860" w:type="dxa"/>
            <w:vAlign w:val="bottom"/>
            <w:tcBorders>
              <w:top w:val="single" w:sz="8" w:color="DCE2EF"/>
            </w:tcBorders>
          </w:tcPr>
          <w:p>
            <w:pPr>
              <w:ind w:left="260"/>
              <w:spacing w:after="0" w:line="180" w:lineRule="exact"/>
              <w:rPr>
                <w:sz w:val="20"/>
                <w:szCs w:val="20"/>
                <w:color w:val="auto"/>
              </w:rPr>
            </w:pPr>
            <w:r>
              <w:rPr>
                <w:rFonts w:ascii="Arial" w:cs="Arial" w:eastAsia="Arial" w:hAnsi="Arial"/>
                <w:sz w:val="17"/>
                <w:szCs w:val="17"/>
                <w:color w:val="auto"/>
              </w:rPr>
              <w:t>10-K</w:t>
            </w:r>
          </w:p>
        </w:tc>
        <w:tc>
          <w:tcPr>
            <w:tcW w:w="1340" w:type="dxa"/>
            <w:vAlign w:val="bottom"/>
            <w:tcBorders>
              <w:top w:val="single" w:sz="8" w:color="DCE2EF"/>
            </w:tcBorders>
          </w:tcPr>
          <w:p>
            <w:pPr>
              <w:jc w:val="right"/>
              <w:ind w:right="194"/>
              <w:spacing w:after="0" w:line="180" w:lineRule="exact"/>
              <w:rPr>
                <w:sz w:val="20"/>
                <w:szCs w:val="20"/>
                <w:color w:val="auto"/>
              </w:rPr>
            </w:pPr>
            <w:r>
              <w:rPr>
                <w:rFonts w:ascii="Arial" w:cs="Arial" w:eastAsia="Arial" w:hAnsi="Arial"/>
                <w:sz w:val="17"/>
                <w:szCs w:val="17"/>
                <w:color w:val="auto"/>
              </w:rPr>
              <w:t>001-08929</w:t>
            </w:r>
          </w:p>
        </w:tc>
        <w:tc>
          <w:tcPr>
            <w:tcW w:w="1040" w:type="dxa"/>
            <w:vAlign w:val="bottom"/>
            <w:tcBorders>
              <w:top w:val="single" w:sz="8" w:color="DCE2EF"/>
            </w:tcBorders>
          </w:tcPr>
          <w:p>
            <w:pPr>
              <w:jc w:val="center"/>
              <w:spacing w:after="0" w:line="180" w:lineRule="exact"/>
              <w:rPr>
                <w:sz w:val="20"/>
                <w:szCs w:val="20"/>
                <w:color w:val="auto"/>
              </w:rPr>
            </w:pPr>
            <w:r>
              <w:rPr>
                <w:rFonts w:ascii="Arial" w:cs="Arial" w:eastAsia="Arial" w:hAnsi="Arial"/>
                <w:sz w:val="17"/>
                <w:szCs w:val="17"/>
                <w:color w:val="auto"/>
              </w:rPr>
              <w:t>10.29</w:t>
            </w:r>
          </w:p>
        </w:tc>
        <w:tc>
          <w:tcPr>
            <w:tcW w:w="2160" w:type="dxa"/>
            <w:vAlign w:val="bottom"/>
            <w:tcBorders>
              <w:top w:val="single" w:sz="8" w:color="DCE2EF"/>
            </w:tcBorders>
          </w:tcPr>
          <w:p>
            <w:pPr>
              <w:jc w:val="center"/>
              <w:spacing w:after="0" w:line="180" w:lineRule="exact"/>
              <w:rPr>
                <w:sz w:val="20"/>
                <w:szCs w:val="20"/>
                <w:color w:val="auto"/>
              </w:rPr>
            </w:pPr>
            <w:r>
              <w:rPr>
                <w:rFonts w:ascii="Arial" w:cs="Arial" w:eastAsia="Arial" w:hAnsi="Arial"/>
                <w:sz w:val="17"/>
                <w:szCs w:val="17"/>
                <w:color w:val="auto"/>
              </w:rPr>
              <w:t>December 22, 2017</w:t>
            </w:r>
          </w:p>
        </w:tc>
      </w:tr>
      <w:tr>
        <w:trPr>
          <w:trHeight w:val="148"/>
        </w:trPr>
        <w:tc>
          <w:tcPr>
            <w:tcW w:w="1300" w:type="dxa"/>
            <w:vAlign w:val="bottom"/>
          </w:tcPr>
          <w:p>
            <w:pPr>
              <w:spacing w:after="0"/>
              <w:rPr>
                <w:sz w:val="12"/>
                <w:szCs w:val="12"/>
                <w:color w:val="auto"/>
              </w:rPr>
            </w:pPr>
          </w:p>
        </w:tc>
        <w:tc>
          <w:tcPr>
            <w:tcW w:w="4180" w:type="dxa"/>
            <w:vAlign w:val="bottom"/>
            <w:tcBorders>
              <w:top w:val="single" w:sz="8" w:color="0000FF"/>
              <w:bottom w:val="single" w:sz="8" w:color="0000FF"/>
            </w:tcBorders>
            <w:gridSpan w:val="20"/>
          </w:tcPr>
          <w:p>
            <w:pPr>
              <w:spacing w:after="0" w:line="148" w:lineRule="exact"/>
              <w:rPr>
                <w:rFonts w:ascii="Arial" w:cs="Arial" w:eastAsia="Arial" w:hAnsi="Arial"/>
                <w:sz w:val="17"/>
                <w:szCs w:val="17"/>
                <w:color w:val="0000FF"/>
              </w:rPr>
            </w:pPr>
            <w:hyperlink r:id="rId206">
              <w:r>
                <w:rPr>
                  <w:rFonts w:ascii="Arial" w:cs="Arial" w:eastAsia="Arial" w:hAnsi="Arial"/>
                  <w:sz w:val="17"/>
                  <w:szCs w:val="17"/>
                  <w:color w:val="0000FF"/>
                </w:rPr>
                <w:t>dated as of September 22, 2017, by and between ABM</w:t>
              </w:r>
            </w:hyperlink>
          </w:p>
        </w:tc>
        <w:tc>
          <w:tcPr>
            <w:tcW w:w="20" w:type="dxa"/>
            <w:vAlign w:val="bottom"/>
            <w:tcBorders>
              <w:bottom w:val="single" w:sz="8" w:color="0000FF"/>
            </w:tcBorders>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160" w:type="dxa"/>
            <w:vAlign w:val="bottom"/>
          </w:tcPr>
          <w:p>
            <w:pPr>
              <w:spacing w:after="0"/>
              <w:rPr>
                <w:sz w:val="12"/>
                <w:szCs w:val="12"/>
                <w:color w:val="auto"/>
              </w:rPr>
            </w:pPr>
          </w:p>
        </w:tc>
      </w:tr>
      <w:tr>
        <w:trPr>
          <w:trHeight w:val="160"/>
        </w:trPr>
        <w:tc>
          <w:tcPr>
            <w:tcW w:w="1300" w:type="dxa"/>
            <w:vAlign w:val="bottom"/>
          </w:tcPr>
          <w:p>
            <w:pPr>
              <w:spacing w:after="0"/>
              <w:rPr>
                <w:sz w:val="13"/>
                <w:szCs w:val="13"/>
                <w:color w:val="auto"/>
              </w:rPr>
            </w:pPr>
          </w:p>
        </w:tc>
        <w:tc>
          <w:tcPr>
            <w:tcW w:w="4200" w:type="dxa"/>
            <w:vAlign w:val="bottom"/>
            <w:gridSpan w:val="21"/>
          </w:tcPr>
          <w:p>
            <w:pPr>
              <w:spacing w:after="0" w:line="161" w:lineRule="exact"/>
              <w:rPr>
                <w:rFonts w:ascii="Arial" w:cs="Arial" w:eastAsia="Arial" w:hAnsi="Arial"/>
                <w:sz w:val="17"/>
                <w:szCs w:val="17"/>
                <w:color w:val="0000FF"/>
              </w:rPr>
            </w:pPr>
            <w:hyperlink r:id="rId206">
              <w:r>
                <w:rPr>
                  <w:rFonts w:ascii="Arial" w:cs="Arial" w:eastAsia="Arial" w:hAnsi="Arial"/>
                  <w:sz w:val="17"/>
                  <w:szCs w:val="17"/>
                  <w:color w:val="0000FF"/>
                </w:rPr>
                <w:t>Industries Incorporated and Scott Salmirs</w:t>
              </w:r>
            </w:hyperlink>
          </w:p>
        </w:tc>
        <w:tc>
          <w:tcPr>
            <w:tcW w:w="4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160" w:type="dxa"/>
            <w:vAlign w:val="bottom"/>
          </w:tcPr>
          <w:p>
            <w:pPr>
              <w:spacing w:after="0"/>
              <w:rPr>
                <w:sz w:val="13"/>
                <w:szCs w:val="13"/>
                <w:color w:val="auto"/>
              </w:rPr>
            </w:pPr>
          </w:p>
        </w:tc>
      </w:tr>
      <w:tr>
        <w:trPr>
          <w:trHeight w:val="29"/>
        </w:trPr>
        <w:tc>
          <w:tcPr>
            <w:tcW w:w="1300" w:type="dxa"/>
            <w:vAlign w:val="bottom"/>
          </w:tcPr>
          <w:p>
            <w:pPr>
              <w:spacing w:after="0"/>
              <w:rPr>
                <w:sz w:val="2"/>
                <w:szCs w:val="2"/>
                <w:color w:val="auto"/>
              </w:rPr>
            </w:pPr>
          </w:p>
        </w:tc>
        <w:tc>
          <w:tcPr>
            <w:tcW w:w="68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190"/>
        </w:trPr>
        <w:tc>
          <w:tcPr>
            <w:tcW w:w="1300" w:type="dxa"/>
            <w:vAlign w:val="bottom"/>
            <w:shd w:val="clear" w:color="auto" w:fill="DCE2EF"/>
          </w:tcPr>
          <w:p>
            <w:pPr>
              <w:ind w:left="20"/>
              <w:spacing w:after="0" w:line="190" w:lineRule="exact"/>
              <w:rPr>
                <w:sz w:val="20"/>
                <w:szCs w:val="20"/>
                <w:color w:val="auto"/>
              </w:rPr>
            </w:pPr>
            <w:r>
              <w:rPr>
                <w:rFonts w:ascii="Arial" w:cs="Arial" w:eastAsia="Arial" w:hAnsi="Arial"/>
                <w:sz w:val="17"/>
                <w:szCs w:val="17"/>
                <w:color w:val="auto"/>
              </w:rPr>
              <w:t>10.35*</w:t>
            </w:r>
          </w:p>
        </w:tc>
        <w:tc>
          <w:tcPr>
            <w:tcW w:w="4540" w:type="dxa"/>
            <w:vAlign w:val="bottom"/>
            <w:gridSpan w:val="35"/>
            <w:shd w:val="clear" w:color="auto" w:fill="DCE2EF"/>
          </w:tcPr>
          <w:p>
            <w:pPr>
              <w:spacing w:after="0" w:line="190" w:lineRule="exact"/>
              <w:rPr>
                <w:rFonts w:ascii="Arial" w:cs="Arial" w:eastAsia="Arial" w:hAnsi="Arial"/>
                <w:sz w:val="17"/>
                <w:szCs w:val="17"/>
                <w:color w:val="0000FF"/>
              </w:rPr>
            </w:pPr>
            <w:hyperlink r:id="rId207">
              <w:r>
                <w:rPr>
                  <w:rFonts w:ascii="Arial" w:cs="Arial" w:eastAsia="Arial" w:hAnsi="Arial"/>
                  <w:sz w:val="17"/>
                  <w:szCs w:val="17"/>
                  <w:color w:val="0000FF"/>
                </w:rPr>
                <w:t>Executive Employment Agreement, dated as of January 1,</w:t>
              </w:r>
            </w:hyperlink>
          </w:p>
        </w:tc>
        <w:tc>
          <w:tcPr>
            <w:tcW w:w="860" w:type="dxa"/>
            <w:vAlign w:val="bottom"/>
            <w:shd w:val="clear" w:color="auto" w:fill="DCE2EF"/>
          </w:tcPr>
          <w:p>
            <w:pPr>
              <w:ind w:left="260"/>
              <w:spacing w:after="0" w:line="190" w:lineRule="exact"/>
              <w:rPr>
                <w:sz w:val="20"/>
                <w:szCs w:val="20"/>
                <w:color w:val="auto"/>
              </w:rPr>
            </w:pPr>
            <w:r>
              <w:rPr>
                <w:rFonts w:ascii="Arial" w:cs="Arial" w:eastAsia="Arial" w:hAnsi="Arial"/>
                <w:sz w:val="17"/>
                <w:szCs w:val="17"/>
                <w:color w:val="auto"/>
              </w:rPr>
              <w:t>10-Q</w:t>
            </w:r>
          </w:p>
        </w:tc>
        <w:tc>
          <w:tcPr>
            <w:tcW w:w="1340" w:type="dxa"/>
            <w:vAlign w:val="bottom"/>
            <w:shd w:val="clear" w:color="auto" w:fill="DCE2EF"/>
          </w:tcPr>
          <w:p>
            <w:pPr>
              <w:jc w:val="right"/>
              <w:ind w:right="194"/>
              <w:spacing w:after="0" w:line="190" w:lineRule="exact"/>
              <w:rPr>
                <w:sz w:val="20"/>
                <w:szCs w:val="20"/>
                <w:color w:val="auto"/>
              </w:rPr>
            </w:pPr>
            <w:r>
              <w:rPr>
                <w:rFonts w:ascii="Arial" w:cs="Arial" w:eastAsia="Arial" w:hAnsi="Arial"/>
                <w:sz w:val="17"/>
                <w:szCs w:val="17"/>
                <w:color w:val="auto"/>
              </w:rPr>
              <w:t>001-08929</w:t>
            </w:r>
          </w:p>
        </w:tc>
        <w:tc>
          <w:tcPr>
            <w:tcW w:w="1040" w:type="dxa"/>
            <w:vAlign w:val="bottom"/>
            <w:shd w:val="clear" w:color="auto" w:fill="DCE2EF"/>
          </w:tcPr>
          <w:p>
            <w:pPr>
              <w:jc w:val="center"/>
              <w:spacing w:after="0" w:line="190" w:lineRule="exact"/>
              <w:rPr>
                <w:sz w:val="20"/>
                <w:szCs w:val="20"/>
                <w:color w:val="auto"/>
              </w:rPr>
            </w:pPr>
            <w:r>
              <w:rPr>
                <w:rFonts w:ascii="Arial" w:cs="Arial" w:eastAsia="Arial" w:hAnsi="Arial"/>
                <w:sz w:val="17"/>
                <w:szCs w:val="17"/>
                <w:color w:val="auto"/>
              </w:rPr>
              <w:t>10.3</w:t>
            </w:r>
          </w:p>
        </w:tc>
        <w:tc>
          <w:tcPr>
            <w:tcW w:w="2160" w:type="dxa"/>
            <w:vAlign w:val="bottom"/>
            <w:shd w:val="clear" w:color="auto" w:fill="DCE2EF"/>
          </w:tcPr>
          <w:p>
            <w:pPr>
              <w:jc w:val="center"/>
              <w:spacing w:after="0" w:line="190" w:lineRule="exact"/>
              <w:rPr>
                <w:sz w:val="20"/>
                <w:szCs w:val="20"/>
                <w:color w:val="auto"/>
              </w:rPr>
            </w:pPr>
            <w:r>
              <w:rPr>
                <w:rFonts w:ascii="Arial" w:cs="Arial" w:eastAsia="Arial" w:hAnsi="Arial"/>
                <w:sz w:val="17"/>
                <w:szCs w:val="17"/>
                <w:color w:val="auto"/>
              </w:rPr>
              <w:t>March 7, 2018</w:t>
            </w:r>
          </w:p>
        </w:tc>
      </w:tr>
      <w:tr>
        <w:trPr>
          <w:trHeight w:val="148"/>
        </w:trPr>
        <w:tc>
          <w:tcPr>
            <w:tcW w:w="1300" w:type="dxa"/>
            <w:vAlign w:val="bottom"/>
            <w:tcBorders>
              <w:top w:val="single" w:sz="8" w:color="DCE2EF"/>
            </w:tcBorders>
            <w:shd w:val="clear" w:color="auto" w:fill="DCE2EF"/>
          </w:tcPr>
          <w:p>
            <w:pPr>
              <w:spacing w:after="0"/>
              <w:rPr>
                <w:sz w:val="12"/>
                <w:szCs w:val="12"/>
                <w:color w:val="auto"/>
              </w:rPr>
            </w:pPr>
          </w:p>
        </w:tc>
        <w:tc>
          <w:tcPr>
            <w:tcW w:w="4440" w:type="dxa"/>
            <w:vAlign w:val="bottom"/>
            <w:tcBorders>
              <w:top w:val="single" w:sz="8" w:color="0000FF"/>
            </w:tcBorders>
            <w:gridSpan w:val="30"/>
            <w:shd w:val="clear" w:color="auto" w:fill="DCE2EF"/>
          </w:tcPr>
          <w:p>
            <w:pPr>
              <w:spacing w:after="0" w:line="148" w:lineRule="exact"/>
              <w:rPr>
                <w:rFonts w:ascii="Arial" w:cs="Arial" w:eastAsia="Arial" w:hAnsi="Arial"/>
                <w:sz w:val="17"/>
                <w:szCs w:val="17"/>
                <w:color w:val="0000FF"/>
              </w:rPr>
            </w:pPr>
            <w:hyperlink r:id="rId207">
              <w:r>
                <w:rPr>
                  <w:rFonts w:ascii="Arial" w:cs="Arial" w:eastAsia="Arial" w:hAnsi="Arial"/>
                  <w:sz w:val="17"/>
                  <w:szCs w:val="17"/>
                  <w:color w:val="0000FF"/>
                </w:rPr>
                <w:t>2018, by and between ABM Industries Incorporated and</w:t>
              </w:r>
            </w:hyperlink>
          </w:p>
        </w:tc>
        <w:tc>
          <w:tcPr>
            <w:tcW w:w="20" w:type="dxa"/>
            <w:vAlign w:val="bottom"/>
            <w:tcBorders>
              <w:top w:val="single" w:sz="8" w:color="DCE2EF"/>
            </w:tcBorders>
            <w:shd w:val="clear" w:color="auto" w:fill="DCE2EF"/>
          </w:tcPr>
          <w:p>
            <w:pPr>
              <w:spacing w:after="0"/>
              <w:rPr>
                <w:sz w:val="12"/>
                <w:szCs w:val="12"/>
                <w:color w:val="auto"/>
              </w:rPr>
            </w:pPr>
          </w:p>
        </w:tc>
        <w:tc>
          <w:tcPr>
            <w:tcW w:w="40" w:type="dxa"/>
            <w:vAlign w:val="bottom"/>
            <w:tcBorders>
              <w:top w:val="single" w:sz="8" w:color="DCE2EF"/>
            </w:tcBorders>
            <w:gridSpan w:val="2"/>
            <w:shd w:val="clear" w:color="auto" w:fill="DCE2EF"/>
          </w:tcPr>
          <w:p>
            <w:pPr>
              <w:spacing w:after="0"/>
              <w:rPr>
                <w:sz w:val="12"/>
                <w:szCs w:val="12"/>
                <w:color w:val="auto"/>
              </w:rPr>
            </w:pPr>
          </w:p>
        </w:tc>
        <w:tc>
          <w:tcPr>
            <w:tcW w:w="20" w:type="dxa"/>
            <w:vAlign w:val="bottom"/>
            <w:tcBorders>
              <w:top w:val="single" w:sz="8" w:color="DCE2EF"/>
            </w:tcBorders>
            <w:shd w:val="clear" w:color="auto" w:fill="DCE2EF"/>
          </w:tcPr>
          <w:p>
            <w:pPr>
              <w:spacing w:after="0"/>
              <w:rPr>
                <w:sz w:val="12"/>
                <w:szCs w:val="12"/>
                <w:color w:val="auto"/>
              </w:rPr>
            </w:pPr>
          </w:p>
        </w:tc>
        <w:tc>
          <w:tcPr>
            <w:tcW w:w="20" w:type="dxa"/>
            <w:vAlign w:val="bottom"/>
            <w:tcBorders>
              <w:top w:val="single" w:sz="8" w:color="DCE2EF"/>
            </w:tcBorders>
            <w:shd w:val="clear" w:color="auto" w:fill="DCE2EF"/>
          </w:tcPr>
          <w:p>
            <w:pPr>
              <w:spacing w:after="0"/>
              <w:rPr>
                <w:sz w:val="12"/>
                <w:szCs w:val="12"/>
                <w:color w:val="auto"/>
              </w:rPr>
            </w:pPr>
          </w:p>
        </w:tc>
        <w:tc>
          <w:tcPr>
            <w:tcW w:w="860" w:type="dxa"/>
            <w:vAlign w:val="bottom"/>
            <w:tcBorders>
              <w:top w:val="single" w:sz="8" w:color="DCE2EF"/>
            </w:tcBorders>
            <w:shd w:val="clear" w:color="auto" w:fill="DCE2EF"/>
          </w:tcPr>
          <w:p>
            <w:pPr>
              <w:spacing w:after="0"/>
              <w:rPr>
                <w:sz w:val="12"/>
                <w:szCs w:val="12"/>
                <w:color w:val="auto"/>
              </w:rPr>
            </w:pPr>
          </w:p>
        </w:tc>
        <w:tc>
          <w:tcPr>
            <w:tcW w:w="1340" w:type="dxa"/>
            <w:vAlign w:val="bottom"/>
            <w:tcBorders>
              <w:top w:val="single" w:sz="8" w:color="DCE2EF"/>
            </w:tcBorders>
            <w:shd w:val="clear" w:color="auto" w:fill="DCE2EF"/>
          </w:tcPr>
          <w:p>
            <w:pPr>
              <w:spacing w:after="0"/>
              <w:rPr>
                <w:sz w:val="12"/>
                <w:szCs w:val="12"/>
                <w:color w:val="auto"/>
              </w:rPr>
            </w:pPr>
          </w:p>
        </w:tc>
        <w:tc>
          <w:tcPr>
            <w:tcW w:w="1040" w:type="dxa"/>
            <w:vAlign w:val="bottom"/>
            <w:tcBorders>
              <w:top w:val="single" w:sz="8" w:color="DCE2EF"/>
            </w:tcBorders>
            <w:shd w:val="clear" w:color="auto" w:fill="DCE2EF"/>
          </w:tcPr>
          <w:p>
            <w:pPr>
              <w:spacing w:after="0"/>
              <w:rPr>
                <w:sz w:val="12"/>
                <w:szCs w:val="12"/>
                <w:color w:val="auto"/>
              </w:rPr>
            </w:pPr>
          </w:p>
        </w:tc>
        <w:tc>
          <w:tcPr>
            <w:tcW w:w="2160" w:type="dxa"/>
            <w:vAlign w:val="bottom"/>
            <w:tcBorders>
              <w:top w:val="single" w:sz="8" w:color="DCE2EF"/>
            </w:tcBorders>
            <w:shd w:val="clear" w:color="auto" w:fill="DCE2EF"/>
          </w:tcPr>
          <w:p>
            <w:pPr>
              <w:spacing w:after="0"/>
              <w:rPr>
                <w:sz w:val="12"/>
                <w:szCs w:val="12"/>
                <w:color w:val="auto"/>
              </w:rPr>
            </w:pPr>
          </w:p>
        </w:tc>
      </w:tr>
      <w:tr>
        <w:trPr>
          <w:trHeight w:val="179"/>
        </w:trPr>
        <w:tc>
          <w:tcPr>
            <w:tcW w:w="1300" w:type="dxa"/>
            <w:vAlign w:val="bottom"/>
            <w:tcBorders>
              <w:top w:val="single" w:sz="8" w:color="DCE2EF"/>
              <w:bottom w:val="single" w:sz="8" w:color="DCE2EF"/>
            </w:tcBorders>
            <w:shd w:val="clear" w:color="auto" w:fill="DCE2EF"/>
          </w:tcPr>
          <w:p>
            <w:pPr>
              <w:spacing w:after="0"/>
              <w:rPr>
                <w:sz w:val="15"/>
                <w:szCs w:val="15"/>
                <w:color w:val="auto"/>
              </w:rPr>
            </w:pPr>
          </w:p>
        </w:tc>
        <w:tc>
          <w:tcPr>
            <w:tcW w:w="1200" w:type="dxa"/>
            <w:vAlign w:val="bottom"/>
            <w:tcBorders>
              <w:top w:val="single" w:sz="8" w:color="0000FF"/>
              <w:bottom w:val="single" w:sz="8" w:color="0000FF"/>
            </w:tcBorders>
            <w:gridSpan w:val="4"/>
            <w:shd w:val="clear" w:color="auto" w:fill="DCE2EF"/>
          </w:tcPr>
          <w:p>
            <w:pPr>
              <w:spacing w:after="0" w:line="161" w:lineRule="exact"/>
              <w:rPr>
                <w:rFonts w:ascii="Arial" w:cs="Arial" w:eastAsia="Arial" w:hAnsi="Arial"/>
                <w:sz w:val="17"/>
                <w:szCs w:val="17"/>
                <w:color w:val="0000FF"/>
                <w:w w:val="99"/>
              </w:rPr>
            </w:pPr>
            <w:hyperlink r:id="rId207">
              <w:r>
                <w:rPr>
                  <w:rFonts w:ascii="Arial" w:cs="Arial" w:eastAsia="Arial" w:hAnsi="Arial"/>
                  <w:sz w:val="17"/>
                  <w:szCs w:val="17"/>
                  <w:color w:val="0000FF"/>
                  <w:w w:val="99"/>
                </w:rPr>
                <w:t>Rene Jacobsen</w:t>
              </w:r>
            </w:hyperlink>
          </w:p>
        </w:tc>
        <w:tc>
          <w:tcPr>
            <w:tcW w:w="3040" w:type="dxa"/>
            <w:vAlign w:val="bottom"/>
            <w:tcBorders>
              <w:top w:val="single" w:sz="8" w:color="0000FF"/>
              <w:bottom w:val="single" w:sz="8" w:color="DCE2EF"/>
            </w:tcBorders>
            <w:gridSpan w:val="18"/>
            <w:shd w:val="clear" w:color="auto" w:fill="DCE2EF"/>
          </w:tcPr>
          <w:p>
            <w:pPr>
              <w:spacing w:after="0"/>
              <w:rPr>
                <w:sz w:val="15"/>
                <w:szCs w:val="15"/>
                <w:color w:val="auto"/>
              </w:rPr>
            </w:pPr>
          </w:p>
        </w:tc>
        <w:tc>
          <w:tcPr>
            <w:tcW w:w="60" w:type="dxa"/>
            <w:vAlign w:val="bottom"/>
            <w:tcBorders>
              <w:top w:val="single" w:sz="8" w:color="DCE2EF"/>
              <w:bottom w:val="single" w:sz="8" w:color="DCE2EF"/>
            </w:tcBorders>
            <w:gridSpan w:val="2"/>
            <w:shd w:val="clear" w:color="auto" w:fill="DCE2EF"/>
          </w:tcPr>
          <w:p>
            <w:pPr>
              <w:spacing w:after="0"/>
              <w:rPr>
                <w:sz w:val="15"/>
                <w:szCs w:val="15"/>
                <w:color w:val="auto"/>
              </w:rPr>
            </w:pPr>
          </w:p>
        </w:tc>
        <w:tc>
          <w:tcPr>
            <w:tcW w:w="20" w:type="dxa"/>
            <w:vAlign w:val="bottom"/>
            <w:tcBorders>
              <w:top w:val="single" w:sz="8" w:color="DCE2EF"/>
              <w:bottom w:val="single" w:sz="8" w:color="DCE2EF"/>
            </w:tcBorders>
            <w:shd w:val="clear" w:color="auto" w:fill="DCE2EF"/>
          </w:tcPr>
          <w:p>
            <w:pPr>
              <w:spacing w:after="0"/>
              <w:rPr>
                <w:sz w:val="15"/>
                <w:szCs w:val="15"/>
                <w:color w:val="auto"/>
              </w:rPr>
            </w:pPr>
          </w:p>
        </w:tc>
        <w:tc>
          <w:tcPr>
            <w:tcW w:w="20" w:type="dxa"/>
            <w:vAlign w:val="bottom"/>
            <w:tcBorders>
              <w:top w:val="single" w:sz="8" w:color="DCE2EF"/>
              <w:bottom w:val="single" w:sz="8" w:color="DCE2EF"/>
            </w:tcBorders>
            <w:shd w:val="clear" w:color="auto" w:fill="DCE2EF"/>
          </w:tcPr>
          <w:p>
            <w:pPr>
              <w:spacing w:after="0"/>
              <w:rPr>
                <w:sz w:val="15"/>
                <w:szCs w:val="15"/>
                <w:color w:val="auto"/>
              </w:rPr>
            </w:pPr>
          </w:p>
        </w:tc>
        <w:tc>
          <w:tcPr>
            <w:tcW w:w="40" w:type="dxa"/>
            <w:vAlign w:val="bottom"/>
            <w:tcBorders>
              <w:top w:val="single" w:sz="8" w:color="DCE2EF"/>
              <w:bottom w:val="single" w:sz="8" w:color="DCE2EF"/>
            </w:tcBorders>
            <w:shd w:val="clear" w:color="auto" w:fill="DCE2EF"/>
          </w:tcPr>
          <w:p>
            <w:pPr>
              <w:spacing w:after="0"/>
              <w:rPr>
                <w:sz w:val="15"/>
                <w:szCs w:val="15"/>
                <w:color w:val="auto"/>
              </w:rPr>
            </w:pPr>
          </w:p>
        </w:tc>
        <w:tc>
          <w:tcPr>
            <w:tcW w:w="20" w:type="dxa"/>
            <w:vAlign w:val="bottom"/>
            <w:tcBorders>
              <w:top w:val="single" w:sz="8" w:color="DCE2EF"/>
              <w:bottom w:val="single" w:sz="8" w:color="DCE2EF"/>
            </w:tcBorders>
            <w:shd w:val="clear" w:color="auto" w:fill="DCE2EF"/>
          </w:tcPr>
          <w:p>
            <w:pPr>
              <w:spacing w:after="0"/>
              <w:rPr>
                <w:sz w:val="15"/>
                <w:szCs w:val="15"/>
                <w:color w:val="auto"/>
              </w:rPr>
            </w:pPr>
          </w:p>
        </w:tc>
        <w:tc>
          <w:tcPr>
            <w:tcW w:w="20" w:type="dxa"/>
            <w:vAlign w:val="bottom"/>
            <w:tcBorders>
              <w:top w:val="single" w:sz="8" w:color="DCE2EF"/>
              <w:bottom w:val="single" w:sz="8" w:color="DCE2EF"/>
            </w:tcBorders>
            <w:shd w:val="clear" w:color="auto" w:fill="DCE2EF"/>
          </w:tcPr>
          <w:p>
            <w:pPr>
              <w:spacing w:after="0"/>
              <w:rPr>
                <w:sz w:val="15"/>
                <w:szCs w:val="15"/>
                <w:color w:val="auto"/>
              </w:rPr>
            </w:pPr>
          </w:p>
        </w:tc>
        <w:tc>
          <w:tcPr>
            <w:tcW w:w="40" w:type="dxa"/>
            <w:vAlign w:val="bottom"/>
            <w:tcBorders>
              <w:top w:val="single" w:sz="8" w:color="DCE2EF"/>
              <w:bottom w:val="single" w:sz="8" w:color="DCE2EF"/>
            </w:tcBorders>
            <w:gridSpan w:val="2"/>
            <w:shd w:val="clear" w:color="auto" w:fill="DCE2EF"/>
          </w:tcPr>
          <w:p>
            <w:pPr>
              <w:spacing w:after="0"/>
              <w:rPr>
                <w:sz w:val="15"/>
                <w:szCs w:val="15"/>
                <w:color w:val="auto"/>
              </w:rPr>
            </w:pPr>
          </w:p>
        </w:tc>
        <w:tc>
          <w:tcPr>
            <w:tcW w:w="40" w:type="dxa"/>
            <w:vAlign w:val="bottom"/>
            <w:tcBorders>
              <w:top w:val="single" w:sz="8" w:color="DCE2EF"/>
              <w:bottom w:val="single" w:sz="8" w:color="DCE2EF"/>
            </w:tcBorders>
            <w:gridSpan w:val="2"/>
            <w:shd w:val="clear" w:color="auto" w:fill="DCE2EF"/>
          </w:tcPr>
          <w:p>
            <w:pPr>
              <w:spacing w:after="0"/>
              <w:rPr>
                <w:sz w:val="15"/>
                <w:szCs w:val="15"/>
                <w:color w:val="auto"/>
              </w:rPr>
            </w:pPr>
          </w:p>
        </w:tc>
        <w:tc>
          <w:tcPr>
            <w:tcW w:w="20" w:type="dxa"/>
            <w:vAlign w:val="bottom"/>
            <w:tcBorders>
              <w:top w:val="single" w:sz="8" w:color="DCE2EF"/>
              <w:bottom w:val="single" w:sz="8" w:color="DCE2EF"/>
            </w:tcBorders>
            <w:shd w:val="clear" w:color="auto" w:fill="DCE2EF"/>
          </w:tcPr>
          <w:p>
            <w:pPr>
              <w:spacing w:after="0"/>
              <w:rPr>
                <w:sz w:val="15"/>
                <w:szCs w:val="15"/>
                <w:color w:val="auto"/>
              </w:rPr>
            </w:pPr>
          </w:p>
        </w:tc>
        <w:tc>
          <w:tcPr>
            <w:tcW w:w="20" w:type="dxa"/>
            <w:vAlign w:val="bottom"/>
            <w:tcBorders>
              <w:top w:val="single" w:sz="8" w:color="DCE2EF"/>
              <w:bottom w:val="single" w:sz="8" w:color="DCE2EF"/>
            </w:tcBorders>
            <w:shd w:val="clear" w:color="auto" w:fill="DCE2EF"/>
          </w:tcPr>
          <w:p>
            <w:pPr>
              <w:spacing w:after="0"/>
              <w:rPr>
                <w:sz w:val="15"/>
                <w:szCs w:val="15"/>
                <w:color w:val="auto"/>
              </w:rPr>
            </w:pPr>
          </w:p>
        </w:tc>
        <w:tc>
          <w:tcPr>
            <w:tcW w:w="860" w:type="dxa"/>
            <w:vAlign w:val="bottom"/>
            <w:tcBorders>
              <w:top w:val="single" w:sz="8" w:color="DCE2EF"/>
              <w:bottom w:val="single" w:sz="8" w:color="DCE2EF"/>
            </w:tcBorders>
            <w:shd w:val="clear" w:color="auto" w:fill="DCE2EF"/>
          </w:tcPr>
          <w:p>
            <w:pPr>
              <w:spacing w:after="0"/>
              <w:rPr>
                <w:sz w:val="15"/>
                <w:szCs w:val="15"/>
                <w:color w:val="auto"/>
              </w:rPr>
            </w:pPr>
          </w:p>
        </w:tc>
        <w:tc>
          <w:tcPr>
            <w:tcW w:w="1340" w:type="dxa"/>
            <w:vAlign w:val="bottom"/>
            <w:tcBorders>
              <w:top w:val="single" w:sz="8" w:color="DCE2EF"/>
              <w:bottom w:val="single" w:sz="8" w:color="DCE2EF"/>
            </w:tcBorders>
            <w:shd w:val="clear" w:color="auto" w:fill="DCE2EF"/>
          </w:tcPr>
          <w:p>
            <w:pPr>
              <w:spacing w:after="0"/>
              <w:rPr>
                <w:sz w:val="15"/>
                <w:szCs w:val="15"/>
                <w:color w:val="auto"/>
              </w:rPr>
            </w:pPr>
          </w:p>
        </w:tc>
        <w:tc>
          <w:tcPr>
            <w:tcW w:w="1040" w:type="dxa"/>
            <w:vAlign w:val="bottom"/>
            <w:tcBorders>
              <w:top w:val="single" w:sz="8" w:color="DCE2EF"/>
              <w:bottom w:val="single" w:sz="8" w:color="DCE2EF"/>
            </w:tcBorders>
            <w:shd w:val="clear" w:color="auto" w:fill="DCE2EF"/>
          </w:tcPr>
          <w:p>
            <w:pPr>
              <w:spacing w:after="0"/>
              <w:rPr>
                <w:sz w:val="15"/>
                <w:szCs w:val="15"/>
                <w:color w:val="auto"/>
              </w:rPr>
            </w:pPr>
          </w:p>
        </w:tc>
        <w:tc>
          <w:tcPr>
            <w:tcW w:w="2160" w:type="dxa"/>
            <w:vAlign w:val="bottom"/>
            <w:tcBorders>
              <w:top w:val="single" w:sz="8" w:color="DCE2EF"/>
              <w:bottom w:val="single" w:sz="8" w:color="DCE2EF"/>
            </w:tcBorders>
            <w:shd w:val="clear" w:color="auto" w:fill="DCE2EF"/>
          </w:tcPr>
          <w:p>
            <w:pPr>
              <w:spacing w:after="0"/>
              <w:rPr>
                <w:sz w:val="15"/>
                <w:szCs w:val="15"/>
                <w:color w:val="auto"/>
              </w:rPr>
            </w:pPr>
          </w:p>
        </w:tc>
      </w:tr>
      <w:tr>
        <w:trPr>
          <w:trHeight w:val="180"/>
        </w:trPr>
        <w:tc>
          <w:tcPr>
            <w:tcW w:w="1300" w:type="dxa"/>
            <w:vAlign w:val="bottom"/>
          </w:tcPr>
          <w:p>
            <w:pPr>
              <w:ind w:left="20"/>
              <w:spacing w:after="0" w:line="180" w:lineRule="exact"/>
              <w:rPr>
                <w:sz w:val="20"/>
                <w:szCs w:val="20"/>
                <w:color w:val="auto"/>
              </w:rPr>
            </w:pPr>
            <w:r>
              <w:rPr>
                <w:rFonts w:ascii="Arial" w:cs="Arial" w:eastAsia="Arial" w:hAnsi="Arial"/>
                <w:sz w:val="17"/>
                <w:szCs w:val="17"/>
                <w:color w:val="auto"/>
              </w:rPr>
              <w:t>10.36*</w:t>
            </w:r>
          </w:p>
        </w:tc>
        <w:tc>
          <w:tcPr>
            <w:tcW w:w="4540" w:type="dxa"/>
            <w:vAlign w:val="bottom"/>
            <w:gridSpan w:val="35"/>
          </w:tcPr>
          <w:p>
            <w:pPr>
              <w:spacing w:after="0" w:line="180" w:lineRule="exact"/>
              <w:rPr>
                <w:rFonts w:ascii="Arial" w:cs="Arial" w:eastAsia="Arial" w:hAnsi="Arial"/>
                <w:sz w:val="17"/>
                <w:szCs w:val="17"/>
                <w:color w:val="0000FF"/>
              </w:rPr>
            </w:pPr>
            <w:hyperlink r:id="rId208">
              <w:r>
                <w:rPr>
                  <w:rFonts w:ascii="Arial" w:cs="Arial" w:eastAsia="Arial" w:hAnsi="Arial"/>
                  <w:sz w:val="17"/>
                  <w:szCs w:val="17"/>
                  <w:color w:val="0000FF"/>
                </w:rPr>
                <w:t>Change in Control Agreement, dated as of January 1,</w:t>
              </w:r>
            </w:hyperlink>
          </w:p>
        </w:tc>
        <w:tc>
          <w:tcPr>
            <w:tcW w:w="860" w:type="dxa"/>
            <w:vAlign w:val="bottom"/>
          </w:tcPr>
          <w:p>
            <w:pPr>
              <w:ind w:left="260"/>
              <w:spacing w:after="0" w:line="180" w:lineRule="exact"/>
              <w:rPr>
                <w:sz w:val="20"/>
                <w:szCs w:val="20"/>
                <w:color w:val="auto"/>
              </w:rPr>
            </w:pPr>
            <w:r>
              <w:rPr>
                <w:rFonts w:ascii="Arial" w:cs="Arial" w:eastAsia="Arial" w:hAnsi="Arial"/>
                <w:sz w:val="17"/>
                <w:szCs w:val="17"/>
                <w:color w:val="auto"/>
              </w:rPr>
              <w:t>10-Q</w:t>
            </w:r>
          </w:p>
        </w:tc>
        <w:tc>
          <w:tcPr>
            <w:tcW w:w="1340" w:type="dxa"/>
            <w:vAlign w:val="bottom"/>
          </w:tcPr>
          <w:p>
            <w:pPr>
              <w:jc w:val="right"/>
              <w:ind w:right="194"/>
              <w:spacing w:after="0" w:line="180" w:lineRule="exact"/>
              <w:rPr>
                <w:sz w:val="20"/>
                <w:szCs w:val="20"/>
                <w:color w:val="auto"/>
              </w:rPr>
            </w:pPr>
            <w:r>
              <w:rPr>
                <w:rFonts w:ascii="Arial" w:cs="Arial" w:eastAsia="Arial" w:hAnsi="Arial"/>
                <w:sz w:val="17"/>
                <w:szCs w:val="17"/>
                <w:color w:val="auto"/>
              </w:rPr>
              <w:t>001-08929</w:t>
            </w:r>
          </w:p>
        </w:tc>
        <w:tc>
          <w:tcPr>
            <w:tcW w:w="1040" w:type="dxa"/>
            <w:vAlign w:val="bottom"/>
          </w:tcPr>
          <w:p>
            <w:pPr>
              <w:jc w:val="center"/>
              <w:spacing w:after="0" w:line="180" w:lineRule="exact"/>
              <w:rPr>
                <w:sz w:val="20"/>
                <w:szCs w:val="20"/>
                <w:color w:val="auto"/>
              </w:rPr>
            </w:pPr>
            <w:r>
              <w:rPr>
                <w:rFonts w:ascii="Arial" w:cs="Arial" w:eastAsia="Arial" w:hAnsi="Arial"/>
                <w:sz w:val="17"/>
                <w:szCs w:val="17"/>
                <w:color w:val="auto"/>
              </w:rPr>
              <w:t>10.4</w:t>
            </w:r>
          </w:p>
        </w:tc>
        <w:tc>
          <w:tcPr>
            <w:tcW w:w="2160" w:type="dxa"/>
            <w:vAlign w:val="bottom"/>
          </w:tcPr>
          <w:p>
            <w:pPr>
              <w:jc w:val="center"/>
              <w:spacing w:after="0" w:line="180" w:lineRule="exact"/>
              <w:rPr>
                <w:sz w:val="20"/>
                <w:szCs w:val="20"/>
                <w:color w:val="auto"/>
              </w:rPr>
            </w:pPr>
            <w:r>
              <w:rPr>
                <w:rFonts w:ascii="Arial" w:cs="Arial" w:eastAsia="Arial" w:hAnsi="Arial"/>
                <w:sz w:val="17"/>
                <w:szCs w:val="17"/>
                <w:color w:val="auto"/>
              </w:rPr>
              <w:t>March 7, 2018</w:t>
            </w:r>
          </w:p>
        </w:tc>
      </w:tr>
      <w:tr>
        <w:trPr>
          <w:trHeight w:val="20"/>
        </w:trPr>
        <w:tc>
          <w:tcPr>
            <w:tcW w:w="130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000" w:type="dxa"/>
            <w:vAlign w:val="bottom"/>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148"/>
        </w:trPr>
        <w:tc>
          <w:tcPr>
            <w:tcW w:w="1300" w:type="dxa"/>
            <w:vAlign w:val="bottom"/>
          </w:tcPr>
          <w:p>
            <w:pPr>
              <w:spacing w:after="0"/>
              <w:rPr>
                <w:sz w:val="12"/>
                <w:szCs w:val="12"/>
                <w:color w:val="auto"/>
              </w:rPr>
            </w:pPr>
          </w:p>
        </w:tc>
        <w:tc>
          <w:tcPr>
            <w:tcW w:w="4540" w:type="dxa"/>
            <w:vAlign w:val="bottom"/>
            <w:gridSpan w:val="35"/>
          </w:tcPr>
          <w:p>
            <w:pPr>
              <w:spacing w:after="0" w:line="148" w:lineRule="exact"/>
              <w:rPr>
                <w:rFonts w:ascii="Arial" w:cs="Arial" w:eastAsia="Arial" w:hAnsi="Arial"/>
                <w:sz w:val="17"/>
                <w:szCs w:val="17"/>
                <w:color w:val="0000FF"/>
              </w:rPr>
            </w:pPr>
            <w:hyperlink r:id="rId208">
              <w:r>
                <w:rPr>
                  <w:rFonts w:ascii="Arial" w:cs="Arial" w:eastAsia="Arial" w:hAnsi="Arial"/>
                  <w:sz w:val="17"/>
                  <w:szCs w:val="17"/>
                  <w:color w:val="0000FF"/>
                </w:rPr>
                <w:t>2018, by and between ABM Industries Incorporated and</w:t>
              </w:r>
            </w:hyperlink>
          </w:p>
        </w:tc>
        <w:tc>
          <w:tcPr>
            <w:tcW w:w="8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160" w:type="dxa"/>
            <w:vAlign w:val="bottom"/>
          </w:tcPr>
          <w:p>
            <w:pPr>
              <w:spacing w:after="0"/>
              <w:rPr>
                <w:sz w:val="12"/>
                <w:szCs w:val="12"/>
                <w:color w:val="auto"/>
              </w:rPr>
            </w:pPr>
          </w:p>
        </w:tc>
      </w:tr>
      <w:tr>
        <w:trPr>
          <w:trHeight w:val="170"/>
        </w:trPr>
        <w:tc>
          <w:tcPr>
            <w:tcW w:w="1300" w:type="dxa"/>
            <w:vAlign w:val="bottom"/>
          </w:tcPr>
          <w:p>
            <w:pPr>
              <w:spacing w:after="0"/>
              <w:rPr>
                <w:sz w:val="14"/>
                <w:szCs w:val="14"/>
                <w:color w:val="auto"/>
              </w:rPr>
            </w:pPr>
          </w:p>
        </w:tc>
        <w:tc>
          <w:tcPr>
            <w:tcW w:w="1200" w:type="dxa"/>
            <w:vAlign w:val="bottom"/>
            <w:tcBorders>
              <w:top w:val="single" w:sz="8" w:color="0000FF"/>
              <w:bottom w:val="single" w:sz="8" w:color="0000FF"/>
            </w:tcBorders>
            <w:gridSpan w:val="4"/>
          </w:tcPr>
          <w:p>
            <w:pPr>
              <w:spacing w:after="0" w:line="161" w:lineRule="exact"/>
              <w:rPr>
                <w:rFonts w:ascii="Arial" w:cs="Arial" w:eastAsia="Arial" w:hAnsi="Arial"/>
                <w:sz w:val="17"/>
                <w:szCs w:val="17"/>
                <w:color w:val="0000FF"/>
                <w:w w:val="99"/>
              </w:rPr>
            </w:pPr>
            <w:hyperlink r:id="rId208">
              <w:r>
                <w:rPr>
                  <w:rFonts w:ascii="Arial" w:cs="Arial" w:eastAsia="Arial" w:hAnsi="Arial"/>
                  <w:sz w:val="17"/>
                  <w:szCs w:val="17"/>
                  <w:color w:val="0000FF"/>
                  <w:w w:val="99"/>
                </w:rPr>
                <w:t>Rene Jacobsen</w:t>
              </w:r>
            </w:hyperlink>
          </w:p>
        </w:tc>
        <w:tc>
          <w:tcPr>
            <w:tcW w:w="3040" w:type="dxa"/>
            <w:vAlign w:val="bottom"/>
            <w:tcBorders>
              <w:top w:val="single" w:sz="8" w:color="0000FF"/>
            </w:tcBorders>
            <w:gridSpan w:val="18"/>
          </w:tcPr>
          <w:p>
            <w:pPr>
              <w:spacing w:after="0"/>
              <w:rPr>
                <w:sz w:val="14"/>
                <w:szCs w:val="14"/>
                <w:color w:val="auto"/>
              </w:rPr>
            </w:pPr>
          </w:p>
        </w:tc>
        <w:tc>
          <w:tcPr>
            <w:tcW w:w="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160" w:type="dxa"/>
            <w:vAlign w:val="bottom"/>
          </w:tcPr>
          <w:p>
            <w:pPr>
              <w:spacing w:after="0"/>
              <w:rPr>
                <w:sz w:val="14"/>
                <w:szCs w:val="14"/>
                <w:color w:val="auto"/>
              </w:rPr>
            </w:pPr>
          </w:p>
        </w:tc>
      </w:tr>
      <w:tr>
        <w:trPr>
          <w:trHeight w:val="190"/>
        </w:trPr>
        <w:tc>
          <w:tcPr>
            <w:tcW w:w="1300" w:type="dxa"/>
            <w:vAlign w:val="bottom"/>
            <w:shd w:val="clear" w:color="auto" w:fill="DCE2EF"/>
          </w:tcPr>
          <w:p>
            <w:pPr>
              <w:ind w:left="20"/>
              <w:spacing w:after="0" w:line="190" w:lineRule="exact"/>
              <w:rPr>
                <w:sz w:val="20"/>
                <w:szCs w:val="20"/>
                <w:color w:val="auto"/>
              </w:rPr>
            </w:pPr>
            <w:r>
              <w:rPr>
                <w:rFonts w:ascii="Arial" w:cs="Arial" w:eastAsia="Arial" w:hAnsi="Arial"/>
                <w:sz w:val="17"/>
                <w:szCs w:val="17"/>
                <w:color w:val="auto"/>
              </w:rPr>
              <w:t>10.37*</w:t>
            </w:r>
          </w:p>
        </w:tc>
        <w:tc>
          <w:tcPr>
            <w:tcW w:w="4540" w:type="dxa"/>
            <w:vAlign w:val="bottom"/>
            <w:gridSpan w:val="35"/>
            <w:shd w:val="clear" w:color="auto" w:fill="DCE2EF"/>
          </w:tcPr>
          <w:p>
            <w:pPr>
              <w:spacing w:after="0" w:line="190" w:lineRule="exact"/>
              <w:rPr>
                <w:rFonts w:ascii="Arial" w:cs="Arial" w:eastAsia="Arial" w:hAnsi="Arial"/>
                <w:sz w:val="17"/>
                <w:szCs w:val="17"/>
                <w:color w:val="0000FF"/>
              </w:rPr>
            </w:pPr>
            <w:hyperlink r:id="rId209">
              <w:r>
                <w:rPr>
                  <w:rFonts w:ascii="Arial" w:cs="Arial" w:eastAsia="Arial" w:hAnsi="Arial"/>
                  <w:sz w:val="17"/>
                  <w:szCs w:val="17"/>
                  <w:color w:val="0000FF"/>
                </w:rPr>
                <w:t>Executive Employment Agreement, dated as of March 1,</w:t>
              </w:r>
            </w:hyperlink>
          </w:p>
        </w:tc>
        <w:tc>
          <w:tcPr>
            <w:tcW w:w="860" w:type="dxa"/>
            <w:vAlign w:val="bottom"/>
            <w:shd w:val="clear" w:color="auto" w:fill="DCE2EF"/>
          </w:tcPr>
          <w:p>
            <w:pPr>
              <w:ind w:left="260"/>
              <w:spacing w:after="0" w:line="190" w:lineRule="exact"/>
              <w:rPr>
                <w:sz w:val="20"/>
                <w:szCs w:val="20"/>
                <w:color w:val="auto"/>
              </w:rPr>
            </w:pPr>
            <w:r>
              <w:rPr>
                <w:rFonts w:ascii="Arial" w:cs="Arial" w:eastAsia="Arial" w:hAnsi="Arial"/>
                <w:sz w:val="17"/>
                <w:szCs w:val="17"/>
                <w:color w:val="auto"/>
              </w:rPr>
              <w:t>10-Q</w:t>
            </w:r>
          </w:p>
        </w:tc>
        <w:tc>
          <w:tcPr>
            <w:tcW w:w="1340" w:type="dxa"/>
            <w:vAlign w:val="bottom"/>
            <w:shd w:val="clear" w:color="auto" w:fill="DCE2EF"/>
          </w:tcPr>
          <w:p>
            <w:pPr>
              <w:jc w:val="right"/>
              <w:ind w:right="194"/>
              <w:spacing w:after="0" w:line="190" w:lineRule="exact"/>
              <w:rPr>
                <w:sz w:val="20"/>
                <w:szCs w:val="20"/>
                <w:color w:val="auto"/>
              </w:rPr>
            </w:pPr>
            <w:r>
              <w:rPr>
                <w:rFonts w:ascii="Arial" w:cs="Arial" w:eastAsia="Arial" w:hAnsi="Arial"/>
                <w:sz w:val="17"/>
                <w:szCs w:val="17"/>
                <w:color w:val="auto"/>
              </w:rPr>
              <w:t>001-08929</w:t>
            </w:r>
          </w:p>
        </w:tc>
        <w:tc>
          <w:tcPr>
            <w:tcW w:w="1040" w:type="dxa"/>
            <w:vAlign w:val="bottom"/>
            <w:shd w:val="clear" w:color="auto" w:fill="DCE2EF"/>
          </w:tcPr>
          <w:p>
            <w:pPr>
              <w:jc w:val="center"/>
              <w:spacing w:after="0" w:line="190" w:lineRule="exact"/>
              <w:rPr>
                <w:sz w:val="20"/>
                <w:szCs w:val="20"/>
                <w:color w:val="auto"/>
              </w:rPr>
            </w:pPr>
            <w:r>
              <w:rPr>
                <w:rFonts w:ascii="Arial" w:cs="Arial" w:eastAsia="Arial" w:hAnsi="Arial"/>
                <w:sz w:val="17"/>
                <w:szCs w:val="17"/>
                <w:color w:val="auto"/>
              </w:rPr>
              <w:t>10.1</w:t>
            </w:r>
          </w:p>
        </w:tc>
        <w:tc>
          <w:tcPr>
            <w:tcW w:w="2160" w:type="dxa"/>
            <w:vAlign w:val="bottom"/>
            <w:shd w:val="clear" w:color="auto" w:fill="DCE2EF"/>
          </w:tcPr>
          <w:p>
            <w:pPr>
              <w:jc w:val="center"/>
              <w:spacing w:after="0" w:line="190" w:lineRule="exact"/>
              <w:rPr>
                <w:sz w:val="20"/>
                <w:szCs w:val="20"/>
                <w:color w:val="auto"/>
              </w:rPr>
            </w:pPr>
            <w:r>
              <w:rPr>
                <w:rFonts w:ascii="Arial" w:cs="Arial" w:eastAsia="Arial" w:hAnsi="Arial"/>
                <w:sz w:val="17"/>
                <w:szCs w:val="17"/>
                <w:color w:val="auto"/>
              </w:rPr>
              <w:t>March 7, 2019</w:t>
            </w:r>
          </w:p>
        </w:tc>
      </w:tr>
      <w:tr>
        <w:trPr>
          <w:trHeight w:val="148"/>
        </w:trPr>
        <w:tc>
          <w:tcPr>
            <w:tcW w:w="1300" w:type="dxa"/>
            <w:vAlign w:val="bottom"/>
            <w:tcBorders>
              <w:top w:val="single" w:sz="8" w:color="DCE2EF"/>
            </w:tcBorders>
            <w:shd w:val="clear" w:color="auto" w:fill="DCE2EF"/>
          </w:tcPr>
          <w:p>
            <w:pPr>
              <w:spacing w:after="0"/>
              <w:rPr>
                <w:sz w:val="12"/>
                <w:szCs w:val="12"/>
                <w:color w:val="auto"/>
              </w:rPr>
            </w:pPr>
          </w:p>
        </w:tc>
        <w:tc>
          <w:tcPr>
            <w:tcW w:w="4300" w:type="dxa"/>
            <w:vAlign w:val="bottom"/>
            <w:tcBorders>
              <w:top w:val="single" w:sz="8" w:color="0000FF"/>
            </w:tcBorders>
            <w:gridSpan w:val="24"/>
            <w:shd w:val="clear" w:color="auto" w:fill="DCE2EF"/>
          </w:tcPr>
          <w:p>
            <w:pPr>
              <w:spacing w:after="0" w:line="148" w:lineRule="exact"/>
              <w:rPr>
                <w:rFonts w:ascii="Arial" w:cs="Arial" w:eastAsia="Arial" w:hAnsi="Arial"/>
                <w:sz w:val="17"/>
                <w:szCs w:val="17"/>
                <w:color w:val="0000FF"/>
              </w:rPr>
            </w:pPr>
            <w:hyperlink r:id="rId209">
              <w:r>
                <w:rPr>
                  <w:rFonts w:ascii="Arial" w:cs="Arial" w:eastAsia="Arial" w:hAnsi="Arial"/>
                  <w:sz w:val="17"/>
                  <w:szCs w:val="17"/>
                  <w:color w:val="0000FF"/>
                </w:rPr>
                <w:t>2018, by and between ABM Industries Incorporated and</w:t>
              </w:r>
            </w:hyperlink>
          </w:p>
        </w:tc>
        <w:tc>
          <w:tcPr>
            <w:tcW w:w="20" w:type="dxa"/>
            <w:vAlign w:val="bottom"/>
            <w:tcBorders>
              <w:top w:val="single" w:sz="8" w:color="DCE2EF"/>
            </w:tcBorders>
            <w:shd w:val="clear" w:color="auto" w:fill="DCE2EF"/>
          </w:tcPr>
          <w:p>
            <w:pPr>
              <w:spacing w:after="0"/>
              <w:rPr>
                <w:sz w:val="12"/>
                <w:szCs w:val="12"/>
                <w:color w:val="auto"/>
              </w:rPr>
            </w:pPr>
          </w:p>
        </w:tc>
        <w:tc>
          <w:tcPr>
            <w:tcW w:w="20" w:type="dxa"/>
            <w:vAlign w:val="bottom"/>
            <w:tcBorders>
              <w:top w:val="single" w:sz="8" w:color="DCE2EF"/>
            </w:tcBorders>
            <w:shd w:val="clear" w:color="auto" w:fill="DCE2EF"/>
          </w:tcPr>
          <w:p>
            <w:pPr>
              <w:spacing w:after="0"/>
              <w:rPr>
                <w:sz w:val="12"/>
                <w:szCs w:val="12"/>
                <w:color w:val="auto"/>
              </w:rPr>
            </w:pPr>
          </w:p>
        </w:tc>
        <w:tc>
          <w:tcPr>
            <w:tcW w:w="40" w:type="dxa"/>
            <w:vAlign w:val="bottom"/>
            <w:tcBorders>
              <w:top w:val="single" w:sz="8" w:color="DCE2EF"/>
            </w:tcBorders>
            <w:shd w:val="clear" w:color="auto" w:fill="DCE2EF"/>
          </w:tcPr>
          <w:p>
            <w:pPr>
              <w:spacing w:after="0"/>
              <w:rPr>
                <w:sz w:val="12"/>
                <w:szCs w:val="12"/>
                <w:color w:val="auto"/>
              </w:rPr>
            </w:pPr>
          </w:p>
        </w:tc>
        <w:tc>
          <w:tcPr>
            <w:tcW w:w="20" w:type="dxa"/>
            <w:vAlign w:val="bottom"/>
            <w:tcBorders>
              <w:top w:val="single" w:sz="8" w:color="DCE2EF"/>
            </w:tcBorders>
            <w:shd w:val="clear" w:color="auto" w:fill="DCE2EF"/>
          </w:tcPr>
          <w:p>
            <w:pPr>
              <w:spacing w:after="0"/>
              <w:rPr>
                <w:sz w:val="12"/>
                <w:szCs w:val="12"/>
                <w:color w:val="auto"/>
              </w:rPr>
            </w:pPr>
          </w:p>
        </w:tc>
        <w:tc>
          <w:tcPr>
            <w:tcW w:w="20" w:type="dxa"/>
            <w:vAlign w:val="bottom"/>
            <w:tcBorders>
              <w:top w:val="single" w:sz="8" w:color="DCE2EF"/>
            </w:tcBorders>
            <w:shd w:val="clear" w:color="auto" w:fill="DCE2EF"/>
          </w:tcPr>
          <w:p>
            <w:pPr>
              <w:spacing w:after="0"/>
              <w:rPr>
                <w:sz w:val="12"/>
                <w:szCs w:val="12"/>
                <w:color w:val="auto"/>
              </w:rPr>
            </w:pPr>
          </w:p>
        </w:tc>
        <w:tc>
          <w:tcPr>
            <w:tcW w:w="40" w:type="dxa"/>
            <w:vAlign w:val="bottom"/>
            <w:tcBorders>
              <w:top w:val="single" w:sz="8" w:color="DCE2EF"/>
            </w:tcBorders>
            <w:gridSpan w:val="2"/>
            <w:shd w:val="clear" w:color="auto" w:fill="DCE2EF"/>
          </w:tcPr>
          <w:p>
            <w:pPr>
              <w:spacing w:after="0"/>
              <w:rPr>
                <w:sz w:val="12"/>
                <w:szCs w:val="12"/>
                <w:color w:val="auto"/>
              </w:rPr>
            </w:pPr>
          </w:p>
        </w:tc>
        <w:tc>
          <w:tcPr>
            <w:tcW w:w="40" w:type="dxa"/>
            <w:vAlign w:val="bottom"/>
            <w:tcBorders>
              <w:top w:val="single" w:sz="8" w:color="DCE2EF"/>
            </w:tcBorders>
            <w:gridSpan w:val="2"/>
            <w:shd w:val="clear" w:color="auto" w:fill="DCE2EF"/>
          </w:tcPr>
          <w:p>
            <w:pPr>
              <w:spacing w:after="0"/>
              <w:rPr>
                <w:sz w:val="12"/>
                <w:szCs w:val="12"/>
                <w:color w:val="auto"/>
              </w:rPr>
            </w:pPr>
          </w:p>
        </w:tc>
        <w:tc>
          <w:tcPr>
            <w:tcW w:w="20" w:type="dxa"/>
            <w:vAlign w:val="bottom"/>
            <w:tcBorders>
              <w:top w:val="single" w:sz="8" w:color="DCE2EF"/>
            </w:tcBorders>
            <w:shd w:val="clear" w:color="auto" w:fill="DCE2EF"/>
          </w:tcPr>
          <w:p>
            <w:pPr>
              <w:spacing w:after="0"/>
              <w:rPr>
                <w:sz w:val="12"/>
                <w:szCs w:val="12"/>
                <w:color w:val="auto"/>
              </w:rPr>
            </w:pPr>
          </w:p>
        </w:tc>
        <w:tc>
          <w:tcPr>
            <w:tcW w:w="20" w:type="dxa"/>
            <w:vAlign w:val="bottom"/>
            <w:tcBorders>
              <w:top w:val="single" w:sz="8" w:color="DCE2EF"/>
            </w:tcBorders>
            <w:shd w:val="clear" w:color="auto" w:fill="DCE2EF"/>
          </w:tcPr>
          <w:p>
            <w:pPr>
              <w:spacing w:after="0"/>
              <w:rPr>
                <w:sz w:val="12"/>
                <w:szCs w:val="12"/>
                <w:color w:val="auto"/>
              </w:rPr>
            </w:pPr>
          </w:p>
        </w:tc>
        <w:tc>
          <w:tcPr>
            <w:tcW w:w="860" w:type="dxa"/>
            <w:vAlign w:val="bottom"/>
            <w:tcBorders>
              <w:top w:val="single" w:sz="8" w:color="DCE2EF"/>
            </w:tcBorders>
            <w:shd w:val="clear" w:color="auto" w:fill="DCE2EF"/>
          </w:tcPr>
          <w:p>
            <w:pPr>
              <w:spacing w:after="0"/>
              <w:rPr>
                <w:sz w:val="12"/>
                <w:szCs w:val="12"/>
                <w:color w:val="auto"/>
              </w:rPr>
            </w:pPr>
          </w:p>
        </w:tc>
        <w:tc>
          <w:tcPr>
            <w:tcW w:w="1340" w:type="dxa"/>
            <w:vAlign w:val="bottom"/>
            <w:tcBorders>
              <w:top w:val="single" w:sz="8" w:color="DCE2EF"/>
            </w:tcBorders>
            <w:shd w:val="clear" w:color="auto" w:fill="DCE2EF"/>
          </w:tcPr>
          <w:p>
            <w:pPr>
              <w:spacing w:after="0"/>
              <w:rPr>
                <w:sz w:val="12"/>
                <w:szCs w:val="12"/>
                <w:color w:val="auto"/>
              </w:rPr>
            </w:pPr>
          </w:p>
        </w:tc>
        <w:tc>
          <w:tcPr>
            <w:tcW w:w="1040" w:type="dxa"/>
            <w:vAlign w:val="bottom"/>
            <w:tcBorders>
              <w:top w:val="single" w:sz="8" w:color="DCE2EF"/>
            </w:tcBorders>
            <w:shd w:val="clear" w:color="auto" w:fill="DCE2EF"/>
          </w:tcPr>
          <w:p>
            <w:pPr>
              <w:spacing w:after="0"/>
              <w:rPr>
                <w:sz w:val="12"/>
                <w:szCs w:val="12"/>
                <w:color w:val="auto"/>
              </w:rPr>
            </w:pPr>
          </w:p>
        </w:tc>
        <w:tc>
          <w:tcPr>
            <w:tcW w:w="2160" w:type="dxa"/>
            <w:vAlign w:val="bottom"/>
            <w:tcBorders>
              <w:top w:val="single" w:sz="8" w:color="DCE2EF"/>
            </w:tcBorders>
            <w:shd w:val="clear" w:color="auto" w:fill="DCE2EF"/>
          </w:tcPr>
          <w:p>
            <w:pPr>
              <w:spacing w:after="0"/>
              <w:rPr>
                <w:sz w:val="12"/>
                <w:szCs w:val="12"/>
                <w:color w:val="auto"/>
              </w:rPr>
            </w:pPr>
          </w:p>
        </w:tc>
      </w:tr>
      <w:tr>
        <w:trPr>
          <w:trHeight w:val="160"/>
        </w:trPr>
        <w:tc>
          <w:tcPr>
            <w:tcW w:w="1300" w:type="dxa"/>
            <w:vAlign w:val="bottom"/>
            <w:tcBorders>
              <w:top w:val="single" w:sz="8" w:color="DCE2EF"/>
            </w:tcBorders>
            <w:shd w:val="clear" w:color="auto" w:fill="DCE2EF"/>
          </w:tcPr>
          <w:p>
            <w:pPr>
              <w:spacing w:after="0"/>
              <w:rPr>
                <w:sz w:val="13"/>
                <w:szCs w:val="13"/>
                <w:color w:val="auto"/>
              </w:rPr>
            </w:pPr>
          </w:p>
        </w:tc>
        <w:tc>
          <w:tcPr>
            <w:tcW w:w="4240" w:type="dxa"/>
            <w:vAlign w:val="bottom"/>
            <w:tcBorders>
              <w:top w:val="single" w:sz="8" w:color="0000FF"/>
            </w:tcBorders>
            <w:gridSpan w:val="22"/>
            <w:shd w:val="clear" w:color="auto" w:fill="DCE2EF"/>
          </w:tcPr>
          <w:p>
            <w:pPr>
              <w:spacing w:after="0" w:line="161" w:lineRule="exact"/>
              <w:rPr>
                <w:rFonts w:ascii="Arial" w:cs="Arial" w:eastAsia="Arial" w:hAnsi="Arial"/>
                <w:sz w:val="17"/>
                <w:szCs w:val="17"/>
                <w:color w:val="0000FF"/>
              </w:rPr>
            </w:pPr>
            <w:hyperlink r:id="rId209">
              <w:r>
                <w:rPr>
                  <w:rFonts w:ascii="Arial" w:cs="Arial" w:eastAsia="Arial" w:hAnsi="Arial"/>
                  <w:sz w:val="17"/>
                  <w:szCs w:val="17"/>
                  <w:color w:val="0000FF"/>
                </w:rPr>
                <w:t>Andrea Newborn</w:t>
              </w:r>
            </w:hyperlink>
          </w:p>
        </w:tc>
        <w:tc>
          <w:tcPr>
            <w:tcW w:w="80" w:type="dxa"/>
            <w:vAlign w:val="bottom"/>
            <w:tcBorders>
              <w:top w:val="single" w:sz="8" w:color="DCE2EF"/>
            </w:tcBorders>
            <w:gridSpan w:val="3"/>
            <w:shd w:val="clear" w:color="auto" w:fill="DCE2EF"/>
          </w:tcPr>
          <w:p>
            <w:pPr>
              <w:spacing w:after="0"/>
              <w:rPr>
                <w:sz w:val="13"/>
                <w:szCs w:val="13"/>
                <w:color w:val="auto"/>
              </w:rPr>
            </w:pPr>
          </w:p>
        </w:tc>
        <w:tc>
          <w:tcPr>
            <w:tcW w:w="20" w:type="dxa"/>
            <w:vAlign w:val="bottom"/>
            <w:tcBorders>
              <w:top w:val="single" w:sz="8" w:color="DCE2EF"/>
            </w:tcBorders>
            <w:shd w:val="clear" w:color="auto" w:fill="DCE2EF"/>
          </w:tcPr>
          <w:p>
            <w:pPr>
              <w:spacing w:after="0"/>
              <w:rPr>
                <w:sz w:val="13"/>
                <w:szCs w:val="13"/>
                <w:color w:val="auto"/>
              </w:rPr>
            </w:pPr>
          </w:p>
        </w:tc>
        <w:tc>
          <w:tcPr>
            <w:tcW w:w="40" w:type="dxa"/>
            <w:vAlign w:val="bottom"/>
            <w:tcBorders>
              <w:top w:val="single" w:sz="8" w:color="DCE2EF"/>
            </w:tcBorders>
            <w:shd w:val="clear" w:color="auto" w:fill="DCE2EF"/>
          </w:tcPr>
          <w:p>
            <w:pPr>
              <w:spacing w:after="0"/>
              <w:rPr>
                <w:sz w:val="13"/>
                <w:szCs w:val="13"/>
                <w:color w:val="auto"/>
              </w:rPr>
            </w:pPr>
          </w:p>
        </w:tc>
        <w:tc>
          <w:tcPr>
            <w:tcW w:w="20" w:type="dxa"/>
            <w:vAlign w:val="bottom"/>
            <w:tcBorders>
              <w:top w:val="single" w:sz="8" w:color="DCE2EF"/>
            </w:tcBorders>
            <w:shd w:val="clear" w:color="auto" w:fill="DCE2EF"/>
          </w:tcPr>
          <w:p>
            <w:pPr>
              <w:spacing w:after="0"/>
              <w:rPr>
                <w:sz w:val="13"/>
                <w:szCs w:val="13"/>
                <w:color w:val="auto"/>
              </w:rPr>
            </w:pPr>
          </w:p>
        </w:tc>
        <w:tc>
          <w:tcPr>
            <w:tcW w:w="20" w:type="dxa"/>
            <w:vAlign w:val="bottom"/>
            <w:tcBorders>
              <w:top w:val="single" w:sz="8" w:color="DCE2EF"/>
            </w:tcBorders>
            <w:shd w:val="clear" w:color="auto" w:fill="DCE2EF"/>
          </w:tcPr>
          <w:p>
            <w:pPr>
              <w:spacing w:after="0"/>
              <w:rPr>
                <w:sz w:val="13"/>
                <w:szCs w:val="13"/>
                <w:color w:val="auto"/>
              </w:rPr>
            </w:pPr>
          </w:p>
        </w:tc>
        <w:tc>
          <w:tcPr>
            <w:tcW w:w="40" w:type="dxa"/>
            <w:vAlign w:val="bottom"/>
            <w:tcBorders>
              <w:top w:val="single" w:sz="8" w:color="DCE2EF"/>
            </w:tcBorders>
            <w:gridSpan w:val="2"/>
            <w:shd w:val="clear" w:color="auto" w:fill="DCE2EF"/>
          </w:tcPr>
          <w:p>
            <w:pPr>
              <w:spacing w:after="0"/>
              <w:rPr>
                <w:sz w:val="13"/>
                <w:szCs w:val="13"/>
                <w:color w:val="auto"/>
              </w:rPr>
            </w:pPr>
          </w:p>
        </w:tc>
        <w:tc>
          <w:tcPr>
            <w:tcW w:w="40" w:type="dxa"/>
            <w:vAlign w:val="bottom"/>
            <w:tcBorders>
              <w:top w:val="single" w:sz="8" w:color="DCE2EF"/>
            </w:tcBorders>
            <w:gridSpan w:val="2"/>
            <w:shd w:val="clear" w:color="auto" w:fill="DCE2EF"/>
          </w:tcPr>
          <w:p>
            <w:pPr>
              <w:spacing w:after="0"/>
              <w:rPr>
                <w:sz w:val="13"/>
                <w:szCs w:val="13"/>
                <w:color w:val="auto"/>
              </w:rPr>
            </w:pPr>
          </w:p>
        </w:tc>
        <w:tc>
          <w:tcPr>
            <w:tcW w:w="20" w:type="dxa"/>
            <w:vAlign w:val="bottom"/>
            <w:tcBorders>
              <w:top w:val="single" w:sz="8" w:color="DCE2EF"/>
            </w:tcBorders>
            <w:shd w:val="clear" w:color="auto" w:fill="DCE2EF"/>
          </w:tcPr>
          <w:p>
            <w:pPr>
              <w:spacing w:after="0"/>
              <w:rPr>
                <w:sz w:val="13"/>
                <w:szCs w:val="13"/>
                <w:color w:val="auto"/>
              </w:rPr>
            </w:pPr>
          </w:p>
        </w:tc>
        <w:tc>
          <w:tcPr>
            <w:tcW w:w="20" w:type="dxa"/>
            <w:vAlign w:val="bottom"/>
            <w:tcBorders>
              <w:top w:val="single" w:sz="8" w:color="DCE2EF"/>
            </w:tcBorders>
            <w:shd w:val="clear" w:color="auto" w:fill="DCE2EF"/>
          </w:tcPr>
          <w:p>
            <w:pPr>
              <w:spacing w:after="0"/>
              <w:rPr>
                <w:sz w:val="13"/>
                <w:szCs w:val="13"/>
                <w:color w:val="auto"/>
              </w:rPr>
            </w:pPr>
          </w:p>
        </w:tc>
        <w:tc>
          <w:tcPr>
            <w:tcW w:w="860" w:type="dxa"/>
            <w:vAlign w:val="bottom"/>
            <w:tcBorders>
              <w:top w:val="single" w:sz="8" w:color="DCE2EF"/>
            </w:tcBorders>
            <w:shd w:val="clear" w:color="auto" w:fill="DCE2EF"/>
          </w:tcPr>
          <w:p>
            <w:pPr>
              <w:spacing w:after="0"/>
              <w:rPr>
                <w:sz w:val="13"/>
                <w:szCs w:val="13"/>
                <w:color w:val="auto"/>
              </w:rPr>
            </w:pPr>
          </w:p>
        </w:tc>
        <w:tc>
          <w:tcPr>
            <w:tcW w:w="1340" w:type="dxa"/>
            <w:vAlign w:val="bottom"/>
            <w:tcBorders>
              <w:top w:val="single" w:sz="8" w:color="DCE2EF"/>
            </w:tcBorders>
            <w:shd w:val="clear" w:color="auto" w:fill="DCE2EF"/>
          </w:tcPr>
          <w:p>
            <w:pPr>
              <w:spacing w:after="0"/>
              <w:rPr>
                <w:sz w:val="13"/>
                <w:szCs w:val="13"/>
                <w:color w:val="auto"/>
              </w:rPr>
            </w:pPr>
          </w:p>
        </w:tc>
        <w:tc>
          <w:tcPr>
            <w:tcW w:w="1040" w:type="dxa"/>
            <w:vAlign w:val="bottom"/>
            <w:tcBorders>
              <w:top w:val="single" w:sz="8" w:color="DCE2EF"/>
            </w:tcBorders>
            <w:shd w:val="clear" w:color="auto" w:fill="DCE2EF"/>
          </w:tcPr>
          <w:p>
            <w:pPr>
              <w:spacing w:after="0"/>
              <w:rPr>
                <w:sz w:val="13"/>
                <w:szCs w:val="13"/>
                <w:color w:val="auto"/>
              </w:rPr>
            </w:pPr>
          </w:p>
        </w:tc>
        <w:tc>
          <w:tcPr>
            <w:tcW w:w="2160" w:type="dxa"/>
            <w:vAlign w:val="bottom"/>
            <w:tcBorders>
              <w:top w:val="single" w:sz="8" w:color="DCE2EF"/>
            </w:tcBorders>
            <w:shd w:val="clear" w:color="auto" w:fill="DCE2EF"/>
          </w:tcPr>
          <w:p>
            <w:pPr>
              <w:spacing w:after="0"/>
              <w:rPr>
                <w:sz w:val="13"/>
                <w:szCs w:val="13"/>
                <w:color w:val="auto"/>
              </w:rPr>
            </w:pPr>
          </w:p>
        </w:tc>
      </w:tr>
      <w:tr>
        <w:trPr>
          <w:trHeight w:val="39"/>
        </w:trPr>
        <w:tc>
          <w:tcPr>
            <w:tcW w:w="1300" w:type="dxa"/>
            <w:vAlign w:val="bottom"/>
            <w:shd w:val="clear" w:color="auto" w:fill="DCE2EF"/>
          </w:tcPr>
          <w:p>
            <w:pPr>
              <w:spacing w:after="0"/>
              <w:rPr>
                <w:sz w:val="3"/>
                <w:szCs w:val="3"/>
                <w:color w:val="auto"/>
              </w:rPr>
            </w:pPr>
          </w:p>
        </w:tc>
        <w:tc>
          <w:tcPr>
            <w:tcW w:w="68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20" w:type="dxa"/>
            <w:vAlign w:val="bottom"/>
            <w:shd w:val="clear" w:color="auto" w:fill="DCE2EF"/>
          </w:tcPr>
          <w:p>
            <w:pPr>
              <w:spacing w:after="0"/>
              <w:rPr>
                <w:sz w:val="3"/>
                <w:szCs w:val="3"/>
                <w:color w:val="auto"/>
              </w:rPr>
            </w:pPr>
          </w:p>
        </w:tc>
        <w:tc>
          <w:tcPr>
            <w:tcW w:w="140" w:type="dxa"/>
            <w:vAlign w:val="bottom"/>
            <w:shd w:val="clear" w:color="auto" w:fill="DCE2EF"/>
          </w:tcPr>
          <w:p>
            <w:pPr>
              <w:spacing w:after="0"/>
              <w:rPr>
                <w:sz w:val="3"/>
                <w:szCs w:val="3"/>
                <w:color w:val="auto"/>
              </w:rPr>
            </w:pPr>
          </w:p>
        </w:tc>
        <w:tc>
          <w:tcPr>
            <w:tcW w:w="380" w:type="dxa"/>
            <w:vAlign w:val="bottom"/>
            <w:shd w:val="clear" w:color="auto" w:fill="DCE2EF"/>
          </w:tcPr>
          <w:p>
            <w:pPr>
              <w:spacing w:after="0"/>
              <w:rPr>
                <w:sz w:val="3"/>
                <w:szCs w:val="3"/>
                <w:color w:val="auto"/>
              </w:rPr>
            </w:pPr>
          </w:p>
        </w:tc>
        <w:tc>
          <w:tcPr>
            <w:tcW w:w="80" w:type="dxa"/>
            <w:vAlign w:val="bottom"/>
            <w:shd w:val="clear" w:color="auto" w:fill="DCE2EF"/>
          </w:tcPr>
          <w:p>
            <w:pPr>
              <w:spacing w:after="0"/>
              <w:rPr>
                <w:sz w:val="3"/>
                <w:szCs w:val="3"/>
                <w:color w:val="auto"/>
              </w:rPr>
            </w:pPr>
          </w:p>
        </w:tc>
        <w:tc>
          <w:tcPr>
            <w:tcW w:w="140" w:type="dxa"/>
            <w:vAlign w:val="bottom"/>
            <w:shd w:val="clear" w:color="auto" w:fill="DCE2EF"/>
          </w:tcPr>
          <w:p>
            <w:pPr>
              <w:spacing w:after="0"/>
              <w:rPr>
                <w:sz w:val="3"/>
                <w:szCs w:val="3"/>
                <w:color w:val="auto"/>
              </w:rPr>
            </w:pPr>
          </w:p>
        </w:tc>
        <w:tc>
          <w:tcPr>
            <w:tcW w:w="600" w:type="dxa"/>
            <w:vAlign w:val="bottom"/>
            <w:shd w:val="clear" w:color="auto" w:fill="DCE2EF"/>
          </w:tcPr>
          <w:p>
            <w:pPr>
              <w:spacing w:after="0"/>
              <w:rPr>
                <w:sz w:val="3"/>
                <w:szCs w:val="3"/>
                <w:color w:val="auto"/>
              </w:rPr>
            </w:pPr>
          </w:p>
        </w:tc>
        <w:tc>
          <w:tcPr>
            <w:tcW w:w="300" w:type="dxa"/>
            <w:vAlign w:val="bottom"/>
            <w:shd w:val="clear" w:color="auto" w:fill="DCE2EF"/>
          </w:tcPr>
          <w:p>
            <w:pPr>
              <w:spacing w:after="0"/>
              <w:rPr>
                <w:sz w:val="3"/>
                <w:szCs w:val="3"/>
                <w:color w:val="auto"/>
              </w:rPr>
            </w:pPr>
          </w:p>
        </w:tc>
        <w:tc>
          <w:tcPr>
            <w:tcW w:w="460" w:type="dxa"/>
            <w:vAlign w:val="bottom"/>
            <w:shd w:val="clear" w:color="auto" w:fill="DCE2EF"/>
          </w:tcPr>
          <w:p>
            <w:pPr>
              <w:spacing w:after="0"/>
              <w:rPr>
                <w:sz w:val="3"/>
                <w:szCs w:val="3"/>
                <w:color w:val="auto"/>
              </w:rPr>
            </w:pPr>
          </w:p>
        </w:tc>
        <w:tc>
          <w:tcPr>
            <w:tcW w:w="240" w:type="dxa"/>
            <w:vAlign w:val="bottom"/>
            <w:shd w:val="clear" w:color="auto" w:fill="DCE2EF"/>
          </w:tcPr>
          <w:p>
            <w:pPr>
              <w:spacing w:after="0"/>
              <w:rPr>
                <w:sz w:val="3"/>
                <w:szCs w:val="3"/>
                <w:color w:val="auto"/>
              </w:rPr>
            </w:pPr>
          </w:p>
        </w:tc>
        <w:tc>
          <w:tcPr>
            <w:tcW w:w="140" w:type="dxa"/>
            <w:vAlign w:val="bottom"/>
            <w:shd w:val="clear" w:color="auto" w:fill="DCE2EF"/>
          </w:tcPr>
          <w:p>
            <w:pPr>
              <w:spacing w:after="0"/>
              <w:rPr>
                <w:sz w:val="3"/>
                <w:szCs w:val="3"/>
                <w:color w:val="auto"/>
              </w:rPr>
            </w:pPr>
          </w:p>
        </w:tc>
        <w:tc>
          <w:tcPr>
            <w:tcW w:w="20" w:type="dxa"/>
            <w:vAlign w:val="bottom"/>
            <w:shd w:val="clear" w:color="auto" w:fill="DCE2EF"/>
          </w:tcPr>
          <w:p>
            <w:pPr>
              <w:spacing w:after="0"/>
              <w:rPr>
                <w:sz w:val="3"/>
                <w:szCs w:val="3"/>
                <w:color w:val="auto"/>
              </w:rPr>
            </w:pPr>
          </w:p>
        </w:tc>
        <w:tc>
          <w:tcPr>
            <w:tcW w:w="60" w:type="dxa"/>
            <w:vAlign w:val="bottom"/>
            <w:shd w:val="clear" w:color="auto" w:fill="DCE2EF"/>
          </w:tcPr>
          <w:p>
            <w:pPr>
              <w:spacing w:after="0"/>
              <w:rPr>
                <w:sz w:val="3"/>
                <w:szCs w:val="3"/>
                <w:color w:val="auto"/>
              </w:rPr>
            </w:pPr>
          </w:p>
        </w:tc>
        <w:tc>
          <w:tcPr>
            <w:tcW w:w="60" w:type="dxa"/>
            <w:vAlign w:val="bottom"/>
            <w:shd w:val="clear" w:color="auto" w:fill="DCE2EF"/>
          </w:tcPr>
          <w:p>
            <w:pPr>
              <w:spacing w:after="0"/>
              <w:rPr>
                <w:sz w:val="3"/>
                <w:szCs w:val="3"/>
                <w:color w:val="auto"/>
              </w:rPr>
            </w:pPr>
          </w:p>
        </w:tc>
        <w:tc>
          <w:tcPr>
            <w:tcW w:w="20" w:type="dxa"/>
            <w:vAlign w:val="bottom"/>
            <w:shd w:val="clear" w:color="auto" w:fill="DCE2EF"/>
          </w:tcPr>
          <w:p>
            <w:pPr>
              <w:spacing w:after="0"/>
              <w:rPr>
                <w:sz w:val="3"/>
                <w:szCs w:val="3"/>
                <w:color w:val="auto"/>
              </w:rPr>
            </w:pPr>
          </w:p>
        </w:tc>
        <w:tc>
          <w:tcPr>
            <w:tcW w:w="40" w:type="dxa"/>
            <w:vAlign w:val="bottom"/>
            <w:shd w:val="clear" w:color="auto" w:fill="DCE2EF"/>
          </w:tcPr>
          <w:p>
            <w:pPr>
              <w:spacing w:after="0"/>
              <w:rPr>
                <w:sz w:val="3"/>
                <w:szCs w:val="3"/>
                <w:color w:val="auto"/>
              </w:rPr>
            </w:pPr>
          </w:p>
        </w:tc>
        <w:tc>
          <w:tcPr>
            <w:tcW w:w="20" w:type="dxa"/>
            <w:vAlign w:val="bottom"/>
            <w:shd w:val="clear" w:color="auto" w:fill="DCE2EF"/>
          </w:tcPr>
          <w:p>
            <w:pPr>
              <w:spacing w:after="0"/>
              <w:rPr>
                <w:sz w:val="3"/>
                <w:szCs w:val="3"/>
                <w:color w:val="auto"/>
              </w:rPr>
            </w:pPr>
          </w:p>
        </w:tc>
        <w:tc>
          <w:tcPr>
            <w:tcW w:w="40" w:type="dxa"/>
            <w:vAlign w:val="bottom"/>
            <w:shd w:val="clear" w:color="auto" w:fill="DCE2EF"/>
          </w:tcPr>
          <w:p>
            <w:pPr>
              <w:spacing w:after="0"/>
              <w:rPr>
                <w:sz w:val="3"/>
                <w:szCs w:val="3"/>
                <w:color w:val="auto"/>
              </w:rPr>
            </w:pPr>
          </w:p>
        </w:tc>
        <w:tc>
          <w:tcPr>
            <w:tcW w:w="20" w:type="dxa"/>
            <w:vAlign w:val="bottom"/>
            <w:shd w:val="clear" w:color="auto" w:fill="DCE2EF"/>
          </w:tcPr>
          <w:p>
            <w:pPr>
              <w:spacing w:after="0"/>
              <w:rPr>
                <w:sz w:val="3"/>
                <w:szCs w:val="3"/>
                <w:color w:val="auto"/>
              </w:rPr>
            </w:pPr>
          </w:p>
        </w:tc>
        <w:tc>
          <w:tcPr>
            <w:tcW w:w="40" w:type="dxa"/>
            <w:vAlign w:val="bottom"/>
            <w:shd w:val="clear" w:color="auto" w:fill="DCE2EF"/>
          </w:tcPr>
          <w:p>
            <w:pPr>
              <w:spacing w:after="0"/>
              <w:rPr>
                <w:sz w:val="3"/>
                <w:szCs w:val="3"/>
                <w:color w:val="auto"/>
              </w:rPr>
            </w:pPr>
          </w:p>
        </w:tc>
        <w:tc>
          <w:tcPr>
            <w:tcW w:w="20" w:type="dxa"/>
            <w:vAlign w:val="bottom"/>
            <w:shd w:val="clear" w:color="auto" w:fill="DCE2EF"/>
          </w:tcPr>
          <w:p>
            <w:pPr>
              <w:spacing w:after="0"/>
              <w:rPr>
                <w:sz w:val="3"/>
                <w:szCs w:val="3"/>
                <w:color w:val="auto"/>
              </w:rPr>
            </w:pPr>
          </w:p>
        </w:tc>
        <w:tc>
          <w:tcPr>
            <w:tcW w:w="20" w:type="dxa"/>
            <w:vAlign w:val="bottom"/>
            <w:shd w:val="clear" w:color="auto" w:fill="DCE2EF"/>
          </w:tcPr>
          <w:p>
            <w:pPr>
              <w:spacing w:after="0"/>
              <w:rPr>
                <w:sz w:val="3"/>
                <w:szCs w:val="3"/>
                <w:color w:val="auto"/>
              </w:rPr>
            </w:pPr>
          </w:p>
        </w:tc>
        <w:tc>
          <w:tcPr>
            <w:tcW w:w="40" w:type="dxa"/>
            <w:vAlign w:val="bottom"/>
            <w:shd w:val="clear" w:color="auto" w:fill="DCE2EF"/>
          </w:tcPr>
          <w:p>
            <w:pPr>
              <w:spacing w:after="0"/>
              <w:rPr>
                <w:sz w:val="3"/>
                <w:szCs w:val="3"/>
                <w:color w:val="auto"/>
              </w:rPr>
            </w:pPr>
          </w:p>
        </w:tc>
        <w:tc>
          <w:tcPr>
            <w:tcW w:w="20" w:type="dxa"/>
            <w:vAlign w:val="bottom"/>
            <w:shd w:val="clear" w:color="auto" w:fill="DCE2EF"/>
          </w:tcPr>
          <w:p>
            <w:pPr>
              <w:spacing w:after="0"/>
              <w:rPr>
                <w:sz w:val="3"/>
                <w:szCs w:val="3"/>
                <w:color w:val="auto"/>
              </w:rPr>
            </w:pPr>
          </w:p>
        </w:tc>
        <w:tc>
          <w:tcPr>
            <w:tcW w:w="20" w:type="dxa"/>
            <w:vAlign w:val="bottom"/>
            <w:shd w:val="clear" w:color="auto" w:fill="DCE2EF"/>
          </w:tcPr>
          <w:p>
            <w:pPr>
              <w:spacing w:after="0"/>
              <w:rPr>
                <w:sz w:val="3"/>
                <w:szCs w:val="3"/>
                <w:color w:val="auto"/>
              </w:rPr>
            </w:pPr>
          </w:p>
        </w:tc>
        <w:tc>
          <w:tcPr>
            <w:tcW w:w="20" w:type="dxa"/>
            <w:vAlign w:val="bottom"/>
            <w:shd w:val="clear" w:color="auto" w:fill="DCE2EF"/>
          </w:tcPr>
          <w:p>
            <w:pPr>
              <w:spacing w:after="0"/>
              <w:rPr>
                <w:sz w:val="3"/>
                <w:szCs w:val="3"/>
                <w:color w:val="auto"/>
              </w:rPr>
            </w:pPr>
          </w:p>
        </w:tc>
        <w:tc>
          <w:tcPr>
            <w:tcW w:w="20" w:type="dxa"/>
            <w:vAlign w:val="bottom"/>
            <w:shd w:val="clear" w:color="auto" w:fill="DCE2EF"/>
          </w:tcPr>
          <w:p>
            <w:pPr>
              <w:spacing w:after="0"/>
              <w:rPr>
                <w:sz w:val="3"/>
                <w:szCs w:val="3"/>
                <w:color w:val="auto"/>
              </w:rPr>
            </w:pPr>
          </w:p>
        </w:tc>
        <w:tc>
          <w:tcPr>
            <w:tcW w:w="20" w:type="dxa"/>
            <w:vAlign w:val="bottom"/>
            <w:shd w:val="clear" w:color="auto" w:fill="DCE2EF"/>
          </w:tcPr>
          <w:p>
            <w:pPr>
              <w:spacing w:after="0"/>
              <w:rPr>
                <w:sz w:val="3"/>
                <w:szCs w:val="3"/>
                <w:color w:val="auto"/>
              </w:rPr>
            </w:pPr>
          </w:p>
        </w:tc>
        <w:tc>
          <w:tcPr>
            <w:tcW w:w="20" w:type="dxa"/>
            <w:vAlign w:val="bottom"/>
            <w:shd w:val="clear" w:color="auto" w:fill="DCE2EF"/>
          </w:tcPr>
          <w:p>
            <w:pPr>
              <w:spacing w:after="0"/>
              <w:rPr>
                <w:sz w:val="3"/>
                <w:szCs w:val="3"/>
                <w:color w:val="auto"/>
              </w:rPr>
            </w:pPr>
          </w:p>
        </w:tc>
        <w:tc>
          <w:tcPr>
            <w:tcW w:w="20" w:type="dxa"/>
            <w:vAlign w:val="bottom"/>
            <w:shd w:val="clear" w:color="auto" w:fill="DCE2EF"/>
          </w:tcPr>
          <w:p>
            <w:pPr>
              <w:spacing w:after="0"/>
              <w:rPr>
                <w:sz w:val="3"/>
                <w:szCs w:val="3"/>
                <w:color w:val="auto"/>
              </w:rPr>
            </w:pPr>
          </w:p>
        </w:tc>
        <w:tc>
          <w:tcPr>
            <w:tcW w:w="20" w:type="dxa"/>
            <w:vAlign w:val="bottom"/>
            <w:shd w:val="clear" w:color="auto" w:fill="DCE2EF"/>
          </w:tcPr>
          <w:p>
            <w:pPr>
              <w:spacing w:after="0"/>
              <w:rPr>
                <w:sz w:val="3"/>
                <w:szCs w:val="3"/>
                <w:color w:val="auto"/>
              </w:rPr>
            </w:pPr>
          </w:p>
        </w:tc>
        <w:tc>
          <w:tcPr>
            <w:tcW w:w="860" w:type="dxa"/>
            <w:vAlign w:val="bottom"/>
            <w:shd w:val="clear" w:color="auto" w:fill="DCE2EF"/>
          </w:tcPr>
          <w:p>
            <w:pPr>
              <w:spacing w:after="0"/>
              <w:rPr>
                <w:sz w:val="3"/>
                <w:szCs w:val="3"/>
                <w:color w:val="auto"/>
              </w:rPr>
            </w:pPr>
          </w:p>
        </w:tc>
        <w:tc>
          <w:tcPr>
            <w:tcW w:w="1340" w:type="dxa"/>
            <w:vAlign w:val="bottom"/>
            <w:shd w:val="clear" w:color="auto" w:fill="DCE2EF"/>
          </w:tcPr>
          <w:p>
            <w:pPr>
              <w:spacing w:after="0"/>
              <w:rPr>
                <w:sz w:val="3"/>
                <w:szCs w:val="3"/>
                <w:color w:val="auto"/>
              </w:rPr>
            </w:pPr>
          </w:p>
        </w:tc>
        <w:tc>
          <w:tcPr>
            <w:tcW w:w="1040" w:type="dxa"/>
            <w:vAlign w:val="bottom"/>
            <w:shd w:val="clear" w:color="auto" w:fill="DCE2EF"/>
          </w:tcPr>
          <w:p>
            <w:pPr>
              <w:spacing w:after="0"/>
              <w:rPr>
                <w:sz w:val="3"/>
                <w:szCs w:val="3"/>
                <w:color w:val="auto"/>
              </w:rPr>
            </w:pPr>
          </w:p>
        </w:tc>
        <w:tc>
          <w:tcPr>
            <w:tcW w:w="2160" w:type="dxa"/>
            <w:vAlign w:val="bottom"/>
            <w:shd w:val="clear" w:color="auto" w:fill="DCE2EF"/>
          </w:tcPr>
          <w:p>
            <w:pPr>
              <w:spacing w:after="0"/>
              <w:rPr>
                <w:sz w:val="3"/>
                <w:szCs w:val="3"/>
                <w:color w:val="auto"/>
              </w:rPr>
            </w:pPr>
          </w:p>
        </w:tc>
      </w:tr>
      <w:tr>
        <w:trPr>
          <w:trHeight w:val="180"/>
        </w:trPr>
        <w:tc>
          <w:tcPr>
            <w:tcW w:w="1300" w:type="dxa"/>
            <w:vAlign w:val="bottom"/>
          </w:tcPr>
          <w:p>
            <w:pPr>
              <w:ind w:left="20"/>
              <w:spacing w:after="0" w:line="180" w:lineRule="exact"/>
              <w:rPr>
                <w:sz w:val="20"/>
                <w:szCs w:val="20"/>
                <w:color w:val="auto"/>
              </w:rPr>
            </w:pPr>
            <w:r>
              <w:rPr>
                <w:rFonts w:ascii="Arial" w:cs="Arial" w:eastAsia="Arial" w:hAnsi="Arial"/>
                <w:sz w:val="17"/>
                <w:szCs w:val="17"/>
                <w:color w:val="auto"/>
              </w:rPr>
              <w:t>10.38*</w:t>
            </w:r>
          </w:p>
        </w:tc>
        <w:tc>
          <w:tcPr>
            <w:tcW w:w="4540" w:type="dxa"/>
            <w:vAlign w:val="bottom"/>
            <w:gridSpan w:val="35"/>
          </w:tcPr>
          <w:p>
            <w:pPr>
              <w:spacing w:after="0" w:line="180" w:lineRule="exact"/>
              <w:rPr>
                <w:rFonts w:ascii="Arial" w:cs="Arial" w:eastAsia="Arial" w:hAnsi="Arial"/>
                <w:sz w:val="17"/>
                <w:szCs w:val="17"/>
                <w:color w:val="0000FF"/>
              </w:rPr>
            </w:pPr>
            <w:hyperlink r:id="rId210">
              <w:r>
                <w:rPr>
                  <w:rFonts w:ascii="Arial" w:cs="Arial" w:eastAsia="Arial" w:hAnsi="Arial"/>
                  <w:sz w:val="17"/>
                  <w:szCs w:val="17"/>
                  <w:color w:val="0000FF"/>
                </w:rPr>
                <w:t>Change in Control Agreement, dated as of March 1, 2018,</w:t>
              </w:r>
            </w:hyperlink>
          </w:p>
        </w:tc>
        <w:tc>
          <w:tcPr>
            <w:tcW w:w="860" w:type="dxa"/>
            <w:vAlign w:val="bottom"/>
          </w:tcPr>
          <w:p>
            <w:pPr>
              <w:ind w:left="260"/>
              <w:spacing w:after="0" w:line="180" w:lineRule="exact"/>
              <w:rPr>
                <w:sz w:val="20"/>
                <w:szCs w:val="20"/>
                <w:color w:val="auto"/>
              </w:rPr>
            </w:pPr>
            <w:r>
              <w:rPr>
                <w:rFonts w:ascii="Arial" w:cs="Arial" w:eastAsia="Arial" w:hAnsi="Arial"/>
                <w:sz w:val="17"/>
                <w:szCs w:val="17"/>
                <w:color w:val="auto"/>
              </w:rPr>
              <w:t>10-Q</w:t>
            </w:r>
          </w:p>
        </w:tc>
        <w:tc>
          <w:tcPr>
            <w:tcW w:w="1340" w:type="dxa"/>
            <w:vAlign w:val="bottom"/>
          </w:tcPr>
          <w:p>
            <w:pPr>
              <w:jc w:val="right"/>
              <w:ind w:right="194"/>
              <w:spacing w:after="0" w:line="180" w:lineRule="exact"/>
              <w:rPr>
                <w:sz w:val="20"/>
                <w:szCs w:val="20"/>
                <w:color w:val="auto"/>
              </w:rPr>
            </w:pPr>
            <w:r>
              <w:rPr>
                <w:rFonts w:ascii="Arial" w:cs="Arial" w:eastAsia="Arial" w:hAnsi="Arial"/>
                <w:sz w:val="17"/>
                <w:szCs w:val="17"/>
                <w:color w:val="auto"/>
              </w:rPr>
              <w:t>001-08929</w:t>
            </w:r>
          </w:p>
        </w:tc>
        <w:tc>
          <w:tcPr>
            <w:tcW w:w="1040" w:type="dxa"/>
            <w:vAlign w:val="bottom"/>
          </w:tcPr>
          <w:p>
            <w:pPr>
              <w:jc w:val="center"/>
              <w:spacing w:after="0" w:line="180" w:lineRule="exact"/>
              <w:rPr>
                <w:sz w:val="20"/>
                <w:szCs w:val="20"/>
                <w:color w:val="auto"/>
              </w:rPr>
            </w:pPr>
            <w:r>
              <w:rPr>
                <w:rFonts w:ascii="Arial" w:cs="Arial" w:eastAsia="Arial" w:hAnsi="Arial"/>
                <w:sz w:val="17"/>
                <w:szCs w:val="17"/>
                <w:color w:val="auto"/>
              </w:rPr>
              <w:t>10.2</w:t>
            </w:r>
          </w:p>
        </w:tc>
        <w:tc>
          <w:tcPr>
            <w:tcW w:w="2160" w:type="dxa"/>
            <w:vAlign w:val="bottom"/>
          </w:tcPr>
          <w:p>
            <w:pPr>
              <w:jc w:val="center"/>
              <w:spacing w:after="0" w:line="180" w:lineRule="exact"/>
              <w:rPr>
                <w:sz w:val="20"/>
                <w:szCs w:val="20"/>
                <w:color w:val="auto"/>
              </w:rPr>
            </w:pPr>
            <w:r>
              <w:rPr>
                <w:rFonts w:ascii="Arial" w:cs="Arial" w:eastAsia="Arial" w:hAnsi="Arial"/>
                <w:sz w:val="17"/>
                <w:szCs w:val="17"/>
                <w:color w:val="auto"/>
              </w:rPr>
              <w:t>March 7, 2019</w:t>
            </w:r>
          </w:p>
        </w:tc>
      </w:tr>
      <w:tr>
        <w:trPr>
          <w:trHeight w:val="148"/>
        </w:trPr>
        <w:tc>
          <w:tcPr>
            <w:tcW w:w="1300" w:type="dxa"/>
            <w:vAlign w:val="bottom"/>
          </w:tcPr>
          <w:p>
            <w:pPr>
              <w:spacing w:after="0"/>
              <w:rPr>
                <w:sz w:val="12"/>
                <w:szCs w:val="12"/>
                <w:color w:val="auto"/>
              </w:rPr>
            </w:pPr>
          </w:p>
        </w:tc>
        <w:tc>
          <w:tcPr>
            <w:tcW w:w="4400" w:type="dxa"/>
            <w:vAlign w:val="bottom"/>
            <w:tcBorders>
              <w:top w:val="single" w:sz="8" w:color="0000FF"/>
            </w:tcBorders>
            <w:gridSpan w:val="28"/>
          </w:tcPr>
          <w:p>
            <w:pPr>
              <w:spacing w:after="0" w:line="148" w:lineRule="exact"/>
              <w:rPr>
                <w:rFonts w:ascii="Arial" w:cs="Arial" w:eastAsia="Arial" w:hAnsi="Arial"/>
                <w:sz w:val="17"/>
                <w:szCs w:val="17"/>
                <w:color w:val="0000FF"/>
              </w:rPr>
            </w:pPr>
            <w:hyperlink r:id="rId210">
              <w:r>
                <w:rPr>
                  <w:rFonts w:ascii="Arial" w:cs="Arial" w:eastAsia="Arial" w:hAnsi="Arial"/>
                  <w:sz w:val="17"/>
                  <w:szCs w:val="17"/>
                  <w:color w:val="0000FF"/>
                </w:rPr>
                <w:t>by and between ABM Industries Incorporated and Andrea</w:t>
              </w:r>
            </w:hyperlink>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160" w:type="dxa"/>
            <w:vAlign w:val="bottom"/>
          </w:tcPr>
          <w:p>
            <w:pPr>
              <w:spacing w:after="0"/>
              <w:rPr>
                <w:sz w:val="12"/>
                <w:szCs w:val="12"/>
                <w:color w:val="auto"/>
              </w:rPr>
            </w:pPr>
          </w:p>
        </w:tc>
      </w:tr>
      <w:tr>
        <w:trPr>
          <w:trHeight w:val="160"/>
        </w:trPr>
        <w:tc>
          <w:tcPr>
            <w:tcW w:w="1300" w:type="dxa"/>
            <w:vAlign w:val="bottom"/>
          </w:tcPr>
          <w:p>
            <w:pPr>
              <w:spacing w:after="0"/>
              <w:rPr>
                <w:sz w:val="13"/>
                <w:szCs w:val="13"/>
                <w:color w:val="auto"/>
              </w:rPr>
            </w:pPr>
          </w:p>
        </w:tc>
        <w:tc>
          <w:tcPr>
            <w:tcW w:w="4380" w:type="dxa"/>
            <w:vAlign w:val="bottom"/>
            <w:tcBorders>
              <w:top w:val="single" w:sz="8" w:color="0000FF"/>
            </w:tcBorders>
            <w:gridSpan w:val="27"/>
          </w:tcPr>
          <w:p>
            <w:pPr>
              <w:spacing w:after="0" w:line="161" w:lineRule="exact"/>
              <w:rPr>
                <w:rFonts w:ascii="Arial" w:cs="Arial" w:eastAsia="Arial" w:hAnsi="Arial"/>
                <w:sz w:val="17"/>
                <w:szCs w:val="17"/>
                <w:color w:val="0000FF"/>
              </w:rPr>
            </w:pPr>
            <w:hyperlink r:id="rId210">
              <w:r>
                <w:rPr>
                  <w:rFonts w:ascii="Arial" w:cs="Arial" w:eastAsia="Arial" w:hAnsi="Arial"/>
                  <w:sz w:val="17"/>
                  <w:szCs w:val="17"/>
                  <w:color w:val="0000FF"/>
                </w:rPr>
                <w:t>Newborn</w:t>
              </w:r>
            </w:hyperlink>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160" w:type="dxa"/>
            <w:vAlign w:val="bottom"/>
          </w:tcPr>
          <w:p>
            <w:pPr>
              <w:spacing w:after="0"/>
              <w:rPr>
                <w:sz w:val="13"/>
                <w:szCs w:val="13"/>
                <w:color w:val="auto"/>
              </w:rPr>
            </w:pPr>
          </w:p>
        </w:tc>
      </w:tr>
      <w:tr>
        <w:trPr>
          <w:trHeight w:val="29"/>
        </w:trPr>
        <w:tc>
          <w:tcPr>
            <w:tcW w:w="1300" w:type="dxa"/>
            <w:vAlign w:val="bottom"/>
          </w:tcPr>
          <w:p>
            <w:pPr>
              <w:spacing w:after="0"/>
              <w:rPr>
                <w:sz w:val="2"/>
                <w:szCs w:val="2"/>
                <w:color w:val="auto"/>
              </w:rPr>
            </w:pPr>
          </w:p>
        </w:tc>
        <w:tc>
          <w:tcPr>
            <w:tcW w:w="680" w:type="dxa"/>
            <w:vAlign w:val="bottom"/>
            <w:shd w:val="clear" w:color="auto" w:fill="0000FF"/>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190"/>
        </w:trPr>
        <w:tc>
          <w:tcPr>
            <w:tcW w:w="1300" w:type="dxa"/>
            <w:vAlign w:val="bottom"/>
            <w:tcBorders>
              <w:bottom w:val="single" w:sz="8" w:color="DCE2EF"/>
            </w:tcBorders>
            <w:shd w:val="clear" w:color="auto" w:fill="DCE2EF"/>
          </w:tcPr>
          <w:p>
            <w:pPr>
              <w:ind w:left="20"/>
              <w:spacing w:after="0" w:line="190" w:lineRule="exact"/>
              <w:rPr>
                <w:sz w:val="20"/>
                <w:szCs w:val="20"/>
                <w:color w:val="auto"/>
              </w:rPr>
            </w:pPr>
            <w:r>
              <w:rPr>
                <w:rFonts w:ascii="Arial" w:cs="Arial" w:eastAsia="Arial" w:hAnsi="Arial"/>
                <w:sz w:val="17"/>
                <w:szCs w:val="17"/>
                <w:color w:val="auto"/>
              </w:rPr>
              <w:t>10.39*</w:t>
            </w:r>
          </w:p>
        </w:tc>
        <w:tc>
          <w:tcPr>
            <w:tcW w:w="4540" w:type="dxa"/>
            <w:vAlign w:val="bottom"/>
            <w:tcBorders>
              <w:bottom w:val="single" w:sz="8" w:color="0000FF"/>
            </w:tcBorders>
            <w:gridSpan w:val="35"/>
            <w:shd w:val="clear" w:color="auto" w:fill="DCE2EF"/>
          </w:tcPr>
          <w:p>
            <w:pPr>
              <w:spacing w:after="0" w:line="190" w:lineRule="exact"/>
              <w:rPr>
                <w:rFonts w:ascii="Arial" w:cs="Arial" w:eastAsia="Arial" w:hAnsi="Arial"/>
                <w:sz w:val="17"/>
                <w:szCs w:val="17"/>
                <w:color w:val="0000FF"/>
              </w:rPr>
            </w:pPr>
            <w:hyperlink r:id="rId211">
              <w:r>
                <w:rPr>
                  <w:rFonts w:ascii="Arial" w:cs="Arial" w:eastAsia="Arial" w:hAnsi="Arial"/>
                  <w:sz w:val="17"/>
                  <w:szCs w:val="17"/>
                  <w:color w:val="0000FF"/>
                </w:rPr>
                <w:t>Executive Employment Agreement, dated as of October 28,</w:t>
              </w:r>
            </w:hyperlink>
          </w:p>
        </w:tc>
        <w:tc>
          <w:tcPr>
            <w:tcW w:w="860" w:type="dxa"/>
            <w:vAlign w:val="bottom"/>
            <w:tcBorders>
              <w:bottom w:val="single" w:sz="8" w:color="DCE2EF"/>
            </w:tcBorders>
            <w:shd w:val="clear" w:color="auto" w:fill="DCE2EF"/>
          </w:tcPr>
          <w:p>
            <w:pPr>
              <w:ind w:left="260"/>
              <w:spacing w:after="0" w:line="190" w:lineRule="exact"/>
              <w:rPr>
                <w:sz w:val="20"/>
                <w:szCs w:val="20"/>
                <w:color w:val="auto"/>
              </w:rPr>
            </w:pPr>
            <w:r>
              <w:rPr>
                <w:rFonts w:ascii="Arial" w:cs="Arial" w:eastAsia="Arial" w:hAnsi="Arial"/>
                <w:sz w:val="17"/>
                <w:szCs w:val="17"/>
                <w:color w:val="auto"/>
              </w:rPr>
              <w:t>10-K</w:t>
            </w:r>
          </w:p>
        </w:tc>
        <w:tc>
          <w:tcPr>
            <w:tcW w:w="1340" w:type="dxa"/>
            <w:vAlign w:val="bottom"/>
            <w:tcBorders>
              <w:bottom w:val="single" w:sz="8" w:color="DCE2EF"/>
            </w:tcBorders>
            <w:shd w:val="clear" w:color="auto" w:fill="DCE2EF"/>
          </w:tcPr>
          <w:p>
            <w:pPr>
              <w:jc w:val="right"/>
              <w:ind w:right="194"/>
              <w:spacing w:after="0" w:line="190" w:lineRule="exact"/>
              <w:rPr>
                <w:sz w:val="20"/>
                <w:szCs w:val="20"/>
                <w:color w:val="auto"/>
              </w:rPr>
            </w:pPr>
            <w:r>
              <w:rPr>
                <w:rFonts w:ascii="Arial" w:cs="Arial" w:eastAsia="Arial" w:hAnsi="Arial"/>
                <w:sz w:val="17"/>
                <w:szCs w:val="17"/>
                <w:color w:val="auto"/>
              </w:rPr>
              <w:t>001-08929</w:t>
            </w:r>
          </w:p>
        </w:tc>
        <w:tc>
          <w:tcPr>
            <w:tcW w:w="1040" w:type="dxa"/>
            <w:vAlign w:val="bottom"/>
            <w:tcBorders>
              <w:bottom w:val="single" w:sz="8" w:color="DCE2EF"/>
            </w:tcBorders>
            <w:shd w:val="clear" w:color="auto" w:fill="DCE2EF"/>
          </w:tcPr>
          <w:p>
            <w:pPr>
              <w:jc w:val="center"/>
              <w:spacing w:after="0" w:line="190" w:lineRule="exact"/>
              <w:rPr>
                <w:sz w:val="20"/>
                <w:szCs w:val="20"/>
                <w:color w:val="auto"/>
              </w:rPr>
            </w:pPr>
            <w:r>
              <w:rPr>
                <w:rFonts w:ascii="Arial" w:cs="Arial" w:eastAsia="Arial" w:hAnsi="Arial"/>
                <w:sz w:val="17"/>
                <w:szCs w:val="17"/>
                <w:color w:val="auto"/>
              </w:rPr>
              <w:t>10.35</w:t>
            </w:r>
          </w:p>
        </w:tc>
        <w:tc>
          <w:tcPr>
            <w:tcW w:w="2160" w:type="dxa"/>
            <w:vAlign w:val="bottom"/>
            <w:tcBorders>
              <w:bottom w:val="single" w:sz="8" w:color="DCE2EF"/>
            </w:tcBorders>
            <w:shd w:val="clear" w:color="auto" w:fill="DCE2EF"/>
          </w:tcPr>
          <w:p>
            <w:pPr>
              <w:jc w:val="center"/>
              <w:spacing w:after="0" w:line="190" w:lineRule="exact"/>
              <w:rPr>
                <w:sz w:val="20"/>
                <w:szCs w:val="20"/>
                <w:color w:val="auto"/>
              </w:rPr>
            </w:pPr>
            <w:r>
              <w:rPr>
                <w:rFonts w:ascii="Arial" w:cs="Arial" w:eastAsia="Arial" w:hAnsi="Arial"/>
                <w:sz w:val="17"/>
                <w:szCs w:val="17"/>
                <w:color w:val="auto"/>
              </w:rPr>
              <w:t>December 20, 2019</w:t>
            </w:r>
          </w:p>
        </w:tc>
      </w:tr>
      <w:tr>
        <w:trPr>
          <w:trHeight w:val="148"/>
        </w:trPr>
        <w:tc>
          <w:tcPr>
            <w:tcW w:w="1300" w:type="dxa"/>
            <w:vAlign w:val="bottom"/>
            <w:shd w:val="clear" w:color="auto" w:fill="DCE2EF"/>
          </w:tcPr>
          <w:p>
            <w:pPr>
              <w:spacing w:after="0"/>
              <w:rPr>
                <w:sz w:val="12"/>
                <w:szCs w:val="12"/>
                <w:color w:val="auto"/>
              </w:rPr>
            </w:pPr>
          </w:p>
        </w:tc>
        <w:tc>
          <w:tcPr>
            <w:tcW w:w="4540" w:type="dxa"/>
            <w:vAlign w:val="bottom"/>
            <w:gridSpan w:val="35"/>
            <w:shd w:val="clear" w:color="auto" w:fill="DCE2EF"/>
          </w:tcPr>
          <w:p>
            <w:pPr>
              <w:spacing w:after="0" w:line="148" w:lineRule="exact"/>
              <w:rPr>
                <w:rFonts w:ascii="Arial" w:cs="Arial" w:eastAsia="Arial" w:hAnsi="Arial"/>
                <w:sz w:val="17"/>
                <w:szCs w:val="17"/>
                <w:color w:val="0000FF"/>
              </w:rPr>
            </w:pPr>
            <w:hyperlink r:id="rId211">
              <w:r>
                <w:rPr>
                  <w:rFonts w:ascii="Arial" w:cs="Arial" w:eastAsia="Arial" w:hAnsi="Arial"/>
                  <w:sz w:val="17"/>
                  <w:szCs w:val="17"/>
                  <w:color w:val="0000FF"/>
                </w:rPr>
                <w:t>2019, by and between ABM Industries Incorporated and</w:t>
              </w:r>
            </w:hyperlink>
          </w:p>
        </w:tc>
        <w:tc>
          <w:tcPr>
            <w:tcW w:w="860" w:type="dxa"/>
            <w:vAlign w:val="bottom"/>
            <w:shd w:val="clear" w:color="auto" w:fill="DCE2EF"/>
          </w:tcPr>
          <w:p>
            <w:pPr>
              <w:spacing w:after="0"/>
              <w:rPr>
                <w:sz w:val="12"/>
                <w:szCs w:val="12"/>
                <w:color w:val="auto"/>
              </w:rPr>
            </w:pPr>
          </w:p>
        </w:tc>
        <w:tc>
          <w:tcPr>
            <w:tcW w:w="1340" w:type="dxa"/>
            <w:vAlign w:val="bottom"/>
            <w:shd w:val="clear" w:color="auto" w:fill="DCE2EF"/>
          </w:tcPr>
          <w:p>
            <w:pPr>
              <w:spacing w:after="0"/>
              <w:rPr>
                <w:sz w:val="12"/>
                <w:szCs w:val="12"/>
                <w:color w:val="auto"/>
              </w:rPr>
            </w:pPr>
          </w:p>
        </w:tc>
        <w:tc>
          <w:tcPr>
            <w:tcW w:w="1040" w:type="dxa"/>
            <w:vAlign w:val="bottom"/>
            <w:shd w:val="clear" w:color="auto" w:fill="DCE2EF"/>
          </w:tcPr>
          <w:p>
            <w:pPr>
              <w:spacing w:after="0"/>
              <w:rPr>
                <w:sz w:val="12"/>
                <w:szCs w:val="12"/>
                <w:color w:val="auto"/>
              </w:rPr>
            </w:pPr>
          </w:p>
        </w:tc>
        <w:tc>
          <w:tcPr>
            <w:tcW w:w="2160" w:type="dxa"/>
            <w:vAlign w:val="bottom"/>
            <w:shd w:val="clear" w:color="auto" w:fill="DCE2EF"/>
          </w:tcPr>
          <w:p>
            <w:pPr>
              <w:spacing w:after="0"/>
              <w:rPr>
                <w:sz w:val="12"/>
                <w:szCs w:val="12"/>
                <w:color w:val="auto"/>
              </w:rPr>
            </w:pPr>
          </w:p>
        </w:tc>
      </w:tr>
      <w:tr>
        <w:trPr>
          <w:trHeight w:val="179"/>
        </w:trPr>
        <w:tc>
          <w:tcPr>
            <w:tcW w:w="1300" w:type="dxa"/>
            <w:vAlign w:val="bottom"/>
            <w:tcBorders>
              <w:top w:val="single" w:sz="8" w:color="DCE2EF"/>
              <w:bottom w:val="single" w:sz="8" w:color="DCE2EF"/>
            </w:tcBorders>
            <w:shd w:val="clear" w:color="auto" w:fill="DCE2EF"/>
          </w:tcPr>
          <w:p>
            <w:pPr>
              <w:spacing w:after="0"/>
              <w:rPr>
                <w:sz w:val="15"/>
                <w:szCs w:val="15"/>
                <w:color w:val="auto"/>
              </w:rPr>
            </w:pPr>
          </w:p>
        </w:tc>
        <w:tc>
          <w:tcPr>
            <w:tcW w:w="1500" w:type="dxa"/>
            <w:vAlign w:val="bottom"/>
            <w:tcBorders>
              <w:top w:val="single" w:sz="8" w:color="0000FF"/>
              <w:bottom w:val="single" w:sz="8" w:color="0000FF"/>
            </w:tcBorders>
            <w:gridSpan w:val="6"/>
            <w:shd w:val="clear" w:color="auto" w:fill="DCE2EF"/>
          </w:tcPr>
          <w:p>
            <w:pPr>
              <w:spacing w:after="0" w:line="161" w:lineRule="exact"/>
              <w:rPr>
                <w:rFonts w:ascii="Arial" w:cs="Arial" w:eastAsia="Arial" w:hAnsi="Arial"/>
                <w:sz w:val="17"/>
                <w:szCs w:val="17"/>
                <w:color w:val="0000FF"/>
                <w:w w:val="99"/>
              </w:rPr>
            </w:pPr>
            <w:hyperlink r:id="rId211">
              <w:r>
                <w:rPr>
                  <w:rFonts w:ascii="Arial" w:cs="Arial" w:eastAsia="Arial" w:hAnsi="Arial"/>
                  <w:sz w:val="17"/>
                  <w:szCs w:val="17"/>
                  <w:color w:val="0000FF"/>
                  <w:w w:val="99"/>
                </w:rPr>
                <w:t>Joshua H. Feinberg</w:t>
              </w:r>
            </w:hyperlink>
          </w:p>
        </w:tc>
        <w:tc>
          <w:tcPr>
            <w:tcW w:w="2740" w:type="dxa"/>
            <w:vAlign w:val="bottom"/>
            <w:tcBorders>
              <w:top w:val="single" w:sz="8" w:color="0000FF"/>
              <w:bottom w:val="single" w:sz="8" w:color="DCE2EF"/>
            </w:tcBorders>
            <w:gridSpan w:val="16"/>
            <w:shd w:val="clear" w:color="auto" w:fill="DCE2EF"/>
          </w:tcPr>
          <w:p>
            <w:pPr>
              <w:spacing w:after="0"/>
              <w:rPr>
                <w:sz w:val="15"/>
                <w:szCs w:val="15"/>
                <w:color w:val="auto"/>
              </w:rPr>
            </w:pPr>
          </w:p>
        </w:tc>
        <w:tc>
          <w:tcPr>
            <w:tcW w:w="80" w:type="dxa"/>
            <w:vAlign w:val="bottom"/>
            <w:tcBorders>
              <w:top w:val="single" w:sz="8" w:color="DCE2EF"/>
              <w:bottom w:val="single" w:sz="8" w:color="DCE2EF"/>
            </w:tcBorders>
            <w:gridSpan w:val="3"/>
            <w:shd w:val="clear" w:color="auto" w:fill="DCE2EF"/>
          </w:tcPr>
          <w:p>
            <w:pPr>
              <w:spacing w:after="0"/>
              <w:rPr>
                <w:sz w:val="15"/>
                <w:szCs w:val="15"/>
                <w:color w:val="auto"/>
              </w:rPr>
            </w:pPr>
          </w:p>
        </w:tc>
        <w:tc>
          <w:tcPr>
            <w:tcW w:w="20" w:type="dxa"/>
            <w:vAlign w:val="bottom"/>
            <w:tcBorders>
              <w:top w:val="single" w:sz="8" w:color="DCE2EF"/>
              <w:bottom w:val="single" w:sz="8" w:color="DCE2EF"/>
            </w:tcBorders>
            <w:shd w:val="clear" w:color="auto" w:fill="DCE2EF"/>
          </w:tcPr>
          <w:p>
            <w:pPr>
              <w:spacing w:after="0"/>
              <w:rPr>
                <w:sz w:val="15"/>
                <w:szCs w:val="15"/>
                <w:color w:val="auto"/>
              </w:rPr>
            </w:pPr>
          </w:p>
        </w:tc>
        <w:tc>
          <w:tcPr>
            <w:tcW w:w="80" w:type="dxa"/>
            <w:vAlign w:val="bottom"/>
            <w:tcBorders>
              <w:top w:val="single" w:sz="8" w:color="DCE2EF"/>
              <w:bottom w:val="single" w:sz="8" w:color="DCE2EF"/>
            </w:tcBorders>
            <w:gridSpan w:val="3"/>
            <w:shd w:val="clear" w:color="auto" w:fill="DCE2EF"/>
          </w:tcPr>
          <w:p>
            <w:pPr>
              <w:spacing w:after="0"/>
              <w:rPr>
                <w:sz w:val="15"/>
                <w:szCs w:val="15"/>
                <w:color w:val="auto"/>
              </w:rPr>
            </w:pPr>
          </w:p>
        </w:tc>
        <w:tc>
          <w:tcPr>
            <w:tcW w:w="40" w:type="dxa"/>
            <w:vAlign w:val="bottom"/>
            <w:tcBorders>
              <w:top w:val="single" w:sz="8" w:color="DCE2EF"/>
              <w:bottom w:val="single" w:sz="8" w:color="DCE2EF"/>
            </w:tcBorders>
            <w:gridSpan w:val="2"/>
            <w:shd w:val="clear" w:color="auto" w:fill="DCE2EF"/>
          </w:tcPr>
          <w:p>
            <w:pPr>
              <w:spacing w:after="0"/>
              <w:rPr>
                <w:sz w:val="15"/>
                <w:szCs w:val="15"/>
                <w:color w:val="auto"/>
              </w:rPr>
            </w:pPr>
          </w:p>
        </w:tc>
        <w:tc>
          <w:tcPr>
            <w:tcW w:w="40" w:type="dxa"/>
            <w:vAlign w:val="bottom"/>
            <w:tcBorders>
              <w:top w:val="single" w:sz="8" w:color="DCE2EF"/>
              <w:bottom w:val="single" w:sz="8" w:color="DCE2EF"/>
            </w:tcBorders>
            <w:gridSpan w:val="2"/>
            <w:shd w:val="clear" w:color="auto" w:fill="DCE2EF"/>
          </w:tcPr>
          <w:p>
            <w:pPr>
              <w:spacing w:after="0"/>
              <w:rPr>
                <w:sz w:val="15"/>
                <w:szCs w:val="15"/>
                <w:color w:val="auto"/>
              </w:rPr>
            </w:pPr>
          </w:p>
        </w:tc>
        <w:tc>
          <w:tcPr>
            <w:tcW w:w="20" w:type="dxa"/>
            <w:vAlign w:val="bottom"/>
            <w:tcBorders>
              <w:top w:val="single" w:sz="8" w:color="DCE2EF"/>
              <w:bottom w:val="single" w:sz="8" w:color="DCE2EF"/>
            </w:tcBorders>
            <w:shd w:val="clear" w:color="auto" w:fill="DCE2EF"/>
          </w:tcPr>
          <w:p>
            <w:pPr>
              <w:spacing w:after="0"/>
              <w:rPr>
                <w:sz w:val="15"/>
                <w:szCs w:val="15"/>
                <w:color w:val="auto"/>
              </w:rPr>
            </w:pPr>
          </w:p>
        </w:tc>
        <w:tc>
          <w:tcPr>
            <w:tcW w:w="20" w:type="dxa"/>
            <w:vAlign w:val="bottom"/>
            <w:tcBorders>
              <w:top w:val="single" w:sz="8" w:color="DCE2EF"/>
              <w:bottom w:val="single" w:sz="8" w:color="DCE2EF"/>
            </w:tcBorders>
            <w:shd w:val="clear" w:color="auto" w:fill="DCE2EF"/>
          </w:tcPr>
          <w:p>
            <w:pPr>
              <w:spacing w:after="0"/>
              <w:rPr>
                <w:sz w:val="15"/>
                <w:szCs w:val="15"/>
                <w:color w:val="auto"/>
              </w:rPr>
            </w:pPr>
          </w:p>
        </w:tc>
        <w:tc>
          <w:tcPr>
            <w:tcW w:w="860" w:type="dxa"/>
            <w:vAlign w:val="bottom"/>
            <w:tcBorders>
              <w:top w:val="single" w:sz="8" w:color="DCE2EF"/>
              <w:bottom w:val="single" w:sz="8" w:color="DCE2EF"/>
            </w:tcBorders>
            <w:shd w:val="clear" w:color="auto" w:fill="DCE2EF"/>
          </w:tcPr>
          <w:p>
            <w:pPr>
              <w:spacing w:after="0"/>
              <w:rPr>
                <w:sz w:val="15"/>
                <w:szCs w:val="15"/>
                <w:color w:val="auto"/>
              </w:rPr>
            </w:pPr>
          </w:p>
        </w:tc>
        <w:tc>
          <w:tcPr>
            <w:tcW w:w="1340" w:type="dxa"/>
            <w:vAlign w:val="bottom"/>
            <w:tcBorders>
              <w:top w:val="single" w:sz="8" w:color="DCE2EF"/>
              <w:bottom w:val="single" w:sz="8" w:color="DCE2EF"/>
            </w:tcBorders>
            <w:shd w:val="clear" w:color="auto" w:fill="DCE2EF"/>
          </w:tcPr>
          <w:p>
            <w:pPr>
              <w:spacing w:after="0"/>
              <w:rPr>
                <w:sz w:val="15"/>
                <w:szCs w:val="15"/>
                <w:color w:val="auto"/>
              </w:rPr>
            </w:pPr>
          </w:p>
        </w:tc>
        <w:tc>
          <w:tcPr>
            <w:tcW w:w="1040" w:type="dxa"/>
            <w:vAlign w:val="bottom"/>
            <w:tcBorders>
              <w:top w:val="single" w:sz="8" w:color="DCE2EF"/>
              <w:bottom w:val="single" w:sz="8" w:color="DCE2EF"/>
            </w:tcBorders>
            <w:shd w:val="clear" w:color="auto" w:fill="DCE2EF"/>
          </w:tcPr>
          <w:p>
            <w:pPr>
              <w:spacing w:after="0"/>
              <w:rPr>
                <w:sz w:val="15"/>
                <w:szCs w:val="15"/>
                <w:color w:val="auto"/>
              </w:rPr>
            </w:pPr>
          </w:p>
        </w:tc>
        <w:tc>
          <w:tcPr>
            <w:tcW w:w="2160" w:type="dxa"/>
            <w:vAlign w:val="bottom"/>
            <w:tcBorders>
              <w:top w:val="single" w:sz="8" w:color="DCE2EF"/>
              <w:bottom w:val="single" w:sz="8" w:color="DCE2EF"/>
            </w:tcBorders>
            <w:shd w:val="clear" w:color="auto" w:fill="DCE2EF"/>
          </w:tcPr>
          <w:p>
            <w:pPr>
              <w:spacing w:after="0"/>
              <w:rPr>
                <w:sz w:val="15"/>
                <w:szCs w:val="15"/>
                <w:color w:val="auto"/>
              </w:rPr>
            </w:pPr>
          </w:p>
        </w:tc>
      </w:tr>
      <w:tr>
        <w:trPr>
          <w:trHeight w:val="180"/>
        </w:trPr>
        <w:tc>
          <w:tcPr>
            <w:tcW w:w="1300" w:type="dxa"/>
            <w:vAlign w:val="bottom"/>
          </w:tcPr>
          <w:p>
            <w:pPr>
              <w:ind w:left="20"/>
              <w:spacing w:after="0" w:line="180" w:lineRule="exact"/>
              <w:rPr>
                <w:sz w:val="20"/>
                <w:szCs w:val="20"/>
                <w:color w:val="auto"/>
              </w:rPr>
            </w:pPr>
            <w:r>
              <w:rPr>
                <w:rFonts w:ascii="Arial" w:cs="Arial" w:eastAsia="Arial" w:hAnsi="Arial"/>
                <w:sz w:val="17"/>
                <w:szCs w:val="17"/>
                <w:color w:val="auto"/>
              </w:rPr>
              <w:t>10.40*</w:t>
            </w:r>
          </w:p>
        </w:tc>
        <w:tc>
          <w:tcPr>
            <w:tcW w:w="4540" w:type="dxa"/>
            <w:vAlign w:val="bottom"/>
            <w:gridSpan w:val="35"/>
          </w:tcPr>
          <w:p>
            <w:pPr>
              <w:spacing w:after="0" w:line="180" w:lineRule="exact"/>
              <w:rPr>
                <w:rFonts w:ascii="Arial" w:cs="Arial" w:eastAsia="Arial" w:hAnsi="Arial"/>
                <w:sz w:val="17"/>
                <w:szCs w:val="17"/>
                <w:color w:val="0000FF"/>
              </w:rPr>
            </w:pPr>
            <w:hyperlink r:id="rId212">
              <w:r>
                <w:rPr>
                  <w:rFonts w:ascii="Arial" w:cs="Arial" w:eastAsia="Arial" w:hAnsi="Arial"/>
                  <w:sz w:val="17"/>
                  <w:szCs w:val="17"/>
                  <w:color w:val="0000FF"/>
                </w:rPr>
                <w:t>Change in Control Agreement, dated as of February 8,</w:t>
              </w:r>
            </w:hyperlink>
          </w:p>
        </w:tc>
        <w:tc>
          <w:tcPr>
            <w:tcW w:w="860" w:type="dxa"/>
            <w:vAlign w:val="bottom"/>
          </w:tcPr>
          <w:p>
            <w:pPr>
              <w:ind w:left="260"/>
              <w:spacing w:after="0" w:line="180" w:lineRule="exact"/>
              <w:rPr>
                <w:sz w:val="20"/>
                <w:szCs w:val="20"/>
                <w:color w:val="auto"/>
              </w:rPr>
            </w:pPr>
            <w:r>
              <w:rPr>
                <w:rFonts w:ascii="Arial" w:cs="Arial" w:eastAsia="Arial" w:hAnsi="Arial"/>
                <w:sz w:val="17"/>
                <w:szCs w:val="17"/>
                <w:color w:val="auto"/>
              </w:rPr>
              <w:t>10-Q</w:t>
            </w:r>
          </w:p>
        </w:tc>
        <w:tc>
          <w:tcPr>
            <w:tcW w:w="1340" w:type="dxa"/>
            <w:vAlign w:val="bottom"/>
          </w:tcPr>
          <w:p>
            <w:pPr>
              <w:jc w:val="right"/>
              <w:ind w:right="194"/>
              <w:spacing w:after="0" w:line="180" w:lineRule="exact"/>
              <w:rPr>
                <w:sz w:val="20"/>
                <w:szCs w:val="20"/>
                <w:color w:val="auto"/>
              </w:rPr>
            </w:pPr>
            <w:r>
              <w:rPr>
                <w:rFonts w:ascii="Arial" w:cs="Arial" w:eastAsia="Arial" w:hAnsi="Arial"/>
                <w:sz w:val="17"/>
                <w:szCs w:val="17"/>
                <w:color w:val="auto"/>
              </w:rPr>
              <w:t>001-08929</w:t>
            </w:r>
          </w:p>
        </w:tc>
        <w:tc>
          <w:tcPr>
            <w:tcW w:w="1040" w:type="dxa"/>
            <w:vAlign w:val="bottom"/>
          </w:tcPr>
          <w:p>
            <w:pPr>
              <w:jc w:val="center"/>
              <w:spacing w:after="0" w:line="180" w:lineRule="exact"/>
              <w:rPr>
                <w:sz w:val="20"/>
                <w:szCs w:val="20"/>
                <w:color w:val="auto"/>
              </w:rPr>
            </w:pPr>
            <w:r>
              <w:rPr>
                <w:rFonts w:ascii="Arial" w:cs="Arial" w:eastAsia="Arial" w:hAnsi="Arial"/>
                <w:sz w:val="17"/>
                <w:szCs w:val="17"/>
                <w:color w:val="auto"/>
              </w:rPr>
              <w:t>10.4</w:t>
            </w:r>
          </w:p>
        </w:tc>
        <w:tc>
          <w:tcPr>
            <w:tcW w:w="2160" w:type="dxa"/>
            <w:vAlign w:val="bottom"/>
          </w:tcPr>
          <w:p>
            <w:pPr>
              <w:jc w:val="center"/>
              <w:spacing w:after="0" w:line="180" w:lineRule="exact"/>
              <w:rPr>
                <w:sz w:val="20"/>
                <w:szCs w:val="20"/>
                <w:color w:val="auto"/>
              </w:rPr>
            </w:pPr>
            <w:r>
              <w:rPr>
                <w:rFonts w:ascii="Arial" w:cs="Arial" w:eastAsia="Arial" w:hAnsi="Arial"/>
                <w:sz w:val="17"/>
                <w:szCs w:val="17"/>
                <w:color w:val="auto"/>
              </w:rPr>
              <w:t>June 9, 2021</w:t>
            </w:r>
          </w:p>
        </w:tc>
      </w:tr>
      <w:tr>
        <w:trPr>
          <w:trHeight w:val="20"/>
        </w:trPr>
        <w:tc>
          <w:tcPr>
            <w:tcW w:w="1300" w:type="dxa"/>
            <w:vAlign w:val="bottom"/>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40" w:type="dxa"/>
            <w:vAlign w:val="bottom"/>
            <w:gridSpan w:val="4"/>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000" w:type="dxa"/>
            <w:vAlign w:val="bottom"/>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gridSpan w:val="4"/>
            <w:shd w:val="clear" w:color="auto" w:fill="0000FF"/>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148"/>
        </w:trPr>
        <w:tc>
          <w:tcPr>
            <w:tcW w:w="1300" w:type="dxa"/>
            <w:vAlign w:val="bottom"/>
          </w:tcPr>
          <w:p>
            <w:pPr>
              <w:spacing w:after="0"/>
              <w:rPr>
                <w:sz w:val="12"/>
                <w:szCs w:val="12"/>
                <w:color w:val="auto"/>
              </w:rPr>
            </w:pPr>
          </w:p>
        </w:tc>
        <w:tc>
          <w:tcPr>
            <w:tcW w:w="4540" w:type="dxa"/>
            <w:vAlign w:val="bottom"/>
            <w:gridSpan w:val="35"/>
          </w:tcPr>
          <w:p>
            <w:pPr>
              <w:spacing w:after="0" w:line="148" w:lineRule="exact"/>
              <w:rPr>
                <w:rFonts w:ascii="Arial" w:cs="Arial" w:eastAsia="Arial" w:hAnsi="Arial"/>
                <w:sz w:val="17"/>
                <w:szCs w:val="17"/>
                <w:color w:val="0000FF"/>
              </w:rPr>
            </w:pPr>
            <w:hyperlink r:id="rId212">
              <w:r>
                <w:rPr>
                  <w:rFonts w:ascii="Arial" w:cs="Arial" w:eastAsia="Arial" w:hAnsi="Arial"/>
                  <w:sz w:val="17"/>
                  <w:szCs w:val="17"/>
                  <w:color w:val="0000FF"/>
                </w:rPr>
                <w:t>2020, by and between ABM Industries Incorporated and</w:t>
              </w:r>
            </w:hyperlink>
          </w:p>
        </w:tc>
        <w:tc>
          <w:tcPr>
            <w:tcW w:w="8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160" w:type="dxa"/>
            <w:vAlign w:val="bottom"/>
          </w:tcPr>
          <w:p>
            <w:pPr>
              <w:spacing w:after="0"/>
              <w:rPr>
                <w:sz w:val="12"/>
                <w:szCs w:val="12"/>
                <w:color w:val="auto"/>
              </w:rPr>
            </w:pPr>
          </w:p>
        </w:tc>
      </w:tr>
      <w:tr>
        <w:trPr>
          <w:trHeight w:val="170"/>
        </w:trPr>
        <w:tc>
          <w:tcPr>
            <w:tcW w:w="1300" w:type="dxa"/>
            <w:vAlign w:val="bottom"/>
          </w:tcPr>
          <w:p>
            <w:pPr>
              <w:spacing w:after="0"/>
              <w:rPr>
                <w:sz w:val="14"/>
                <w:szCs w:val="14"/>
                <w:color w:val="auto"/>
              </w:rPr>
            </w:pPr>
          </w:p>
        </w:tc>
        <w:tc>
          <w:tcPr>
            <w:tcW w:w="1500" w:type="dxa"/>
            <w:vAlign w:val="bottom"/>
            <w:tcBorders>
              <w:top w:val="single" w:sz="8" w:color="0000FF"/>
              <w:bottom w:val="single" w:sz="8" w:color="0000FF"/>
            </w:tcBorders>
            <w:gridSpan w:val="6"/>
          </w:tcPr>
          <w:p>
            <w:pPr>
              <w:spacing w:after="0" w:line="161" w:lineRule="exact"/>
              <w:rPr>
                <w:rFonts w:ascii="Arial" w:cs="Arial" w:eastAsia="Arial" w:hAnsi="Arial"/>
                <w:sz w:val="17"/>
                <w:szCs w:val="17"/>
                <w:color w:val="0000FF"/>
                <w:w w:val="99"/>
              </w:rPr>
            </w:pPr>
            <w:hyperlink r:id="rId212">
              <w:r>
                <w:rPr>
                  <w:rFonts w:ascii="Arial" w:cs="Arial" w:eastAsia="Arial" w:hAnsi="Arial"/>
                  <w:sz w:val="17"/>
                  <w:szCs w:val="17"/>
                  <w:color w:val="0000FF"/>
                  <w:w w:val="99"/>
                </w:rPr>
                <w:t>Joshua H. Feinberg</w:t>
              </w:r>
            </w:hyperlink>
          </w:p>
        </w:tc>
        <w:tc>
          <w:tcPr>
            <w:tcW w:w="2740" w:type="dxa"/>
            <w:vAlign w:val="bottom"/>
            <w:tcBorders>
              <w:top w:val="single" w:sz="8" w:color="0000FF"/>
            </w:tcBorders>
            <w:gridSpan w:val="16"/>
          </w:tcPr>
          <w:p>
            <w:pPr>
              <w:spacing w:after="0"/>
              <w:rPr>
                <w:sz w:val="14"/>
                <w:szCs w:val="14"/>
                <w:color w:val="auto"/>
              </w:rPr>
            </w:pPr>
          </w:p>
        </w:tc>
        <w:tc>
          <w:tcPr>
            <w:tcW w:w="8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160" w:type="dxa"/>
            <w:vAlign w:val="bottom"/>
          </w:tcPr>
          <w:p>
            <w:pPr>
              <w:spacing w:after="0"/>
              <w:rPr>
                <w:sz w:val="14"/>
                <w:szCs w:val="14"/>
                <w:color w:val="auto"/>
              </w:rPr>
            </w:pPr>
          </w:p>
        </w:tc>
      </w:tr>
      <w:tr>
        <w:trPr>
          <w:trHeight w:val="190"/>
        </w:trPr>
        <w:tc>
          <w:tcPr>
            <w:tcW w:w="1300" w:type="dxa"/>
            <w:vAlign w:val="bottom"/>
            <w:shd w:val="clear" w:color="auto" w:fill="DCE2EF"/>
          </w:tcPr>
          <w:p>
            <w:pPr>
              <w:ind w:left="20"/>
              <w:spacing w:after="0" w:line="190" w:lineRule="exact"/>
              <w:rPr>
                <w:sz w:val="20"/>
                <w:szCs w:val="20"/>
                <w:color w:val="auto"/>
              </w:rPr>
            </w:pPr>
            <w:r>
              <w:rPr>
                <w:rFonts w:ascii="Arial" w:cs="Arial" w:eastAsia="Arial" w:hAnsi="Arial"/>
                <w:sz w:val="17"/>
                <w:szCs w:val="17"/>
                <w:color w:val="auto"/>
              </w:rPr>
              <w:t>10.41*</w:t>
            </w:r>
          </w:p>
        </w:tc>
        <w:tc>
          <w:tcPr>
            <w:tcW w:w="4540" w:type="dxa"/>
            <w:vAlign w:val="bottom"/>
            <w:gridSpan w:val="35"/>
            <w:shd w:val="clear" w:color="auto" w:fill="DCE2EF"/>
          </w:tcPr>
          <w:p>
            <w:pPr>
              <w:spacing w:after="0" w:line="190" w:lineRule="exact"/>
              <w:rPr>
                <w:rFonts w:ascii="Arial" w:cs="Arial" w:eastAsia="Arial" w:hAnsi="Arial"/>
                <w:sz w:val="17"/>
                <w:szCs w:val="17"/>
                <w:color w:val="0000FF"/>
              </w:rPr>
            </w:pPr>
            <w:hyperlink r:id="rId213">
              <w:r>
                <w:rPr>
                  <w:rFonts w:ascii="Arial" w:cs="Arial" w:eastAsia="Arial" w:hAnsi="Arial"/>
                  <w:sz w:val="17"/>
                  <w:szCs w:val="17"/>
                  <w:color w:val="0000FF"/>
                </w:rPr>
                <w:t>Executive Separation and Release Agreement, dated as of</w:t>
              </w:r>
            </w:hyperlink>
          </w:p>
        </w:tc>
        <w:tc>
          <w:tcPr>
            <w:tcW w:w="860" w:type="dxa"/>
            <w:vAlign w:val="bottom"/>
            <w:shd w:val="clear" w:color="auto" w:fill="DCE2EF"/>
          </w:tcPr>
          <w:p>
            <w:pPr>
              <w:ind w:left="260"/>
              <w:spacing w:after="0" w:line="190" w:lineRule="exact"/>
              <w:rPr>
                <w:sz w:val="20"/>
                <w:szCs w:val="20"/>
                <w:color w:val="auto"/>
              </w:rPr>
            </w:pPr>
            <w:r>
              <w:rPr>
                <w:rFonts w:ascii="Arial" w:cs="Arial" w:eastAsia="Arial" w:hAnsi="Arial"/>
                <w:sz w:val="17"/>
                <w:szCs w:val="17"/>
                <w:color w:val="auto"/>
              </w:rPr>
              <w:t>10-K</w:t>
            </w:r>
          </w:p>
        </w:tc>
        <w:tc>
          <w:tcPr>
            <w:tcW w:w="1340" w:type="dxa"/>
            <w:vAlign w:val="bottom"/>
            <w:shd w:val="clear" w:color="auto" w:fill="DCE2EF"/>
          </w:tcPr>
          <w:p>
            <w:pPr>
              <w:jc w:val="right"/>
              <w:ind w:right="194"/>
              <w:spacing w:after="0" w:line="190" w:lineRule="exact"/>
              <w:rPr>
                <w:sz w:val="20"/>
                <w:szCs w:val="20"/>
                <w:color w:val="auto"/>
              </w:rPr>
            </w:pPr>
            <w:r>
              <w:rPr>
                <w:rFonts w:ascii="Arial" w:cs="Arial" w:eastAsia="Arial" w:hAnsi="Arial"/>
                <w:sz w:val="17"/>
                <w:szCs w:val="17"/>
                <w:color w:val="auto"/>
              </w:rPr>
              <w:t>001-08929</w:t>
            </w:r>
          </w:p>
        </w:tc>
        <w:tc>
          <w:tcPr>
            <w:tcW w:w="1040" w:type="dxa"/>
            <w:vAlign w:val="bottom"/>
            <w:shd w:val="clear" w:color="auto" w:fill="DCE2EF"/>
          </w:tcPr>
          <w:p>
            <w:pPr>
              <w:jc w:val="center"/>
              <w:spacing w:after="0" w:line="190" w:lineRule="exact"/>
              <w:rPr>
                <w:sz w:val="20"/>
                <w:szCs w:val="20"/>
                <w:color w:val="auto"/>
              </w:rPr>
            </w:pPr>
            <w:r>
              <w:rPr>
                <w:rFonts w:ascii="Arial" w:cs="Arial" w:eastAsia="Arial" w:hAnsi="Arial"/>
                <w:sz w:val="17"/>
                <w:szCs w:val="17"/>
                <w:color w:val="auto"/>
              </w:rPr>
              <w:t>10.4</w:t>
            </w:r>
          </w:p>
        </w:tc>
        <w:tc>
          <w:tcPr>
            <w:tcW w:w="2160" w:type="dxa"/>
            <w:vAlign w:val="bottom"/>
            <w:shd w:val="clear" w:color="auto" w:fill="DCE2EF"/>
          </w:tcPr>
          <w:p>
            <w:pPr>
              <w:jc w:val="center"/>
              <w:spacing w:after="0" w:line="190" w:lineRule="exact"/>
              <w:rPr>
                <w:sz w:val="20"/>
                <w:szCs w:val="20"/>
                <w:color w:val="auto"/>
              </w:rPr>
            </w:pPr>
            <w:r>
              <w:rPr>
                <w:rFonts w:ascii="Arial" w:cs="Arial" w:eastAsia="Arial" w:hAnsi="Arial"/>
                <w:sz w:val="17"/>
                <w:szCs w:val="17"/>
                <w:color w:val="auto"/>
              </w:rPr>
              <w:t>December 19, 2024</w:t>
            </w:r>
          </w:p>
        </w:tc>
      </w:tr>
      <w:tr>
        <w:trPr>
          <w:trHeight w:val="148"/>
        </w:trPr>
        <w:tc>
          <w:tcPr>
            <w:tcW w:w="1300" w:type="dxa"/>
            <w:vAlign w:val="bottom"/>
            <w:tcBorders>
              <w:top w:val="single" w:sz="8" w:color="DCE2EF"/>
            </w:tcBorders>
            <w:shd w:val="clear" w:color="auto" w:fill="DCE2EF"/>
          </w:tcPr>
          <w:p>
            <w:pPr>
              <w:spacing w:after="0"/>
              <w:rPr>
                <w:sz w:val="12"/>
                <w:szCs w:val="12"/>
                <w:color w:val="auto"/>
              </w:rPr>
            </w:pPr>
          </w:p>
        </w:tc>
        <w:tc>
          <w:tcPr>
            <w:tcW w:w="4520" w:type="dxa"/>
            <w:vAlign w:val="bottom"/>
            <w:tcBorders>
              <w:top w:val="single" w:sz="8" w:color="0000FF"/>
            </w:tcBorders>
            <w:gridSpan w:val="34"/>
            <w:shd w:val="clear" w:color="auto" w:fill="DCE2EF"/>
          </w:tcPr>
          <w:p>
            <w:pPr>
              <w:spacing w:after="0" w:line="148" w:lineRule="exact"/>
              <w:rPr>
                <w:rFonts w:ascii="Arial" w:cs="Arial" w:eastAsia="Arial" w:hAnsi="Arial"/>
                <w:sz w:val="17"/>
                <w:szCs w:val="17"/>
                <w:color w:val="0000FF"/>
              </w:rPr>
            </w:pPr>
            <w:hyperlink r:id="rId213">
              <w:r>
                <w:rPr>
                  <w:rFonts w:ascii="Arial" w:cs="Arial" w:eastAsia="Arial" w:hAnsi="Arial"/>
                  <w:sz w:val="17"/>
                  <w:szCs w:val="17"/>
                  <w:color w:val="0000FF"/>
                </w:rPr>
                <w:t>October 31, 2024, by and between ABM Industries</w:t>
              </w:r>
            </w:hyperlink>
          </w:p>
        </w:tc>
        <w:tc>
          <w:tcPr>
            <w:tcW w:w="20" w:type="dxa"/>
            <w:vAlign w:val="bottom"/>
            <w:tcBorders>
              <w:top w:val="single" w:sz="8" w:color="DCE2EF"/>
            </w:tcBorders>
            <w:shd w:val="clear" w:color="auto" w:fill="DCE2EF"/>
          </w:tcPr>
          <w:p>
            <w:pPr>
              <w:spacing w:after="0"/>
              <w:rPr>
                <w:sz w:val="12"/>
                <w:szCs w:val="12"/>
                <w:color w:val="auto"/>
              </w:rPr>
            </w:pPr>
          </w:p>
        </w:tc>
        <w:tc>
          <w:tcPr>
            <w:tcW w:w="860" w:type="dxa"/>
            <w:vAlign w:val="bottom"/>
            <w:tcBorders>
              <w:top w:val="single" w:sz="8" w:color="DCE2EF"/>
            </w:tcBorders>
            <w:shd w:val="clear" w:color="auto" w:fill="DCE2EF"/>
          </w:tcPr>
          <w:p>
            <w:pPr>
              <w:spacing w:after="0"/>
              <w:rPr>
                <w:sz w:val="12"/>
                <w:szCs w:val="12"/>
                <w:color w:val="auto"/>
              </w:rPr>
            </w:pPr>
          </w:p>
        </w:tc>
        <w:tc>
          <w:tcPr>
            <w:tcW w:w="1340" w:type="dxa"/>
            <w:vAlign w:val="bottom"/>
            <w:tcBorders>
              <w:top w:val="single" w:sz="8" w:color="DCE2EF"/>
            </w:tcBorders>
            <w:shd w:val="clear" w:color="auto" w:fill="DCE2EF"/>
          </w:tcPr>
          <w:p>
            <w:pPr>
              <w:spacing w:after="0"/>
              <w:rPr>
                <w:sz w:val="12"/>
                <w:szCs w:val="12"/>
                <w:color w:val="auto"/>
              </w:rPr>
            </w:pPr>
          </w:p>
        </w:tc>
        <w:tc>
          <w:tcPr>
            <w:tcW w:w="1040" w:type="dxa"/>
            <w:vAlign w:val="bottom"/>
            <w:tcBorders>
              <w:top w:val="single" w:sz="8" w:color="DCE2EF"/>
            </w:tcBorders>
            <w:shd w:val="clear" w:color="auto" w:fill="DCE2EF"/>
          </w:tcPr>
          <w:p>
            <w:pPr>
              <w:spacing w:after="0"/>
              <w:rPr>
                <w:sz w:val="12"/>
                <w:szCs w:val="12"/>
                <w:color w:val="auto"/>
              </w:rPr>
            </w:pPr>
          </w:p>
        </w:tc>
        <w:tc>
          <w:tcPr>
            <w:tcW w:w="2160" w:type="dxa"/>
            <w:vAlign w:val="bottom"/>
            <w:tcBorders>
              <w:top w:val="single" w:sz="8" w:color="DCE2EF"/>
            </w:tcBorders>
            <w:shd w:val="clear" w:color="auto" w:fill="DCE2EF"/>
          </w:tcPr>
          <w:p>
            <w:pPr>
              <w:spacing w:after="0"/>
              <w:rPr>
                <w:sz w:val="12"/>
                <w:szCs w:val="12"/>
                <w:color w:val="auto"/>
              </w:rPr>
            </w:pPr>
          </w:p>
        </w:tc>
      </w:tr>
      <w:tr>
        <w:trPr>
          <w:trHeight w:val="160"/>
        </w:trPr>
        <w:tc>
          <w:tcPr>
            <w:tcW w:w="1300" w:type="dxa"/>
            <w:vAlign w:val="bottom"/>
            <w:tcBorders>
              <w:top w:val="single" w:sz="8" w:color="DCE2EF"/>
            </w:tcBorders>
            <w:shd w:val="clear" w:color="auto" w:fill="DCE2EF"/>
          </w:tcPr>
          <w:p>
            <w:pPr>
              <w:spacing w:after="0"/>
              <w:rPr>
                <w:sz w:val="13"/>
                <w:szCs w:val="13"/>
                <w:color w:val="auto"/>
              </w:rPr>
            </w:pPr>
          </w:p>
        </w:tc>
        <w:tc>
          <w:tcPr>
            <w:tcW w:w="3840" w:type="dxa"/>
            <w:vAlign w:val="bottom"/>
            <w:tcBorders>
              <w:top w:val="single" w:sz="8" w:color="0000FF"/>
            </w:tcBorders>
            <w:gridSpan w:val="14"/>
            <w:shd w:val="clear" w:color="auto" w:fill="DCE2EF"/>
          </w:tcPr>
          <w:p>
            <w:pPr>
              <w:spacing w:after="0" w:line="161" w:lineRule="exact"/>
              <w:rPr>
                <w:rFonts w:ascii="Arial" w:cs="Arial" w:eastAsia="Arial" w:hAnsi="Arial"/>
                <w:sz w:val="17"/>
                <w:szCs w:val="17"/>
                <w:color w:val="0000FF"/>
              </w:rPr>
            </w:pPr>
            <w:hyperlink r:id="rId213">
              <w:r>
                <w:rPr>
                  <w:rFonts w:ascii="Arial" w:cs="Arial" w:eastAsia="Arial" w:hAnsi="Arial"/>
                  <w:sz w:val="17"/>
                  <w:szCs w:val="17"/>
                  <w:color w:val="0000FF"/>
                </w:rPr>
                <w:t>Incorporated and Joshua H. Feinberg</w:t>
              </w:r>
            </w:hyperlink>
          </w:p>
        </w:tc>
        <w:tc>
          <w:tcPr>
            <w:tcW w:w="140" w:type="dxa"/>
            <w:vAlign w:val="bottom"/>
            <w:tcBorders>
              <w:top w:val="single" w:sz="8" w:color="DCE2EF"/>
            </w:tcBorders>
            <w:shd w:val="clear" w:color="auto" w:fill="DCE2EF"/>
          </w:tcPr>
          <w:p>
            <w:pPr>
              <w:spacing w:after="0"/>
              <w:rPr>
                <w:sz w:val="13"/>
                <w:szCs w:val="13"/>
                <w:color w:val="auto"/>
              </w:rPr>
            </w:pPr>
          </w:p>
        </w:tc>
        <w:tc>
          <w:tcPr>
            <w:tcW w:w="340" w:type="dxa"/>
            <w:vAlign w:val="bottom"/>
            <w:tcBorders>
              <w:top w:val="single" w:sz="8" w:color="DCE2EF"/>
            </w:tcBorders>
            <w:gridSpan w:val="10"/>
            <w:shd w:val="clear" w:color="auto" w:fill="DCE2EF"/>
          </w:tcPr>
          <w:p>
            <w:pPr>
              <w:spacing w:after="0"/>
              <w:rPr>
                <w:sz w:val="13"/>
                <w:szCs w:val="13"/>
                <w:color w:val="auto"/>
              </w:rPr>
            </w:pPr>
          </w:p>
        </w:tc>
        <w:tc>
          <w:tcPr>
            <w:tcW w:w="20" w:type="dxa"/>
            <w:vAlign w:val="bottom"/>
            <w:tcBorders>
              <w:top w:val="single" w:sz="8" w:color="DCE2EF"/>
            </w:tcBorders>
            <w:shd w:val="clear" w:color="auto" w:fill="DCE2EF"/>
          </w:tcPr>
          <w:p>
            <w:pPr>
              <w:spacing w:after="0"/>
              <w:rPr>
                <w:sz w:val="13"/>
                <w:szCs w:val="13"/>
                <w:color w:val="auto"/>
              </w:rPr>
            </w:pPr>
          </w:p>
        </w:tc>
        <w:tc>
          <w:tcPr>
            <w:tcW w:w="80" w:type="dxa"/>
            <w:vAlign w:val="bottom"/>
            <w:tcBorders>
              <w:top w:val="single" w:sz="8" w:color="DCE2EF"/>
            </w:tcBorders>
            <w:gridSpan w:val="3"/>
            <w:shd w:val="clear" w:color="auto" w:fill="DCE2EF"/>
          </w:tcPr>
          <w:p>
            <w:pPr>
              <w:spacing w:after="0"/>
              <w:rPr>
                <w:sz w:val="13"/>
                <w:szCs w:val="13"/>
                <w:color w:val="auto"/>
              </w:rPr>
            </w:pPr>
          </w:p>
        </w:tc>
        <w:tc>
          <w:tcPr>
            <w:tcW w:w="40" w:type="dxa"/>
            <w:vAlign w:val="bottom"/>
            <w:tcBorders>
              <w:top w:val="single" w:sz="8" w:color="DCE2EF"/>
            </w:tcBorders>
            <w:gridSpan w:val="2"/>
            <w:shd w:val="clear" w:color="auto" w:fill="DCE2EF"/>
          </w:tcPr>
          <w:p>
            <w:pPr>
              <w:spacing w:after="0"/>
              <w:rPr>
                <w:sz w:val="13"/>
                <w:szCs w:val="13"/>
                <w:color w:val="auto"/>
              </w:rPr>
            </w:pPr>
          </w:p>
        </w:tc>
        <w:tc>
          <w:tcPr>
            <w:tcW w:w="40" w:type="dxa"/>
            <w:vAlign w:val="bottom"/>
            <w:tcBorders>
              <w:top w:val="single" w:sz="8" w:color="DCE2EF"/>
            </w:tcBorders>
            <w:gridSpan w:val="2"/>
            <w:shd w:val="clear" w:color="auto" w:fill="DCE2EF"/>
          </w:tcPr>
          <w:p>
            <w:pPr>
              <w:spacing w:after="0"/>
              <w:rPr>
                <w:sz w:val="13"/>
                <w:szCs w:val="13"/>
                <w:color w:val="auto"/>
              </w:rPr>
            </w:pPr>
          </w:p>
        </w:tc>
        <w:tc>
          <w:tcPr>
            <w:tcW w:w="20" w:type="dxa"/>
            <w:vAlign w:val="bottom"/>
            <w:tcBorders>
              <w:top w:val="single" w:sz="8" w:color="DCE2EF"/>
            </w:tcBorders>
            <w:shd w:val="clear" w:color="auto" w:fill="DCE2EF"/>
          </w:tcPr>
          <w:p>
            <w:pPr>
              <w:spacing w:after="0"/>
              <w:rPr>
                <w:sz w:val="13"/>
                <w:szCs w:val="13"/>
                <w:color w:val="auto"/>
              </w:rPr>
            </w:pPr>
          </w:p>
        </w:tc>
        <w:tc>
          <w:tcPr>
            <w:tcW w:w="20" w:type="dxa"/>
            <w:vAlign w:val="bottom"/>
            <w:tcBorders>
              <w:top w:val="single" w:sz="8" w:color="DCE2EF"/>
            </w:tcBorders>
            <w:shd w:val="clear" w:color="auto" w:fill="DCE2EF"/>
          </w:tcPr>
          <w:p>
            <w:pPr>
              <w:spacing w:after="0"/>
              <w:rPr>
                <w:sz w:val="13"/>
                <w:szCs w:val="13"/>
                <w:color w:val="auto"/>
              </w:rPr>
            </w:pPr>
          </w:p>
        </w:tc>
        <w:tc>
          <w:tcPr>
            <w:tcW w:w="860" w:type="dxa"/>
            <w:vAlign w:val="bottom"/>
            <w:tcBorders>
              <w:top w:val="single" w:sz="8" w:color="DCE2EF"/>
            </w:tcBorders>
            <w:shd w:val="clear" w:color="auto" w:fill="DCE2EF"/>
          </w:tcPr>
          <w:p>
            <w:pPr>
              <w:spacing w:after="0"/>
              <w:rPr>
                <w:sz w:val="13"/>
                <w:szCs w:val="13"/>
                <w:color w:val="auto"/>
              </w:rPr>
            </w:pPr>
          </w:p>
        </w:tc>
        <w:tc>
          <w:tcPr>
            <w:tcW w:w="1340" w:type="dxa"/>
            <w:vAlign w:val="bottom"/>
            <w:tcBorders>
              <w:top w:val="single" w:sz="8" w:color="DCE2EF"/>
            </w:tcBorders>
            <w:shd w:val="clear" w:color="auto" w:fill="DCE2EF"/>
          </w:tcPr>
          <w:p>
            <w:pPr>
              <w:spacing w:after="0"/>
              <w:rPr>
                <w:sz w:val="13"/>
                <w:szCs w:val="13"/>
                <w:color w:val="auto"/>
              </w:rPr>
            </w:pPr>
          </w:p>
        </w:tc>
        <w:tc>
          <w:tcPr>
            <w:tcW w:w="1040" w:type="dxa"/>
            <w:vAlign w:val="bottom"/>
            <w:tcBorders>
              <w:top w:val="single" w:sz="8" w:color="DCE2EF"/>
            </w:tcBorders>
            <w:shd w:val="clear" w:color="auto" w:fill="DCE2EF"/>
          </w:tcPr>
          <w:p>
            <w:pPr>
              <w:spacing w:after="0"/>
              <w:rPr>
                <w:sz w:val="13"/>
                <w:szCs w:val="13"/>
                <w:color w:val="auto"/>
              </w:rPr>
            </w:pPr>
          </w:p>
        </w:tc>
        <w:tc>
          <w:tcPr>
            <w:tcW w:w="2160" w:type="dxa"/>
            <w:vAlign w:val="bottom"/>
            <w:tcBorders>
              <w:top w:val="single" w:sz="8" w:color="DCE2EF"/>
            </w:tcBorders>
            <w:shd w:val="clear" w:color="auto" w:fill="DCE2EF"/>
          </w:tcPr>
          <w:p>
            <w:pPr>
              <w:spacing w:after="0"/>
              <w:rPr>
                <w:sz w:val="13"/>
                <w:szCs w:val="13"/>
                <w:color w:val="auto"/>
              </w:rPr>
            </w:pPr>
          </w:p>
        </w:tc>
      </w:tr>
      <w:tr>
        <w:trPr>
          <w:trHeight w:val="39"/>
        </w:trPr>
        <w:tc>
          <w:tcPr>
            <w:tcW w:w="1300" w:type="dxa"/>
            <w:vAlign w:val="bottom"/>
            <w:shd w:val="clear" w:color="auto" w:fill="DCE2EF"/>
          </w:tcPr>
          <w:p>
            <w:pPr>
              <w:spacing w:after="0"/>
              <w:rPr>
                <w:sz w:val="3"/>
                <w:szCs w:val="3"/>
                <w:color w:val="auto"/>
              </w:rPr>
            </w:pPr>
          </w:p>
        </w:tc>
        <w:tc>
          <w:tcPr>
            <w:tcW w:w="68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3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600" w:type="dxa"/>
            <w:vAlign w:val="bottom"/>
            <w:shd w:val="clear" w:color="auto" w:fill="0000FF"/>
          </w:tcPr>
          <w:p>
            <w:pPr>
              <w:spacing w:after="0"/>
              <w:rPr>
                <w:sz w:val="3"/>
                <w:szCs w:val="3"/>
                <w:color w:val="auto"/>
              </w:rPr>
            </w:pPr>
          </w:p>
        </w:tc>
        <w:tc>
          <w:tcPr>
            <w:tcW w:w="300" w:type="dxa"/>
            <w:vAlign w:val="bottom"/>
            <w:shd w:val="clear" w:color="auto" w:fill="DCE2EF"/>
          </w:tcPr>
          <w:p>
            <w:pPr>
              <w:spacing w:after="0"/>
              <w:rPr>
                <w:sz w:val="3"/>
                <w:szCs w:val="3"/>
                <w:color w:val="auto"/>
              </w:rPr>
            </w:pPr>
          </w:p>
        </w:tc>
        <w:tc>
          <w:tcPr>
            <w:tcW w:w="460" w:type="dxa"/>
            <w:vAlign w:val="bottom"/>
            <w:shd w:val="clear" w:color="auto" w:fill="DCE2EF"/>
          </w:tcPr>
          <w:p>
            <w:pPr>
              <w:spacing w:after="0"/>
              <w:rPr>
                <w:sz w:val="3"/>
                <w:szCs w:val="3"/>
                <w:color w:val="auto"/>
              </w:rPr>
            </w:pPr>
          </w:p>
        </w:tc>
        <w:tc>
          <w:tcPr>
            <w:tcW w:w="240" w:type="dxa"/>
            <w:vAlign w:val="bottom"/>
            <w:shd w:val="clear" w:color="auto" w:fill="DCE2EF"/>
          </w:tcPr>
          <w:p>
            <w:pPr>
              <w:spacing w:after="0"/>
              <w:rPr>
                <w:sz w:val="3"/>
                <w:szCs w:val="3"/>
                <w:color w:val="auto"/>
              </w:rPr>
            </w:pPr>
          </w:p>
        </w:tc>
        <w:tc>
          <w:tcPr>
            <w:tcW w:w="140" w:type="dxa"/>
            <w:vAlign w:val="bottom"/>
            <w:shd w:val="clear" w:color="auto" w:fill="DCE2EF"/>
          </w:tcPr>
          <w:p>
            <w:pPr>
              <w:spacing w:after="0"/>
              <w:rPr>
                <w:sz w:val="3"/>
                <w:szCs w:val="3"/>
                <w:color w:val="auto"/>
              </w:rPr>
            </w:pPr>
          </w:p>
        </w:tc>
        <w:tc>
          <w:tcPr>
            <w:tcW w:w="20" w:type="dxa"/>
            <w:vAlign w:val="bottom"/>
            <w:shd w:val="clear" w:color="auto" w:fill="DCE2EF"/>
          </w:tcPr>
          <w:p>
            <w:pPr>
              <w:spacing w:after="0"/>
              <w:rPr>
                <w:sz w:val="3"/>
                <w:szCs w:val="3"/>
                <w:color w:val="auto"/>
              </w:rPr>
            </w:pPr>
          </w:p>
        </w:tc>
        <w:tc>
          <w:tcPr>
            <w:tcW w:w="60" w:type="dxa"/>
            <w:vAlign w:val="bottom"/>
            <w:shd w:val="clear" w:color="auto" w:fill="DCE2EF"/>
          </w:tcPr>
          <w:p>
            <w:pPr>
              <w:spacing w:after="0"/>
              <w:rPr>
                <w:sz w:val="3"/>
                <w:szCs w:val="3"/>
                <w:color w:val="auto"/>
              </w:rPr>
            </w:pPr>
          </w:p>
        </w:tc>
        <w:tc>
          <w:tcPr>
            <w:tcW w:w="60" w:type="dxa"/>
            <w:vAlign w:val="bottom"/>
            <w:shd w:val="clear" w:color="auto" w:fill="DCE2EF"/>
          </w:tcPr>
          <w:p>
            <w:pPr>
              <w:spacing w:after="0"/>
              <w:rPr>
                <w:sz w:val="3"/>
                <w:szCs w:val="3"/>
                <w:color w:val="auto"/>
              </w:rPr>
            </w:pPr>
          </w:p>
        </w:tc>
        <w:tc>
          <w:tcPr>
            <w:tcW w:w="20" w:type="dxa"/>
            <w:vAlign w:val="bottom"/>
            <w:shd w:val="clear" w:color="auto" w:fill="DCE2EF"/>
          </w:tcPr>
          <w:p>
            <w:pPr>
              <w:spacing w:after="0"/>
              <w:rPr>
                <w:sz w:val="3"/>
                <w:szCs w:val="3"/>
                <w:color w:val="auto"/>
              </w:rPr>
            </w:pPr>
          </w:p>
        </w:tc>
        <w:tc>
          <w:tcPr>
            <w:tcW w:w="40" w:type="dxa"/>
            <w:vAlign w:val="bottom"/>
            <w:shd w:val="clear" w:color="auto" w:fill="DCE2EF"/>
          </w:tcPr>
          <w:p>
            <w:pPr>
              <w:spacing w:after="0"/>
              <w:rPr>
                <w:sz w:val="3"/>
                <w:szCs w:val="3"/>
                <w:color w:val="auto"/>
              </w:rPr>
            </w:pPr>
          </w:p>
        </w:tc>
        <w:tc>
          <w:tcPr>
            <w:tcW w:w="20" w:type="dxa"/>
            <w:vAlign w:val="bottom"/>
            <w:shd w:val="clear" w:color="auto" w:fill="DCE2EF"/>
          </w:tcPr>
          <w:p>
            <w:pPr>
              <w:spacing w:after="0"/>
              <w:rPr>
                <w:sz w:val="3"/>
                <w:szCs w:val="3"/>
                <w:color w:val="auto"/>
              </w:rPr>
            </w:pPr>
          </w:p>
        </w:tc>
        <w:tc>
          <w:tcPr>
            <w:tcW w:w="40" w:type="dxa"/>
            <w:vAlign w:val="bottom"/>
            <w:shd w:val="clear" w:color="auto" w:fill="DCE2EF"/>
          </w:tcPr>
          <w:p>
            <w:pPr>
              <w:spacing w:after="0"/>
              <w:rPr>
                <w:sz w:val="3"/>
                <w:szCs w:val="3"/>
                <w:color w:val="auto"/>
              </w:rPr>
            </w:pPr>
          </w:p>
        </w:tc>
        <w:tc>
          <w:tcPr>
            <w:tcW w:w="20" w:type="dxa"/>
            <w:vAlign w:val="bottom"/>
            <w:shd w:val="clear" w:color="auto" w:fill="DCE2EF"/>
          </w:tcPr>
          <w:p>
            <w:pPr>
              <w:spacing w:after="0"/>
              <w:rPr>
                <w:sz w:val="3"/>
                <w:szCs w:val="3"/>
                <w:color w:val="auto"/>
              </w:rPr>
            </w:pPr>
          </w:p>
        </w:tc>
        <w:tc>
          <w:tcPr>
            <w:tcW w:w="40" w:type="dxa"/>
            <w:vAlign w:val="bottom"/>
            <w:shd w:val="clear" w:color="auto" w:fill="DCE2EF"/>
          </w:tcPr>
          <w:p>
            <w:pPr>
              <w:spacing w:after="0"/>
              <w:rPr>
                <w:sz w:val="3"/>
                <w:szCs w:val="3"/>
                <w:color w:val="auto"/>
              </w:rPr>
            </w:pPr>
          </w:p>
        </w:tc>
        <w:tc>
          <w:tcPr>
            <w:tcW w:w="20" w:type="dxa"/>
            <w:vAlign w:val="bottom"/>
            <w:shd w:val="clear" w:color="auto" w:fill="DCE2EF"/>
          </w:tcPr>
          <w:p>
            <w:pPr>
              <w:spacing w:after="0"/>
              <w:rPr>
                <w:sz w:val="3"/>
                <w:szCs w:val="3"/>
                <w:color w:val="auto"/>
              </w:rPr>
            </w:pPr>
          </w:p>
        </w:tc>
        <w:tc>
          <w:tcPr>
            <w:tcW w:w="20" w:type="dxa"/>
            <w:vAlign w:val="bottom"/>
            <w:shd w:val="clear" w:color="auto" w:fill="DCE2EF"/>
          </w:tcPr>
          <w:p>
            <w:pPr>
              <w:spacing w:after="0"/>
              <w:rPr>
                <w:sz w:val="3"/>
                <w:szCs w:val="3"/>
                <w:color w:val="auto"/>
              </w:rPr>
            </w:pPr>
          </w:p>
        </w:tc>
        <w:tc>
          <w:tcPr>
            <w:tcW w:w="40" w:type="dxa"/>
            <w:vAlign w:val="bottom"/>
            <w:shd w:val="clear" w:color="auto" w:fill="DCE2EF"/>
          </w:tcPr>
          <w:p>
            <w:pPr>
              <w:spacing w:after="0"/>
              <w:rPr>
                <w:sz w:val="3"/>
                <w:szCs w:val="3"/>
                <w:color w:val="auto"/>
              </w:rPr>
            </w:pPr>
          </w:p>
        </w:tc>
        <w:tc>
          <w:tcPr>
            <w:tcW w:w="20" w:type="dxa"/>
            <w:vAlign w:val="bottom"/>
            <w:shd w:val="clear" w:color="auto" w:fill="DCE2EF"/>
          </w:tcPr>
          <w:p>
            <w:pPr>
              <w:spacing w:after="0"/>
              <w:rPr>
                <w:sz w:val="3"/>
                <w:szCs w:val="3"/>
                <w:color w:val="auto"/>
              </w:rPr>
            </w:pPr>
          </w:p>
        </w:tc>
        <w:tc>
          <w:tcPr>
            <w:tcW w:w="20" w:type="dxa"/>
            <w:vAlign w:val="bottom"/>
            <w:shd w:val="clear" w:color="auto" w:fill="DCE2EF"/>
          </w:tcPr>
          <w:p>
            <w:pPr>
              <w:spacing w:after="0"/>
              <w:rPr>
                <w:sz w:val="3"/>
                <w:szCs w:val="3"/>
                <w:color w:val="auto"/>
              </w:rPr>
            </w:pPr>
          </w:p>
        </w:tc>
        <w:tc>
          <w:tcPr>
            <w:tcW w:w="20" w:type="dxa"/>
            <w:vAlign w:val="bottom"/>
            <w:shd w:val="clear" w:color="auto" w:fill="DCE2EF"/>
          </w:tcPr>
          <w:p>
            <w:pPr>
              <w:spacing w:after="0"/>
              <w:rPr>
                <w:sz w:val="3"/>
                <w:szCs w:val="3"/>
                <w:color w:val="auto"/>
              </w:rPr>
            </w:pPr>
          </w:p>
        </w:tc>
        <w:tc>
          <w:tcPr>
            <w:tcW w:w="20" w:type="dxa"/>
            <w:vAlign w:val="bottom"/>
            <w:shd w:val="clear" w:color="auto" w:fill="DCE2EF"/>
          </w:tcPr>
          <w:p>
            <w:pPr>
              <w:spacing w:after="0"/>
              <w:rPr>
                <w:sz w:val="3"/>
                <w:szCs w:val="3"/>
                <w:color w:val="auto"/>
              </w:rPr>
            </w:pPr>
          </w:p>
        </w:tc>
        <w:tc>
          <w:tcPr>
            <w:tcW w:w="20" w:type="dxa"/>
            <w:vAlign w:val="bottom"/>
            <w:shd w:val="clear" w:color="auto" w:fill="DCE2EF"/>
          </w:tcPr>
          <w:p>
            <w:pPr>
              <w:spacing w:after="0"/>
              <w:rPr>
                <w:sz w:val="3"/>
                <w:szCs w:val="3"/>
                <w:color w:val="auto"/>
              </w:rPr>
            </w:pPr>
          </w:p>
        </w:tc>
        <w:tc>
          <w:tcPr>
            <w:tcW w:w="20" w:type="dxa"/>
            <w:vAlign w:val="bottom"/>
            <w:shd w:val="clear" w:color="auto" w:fill="DCE2EF"/>
          </w:tcPr>
          <w:p>
            <w:pPr>
              <w:spacing w:after="0"/>
              <w:rPr>
                <w:sz w:val="3"/>
                <w:szCs w:val="3"/>
                <w:color w:val="auto"/>
              </w:rPr>
            </w:pPr>
          </w:p>
        </w:tc>
        <w:tc>
          <w:tcPr>
            <w:tcW w:w="20" w:type="dxa"/>
            <w:vAlign w:val="bottom"/>
            <w:shd w:val="clear" w:color="auto" w:fill="DCE2EF"/>
          </w:tcPr>
          <w:p>
            <w:pPr>
              <w:spacing w:after="0"/>
              <w:rPr>
                <w:sz w:val="3"/>
                <w:szCs w:val="3"/>
                <w:color w:val="auto"/>
              </w:rPr>
            </w:pPr>
          </w:p>
        </w:tc>
        <w:tc>
          <w:tcPr>
            <w:tcW w:w="20" w:type="dxa"/>
            <w:vAlign w:val="bottom"/>
            <w:shd w:val="clear" w:color="auto" w:fill="DCE2EF"/>
          </w:tcPr>
          <w:p>
            <w:pPr>
              <w:spacing w:after="0"/>
              <w:rPr>
                <w:sz w:val="3"/>
                <w:szCs w:val="3"/>
                <w:color w:val="auto"/>
              </w:rPr>
            </w:pPr>
          </w:p>
        </w:tc>
        <w:tc>
          <w:tcPr>
            <w:tcW w:w="860" w:type="dxa"/>
            <w:vAlign w:val="bottom"/>
            <w:shd w:val="clear" w:color="auto" w:fill="DCE2EF"/>
          </w:tcPr>
          <w:p>
            <w:pPr>
              <w:spacing w:after="0"/>
              <w:rPr>
                <w:sz w:val="3"/>
                <w:szCs w:val="3"/>
                <w:color w:val="auto"/>
              </w:rPr>
            </w:pPr>
          </w:p>
        </w:tc>
        <w:tc>
          <w:tcPr>
            <w:tcW w:w="1340" w:type="dxa"/>
            <w:vAlign w:val="bottom"/>
            <w:shd w:val="clear" w:color="auto" w:fill="DCE2EF"/>
          </w:tcPr>
          <w:p>
            <w:pPr>
              <w:spacing w:after="0"/>
              <w:rPr>
                <w:sz w:val="3"/>
                <w:szCs w:val="3"/>
                <w:color w:val="auto"/>
              </w:rPr>
            </w:pPr>
          </w:p>
        </w:tc>
        <w:tc>
          <w:tcPr>
            <w:tcW w:w="1040" w:type="dxa"/>
            <w:vAlign w:val="bottom"/>
            <w:shd w:val="clear" w:color="auto" w:fill="DCE2EF"/>
          </w:tcPr>
          <w:p>
            <w:pPr>
              <w:spacing w:after="0"/>
              <w:rPr>
                <w:sz w:val="3"/>
                <w:szCs w:val="3"/>
                <w:color w:val="auto"/>
              </w:rPr>
            </w:pPr>
          </w:p>
        </w:tc>
        <w:tc>
          <w:tcPr>
            <w:tcW w:w="2160" w:type="dxa"/>
            <w:vAlign w:val="bottom"/>
            <w:shd w:val="clear" w:color="auto" w:fill="DCE2EF"/>
          </w:tcPr>
          <w:p>
            <w:pPr>
              <w:spacing w:after="0"/>
              <w:rPr>
                <w:sz w:val="3"/>
                <w:szCs w:val="3"/>
                <w:color w:val="auto"/>
              </w:rPr>
            </w:pPr>
          </w:p>
        </w:tc>
      </w:tr>
      <w:tr>
        <w:trPr>
          <w:trHeight w:val="180"/>
        </w:trPr>
        <w:tc>
          <w:tcPr>
            <w:tcW w:w="1300" w:type="dxa"/>
            <w:vAlign w:val="bottom"/>
          </w:tcPr>
          <w:p>
            <w:pPr>
              <w:ind w:left="20"/>
              <w:spacing w:after="0" w:line="180" w:lineRule="exact"/>
              <w:rPr>
                <w:sz w:val="20"/>
                <w:szCs w:val="20"/>
                <w:color w:val="auto"/>
              </w:rPr>
            </w:pPr>
            <w:r>
              <w:rPr>
                <w:rFonts w:ascii="Arial" w:cs="Arial" w:eastAsia="Arial" w:hAnsi="Arial"/>
                <w:sz w:val="17"/>
                <w:szCs w:val="17"/>
                <w:color w:val="auto"/>
              </w:rPr>
              <w:t>10.42*</w:t>
            </w:r>
          </w:p>
        </w:tc>
        <w:tc>
          <w:tcPr>
            <w:tcW w:w="4540" w:type="dxa"/>
            <w:vAlign w:val="bottom"/>
            <w:gridSpan w:val="35"/>
          </w:tcPr>
          <w:p>
            <w:pPr>
              <w:spacing w:after="0" w:line="180" w:lineRule="exact"/>
              <w:rPr>
                <w:rFonts w:ascii="Arial" w:cs="Arial" w:eastAsia="Arial" w:hAnsi="Arial"/>
                <w:sz w:val="17"/>
                <w:szCs w:val="17"/>
                <w:color w:val="0000FF"/>
              </w:rPr>
            </w:pPr>
            <w:hyperlink r:id="rId214">
              <w:r>
                <w:rPr>
                  <w:rFonts w:ascii="Arial" w:cs="Arial" w:eastAsia="Arial" w:hAnsi="Arial"/>
                  <w:sz w:val="17"/>
                  <w:szCs w:val="17"/>
                  <w:color w:val="0000FF"/>
                </w:rPr>
                <w:t>Executive Employment Agreement, dated as of November</w:t>
              </w:r>
            </w:hyperlink>
          </w:p>
        </w:tc>
        <w:tc>
          <w:tcPr>
            <w:tcW w:w="860" w:type="dxa"/>
            <w:vAlign w:val="bottom"/>
          </w:tcPr>
          <w:p>
            <w:pPr>
              <w:ind w:left="260"/>
              <w:spacing w:after="0" w:line="180" w:lineRule="exact"/>
              <w:rPr>
                <w:sz w:val="20"/>
                <w:szCs w:val="20"/>
                <w:color w:val="auto"/>
              </w:rPr>
            </w:pPr>
            <w:r>
              <w:rPr>
                <w:rFonts w:ascii="Arial" w:cs="Arial" w:eastAsia="Arial" w:hAnsi="Arial"/>
                <w:sz w:val="17"/>
                <w:szCs w:val="17"/>
                <w:color w:val="auto"/>
              </w:rPr>
              <w:t>10-Q</w:t>
            </w:r>
          </w:p>
        </w:tc>
        <w:tc>
          <w:tcPr>
            <w:tcW w:w="1340" w:type="dxa"/>
            <w:vAlign w:val="bottom"/>
          </w:tcPr>
          <w:p>
            <w:pPr>
              <w:jc w:val="right"/>
              <w:ind w:right="194"/>
              <w:spacing w:after="0" w:line="180" w:lineRule="exact"/>
              <w:rPr>
                <w:sz w:val="20"/>
                <w:szCs w:val="20"/>
                <w:color w:val="auto"/>
              </w:rPr>
            </w:pPr>
            <w:r>
              <w:rPr>
                <w:rFonts w:ascii="Arial" w:cs="Arial" w:eastAsia="Arial" w:hAnsi="Arial"/>
                <w:sz w:val="17"/>
                <w:szCs w:val="17"/>
                <w:color w:val="auto"/>
              </w:rPr>
              <w:t>001-08929</w:t>
            </w:r>
          </w:p>
        </w:tc>
        <w:tc>
          <w:tcPr>
            <w:tcW w:w="1040" w:type="dxa"/>
            <w:vAlign w:val="bottom"/>
          </w:tcPr>
          <w:p>
            <w:pPr>
              <w:jc w:val="center"/>
              <w:spacing w:after="0" w:line="180" w:lineRule="exact"/>
              <w:rPr>
                <w:sz w:val="20"/>
                <w:szCs w:val="20"/>
                <w:color w:val="auto"/>
              </w:rPr>
            </w:pPr>
            <w:r>
              <w:rPr>
                <w:rFonts w:ascii="Arial" w:cs="Arial" w:eastAsia="Arial" w:hAnsi="Arial"/>
                <w:sz w:val="17"/>
                <w:szCs w:val="17"/>
                <w:color w:val="auto"/>
              </w:rPr>
              <w:t>10.6</w:t>
            </w:r>
          </w:p>
        </w:tc>
        <w:tc>
          <w:tcPr>
            <w:tcW w:w="2160" w:type="dxa"/>
            <w:vAlign w:val="bottom"/>
          </w:tcPr>
          <w:p>
            <w:pPr>
              <w:jc w:val="center"/>
              <w:spacing w:after="0" w:line="180" w:lineRule="exact"/>
              <w:rPr>
                <w:sz w:val="20"/>
                <w:szCs w:val="20"/>
                <w:color w:val="auto"/>
              </w:rPr>
            </w:pPr>
            <w:r>
              <w:rPr>
                <w:rFonts w:ascii="Arial" w:cs="Arial" w:eastAsia="Arial" w:hAnsi="Arial"/>
                <w:sz w:val="17"/>
                <w:szCs w:val="17"/>
                <w:color w:val="auto"/>
              </w:rPr>
              <w:t>June 9, 2021</w:t>
            </w:r>
          </w:p>
        </w:tc>
      </w:tr>
      <w:tr>
        <w:trPr>
          <w:trHeight w:val="148"/>
        </w:trPr>
        <w:tc>
          <w:tcPr>
            <w:tcW w:w="1300" w:type="dxa"/>
            <w:vAlign w:val="bottom"/>
          </w:tcPr>
          <w:p>
            <w:pPr>
              <w:spacing w:after="0"/>
              <w:rPr>
                <w:sz w:val="12"/>
                <w:szCs w:val="12"/>
                <w:color w:val="auto"/>
              </w:rPr>
            </w:pPr>
          </w:p>
        </w:tc>
        <w:tc>
          <w:tcPr>
            <w:tcW w:w="4420" w:type="dxa"/>
            <w:vAlign w:val="bottom"/>
            <w:tcBorders>
              <w:top w:val="single" w:sz="8" w:color="0000FF"/>
              <w:bottom w:val="single" w:sz="8" w:color="0000FF"/>
            </w:tcBorders>
            <w:gridSpan w:val="29"/>
          </w:tcPr>
          <w:p>
            <w:pPr>
              <w:spacing w:after="0" w:line="148" w:lineRule="exact"/>
              <w:rPr>
                <w:rFonts w:ascii="Arial" w:cs="Arial" w:eastAsia="Arial" w:hAnsi="Arial"/>
                <w:sz w:val="17"/>
                <w:szCs w:val="17"/>
                <w:color w:val="0000FF"/>
              </w:rPr>
            </w:pPr>
            <w:hyperlink r:id="rId214">
              <w:r>
                <w:rPr>
                  <w:rFonts w:ascii="Arial" w:cs="Arial" w:eastAsia="Arial" w:hAnsi="Arial"/>
                  <w:sz w:val="17"/>
                  <w:szCs w:val="17"/>
                  <w:color w:val="0000FF"/>
                </w:rPr>
                <w:t>1, 2020, by and between ABM Industries Incorporated and</w:t>
              </w:r>
            </w:hyperlink>
          </w:p>
        </w:tc>
        <w:tc>
          <w:tcPr>
            <w:tcW w:w="40" w:type="dxa"/>
            <w:vAlign w:val="bottom"/>
            <w:tcBorders>
              <w:bottom w:val="single" w:sz="8" w:color="0000FF"/>
            </w:tcBorders>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160" w:type="dxa"/>
            <w:vAlign w:val="bottom"/>
          </w:tcPr>
          <w:p>
            <w:pPr>
              <w:spacing w:after="0"/>
              <w:rPr>
                <w:sz w:val="12"/>
                <w:szCs w:val="12"/>
                <w:color w:val="auto"/>
              </w:rPr>
            </w:pPr>
          </w:p>
        </w:tc>
      </w:tr>
      <w:tr>
        <w:trPr>
          <w:trHeight w:val="160"/>
        </w:trPr>
        <w:tc>
          <w:tcPr>
            <w:tcW w:w="1300" w:type="dxa"/>
            <w:vAlign w:val="bottom"/>
          </w:tcPr>
          <w:p>
            <w:pPr>
              <w:spacing w:after="0"/>
              <w:rPr>
                <w:sz w:val="13"/>
                <w:szCs w:val="13"/>
                <w:color w:val="auto"/>
              </w:rPr>
            </w:pPr>
          </w:p>
        </w:tc>
        <w:tc>
          <w:tcPr>
            <w:tcW w:w="4460" w:type="dxa"/>
            <w:vAlign w:val="bottom"/>
            <w:gridSpan w:val="31"/>
          </w:tcPr>
          <w:p>
            <w:pPr>
              <w:spacing w:after="0" w:line="161" w:lineRule="exact"/>
              <w:rPr>
                <w:rFonts w:ascii="Arial" w:cs="Arial" w:eastAsia="Arial" w:hAnsi="Arial"/>
                <w:sz w:val="17"/>
                <w:szCs w:val="17"/>
                <w:color w:val="0000FF"/>
              </w:rPr>
            </w:pPr>
            <w:hyperlink r:id="rId214">
              <w:r>
                <w:rPr>
                  <w:rFonts w:ascii="Arial" w:cs="Arial" w:eastAsia="Arial" w:hAnsi="Arial"/>
                  <w:sz w:val="17"/>
                  <w:szCs w:val="17"/>
                  <w:color w:val="0000FF"/>
                </w:rPr>
                <w:t>Earl R. Ellis</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160" w:type="dxa"/>
            <w:vAlign w:val="bottom"/>
          </w:tcPr>
          <w:p>
            <w:pPr>
              <w:spacing w:after="0"/>
              <w:rPr>
                <w:sz w:val="13"/>
                <w:szCs w:val="13"/>
                <w:color w:val="auto"/>
              </w:rPr>
            </w:pPr>
          </w:p>
        </w:tc>
      </w:tr>
      <w:tr>
        <w:trPr>
          <w:trHeight w:val="29"/>
        </w:trPr>
        <w:tc>
          <w:tcPr>
            <w:tcW w:w="1300" w:type="dxa"/>
            <w:vAlign w:val="bottom"/>
          </w:tcPr>
          <w:p>
            <w:pPr>
              <w:spacing w:after="0"/>
              <w:rPr>
                <w:sz w:val="2"/>
                <w:szCs w:val="2"/>
                <w:color w:val="auto"/>
              </w:rPr>
            </w:pPr>
          </w:p>
        </w:tc>
        <w:tc>
          <w:tcPr>
            <w:tcW w:w="68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190"/>
        </w:trPr>
        <w:tc>
          <w:tcPr>
            <w:tcW w:w="1300" w:type="dxa"/>
            <w:vAlign w:val="bottom"/>
            <w:shd w:val="clear" w:color="auto" w:fill="DCE2EF"/>
          </w:tcPr>
          <w:p>
            <w:pPr>
              <w:ind w:left="20"/>
              <w:spacing w:after="0" w:line="190" w:lineRule="exact"/>
              <w:rPr>
                <w:sz w:val="20"/>
                <w:szCs w:val="20"/>
                <w:color w:val="auto"/>
              </w:rPr>
            </w:pPr>
            <w:r>
              <w:rPr>
                <w:rFonts w:ascii="Arial" w:cs="Arial" w:eastAsia="Arial" w:hAnsi="Arial"/>
                <w:sz w:val="17"/>
                <w:szCs w:val="17"/>
                <w:color w:val="auto"/>
              </w:rPr>
              <w:t>10.43*</w:t>
            </w:r>
          </w:p>
        </w:tc>
        <w:tc>
          <w:tcPr>
            <w:tcW w:w="4540" w:type="dxa"/>
            <w:vAlign w:val="bottom"/>
            <w:gridSpan w:val="35"/>
            <w:shd w:val="clear" w:color="auto" w:fill="DCE2EF"/>
          </w:tcPr>
          <w:p>
            <w:pPr>
              <w:spacing w:after="0" w:line="190" w:lineRule="exact"/>
              <w:rPr>
                <w:rFonts w:ascii="Arial" w:cs="Arial" w:eastAsia="Arial" w:hAnsi="Arial"/>
                <w:sz w:val="17"/>
                <w:szCs w:val="17"/>
                <w:color w:val="0000FF"/>
              </w:rPr>
            </w:pPr>
            <w:hyperlink r:id="rId215">
              <w:r>
                <w:rPr>
                  <w:rFonts w:ascii="Arial" w:cs="Arial" w:eastAsia="Arial" w:hAnsi="Arial"/>
                  <w:sz w:val="17"/>
                  <w:szCs w:val="17"/>
                  <w:color w:val="0000FF"/>
                </w:rPr>
                <w:t>Change in Control Agreement, dated as of November 30,</w:t>
              </w:r>
            </w:hyperlink>
          </w:p>
        </w:tc>
        <w:tc>
          <w:tcPr>
            <w:tcW w:w="860" w:type="dxa"/>
            <w:vAlign w:val="bottom"/>
            <w:shd w:val="clear" w:color="auto" w:fill="DCE2EF"/>
          </w:tcPr>
          <w:p>
            <w:pPr>
              <w:ind w:left="260"/>
              <w:spacing w:after="0" w:line="190" w:lineRule="exact"/>
              <w:rPr>
                <w:sz w:val="20"/>
                <w:szCs w:val="20"/>
                <w:color w:val="auto"/>
              </w:rPr>
            </w:pPr>
            <w:r>
              <w:rPr>
                <w:rFonts w:ascii="Arial" w:cs="Arial" w:eastAsia="Arial" w:hAnsi="Arial"/>
                <w:sz w:val="17"/>
                <w:szCs w:val="17"/>
                <w:color w:val="auto"/>
              </w:rPr>
              <w:t>10-Q</w:t>
            </w:r>
          </w:p>
        </w:tc>
        <w:tc>
          <w:tcPr>
            <w:tcW w:w="1340" w:type="dxa"/>
            <w:vAlign w:val="bottom"/>
            <w:shd w:val="clear" w:color="auto" w:fill="DCE2EF"/>
          </w:tcPr>
          <w:p>
            <w:pPr>
              <w:jc w:val="right"/>
              <w:ind w:right="194"/>
              <w:spacing w:after="0" w:line="190" w:lineRule="exact"/>
              <w:rPr>
                <w:sz w:val="20"/>
                <w:szCs w:val="20"/>
                <w:color w:val="auto"/>
              </w:rPr>
            </w:pPr>
            <w:r>
              <w:rPr>
                <w:rFonts w:ascii="Arial" w:cs="Arial" w:eastAsia="Arial" w:hAnsi="Arial"/>
                <w:sz w:val="17"/>
                <w:szCs w:val="17"/>
                <w:color w:val="auto"/>
              </w:rPr>
              <w:t>001-08929</w:t>
            </w:r>
          </w:p>
        </w:tc>
        <w:tc>
          <w:tcPr>
            <w:tcW w:w="1040" w:type="dxa"/>
            <w:vAlign w:val="bottom"/>
            <w:shd w:val="clear" w:color="auto" w:fill="DCE2EF"/>
          </w:tcPr>
          <w:p>
            <w:pPr>
              <w:jc w:val="center"/>
              <w:spacing w:after="0" w:line="190" w:lineRule="exact"/>
              <w:rPr>
                <w:sz w:val="20"/>
                <w:szCs w:val="20"/>
                <w:color w:val="auto"/>
              </w:rPr>
            </w:pPr>
            <w:r>
              <w:rPr>
                <w:rFonts w:ascii="Arial" w:cs="Arial" w:eastAsia="Arial" w:hAnsi="Arial"/>
                <w:sz w:val="17"/>
                <w:szCs w:val="17"/>
                <w:color w:val="auto"/>
              </w:rPr>
              <w:t>10.7</w:t>
            </w:r>
          </w:p>
        </w:tc>
        <w:tc>
          <w:tcPr>
            <w:tcW w:w="2160" w:type="dxa"/>
            <w:vAlign w:val="bottom"/>
            <w:shd w:val="clear" w:color="auto" w:fill="DCE2EF"/>
          </w:tcPr>
          <w:p>
            <w:pPr>
              <w:jc w:val="center"/>
              <w:spacing w:after="0" w:line="190" w:lineRule="exact"/>
              <w:rPr>
                <w:sz w:val="20"/>
                <w:szCs w:val="20"/>
                <w:color w:val="auto"/>
              </w:rPr>
            </w:pPr>
            <w:r>
              <w:rPr>
                <w:rFonts w:ascii="Arial" w:cs="Arial" w:eastAsia="Arial" w:hAnsi="Arial"/>
                <w:sz w:val="17"/>
                <w:szCs w:val="17"/>
                <w:color w:val="auto"/>
              </w:rPr>
              <w:t>June 9, 2021</w:t>
            </w:r>
          </w:p>
        </w:tc>
      </w:tr>
      <w:tr>
        <w:trPr>
          <w:trHeight w:val="148"/>
        </w:trPr>
        <w:tc>
          <w:tcPr>
            <w:tcW w:w="1300" w:type="dxa"/>
            <w:vAlign w:val="bottom"/>
            <w:tcBorders>
              <w:top w:val="single" w:sz="8" w:color="DCE2EF"/>
            </w:tcBorders>
            <w:shd w:val="clear" w:color="auto" w:fill="DCE2EF"/>
          </w:tcPr>
          <w:p>
            <w:pPr>
              <w:spacing w:after="0"/>
              <w:rPr>
                <w:sz w:val="12"/>
                <w:szCs w:val="12"/>
                <w:color w:val="auto"/>
              </w:rPr>
            </w:pPr>
          </w:p>
        </w:tc>
        <w:tc>
          <w:tcPr>
            <w:tcW w:w="4340" w:type="dxa"/>
            <w:vAlign w:val="bottom"/>
            <w:tcBorders>
              <w:top w:val="single" w:sz="8" w:color="0000FF"/>
            </w:tcBorders>
            <w:gridSpan w:val="26"/>
            <w:shd w:val="clear" w:color="auto" w:fill="DCE2EF"/>
          </w:tcPr>
          <w:p>
            <w:pPr>
              <w:spacing w:after="0" w:line="148" w:lineRule="exact"/>
              <w:rPr>
                <w:rFonts w:ascii="Arial" w:cs="Arial" w:eastAsia="Arial" w:hAnsi="Arial"/>
                <w:sz w:val="17"/>
                <w:szCs w:val="17"/>
                <w:color w:val="0000FF"/>
              </w:rPr>
            </w:pPr>
            <w:hyperlink r:id="rId215">
              <w:r>
                <w:rPr>
                  <w:rFonts w:ascii="Arial" w:cs="Arial" w:eastAsia="Arial" w:hAnsi="Arial"/>
                  <w:sz w:val="17"/>
                  <w:szCs w:val="17"/>
                  <w:color w:val="0000FF"/>
                </w:rPr>
                <w:t>2020, by and between ABM Industries Incorporated and</w:t>
              </w:r>
            </w:hyperlink>
          </w:p>
        </w:tc>
        <w:tc>
          <w:tcPr>
            <w:tcW w:w="160" w:type="dxa"/>
            <w:vAlign w:val="bottom"/>
            <w:tcBorders>
              <w:top w:val="single" w:sz="8" w:color="DCE2EF"/>
            </w:tcBorders>
            <w:gridSpan w:val="7"/>
            <w:shd w:val="clear" w:color="auto" w:fill="DCE2EF"/>
          </w:tcPr>
          <w:p>
            <w:pPr>
              <w:spacing w:after="0"/>
              <w:rPr>
                <w:sz w:val="12"/>
                <w:szCs w:val="12"/>
                <w:color w:val="auto"/>
              </w:rPr>
            </w:pPr>
          </w:p>
        </w:tc>
        <w:tc>
          <w:tcPr>
            <w:tcW w:w="20" w:type="dxa"/>
            <w:vAlign w:val="bottom"/>
            <w:tcBorders>
              <w:top w:val="single" w:sz="8" w:color="DCE2EF"/>
            </w:tcBorders>
            <w:shd w:val="clear" w:color="auto" w:fill="DCE2EF"/>
          </w:tcPr>
          <w:p>
            <w:pPr>
              <w:spacing w:after="0"/>
              <w:rPr>
                <w:sz w:val="12"/>
                <w:szCs w:val="12"/>
                <w:color w:val="auto"/>
              </w:rPr>
            </w:pPr>
          </w:p>
        </w:tc>
        <w:tc>
          <w:tcPr>
            <w:tcW w:w="20" w:type="dxa"/>
            <w:vAlign w:val="bottom"/>
            <w:tcBorders>
              <w:top w:val="single" w:sz="8" w:color="DCE2EF"/>
            </w:tcBorders>
            <w:shd w:val="clear" w:color="auto" w:fill="DCE2EF"/>
          </w:tcPr>
          <w:p>
            <w:pPr>
              <w:spacing w:after="0"/>
              <w:rPr>
                <w:sz w:val="12"/>
                <w:szCs w:val="12"/>
                <w:color w:val="auto"/>
              </w:rPr>
            </w:pPr>
          </w:p>
        </w:tc>
        <w:tc>
          <w:tcPr>
            <w:tcW w:w="860" w:type="dxa"/>
            <w:vAlign w:val="bottom"/>
            <w:tcBorders>
              <w:top w:val="single" w:sz="8" w:color="DCE2EF"/>
            </w:tcBorders>
            <w:shd w:val="clear" w:color="auto" w:fill="DCE2EF"/>
          </w:tcPr>
          <w:p>
            <w:pPr>
              <w:spacing w:after="0"/>
              <w:rPr>
                <w:sz w:val="12"/>
                <w:szCs w:val="12"/>
                <w:color w:val="auto"/>
              </w:rPr>
            </w:pPr>
          </w:p>
        </w:tc>
        <w:tc>
          <w:tcPr>
            <w:tcW w:w="1340" w:type="dxa"/>
            <w:vAlign w:val="bottom"/>
            <w:tcBorders>
              <w:top w:val="single" w:sz="8" w:color="DCE2EF"/>
            </w:tcBorders>
            <w:shd w:val="clear" w:color="auto" w:fill="DCE2EF"/>
          </w:tcPr>
          <w:p>
            <w:pPr>
              <w:spacing w:after="0"/>
              <w:rPr>
                <w:sz w:val="12"/>
                <w:szCs w:val="12"/>
                <w:color w:val="auto"/>
              </w:rPr>
            </w:pPr>
          </w:p>
        </w:tc>
        <w:tc>
          <w:tcPr>
            <w:tcW w:w="1040" w:type="dxa"/>
            <w:vAlign w:val="bottom"/>
            <w:tcBorders>
              <w:top w:val="single" w:sz="8" w:color="DCE2EF"/>
            </w:tcBorders>
            <w:shd w:val="clear" w:color="auto" w:fill="DCE2EF"/>
          </w:tcPr>
          <w:p>
            <w:pPr>
              <w:spacing w:after="0"/>
              <w:rPr>
                <w:sz w:val="12"/>
                <w:szCs w:val="12"/>
                <w:color w:val="auto"/>
              </w:rPr>
            </w:pPr>
          </w:p>
        </w:tc>
        <w:tc>
          <w:tcPr>
            <w:tcW w:w="2160" w:type="dxa"/>
            <w:vAlign w:val="bottom"/>
            <w:tcBorders>
              <w:top w:val="single" w:sz="8" w:color="DCE2EF"/>
            </w:tcBorders>
            <w:shd w:val="clear" w:color="auto" w:fill="DCE2EF"/>
          </w:tcPr>
          <w:p>
            <w:pPr>
              <w:spacing w:after="0"/>
              <w:rPr>
                <w:sz w:val="12"/>
                <w:szCs w:val="12"/>
                <w:color w:val="auto"/>
              </w:rPr>
            </w:pPr>
          </w:p>
        </w:tc>
      </w:tr>
      <w:tr>
        <w:trPr>
          <w:trHeight w:val="160"/>
        </w:trPr>
        <w:tc>
          <w:tcPr>
            <w:tcW w:w="1300" w:type="dxa"/>
            <w:vAlign w:val="bottom"/>
            <w:tcBorders>
              <w:top w:val="single" w:sz="8" w:color="DCE2EF"/>
            </w:tcBorders>
            <w:shd w:val="clear" w:color="auto" w:fill="DCE2EF"/>
          </w:tcPr>
          <w:p>
            <w:pPr>
              <w:spacing w:after="0"/>
              <w:rPr>
                <w:sz w:val="13"/>
                <w:szCs w:val="13"/>
                <w:color w:val="auto"/>
              </w:rPr>
            </w:pPr>
          </w:p>
        </w:tc>
        <w:tc>
          <w:tcPr>
            <w:tcW w:w="4240" w:type="dxa"/>
            <w:vAlign w:val="bottom"/>
            <w:tcBorders>
              <w:top w:val="single" w:sz="8" w:color="0000FF"/>
            </w:tcBorders>
            <w:gridSpan w:val="22"/>
            <w:shd w:val="clear" w:color="auto" w:fill="DCE2EF"/>
          </w:tcPr>
          <w:p>
            <w:pPr>
              <w:spacing w:after="0" w:line="161" w:lineRule="exact"/>
              <w:rPr>
                <w:rFonts w:ascii="Arial" w:cs="Arial" w:eastAsia="Arial" w:hAnsi="Arial"/>
                <w:sz w:val="17"/>
                <w:szCs w:val="17"/>
                <w:color w:val="0000FF"/>
              </w:rPr>
            </w:pPr>
            <w:hyperlink r:id="rId215">
              <w:r>
                <w:rPr>
                  <w:rFonts w:ascii="Arial" w:cs="Arial" w:eastAsia="Arial" w:hAnsi="Arial"/>
                  <w:sz w:val="17"/>
                  <w:szCs w:val="17"/>
                  <w:color w:val="0000FF"/>
                </w:rPr>
                <w:t>Earl R. Ellis</w:t>
              </w:r>
            </w:hyperlink>
          </w:p>
        </w:tc>
        <w:tc>
          <w:tcPr>
            <w:tcW w:w="80" w:type="dxa"/>
            <w:vAlign w:val="bottom"/>
            <w:tcBorders>
              <w:top w:val="single" w:sz="8" w:color="DCE2EF"/>
            </w:tcBorders>
            <w:gridSpan w:val="3"/>
            <w:shd w:val="clear" w:color="auto" w:fill="DCE2EF"/>
          </w:tcPr>
          <w:p>
            <w:pPr>
              <w:spacing w:after="0"/>
              <w:rPr>
                <w:sz w:val="13"/>
                <w:szCs w:val="13"/>
                <w:color w:val="auto"/>
              </w:rPr>
            </w:pPr>
          </w:p>
        </w:tc>
        <w:tc>
          <w:tcPr>
            <w:tcW w:w="180" w:type="dxa"/>
            <w:vAlign w:val="bottom"/>
            <w:tcBorders>
              <w:top w:val="single" w:sz="8" w:color="DCE2EF"/>
            </w:tcBorders>
            <w:gridSpan w:val="8"/>
            <w:shd w:val="clear" w:color="auto" w:fill="DCE2EF"/>
          </w:tcPr>
          <w:p>
            <w:pPr>
              <w:spacing w:after="0"/>
              <w:rPr>
                <w:sz w:val="13"/>
                <w:szCs w:val="13"/>
                <w:color w:val="auto"/>
              </w:rPr>
            </w:pPr>
          </w:p>
        </w:tc>
        <w:tc>
          <w:tcPr>
            <w:tcW w:w="20" w:type="dxa"/>
            <w:vAlign w:val="bottom"/>
            <w:tcBorders>
              <w:top w:val="single" w:sz="8" w:color="DCE2EF"/>
            </w:tcBorders>
            <w:shd w:val="clear" w:color="auto" w:fill="DCE2EF"/>
          </w:tcPr>
          <w:p>
            <w:pPr>
              <w:spacing w:after="0"/>
              <w:rPr>
                <w:sz w:val="13"/>
                <w:szCs w:val="13"/>
                <w:color w:val="auto"/>
              </w:rPr>
            </w:pPr>
          </w:p>
        </w:tc>
        <w:tc>
          <w:tcPr>
            <w:tcW w:w="20" w:type="dxa"/>
            <w:vAlign w:val="bottom"/>
            <w:tcBorders>
              <w:top w:val="single" w:sz="8" w:color="DCE2EF"/>
            </w:tcBorders>
            <w:shd w:val="clear" w:color="auto" w:fill="DCE2EF"/>
          </w:tcPr>
          <w:p>
            <w:pPr>
              <w:spacing w:after="0"/>
              <w:rPr>
                <w:sz w:val="13"/>
                <w:szCs w:val="13"/>
                <w:color w:val="auto"/>
              </w:rPr>
            </w:pPr>
          </w:p>
        </w:tc>
        <w:tc>
          <w:tcPr>
            <w:tcW w:w="860" w:type="dxa"/>
            <w:vAlign w:val="bottom"/>
            <w:tcBorders>
              <w:top w:val="single" w:sz="8" w:color="DCE2EF"/>
            </w:tcBorders>
            <w:shd w:val="clear" w:color="auto" w:fill="DCE2EF"/>
          </w:tcPr>
          <w:p>
            <w:pPr>
              <w:spacing w:after="0"/>
              <w:rPr>
                <w:sz w:val="13"/>
                <w:szCs w:val="13"/>
                <w:color w:val="auto"/>
              </w:rPr>
            </w:pPr>
          </w:p>
        </w:tc>
        <w:tc>
          <w:tcPr>
            <w:tcW w:w="1340" w:type="dxa"/>
            <w:vAlign w:val="bottom"/>
            <w:tcBorders>
              <w:top w:val="single" w:sz="8" w:color="DCE2EF"/>
            </w:tcBorders>
            <w:shd w:val="clear" w:color="auto" w:fill="DCE2EF"/>
          </w:tcPr>
          <w:p>
            <w:pPr>
              <w:spacing w:after="0"/>
              <w:rPr>
                <w:sz w:val="13"/>
                <w:szCs w:val="13"/>
                <w:color w:val="auto"/>
              </w:rPr>
            </w:pPr>
          </w:p>
        </w:tc>
        <w:tc>
          <w:tcPr>
            <w:tcW w:w="1040" w:type="dxa"/>
            <w:vAlign w:val="bottom"/>
            <w:tcBorders>
              <w:top w:val="single" w:sz="8" w:color="DCE2EF"/>
            </w:tcBorders>
            <w:shd w:val="clear" w:color="auto" w:fill="DCE2EF"/>
          </w:tcPr>
          <w:p>
            <w:pPr>
              <w:spacing w:after="0"/>
              <w:rPr>
                <w:sz w:val="13"/>
                <w:szCs w:val="13"/>
                <w:color w:val="auto"/>
              </w:rPr>
            </w:pPr>
          </w:p>
        </w:tc>
        <w:tc>
          <w:tcPr>
            <w:tcW w:w="2160" w:type="dxa"/>
            <w:vAlign w:val="bottom"/>
            <w:tcBorders>
              <w:top w:val="single" w:sz="8" w:color="DCE2EF"/>
            </w:tcBorders>
            <w:shd w:val="clear" w:color="auto" w:fill="DCE2EF"/>
          </w:tcPr>
          <w:p>
            <w:pPr>
              <w:spacing w:after="0"/>
              <w:rPr>
                <w:sz w:val="13"/>
                <w:szCs w:val="13"/>
                <w:color w:val="auto"/>
              </w:rPr>
            </w:pPr>
          </w:p>
        </w:tc>
      </w:tr>
      <w:tr>
        <w:trPr>
          <w:trHeight w:val="39"/>
        </w:trPr>
        <w:tc>
          <w:tcPr>
            <w:tcW w:w="1300" w:type="dxa"/>
            <w:vAlign w:val="bottom"/>
            <w:shd w:val="clear" w:color="auto" w:fill="DCE2EF"/>
          </w:tcPr>
          <w:p>
            <w:pPr>
              <w:spacing w:after="0"/>
              <w:rPr>
                <w:sz w:val="3"/>
                <w:szCs w:val="3"/>
                <w:color w:val="auto"/>
              </w:rPr>
            </w:pPr>
          </w:p>
        </w:tc>
        <w:tc>
          <w:tcPr>
            <w:tcW w:w="68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120" w:type="dxa"/>
            <w:vAlign w:val="bottom"/>
            <w:shd w:val="clear" w:color="auto" w:fill="DCE2EF"/>
          </w:tcPr>
          <w:p>
            <w:pPr>
              <w:spacing w:after="0"/>
              <w:rPr>
                <w:sz w:val="3"/>
                <w:szCs w:val="3"/>
                <w:color w:val="auto"/>
              </w:rPr>
            </w:pPr>
          </w:p>
        </w:tc>
        <w:tc>
          <w:tcPr>
            <w:tcW w:w="200" w:type="dxa"/>
            <w:vAlign w:val="bottom"/>
            <w:shd w:val="clear" w:color="auto" w:fill="DCE2EF"/>
          </w:tcPr>
          <w:p>
            <w:pPr>
              <w:spacing w:after="0"/>
              <w:rPr>
                <w:sz w:val="3"/>
                <w:szCs w:val="3"/>
                <w:color w:val="auto"/>
              </w:rPr>
            </w:pPr>
          </w:p>
        </w:tc>
        <w:tc>
          <w:tcPr>
            <w:tcW w:w="80" w:type="dxa"/>
            <w:vAlign w:val="bottom"/>
            <w:shd w:val="clear" w:color="auto" w:fill="DCE2EF"/>
          </w:tcPr>
          <w:p>
            <w:pPr>
              <w:spacing w:after="0"/>
              <w:rPr>
                <w:sz w:val="3"/>
                <w:szCs w:val="3"/>
                <w:color w:val="auto"/>
              </w:rPr>
            </w:pPr>
          </w:p>
        </w:tc>
        <w:tc>
          <w:tcPr>
            <w:tcW w:w="220" w:type="dxa"/>
            <w:vAlign w:val="bottom"/>
            <w:shd w:val="clear" w:color="auto" w:fill="DCE2EF"/>
          </w:tcPr>
          <w:p>
            <w:pPr>
              <w:spacing w:after="0"/>
              <w:rPr>
                <w:sz w:val="3"/>
                <w:szCs w:val="3"/>
                <w:color w:val="auto"/>
              </w:rPr>
            </w:pPr>
          </w:p>
        </w:tc>
        <w:tc>
          <w:tcPr>
            <w:tcW w:w="140" w:type="dxa"/>
            <w:vAlign w:val="bottom"/>
            <w:shd w:val="clear" w:color="auto" w:fill="DCE2EF"/>
          </w:tcPr>
          <w:p>
            <w:pPr>
              <w:spacing w:after="0"/>
              <w:rPr>
                <w:sz w:val="3"/>
                <w:szCs w:val="3"/>
                <w:color w:val="auto"/>
              </w:rPr>
            </w:pPr>
          </w:p>
        </w:tc>
        <w:tc>
          <w:tcPr>
            <w:tcW w:w="380" w:type="dxa"/>
            <w:vAlign w:val="bottom"/>
            <w:shd w:val="clear" w:color="auto" w:fill="DCE2EF"/>
          </w:tcPr>
          <w:p>
            <w:pPr>
              <w:spacing w:after="0"/>
              <w:rPr>
                <w:sz w:val="3"/>
                <w:szCs w:val="3"/>
                <w:color w:val="auto"/>
              </w:rPr>
            </w:pPr>
          </w:p>
        </w:tc>
        <w:tc>
          <w:tcPr>
            <w:tcW w:w="80" w:type="dxa"/>
            <w:vAlign w:val="bottom"/>
            <w:shd w:val="clear" w:color="auto" w:fill="DCE2EF"/>
          </w:tcPr>
          <w:p>
            <w:pPr>
              <w:spacing w:after="0"/>
              <w:rPr>
                <w:sz w:val="3"/>
                <w:szCs w:val="3"/>
                <w:color w:val="auto"/>
              </w:rPr>
            </w:pPr>
          </w:p>
        </w:tc>
        <w:tc>
          <w:tcPr>
            <w:tcW w:w="140" w:type="dxa"/>
            <w:vAlign w:val="bottom"/>
            <w:shd w:val="clear" w:color="auto" w:fill="DCE2EF"/>
          </w:tcPr>
          <w:p>
            <w:pPr>
              <w:spacing w:after="0"/>
              <w:rPr>
                <w:sz w:val="3"/>
                <w:szCs w:val="3"/>
                <w:color w:val="auto"/>
              </w:rPr>
            </w:pPr>
          </w:p>
        </w:tc>
        <w:tc>
          <w:tcPr>
            <w:tcW w:w="600" w:type="dxa"/>
            <w:vAlign w:val="bottom"/>
            <w:shd w:val="clear" w:color="auto" w:fill="DCE2EF"/>
          </w:tcPr>
          <w:p>
            <w:pPr>
              <w:spacing w:after="0"/>
              <w:rPr>
                <w:sz w:val="3"/>
                <w:szCs w:val="3"/>
                <w:color w:val="auto"/>
              </w:rPr>
            </w:pPr>
          </w:p>
        </w:tc>
        <w:tc>
          <w:tcPr>
            <w:tcW w:w="300" w:type="dxa"/>
            <w:vAlign w:val="bottom"/>
            <w:shd w:val="clear" w:color="auto" w:fill="DCE2EF"/>
          </w:tcPr>
          <w:p>
            <w:pPr>
              <w:spacing w:after="0"/>
              <w:rPr>
                <w:sz w:val="3"/>
                <w:szCs w:val="3"/>
                <w:color w:val="auto"/>
              </w:rPr>
            </w:pPr>
          </w:p>
        </w:tc>
        <w:tc>
          <w:tcPr>
            <w:tcW w:w="460" w:type="dxa"/>
            <w:vAlign w:val="bottom"/>
            <w:shd w:val="clear" w:color="auto" w:fill="DCE2EF"/>
          </w:tcPr>
          <w:p>
            <w:pPr>
              <w:spacing w:after="0"/>
              <w:rPr>
                <w:sz w:val="3"/>
                <w:szCs w:val="3"/>
                <w:color w:val="auto"/>
              </w:rPr>
            </w:pPr>
          </w:p>
        </w:tc>
        <w:tc>
          <w:tcPr>
            <w:tcW w:w="240" w:type="dxa"/>
            <w:vAlign w:val="bottom"/>
            <w:shd w:val="clear" w:color="auto" w:fill="DCE2EF"/>
          </w:tcPr>
          <w:p>
            <w:pPr>
              <w:spacing w:after="0"/>
              <w:rPr>
                <w:sz w:val="3"/>
                <w:szCs w:val="3"/>
                <w:color w:val="auto"/>
              </w:rPr>
            </w:pPr>
          </w:p>
        </w:tc>
        <w:tc>
          <w:tcPr>
            <w:tcW w:w="140" w:type="dxa"/>
            <w:vAlign w:val="bottom"/>
            <w:shd w:val="clear" w:color="auto" w:fill="DCE2EF"/>
          </w:tcPr>
          <w:p>
            <w:pPr>
              <w:spacing w:after="0"/>
              <w:rPr>
                <w:sz w:val="3"/>
                <w:szCs w:val="3"/>
                <w:color w:val="auto"/>
              </w:rPr>
            </w:pPr>
          </w:p>
        </w:tc>
        <w:tc>
          <w:tcPr>
            <w:tcW w:w="20" w:type="dxa"/>
            <w:vAlign w:val="bottom"/>
            <w:shd w:val="clear" w:color="auto" w:fill="DCE2EF"/>
          </w:tcPr>
          <w:p>
            <w:pPr>
              <w:spacing w:after="0"/>
              <w:rPr>
                <w:sz w:val="3"/>
                <w:szCs w:val="3"/>
                <w:color w:val="auto"/>
              </w:rPr>
            </w:pPr>
          </w:p>
        </w:tc>
        <w:tc>
          <w:tcPr>
            <w:tcW w:w="60" w:type="dxa"/>
            <w:vAlign w:val="bottom"/>
            <w:shd w:val="clear" w:color="auto" w:fill="DCE2EF"/>
          </w:tcPr>
          <w:p>
            <w:pPr>
              <w:spacing w:after="0"/>
              <w:rPr>
                <w:sz w:val="3"/>
                <w:szCs w:val="3"/>
                <w:color w:val="auto"/>
              </w:rPr>
            </w:pPr>
          </w:p>
        </w:tc>
        <w:tc>
          <w:tcPr>
            <w:tcW w:w="60" w:type="dxa"/>
            <w:vAlign w:val="bottom"/>
            <w:shd w:val="clear" w:color="auto" w:fill="DCE2EF"/>
          </w:tcPr>
          <w:p>
            <w:pPr>
              <w:spacing w:after="0"/>
              <w:rPr>
                <w:sz w:val="3"/>
                <w:szCs w:val="3"/>
                <w:color w:val="auto"/>
              </w:rPr>
            </w:pPr>
          </w:p>
        </w:tc>
        <w:tc>
          <w:tcPr>
            <w:tcW w:w="20" w:type="dxa"/>
            <w:vAlign w:val="bottom"/>
            <w:shd w:val="clear" w:color="auto" w:fill="DCE2EF"/>
          </w:tcPr>
          <w:p>
            <w:pPr>
              <w:spacing w:after="0"/>
              <w:rPr>
                <w:sz w:val="3"/>
                <w:szCs w:val="3"/>
                <w:color w:val="auto"/>
              </w:rPr>
            </w:pPr>
          </w:p>
        </w:tc>
        <w:tc>
          <w:tcPr>
            <w:tcW w:w="40" w:type="dxa"/>
            <w:vAlign w:val="bottom"/>
            <w:shd w:val="clear" w:color="auto" w:fill="DCE2EF"/>
          </w:tcPr>
          <w:p>
            <w:pPr>
              <w:spacing w:after="0"/>
              <w:rPr>
                <w:sz w:val="3"/>
                <w:szCs w:val="3"/>
                <w:color w:val="auto"/>
              </w:rPr>
            </w:pPr>
          </w:p>
        </w:tc>
        <w:tc>
          <w:tcPr>
            <w:tcW w:w="20" w:type="dxa"/>
            <w:vAlign w:val="bottom"/>
            <w:shd w:val="clear" w:color="auto" w:fill="DCE2EF"/>
          </w:tcPr>
          <w:p>
            <w:pPr>
              <w:spacing w:after="0"/>
              <w:rPr>
                <w:sz w:val="3"/>
                <w:szCs w:val="3"/>
                <w:color w:val="auto"/>
              </w:rPr>
            </w:pPr>
          </w:p>
        </w:tc>
        <w:tc>
          <w:tcPr>
            <w:tcW w:w="40" w:type="dxa"/>
            <w:vAlign w:val="bottom"/>
            <w:shd w:val="clear" w:color="auto" w:fill="DCE2EF"/>
          </w:tcPr>
          <w:p>
            <w:pPr>
              <w:spacing w:after="0"/>
              <w:rPr>
                <w:sz w:val="3"/>
                <w:szCs w:val="3"/>
                <w:color w:val="auto"/>
              </w:rPr>
            </w:pPr>
          </w:p>
        </w:tc>
        <w:tc>
          <w:tcPr>
            <w:tcW w:w="20" w:type="dxa"/>
            <w:vAlign w:val="bottom"/>
            <w:shd w:val="clear" w:color="auto" w:fill="DCE2EF"/>
          </w:tcPr>
          <w:p>
            <w:pPr>
              <w:spacing w:after="0"/>
              <w:rPr>
                <w:sz w:val="3"/>
                <w:szCs w:val="3"/>
                <w:color w:val="auto"/>
              </w:rPr>
            </w:pPr>
          </w:p>
        </w:tc>
        <w:tc>
          <w:tcPr>
            <w:tcW w:w="40" w:type="dxa"/>
            <w:vAlign w:val="bottom"/>
            <w:shd w:val="clear" w:color="auto" w:fill="DCE2EF"/>
          </w:tcPr>
          <w:p>
            <w:pPr>
              <w:spacing w:after="0"/>
              <w:rPr>
                <w:sz w:val="3"/>
                <w:szCs w:val="3"/>
                <w:color w:val="auto"/>
              </w:rPr>
            </w:pPr>
          </w:p>
        </w:tc>
        <w:tc>
          <w:tcPr>
            <w:tcW w:w="20" w:type="dxa"/>
            <w:vAlign w:val="bottom"/>
            <w:shd w:val="clear" w:color="auto" w:fill="DCE2EF"/>
          </w:tcPr>
          <w:p>
            <w:pPr>
              <w:spacing w:after="0"/>
              <w:rPr>
                <w:sz w:val="3"/>
                <w:szCs w:val="3"/>
                <w:color w:val="auto"/>
              </w:rPr>
            </w:pPr>
          </w:p>
        </w:tc>
        <w:tc>
          <w:tcPr>
            <w:tcW w:w="20" w:type="dxa"/>
            <w:vAlign w:val="bottom"/>
            <w:shd w:val="clear" w:color="auto" w:fill="DCE2EF"/>
          </w:tcPr>
          <w:p>
            <w:pPr>
              <w:spacing w:after="0"/>
              <w:rPr>
                <w:sz w:val="3"/>
                <w:szCs w:val="3"/>
                <w:color w:val="auto"/>
              </w:rPr>
            </w:pPr>
          </w:p>
        </w:tc>
        <w:tc>
          <w:tcPr>
            <w:tcW w:w="40" w:type="dxa"/>
            <w:vAlign w:val="bottom"/>
            <w:shd w:val="clear" w:color="auto" w:fill="DCE2EF"/>
          </w:tcPr>
          <w:p>
            <w:pPr>
              <w:spacing w:after="0"/>
              <w:rPr>
                <w:sz w:val="3"/>
                <w:szCs w:val="3"/>
                <w:color w:val="auto"/>
              </w:rPr>
            </w:pPr>
          </w:p>
        </w:tc>
        <w:tc>
          <w:tcPr>
            <w:tcW w:w="20" w:type="dxa"/>
            <w:vAlign w:val="bottom"/>
            <w:shd w:val="clear" w:color="auto" w:fill="DCE2EF"/>
          </w:tcPr>
          <w:p>
            <w:pPr>
              <w:spacing w:after="0"/>
              <w:rPr>
                <w:sz w:val="3"/>
                <w:szCs w:val="3"/>
                <w:color w:val="auto"/>
              </w:rPr>
            </w:pPr>
          </w:p>
        </w:tc>
        <w:tc>
          <w:tcPr>
            <w:tcW w:w="20" w:type="dxa"/>
            <w:vAlign w:val="bottom"/>
            <w:shd w:val="clear" w:color="auto" w:fill="DCE2EF"/>
          </w:tcPr>
          <w:p>
            <w:pPr>
              <w:spacing w:after="0"/>
              <w:rPr>
                <w:sz w:val="3"/>
                <w:szCs w:val="3"/>
                <w:color w:val="auto"/>
              </w:rPr>
            </w:pPr>
          </w:p>
        </w:tc>
        <w:tc>
          <w:tcPr>
            <w:tcW w:w="20" w:type="dxa"/>
            <w:vAlign w:val="bottom"/>
            <w:shd w:val="clear" w:color="auto" w:fill="DCE2EF"/>
          </w:tcPr>
          <w:p>
            <w:pPr>
              <w:spacing w:after="0"/>
              <w:rPr>
                <w:sz w:val="3"/>
                <w:szCs w:val="3"/>
                <w:color w:val="auto"/>
              </w:rPr>
            </w:pPr>
          </w:p>
        </w:tc>
        <w:tc>
          <w:tcPr>
            <w:tcW w:w="20" w:type="dxa"/>
            <w:vAlign w:val="bottom"/>
            <w:shd w:val="clear" w:color="auto" w:fill="DCE2EF"/>
          </w:tcPr>
          <w:p>
            <w:pPr>
              <w:spacing w:after="0"/>
              <w:rPr>
                <w:sz w:val="3"/>
                <w:szCs w:val="3"/>
                <w:color w:val="auto"/>
              </w:rPr>
            </w:pPr>
          </w:p>
        </w:tc>
        <w:tc>
          <w:tcPr>
            <w:tcW w:w="20" w:type="dxa"/>
            <w:vAlign w:val="bottom"/>
            <w:shd w:val="clear" w:color="auto" w:fill="DCE2EF"/>
          </w:tcPr>
          <w:p>
            <w:pPr>
              <w:spacing w:after="0"/>
              <w:rPr>
                <w:sz w:val="3"/>
                <w:szCs w:val="3"/>
                <w:color w:val="auto"/>
              </w:rPr>
            </w:pPr>
          </w:p>
        </w:tc>
        <w:tc>
          <w:tcPr>
            <w:tcW w:w="20" w:type="dxa"/>
            <w:vAlign w:val="bottom"/>
            <w:shd w:val="clear" w:color="auto" w:fill="DCE2EF"/>
          </w:tcPr>
          <w:p>
            <w:pPr>
              <w:spacing w:after="0"/>
              <w:rPr>
                <w:sz w:val="3"/>
                <w:szCs w:val="3"/>
                <w:color w:val="auto"/>
              </w:rPr>
            </w:pPr>
          </w:p>
        </w:tc>
        <w:tc>
          <w:tcPr>
            <w:tcW w:w="20" w:type="dxa"/>
            <w:vAlign w:val="bottom"/>
            <w:shd w:val="clear" w:color="auto" w:fill="DCE2EF"/>
          </w:tcPr>
          <w:p>
            <w:pPr>
              <w:spacing w:after="0"/>
              <w:rPr>
                <w:sz w:val="3"/>
                <w:szCs w:val="3"/>
                <w:color w:val="auto"/>
              </w:rPr>
            </w:pPr>
          </w:p>
        </w:tc>
        <w:tc>
          <w:tcPr>
            <w:tcW w:w="20" w:type="dxa"/>
            <w:vAlign w:val="bottom"/>
            <w:shd w:val="clear" w:color="auto" w:fill="DCE2EF"/>
          </w:tcPr>
          <w:p>
            <w:pPr>
              <w:spacing w:after="0"/>
              <w:rPr>
                <w:sz w:val="3"/>
                <w:szCs w:val="3"/>
                <w:color w:val="auto"/>
              </w:rPr>
            </w:pPr>
          </w:p>
        </w:tc>
        <w:tc>
          <w:tcPr>
            <w:tcW w:w="860" w:type="dxa"/>
            <w:vAlign w:val="bottom"/>
            <w:shd w:val="clear" w:color="auto" w:fill="DCE2EF"/>
          </w:tcPr>
          <w:p>
            <w:pPr>
              <w:spacing w:after="0"/>
              <w:rPr>
                <w:sz w:val="3"/>
                <w:szCs w:val="3"/>
                <w:color w:val="auto"/>
              </w:rPr>
            </w:pPr>
          </w:p>
        </w:tc>
        <w:tc>
          <w:tcPr>
            <w:tcW w:w="1340" w:type="dxa"/>
            <w:vAlign w:val="bottom"/>
            <w:shd w:val="clear" w:color="auto" w:fill="DCE2EF"/>
          </w:tcPr>
          <w:p>
            <w:pPr>
              <w:spacing w:after="0"/>
              <w:rPr>
                <w:sz w:val="3"/>
                <w:szCs w:val="3"/>
                <w:color w:val="auto"/>
              </w:rPr>
            </w:pPr>
          </w:p>
        </w:tc>
        <w:tc>
          <w:tcPr>
            <w:tcW w:w="1040" w:type="dxa"/>
            <w:vAlign w:val="bottom"/>
            <w:shd w:val="clear" w:color="auto" w:fill="DCE2EF"/>
          </w:tcPr>
          <w:p>
            <w:pPr>
              <w:spacing w:after="0"/>
              <w:rPr>
                <w:sz w:val="3"/>
                <w:szCs w:val="3"/>
                <w:color w:val="auto"/>
              </w:rPr>
            </w:pPr>
          </w:p>
        </w:tc>
        <w:tc>
          <w:tcPr>
            <w:tcW w:w="2160" w:type="dxa"/>
            <w:vAlign w:val="bottom"/>
            <w:shd w:val="clear" w:color="auto" w:fill="DCE2EF"/>
          </w:tcPr>
          <w:p>
            <w:pPr>
              <w:spacing w:after="0"/>
              <w:rPr>
                <w:sz w:val="3"/>
                <w:szCs w:val="3"/>
                <w:color w:val="auto"/>
              </w:rPr>
            </w:pPr>
          </w:p>
        </w:tc>
      </w:tr>
      <w:tr>
        <w:trPr>
          <w:trHeight w:val="180"/>
        </w:trPr>
        <w:tc>
          <w:tcPr>
            <w:tcW w:w="1300" w:type="dxa"/>
            <w:vAlign w:val="bottom"/>
          </w:tcPr>
          <w:p>
            <w:pPr>
              <w:ind w:left="20"/>
              <w:spacing w:after="0" w:line="180" w:lineRule="exact"/>
              <w:rPr>
                <w:sz w:val="20"/>
                <w:szCs w:val="20"/>
                <w:color w:val="auto"/>
              </w:rPr>
            </w:pPr>
            <w:r>
              <w:rPr>
                <w:rFonts w:ascii="Arial" w:cs="Arial" w:eastAsia="Arial" w:hAnsi="Arial"/>
                <w:sz w:val="17"/>
                <w:szCs w:val="17"/>
                <w:color w:val="auto"/>
              </w:rPr>
              <w:t>10.44*</w:t>
            </w:r>
          </w:p>
        </w:tc>
        <w:tc>
          <w:tcPr>
            <w:tcW w:w="4540" w:type="dxa"/>
            <w:vAlign w:val="bottom"/>
            <w:gridSpan w:val="35"/>
          </w:tcPr>
          <w:p>
            <w:pPr>
              <w:spacing w:after="0" w:line="180" w:lineRule="exact"/>
              <w:rPr>
                <w:rFonts w:ascii="Arial" w:cs="Arial" w:eastAsia="Arial" w:hAnsi="Arial"/>
                <w:sz w:val="17"/>
                <w:szCs w:val="17"/>
                <w:color w:val="0000FF"/>
              </w:rPr>
            </w:pPr>
            <w:hyperlink r:id="rId216">
              <w:r>
                <w:rPr>
                  <w:rFonts w:ascii="Arial" w:cs="Arial" w:eastAsia="Arial" w:hAnsi="Arial"/>
                  <w:sz w:val="17"/>
                  <w:szCs w:val="17"/>
                  <w:color w:val="0000FF"/>
                </w:rPr>
                <w:t>Executive Employment Agreement, dated as of September</w:t>
              </w:r>
            </w:hyperlink>
          </w:p>
        </w:tc>
        <w:tc>
          <w:tcPr>
            <w:tcW w:w="860" w:type="dxa"/>
            <w:vAlign w:val="bottom"/>
          </w:tcPr>
          <w:p>
            <w:pPr>
              <w:ind w:left="260"/>
              <w:spacing w:after="0" w:line="180" w:lineRule="exact"/>
              <w:rPr>
                <w:sz w:val="20"/>
                <w:szCs w:val="20"/>
                <w:color w:val="auto"/>
              </w:rPr>
            </w:pPr>
            <w:r>
              <w:rPr>
                <w:rFonts w:ascii="Arial" w:cs="Arial" w:eastAsia="Arial" w:hAnsi="Arial"/>
                <w:sz w:val="17"/>
                <w:szCs w:val="17"/>
                <w:color w:val="auto"/>
              </w:rPr>
              <w:t>10-Q</w:t>
            </w:r>
          </w:p>
        </w:tc>
        <w:tc>
          <w:tcPr>
            <w:tcW w:w="1340" w:type="dxa"/>
            <w:vAlign w:val="bottom"/>
          </w:tcPr>
          <w:p>
            <w:pPr>
              <w:jc w:val="right"/>
              <w:ind w:right="194"/>
              <w:spacing w:after="0" w:line="180" w:lineRule="exact"/>
              <w:rPr>
                <w:sz w:val="20"/>
                <w:szCs w:val="20"/>
                <w:color w:val="auto"/>
              </w:rPr>
            </w:pPr>
            <w:r>
              <w:rPr>
                <w:rFonts w:ascii="Arial" w:cs="Arial" w:eastAsia="Arial" w:hAnsi="Arial"/>
                <w:sz w:val="17"/>
                <w:szCs w:val="17"/>
                <w:color w:val="auto"/>
              </w:rPr>
              <w:t>001-08929</w:t>
            </w:r>
          </w:p>
        </w:tc>
        <w:tc>
          <w:tcPr>
            <w:tcW w:w="1040" w:type="dxa"/>
            <w:vAlign w:val="bottom"/>
          </w:tcPr>
          <w:p>
            <w:pPr>
              <w:jc w:val="center"/>
              <w:spacing w:after="0" w:line="180" w:lineRule="exact"/>
              <w:rPr>
                <w:sz w:val="20"/>
                <w:szCs w:val="20"/>
                <w:color w:val="auto"/>
              </w:rPr>
            </w:pPr>
            <w:r>
              <w:rPr>
                <w:rFonts w:ascii="Arial" w:cs="Arial" w:eastAsia="Arial" w:hAnsi="Arial"/>
                <w:sz w:val="17"/>
                <w:szCs w:val="17"/>
                <w:color w:val="auto"/>
              </w:rPr>
              <w:t>10.1</w:t>
            </w:r>
          </w:p>
        </w:tc>
        <w:tc>
          <w:tcPr>
            <w:tcW w:w="2160" w:type="dxa"/>
            <w:vAlign w:val="bottom"/>
          </w:tcPr>
          <w:p>
            <w:pPr>
              <w:jc w:val="center"/>
              <w:spacing w:after="0" w:line="180" w:lineRule="exact"/>
              <w:rPr>
                <w:sz w:val="20"/>
                <w:szCs w:val="20"/>
                <w:color w:val="auto"/>
              </w:rPr>
            </w:pPr>
            <w:r>
              <w:rPr>
                <w:rFonts w:ascii="Arial" w:cs="Arial" w:eastAsia="Arial" w:hAnsi="Arial"/>
                <w:sz w:val="17"/>
                <w:szCs w:val="17"/>
                <w:color w:val="auto"/>
              </w:rPr>
              <w:t>March 12, 2025</w:t>
            </w:r>
          </w:p>
        </w:tc>
      </w:tr>
      <w:tr>
        <w:trPr>
          <w:trHeight w:val="148"/>
        </w:trPr>
        <w:tc>
          <w:tcPr>
            <w:tcW w:w="1300" w:type="dxa"/>
            <w:vAlign w:val="bottom"/>
          </w:tcPr>
          <w:p>
            <w:pPr>
              <w:spacing w:after="0"/>
              <w:rPr>
                <w:sz w:val="12"/>
                <w:szCs w:val="12"/>
                <w:color w:val="auto"/>
              </w:rPr>
            </w:pPr>
          </w:p>
        </w:tc>
        <w:tc>
          <w:tcPr>
            <w:tcW w:w="4500" w:type="dxa"/>
            <w:vAlign w:val="bottom"/>
            <w:tcBorders>
              <w:top w:val="single" w:sz="8" w:color="0000FF"/>
            </w:tcBorders>
            <w:gridSpan w:val="33"/>
          </w:tcPr>
          <w:p>
            <w:pPr>
              <w:spacing w:after="0" w:line="148" w:lineRule="exact"/>
              <w:rPr>
                <w:rFonts w:ascii="Arial" w:cs="Arial" w:eastAsia="Arial" w:hAnsi="Arial"/>
                <w:sz w:val="17"/>
                <w:szCs w:val="17"/>
                <w:color w:val="0000FF"/>
              </w:rPr>
            </w:pPr>
            <w:hyperlink r:id="rId216">
              <w:r>
                <w:rPr>
                  <w:rFonts w:ascii="Arial" w:cs="Arial" w:eastAsia="Arial" w:hAnsi="Arial"/>
                  <w:sz w:val="17"/>
                  <w:szCs w:val="17"/>
                  <w:color w:val="0000FF"/>
                </w:rPr>
                <w:t>1, 2021, by and between ABM Industries Incorporated and</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160" w:type="dxa"/>
            <w:vAlign w:val="bottom"/>
          </w:tcPr>
          <w:p>
            <w:pPr>
              <w:spacing w:after="0"/>
              <w:rPr>
                <w:sz w:val="12"/>
                <w:szCs w:val="12"/>
                <w:color w:val="auto"/>
              </w:rPr>
            </w:pPr>
          </w:p>
        </w:tc>
      </w:tr>
      <w:tr>
        <w:trPr>
          <w:trHeight w:val="160"/>
        </w:trPr>
        <w:tc>
          <w:tcPr>
            <w:tcW w:w="1300" w:type="dxa"/>
            <w:vAlign w:val="bottom"/>
          </w:tcPr>
          <w:p>
            <w:pPr>
              <w:spacing w:after="0"/>
              <w:rPr>
                <w:sz w:val="13"/>
                <w:szCs w:val="13"/>
                <w:color w:val="auto"/>
              </w:rPr>
            </w:pPr>
          </w:p>
        </w:tc>
        <w:tc>
          <w:tcPr>
            <w:tcW w:w="4460" w:type="dxa"/>
            <w:vAlign w:val="bottom"/>
            <w:tcBorders>
              <w:top w:val="single" w:sz="8" w:color="0000FF"/>
            </w:tcBorders>
            <w:gridSpan w:val="31"/>
          </w:tcPr>
          <w:p>
            <w:pPr>
              <w:spacing w:after="0" w:line="161" w:lineRule="exact"/>
              <w:rPr>
                <w:rFonts w:ascii="Arial" w:cs="Arial" w:eastAsia="Arial" w:hAnsi="Arial"/>
                <w:sz w:val="17"/>
                <w:szCs w:val="17"/>
                <w:color w:val="0000FF"/>
              </w:rPr>
            </w:pPr>
            <w:hyperlink r:id="rId216">
              <w:r>
                <w:rPr>
                  <w:rFonts w:ascii="Arial" w:cs="Arial" w:eastAsia="Arial" w:hAnsi="Arial"/>
                  <w:sz w:val="17"/>
                  <w:szCs w:val="17"/>
                  <w:color w:val="0000FF"/>
                </w:rPr>
                <w:t>Raul Valentin</w:t>
              </w:r>
            </w:hyperlink>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160" w:type="dxa"/>
            <w:vAlign w:val="bottom"/>
          </w:tcPr>
          <w:p>
            <w:pPr>
              <w:spacing w:after="0"/>
              <w:rPr>
                <w:sz w:val="13"/>
                <w:szCs w:val="13"/>
                <w:color w:val="auto"/>
              </w:rPr>
            </w:pPr>
          </w:p>
        </w:tc>
      </w:tr>
      <w:tr>
        <w:trPr>
          <w:trHeight w:val="29"/>
        </w:trPr>
        <w:tc>
          <w:tcPr>
            <w:tcW w:w="1300" w:type="dxa"/>
            <w:vAlign w:val="bottom"/>
          </w:tcPr>
          <w:p>
            <w:pPr>
              <w:spacing w:after="0"/>
              <w:rPr>
                <w:sz w:val="2"/>
                <w:szCs w:val="2"/>
                <w:color w:val="auto"/>
              </w:rPr>
            </w:pPr>
          </w:p>
        </w:tc>
        <w:tc>
          <w:tcPr>
            <w:tcW w:w="68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190"/>
        </w:trPr>
        <w:tc>
          <w:tcPr>
            <w:tcW w:w="1300" w:type="dxa"/>
            <w:vAlign w:val="bottom"/>
            <w:shd w:val="clear" w:color="auto" w:fill="DCE2EF"/>
          </w:tcPr>
          <w:p>
            <w:pPr>
              <w:ind w:left="20"/>
              <w:spacing w:after="0" w:line="190" w:lineRule="exact"/>
              <w:rPr>
                <w:sz w:val="20"/>
                <w:szCs w:val="20"/>
                <w:color w:val="auto"/>
              </w:rPr>
            </w:pPr>
            <w:r>
              <w:rPr>
                <w:rFonts w:ascii="Arial" w:cs="Arial" w:eastAsia="Arial" w:hAnsi="Arial"/>
                <w:sz w:val="17"/>
                <w:szCs w:val="17"/>
                <w:color w:val="auto"/>
              </w:rPr>
              <w:t>10.45*</w:t>
            </w:r>
          </w:p>
        </w:tc>
        <w:tc>
          <w:tcPr>
            <w:tcW w:w="4540" w:type="dxa"/>
            <w:vAlign w:val="bottom"/>
            <w:gridSpan w:val="35"/>
            <w:shd w:val="clear" w:color="auto" w:fill="DCE2EF"/>
          </w:tcPr>
          <w:p>
            <w:pPr>
              <w:spacing w:after="0" w:line="190" w:lineRule="exact"/>
              <w:rPr>
                <w:rFonts w:ascii="Arial" w:cs="Arial" w:eastAsia="Arial" w:hAnsi="Arial"/>
                <w:sz w:val="17"/>
                <w:szCs w:val="17"/>
                <w:color w:val="0000FF"/>
              </w:rPr>
            </w:pPr>
            <w:hyperlink r:id="rId217">
              <w:r>
                <w:rPr>
                  <w:rFonts w:ascii="Arial" w:cs="Arial" w:eastAsia="Arial" w:hAnsi="Arial"/>
                  <w:sz w:val="17"/>
                  <w:szCs w:val="17"/>
                  <w:color w:val="0000FF"/>
                </w:rPr>
                <w:t>Change in Control Agreement, dated as of September 1,</w:t>
              </w:r>
            </w:hyperlink>
          </w:p>
        </w:tc>
        <w:tc>
          <w:tcPr>
            <w:tcW w:w="860" w:type="dxa"/>
            <w:vAlign w:val="bottom"/>
            <w:shd w:val="clear" w:color="auto" w:fill="DCE2EF"/>
          </w:tcPr>
          <w:p>
            <w:pPr>
              <w:ind w:left="260"/>
              <w:spacing w:after="0" w:line="190" w:lineRule="exact"/>
              <w:rPr>
                <w:sz w:val="20"/>
                <w:szCs w:val="20"/>
                <w:color w:val="auto"/>
              </w:rPr>
            </w:pPr>
            <w:r>
              <w:rPr>
                <w:rFonts w:ascii="Arial" w:cs="Arial" w:eastAsia="Arial" w:hAnsi="Arial"/>
                <w:sz w:val="17"/>
                <w:szCs w:val="17"/>
                <w:color w:val="auto"/>
              </w:rPr>
              <w:t>10-Q</w:t>
            </w:r>
          </w:p>
        </w:tc>
        <w:tc>
          <w:tcPr>
            <w:tcW w:w="1340" w:type="dxa"/>
            <w:vAlign w:val="bottom"/>
            <w:shd w:val="clear" w:color="auto" w:fill="DCE2EF"/>
          </w:tcPr>
          <w:p>
            <w:pPr>
              <w:jc w:val="right"/>
              <w:ind w:right="194"/>
              <w:spacing w:after="0" w:line="190" w:lineRule="exact"/>
              <w:rPr>
                <w:sz w:val="20"/>
                <w:szCs w:val="20"/>
                <w:color w:val="auto"/>
              </w:rPr>
            </w:pPr>
            <w:r>
              <w:rPr>
                <w:rFonts w:ascii="Arial" w:cs="Arial" w:eastAsia="Arial" w:hAnsi="Arial"/>
                <w:sz w:val="17"/>
                <w:szCs w:val="17"/>
                <w:color w:val="auto"/>
              </w:rPr>
              <w:t>001-08929</w:t>
            </w:r>
          </w:p>
        </w:tc>
        <w:tc>
          <w:tcPr>
            <w:tcW w:w="1040" w:type="dxa"/>
            <w:vAlign w:val="bottom"/>
            <w:shd w:val="clear" w:color="auto" w:fill="DCE2EF"/>
          </w:tcPr>
          <w:p>
            <w:pPr>
              <w:jc w:val="center"/>
              <w:spacing w:after="0" w:line="190" w:lineRule="exact"/>
              <w:rPr>
                <w:sz w:val="20"/>
                <w:szCs w:val="20"/>
                <w:color w:val="auto"/>
              </w:rPr>
            </w:pPr>
            <w:r>
              <w:rPr>
                <w:rFonts w:ascii="Arial" w:cs="Arial" w:eastAsia="Arial" w:hAnsi="Arial"/>
                <w:sz w:val="17"/>
                <w:szCs w:val="17"/>
                <w:color w:val="auto"/>
              </w:rPr>
              <w:t>10.2</w:t>
            </w:r>
          </w:p>
        </w:tc>
        <w:tc>
          <w:tcPr>
            <w:tcW w:w="2160" w:type="dxa"/>
            <w:vAlign w:val="bottom"/>
            <w:shd w:val="clear" w:color="auto" w:fill="DCE2EF"/>
          </w:tcPr>
          <w:p>
            <w:pPr>
              <w:jc w:val="center"/>
              <w:spacing w:after="0" w:line="190" w:lineRule="exact"/>
              <w:rPr>
                <w:sz w:val="20"/>
                <w:szCs w:val="20"/>
                <w:color w:val="auto"/>
              </w:rPr>
            </w:pPr>
            <w:r>
              <w:rPr>
                <w:rFonts w:ascii="Arial" w:cs="Arial" w:eastAsia="Arial" w:hAnsi="Arial"/>
                <w:sz w:val="17"/>
                <w:szCs w:val="17"/>
                <w:color w:val="auto"/>
              </w:rPr>
              <w:t>March 12, 2025</w:t>
            </w:r>
          </w:p>
        </w:tc>
      </w:tr>
      <w:tr>
        <w:trPr>
          <w:trHeight w:val="148"/>
        </w:trPr>
        <w:tc>
          <w:tcPr>
            <w:tcW w:w="1300" w:type="dxa"/>
            <w:vAlign w:val="bottom"/>
            <w:tcBorders>
              <w:top w:val="single" w:sz="8" w:color="DCE2EF"/>
            </w:tcBorders>
            <w:shd w:val="clear" w:color="auto" w:fill="DCE2EF"/>
          </w:tcPr>
          <w:p>
            <w:pPr>
              <w:spacing w:after="0"/>
              <w:rPr>
                <w:sz w:val="12"/>
                <w:szCs w:val="12"/>
                <w:color w:val="auto"/>
              </w:rPr>
            </w:pPr>
          </w:p>
        </w:tc>
        <w:tc>
          <w:tcPr>
            <w:tcW w:w="4320" w:type="dxa"/>
            <w:vAlign w:val="bottom"/>
            <w:tcBorders>
              <w:top w:val="single" w:sz="8" w:color="0000FF"/>
            </w:tcBorders>
            <w:gridSpan w:val="25"/>
            <w:shd w:val="clear" w:color="auto" w:fill="DCE2EF"/>
          </w:tcPr>
          <w:p>
            <w:pPr>
              <w:spacing w:after="0" w:line="148" w:lineRule="exact"/>
              <w:rPr>
                <w:rFonts w:ascii="Arial" w:cs="Arial" w:eastAsia="Arial" w:hAnsi="Arial"/>
                <w:sz w:val="17"/>
                <w:szCs w:val="17"/>
                <w:color w:val="0000FF"/>
              </w:rPr>
            </w:pPr>
            <w:hyperlink r:id="rId217">
              <w:r>
                <w:rPr>
                  <w:rFonts w:ascii="Arial" w:cs="Arial" w:eastAsia="Arial" w:hAnsi="Arial"/>
                  <w:sz w:val="17"/>
                  <w:szCs w:val="17"/>
                  <w:color w:val="0000FF"/>
                </w:rPr>
                <w:t>2021, by and between ABM Industries Incorporated and</w:t>
              </w:r>
            </w:hyperlink>
          </w:p>
        </w:tc>
        <w:tc>
          <w:tcPr>
            <w:tcW w:w="200" w:type="dxa"/>
            <w:vAlign w:val="bottom"/>
            <w:tcBorders>
              <w:top w:val="single" w:sz="8" w:color="DCE2EF"/>
            </w:tcBorders>
            <w:gridSpan w:val="9"/>
            <w:shd w:val="clear" w:color="auto" w:fill="DCE2EF"/>
          </w:tcPr>
          <w:p>
            <w:pPr>
              <w:spacing w:after="0"/>
              <w:rPr>
                <w:sz w:val="12"/>
                <w:szCs w:val="12"/>
                <w:color w:val="auto"/>
              </w:rPr>
            </w:pPr>
          </w:p>
        </w:tc>
        <w:tc>
          <w:tcPr>
            <w:tcW w:w="20" w:type="dxa"/>
            <w:vAlign w:val="bottom"/>
            <w:tcBorders>
              <w:top w:val="single" w:sz="8" w:color="DCE2EF"/>
            </w:tcBorders>
            <w:shd w:val="clear" w:color="auto" w:fill="DCE2EF"/>
          </w:tcPr>
          <w:p>
            <w:pPr>
              <w:spacing w:after="0"/>
              <w:rPr>
                <w:sz w:val="12"/>
                <w:szCs w:val="12"/>
                <w:color w:val="auto"/>
              </w:rPr>
            </w:pPr>
          </w:p>
        </w:tc>
        <w:tc>
          <w:tcPr>
            <w:tcW w:w="860" w:type="dxa"/>
            <w:vAlign w:val="bottom"/>
            <w:tcBorders>
              <w:top w:val="single" w:sz="8" w:color="DCE2EF"/>
            </w:tcBorders>
            <w:shd w:val="clear" w:color="auto" w:fill="DCE2EF"/>
          </w:tcPr>
          <w:p>
            <w:pPr>
              <w:spacing w:after="0"/>
              <w:rPr>
                <w:sz w:val="12"/>
                <w:szCs w:val="12"/>
                <w:color w:val="auto"/>
              </w:rPr>
            </w:pPr>
          </w:p>
        </w:tc>
        <w:tc>
          <w:tcPr>
            <w:tcW w:w="1340" w:type="dxa"/>
            <w:vAlign w:val="bottom"/>
            <w:tcBorders>
              <w:top w:val="single" w:sz="8" w:color="DCE2EF"/>
            </w:tcBorders>
            <w:shd w:val="clear" w:color="auto" w:fill="DCE2EF"/>
          </w:tcPr>
          <w:p>
            <w:pPr>
              <w:spacing w:after="0"/>
              <w:rPr>
                <w:sz w:val="12"/>
                <w:szCs w:val="12"/>
                <w:color w:val="auto"/>
              </w:rPr>
            </w:pPr>
          </w:p>
        </w:tc>
        <w:tc>
          <w:tcPr>
            <w:tcW w:w="1040" w:type="dxa"/>
            <w:vAlign w:val="bottom"/>
            <w:tcBorders>
              <w:top w:val="single" w:sz="8" w:color="DCE2EF"/>
            </w:tcBorders>
            <w:shd w:val="clear" w:color="auto" w:fill="DCE2EF"/>
          </w:tcPr>
          <w:p>
            <w:pPr>
              <w:spacing w:after="0"/>
              <w:rPr>
                <w:sz w:val="12"/>
                <w:szCs w:val="12"/>
                <w:color w:val="auto"/>
              </w:rPr>
            </w:pPr>
          </w:p>
        </w:tc>
        <w:tc>
          <w:tcPr>
            <w:tcW w:w="2160" w:type="dxa"/>
            <w:vAlign w:val="bottom"/>
            <w:tcBorders>
              <w:top w:val="single" w:sz="8" w:color="DCE2EF"/>
            </w:tcBorders>
            <w:shd w:val="clear" w:color="auto" w:fill="DCE2EF"/>
          </w:tcPr>
          <w:p>
            <w:pPr>
              <w:spacing w:after="0"/>
              <w:rPr>
                <w:sz w:val="12"/>
                <w:szCs w:val="12"/>
                <w:color w:val="auto"/>
              </w:rPr>
            </w:pPr>
          </w:p>
        </w:tc>
      </w:tr>
      <w:tr>
        <w:trPr>
          <w:trHeight w:val="160"/>
        </w:trPr>
        <w:tc>
          <w:tcPr>
            <w:tcW w:w="1300" w:type="dxa"/>
            <w:vAlign w:val="bottom"/>
            <w:tcBorders>
              <w:top w:val="single" w:sz="8" w:color="DCE2EF"/>
            </w:tcBorders>
            <w:shd w:val="clear" w:color="auto" w:fill="DCE2EF"/>
          </w:tcPr>
          <w:p>
            <w:pPr>
              <w:spacing w:after="0"/>
              <w:rPr>
                <w:sz w:val="13"/>
                <w:szCs w:val="13"/>
                <w:color w:val="auto"/>
              </w:rPr>
            </w:pPr>
          </w:p>
        </w:tc>
        <w:tc>
          <w:tcPr>
            <w:tcW w:w="4240" w:type="dxa"/>
            <w:vAlign w:val="bottom"/>
            <w:tcBorders>
              <w:top w:val="single" w:sz="8" w:color="0000FF"/>
            </w:tcBorders>
            <w:gridSpan w:val="22"/>
            <w:shd w:val="clear" w:color="auto" w:fill="DCE2EF"/>
          </w:tcPr>
          <w:p>
            <w:pPr>
              <w:spacing w:after="0" w:line="161" w:lineRule="exact"/>
              <w:rPr>
                <w:rFonts w:ascii="Arial" w:cs="Arial" w:eastAsia="Arial" w:hAnsi="Arial"/>
                <w:sz w:val="17"/>
                <w:szCs w:val="17"/>
                <w:color w:val="0000FF"/>
              </w:rPr>
            </w:pPr>
            <w:hyperlink r:id="rId217">
              <w:r>
                <w:rPr>
                  <w:rFonts w:ascii="Arial" w:cs="Arial" w:eastAsia="Arial" w:hAnsi="Arial"/>
                  <w:sz w:val="17"/>
                  <w:szCs w:val="17"/>
                  <w:color w:val="0000FF"/>
                </w:rPr>
                <w:t>Raul Valentin</w:t>
              </w:r>
            </w:hyperlink>
          </w:p>
        </w:tc>
        <w:tc>
          <w:tcPr>
            <w:tcW w:w="280" w:type="dxa"/>
            <w:vAlign w:val="bottom"/>
            <w:tcBorders>
              <w:top w:val="single" w:sz="8" w:color="DCE2EF"/>
            </w:tcBorders>
            <w:gridSpan w:val="12"/>
            <w:shd w:val="clear" w:color="auto" w:fill="DCE2EF"/>
          </w:tcPr>
          <w:p>
            <w:pPr>
              <w:spacing w:after="0"/>
              <w:rPr>
                <w:sz w:val="13"/>
                <w:szCs w:val="13"/>
                <w:color w:val="auto"/>
              </w:rPr>
            </w:pPr>
          </w:p>
        </w:tc>
        <w:tc>
          <w:tcPr>
            <w:tcW w:w="20" w:type="dxa"/>
            <w:vAlign w:val="bottom"/>
            <w:tcBorders>
              <w:top w:val="single" w:sz="8" w:color="DCE2EF"/>
            </w:tcBorders>
            <w:shd w:val="clear" w:color="auto" w:fill="DCE2EF"/>
          </w:tcPr>
          <w:p>
            <w:pPr>
              <w:spacing w:after="0"/>
              <w:rPr>
                <w:sz w:val="13"/>
                <w:szCs w:val="13"/>
                <w:color w:val="auto"/>
              </w:rPr>
            </w:pPr>
          </w:p>
        </w:tc>
        <w:tc>
          <w:tcPr>
            <w:tcW w:w="860" w:type="dxa"/>
            <w:vAlign w:val="bottom"/>
            <w:tcBorders>
              <w:top w:val="single" w:sz="8" w:color="DCE2EF"/>
            </w:tcBorders>
            <w:shd w:val="clear" w:color="auto" w:fill="DCE2EF"/>
          </w:tcPr>
          <w:p>
            <w:pPr>
              <w:spacing w:after="0"/>
              <w:rPr>
                <w:sz w:val="13"/>
                <w:szCs w:val="13"/>
                <w:color w:val="auto"/>
              </w:rPr>
            </w:pPr>
          </w:p>
        </w:tc>
        <w:tc>
          <w:tcPr>
            <w:tcW w:w="1340" w:type="dxa"/>
            <w:vAlign w:val="bottom"/>
            <w:tcBorders>
              <w:top w:val="single" w:sz="8" w:color="DCE2EF"/>
            </w:tcBorders>
            <w:shd w:val="clear" w:color="auto" w:fill="DCE2EF"/>
          </w:tcPr>
          <w:p>
            <w:pPr>
              <w:spacing w:after="0"/>
              <w:rPr>
                <w:sz w:val="13"/>
                <w:szCs w:val="13"/>
                <w:color w:val="auto"/>
              </w:rPr>
            </w:pPr>
          </w:p>
        </w:tc>
        <w:tc>
          <w:tcPr>
            <w:tcW w:w="1040" w:type="dxa"/>
            <w:vAlign w:val="bottom"/>
            <w:tcBorders>
              <w:top w:val="single" w:sz="8" w:color="DCE2EF"/>
            </w:tcBorders>
            <w:shd w:val="clear" w:color="auto" w:fill="DCE2EF"/>
          </w:tcPr>
          <w:p>
            <w:pPr>
              <w:spacing w:after="0"/>
              <w:rPr>
                <w:sz w:val="13"/>
                <w:szCs w:val="13"/>
                <w:color w:val="auto"/>
              </w:rPr>
            </w:pPr>
          </w:p>
        </w:tc>
        <w:tc>
          <w:tcPr>
            <w:tcW w:w="2160" w:type="dxa"/>
            <w:vAlign w:val="bottom"/>
            <w:tcBorders>
              <w:top w:val="single" w:sz="8" w:color="DCE2EF"/>
            </w:tcBorders>
            <w:shd w:val="clear" w:color="auto" w:fill="DCE2EF"/>
          </w:tcPr>
          <w:p>
            <w:pPr>
              <w:spacing w:after="0"/>
              <w:rPr>
                <w:sz w:val="13"/>
                <w:szCs w:val="13"/>
                <w:color w:val="auto"/>
              </w:rPr>
            </w:pPr>
          </w:p>
        </w:tc>
      </w:tr>
      <w:tr>
        <w:trPr>
          <w:trHeight w:val="39"/>
        </w:trPr>
        <w:tc>
          <w:tcPr>
            <w:tcW w:w="1300" w:type="dxa"/>
            <w:vAlign w:val="bottom"/>
            <w:shd w:val="clear" w:color="auto" w:fill="DCE2EF"/>
          </w:tcPr>
          <w:p>
            <w:pPr>
              <w:spacing w:after="0"/>
              <w:rPr>
                <w:sz w:val="3"/>
                <w:szCs w:val="3"/>
                <w:color w:val="auto"/>
              </w:rPr>
            </w:pPr>
          </w:p>
        </w:tc>
        <w:tc>
          <w:tcPr>
            <w:tcW w:w="68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200" w:type="dxa"/>
            <w:vAlign w:val="bottom"/>
            <w:shd w:val="clear" w:color="auto" w:fill="DCE2EF"/>
          </w:tcPr>
          <w:p>
            <w:pPr>
              <w:spacing w:after="0"/>
              <w:rPr>
                <w:sz w:val="3"/>
                <w:szCs w:val="3"/>
                <w:color w:val="auto"/>
              </w:rPr>
            </w:pPr>
          </w:p>
        </w:tc>
        <w:tc>
          <w:tcPr>
            <w:tcW w:w="80" w:type="dxa"/>
            <w:vAlign w:val="bottom"/>
            <w:shd w:val="clear" w:color="auto" w:fill="DCE2EF"/>
          </w:tcPr>
          <w:p>
            <w:pPr>
              <w:spacing w:after="0"/>
              <w:rPr>
                <w:sz w:val="3"/>
                <w:szCs w:val="3"/>
                <w:color w:val="auto"/>
              </w:rPr>
            </w:pPr>
          </w:p>
        </w:tc>
        <w:tc>
          <w:tcPr>
            <w:tcW w:w="220" w:type="dxa"/>
            <w:vAlign w:val="bottom"/>
            <w:shd w:val="clear" w:color="auto" w:fill="DCE2EF"/>
          </w:tcPr>
          <w:p>
            <w:pPr>
              <w:spacing w:after="0"/>
              <w:rPr>
                <w:sz w:val="3"/>
                <w:szCs w:val="3"/>
                <w:color w:val="auto"/>
              </w:rPr>
            </w:pPr>
          </w:p>
        </w:tc>
        <w:tc>
          <w:tcPr>
            <w:tcW w:w="140" w:type="dxa"/>
            <w:vAlign w:val="bottom"/>
            <w:shd w:val="clear" w:color="auto" w:fill="DCE2EF"/>
          </w:tcPr>
          <w:p>
            <w:pPr>
              <w:spacing w:after="0"/>
              <w:rPr>
                <w:sz w:val="3"/>
                <w:szCs w:val="3"/>
                <w:color w:val="auto"/>
              </w:rPr>
            </w:pPr>
          </w:p>
        </w:tc>
        <w:tc>
          <w:tcPr>
            <w:tcW w:w="380" w:type="dxa"/>
            <w:vAlign w:val="bottom"/>
            <w:shd w:val="clear" w:color="auto" w:fill="DCE2EF"/>
          </w:tcPr>
          <w:p>
            <w:pPr>
              <w:spacing w:after="0"/>
              <w:rPr>
                <w:sz w:val="3"/>
                <w:szCs w:val="3"/>
                <w:color w:val="auto"/>
              </w:rPr>
            </w:pPr>
          </w:p>
        </w:tc>
        <w:tc>
          <w:tcPr>
            <w:tcW w:w="80" w:type="dxa"/>
            <w:vAlign w:val="bottom"/>
            <w:shd w:val="clear" w:color="auto" w:fill="DCE2EF"/>
          </w:tcPr>
          <w:p>
            <w:pPr>
              <w:spacing w:after="0"/>
              <w:rPr>
                <w:sz w:val="3"/>
                <w:szCs w:val="3"/>
                <w:color w:val="auto"/>
              </w:rPr>
            </w:pPr>
          </w:p>
        </w:tc>
        <w:tc>
          <w:tcPr>
            <w:tcW w:w="140" w:type="dxa"/>
            <w:vAlign w:val="bottom"/>
            <w:shd w:val="clear" w:color="auto" w:fill="DCE2EF"/>
          </w:tcPr>
          <w:p>
            <w:pPr>
              <w:spacing w:after="0"/>
              <w:rPr>
                <w:sz w:val="3"/>
                <w:szCs w:val="3"/>
                <w:color w:val="auto"/>
              </w:rPr>
            </w:pPr>
          </w:p>
        </w:tc>
        <w:tc>
          <w:tcPr>
            <w:tcW w:w="600" w:type="dxa"/>
            <w:vAlign w:val="bottom"/>
            <w:shd w:val="clear" w:color="auto" w:fill="DCE2EF"/>
          </w:tcPr>
          <w:p>
            <w:pPr>
              <w:spacing w:after="0"/>
              <w:rPr>
                <w:sz w:val="3"/>
                <w:szCs w:val="3"/>
                <w:color w:val="auto"/>
              </w:rPr>
            </w:pPr>
          </w:p>
        </w:tc>
        <w:tc>
          <w:tcPr>
            <w:tcW w:w="300" w:type="dxa"/>
            <w:vAlign w:val="bottom"/>
            <w:shd w:val="clear" w:color="auto" w:fill="DCE2EF"/>
          </w:tcPr>
          <w:p>
            <w:pPr>
              <w:spacing w:after="0"/>
              <w:rPr>
                <w:sz w:val="3"/>
                <w:szCs w:val="3"/>
                <w:color w:val="auto"/>
              </w:rPr>
            </w:pPr>
          </w:p>
        </w:tc>
        <w:tc>
          <w:tcPr>
            <w:tcW w:w="460" w:type="dxa"/>
            <w:vAlign w:val="bottom"/>
            <w:shd w:val="clear" w:color="auto" w:fill="DCE2EF"/>
          </w:tcPr>
          <w:p>
            <w:pPr>
              <w:spacing w:after="0"/>
              <w:rPr>
                <w:sz w:val="3"/>
                <w:szCs w:val="3"/>
                <w:color w:val="auto"/>
              </w:rPr>
            </w:pPr>
          </w:p>
        </w:tc>
        <w:tc>
          <w:tcPr>
            <w:tcW w:w="240" w:type="dxa"/>
            <w:vAlign w:val="bottom"/>
            <w:shd w:val="clear" w:color="auto" w:fill="DCE2EF"/>
          </w:tcPr>
          <w:p>
            <w:pPr>
              <w:spacing w:after="0"/>
              <w:rPr>
                <w:sz w:val="3"/>
                <w:szCs w:val="3"/>
                <w:color w:val="auto"/>
              </w:rPr>
            </w:pPr>
          </w:p>
        </w:tc>
        <w:tc>
          <w:tcPr>
            <w:tcW w:w="140" w:type="dxa"/>
            <w:vAlign w:val="bottom"/>
            <w:shd w:val="clear" w:color="auto" w:fill="DCE2EF"/>
          </w:tcPr>
          <w:p>
            <w:pPr>
              <w:spacing w:after="0"/>
              <w:rPr>
                <w:sz w:val="3"/>
                <w:szCs w:val="3"/>
                <w:color w:val="auto"/>
              </w:rPr>
            </w:pPr>
          </w:p>
        </w:tc>
        <w:tc>
          <w:tcPr>
            <w:tcW w:w="20" w:type="dxa"/>
            <w:vAlign w:val="bottom"/>
            <w:shd w:val="clear" w:color="auto" w:fill="DCE2EF"/>
          </w:tcPr>
          <w:p>
            <w:pPr>
              <w:spacing w:after="0"/>
              <w:rPr>
                <w:sz w:val="3"/>
                <w:szCs w:val="3"/>
                <w:color w:val="auto"/>
              </w:rPr>
            </w:pPr>
          </w:p>
        </w:tc>
        <w:tc>
          <w:tcPr>
            <w:tcW w:w="60" w:type="dxa"/>
            <w:vAlign w:val="bottom"/>
            <w:shd w:val="clear" w:color="auto" w:fill="DCE2EF"/>
          </w:tcPr>
          <w:p>
            <w:pPr>
              <w:spacing w:after="0"/>
              <w:rPr>
                <w:sz w:val="3"/>
                <w:szCs w:val="3"/>
                <w:color w:val="auto"/>
              </w:rPr>
            </w:pPr>
          </w:p>
        </w:tc>
        <w:tc>
          <w:tcPr>
            <w:tcW w:w="60" w:type="dxa"/>
            <w:vAlign w:val="bottom"/>
            <w:shd w:val="clear" w:color="auto" w:fill="DCE2EF"/>
          </w:tcPr>
          <w:p>
            <w:pPr>
              <w:spacing w:after="0"/>
              <w:rPr>
                <w:sz w:val="3"/>
                <w:szCs w:val="3"/>
                <w:color w:val="auto"/>
              </w:rPr>
            </w:pPr>
          </w:p>
        </w:tc>
        <w:tc>
          <w:tcPr>
            <w:tcW w:w="20" w:type="dxa"/>
            <w:vAlign w:val="bottom"/>
            <w:shd w:val="clear" w:color="auto" w:fill="DCE2EF"/>
          </w:tcPr>
          <w:p>
            <w:pPr>
              <w:spacing w:after="0"/>
              <w:rPr>
                <w:sz w:val="3"/>
                <w:szCs w:val="3"/>
                <w:color w:val="auto"/>
              </w:rPr>
            </w:pPr>
          </w:p>
        </w:tc>
        <w:tc>
          <w:tcPr>
            <w:tcW w:w="40" w:type="dxa"/>
            <w:vAlign w:val="bottom"/>
            <w:shd w:val="clear" w:color="auto" w:fill="DCE2EF"/>
          </w:tcPr>
          <w:p>
            <w:pPr>
              <w:spacing w:after="0"/>
              <w:rPr>
                <w:sz w:val="3"/>
                <w:szCs w:val="3"/>
                <w:color w:val="auto"/>
              </w:rPr>
            </w:pPr>
          </w:p>
        </w:tc>
        <w:tc>
          <w:tcPr>
            <w:tcW w:w="20" w:type="dxa"/>
            <w:vAlign w:val="bottom"/>
            <w:shd w:val="clear" w:color="auto" w:fill="DCE2EF"/>
          </w:tcPr>
          <w:p>
            <w:pPr>
              <w:spacing w:after="0"/>
              <w:rPr>
                <w:sz w:val="3"/>
                <w:szCs w:val="3"/>
                <w:color w:val="auto"/>
              </w:rPr>
            </w:pPr>
          </w:p>
        </w:tc>
        <w:tc>
          <w:tcPr>
            <w:tcW w:w="40" w:type="dxa"/>
            <w:vAlign w:val="bottom"/>
            <w:shd w:val="clear" w:color="auto" w:fill="DCE2EF"/>
          </w:tcPr>
          <w:p>
            <w:pPr>
              <w:spacing w:after="0"/>
              <w:rPr>
                <w:sz w:val="3"/>
                <w:szCs w:val="3"/>
                <w:color w:val="auto"/>
              </w:rPr>
            </w:pPr>
          </w:p>
        </w:tc>
        <w:tc>
          <w:tcPr>
            <w:tcW w:w="20" w:type="dxa"/>
            <w:vAlign w:val="bottom"/>
            <w:shd w:val="clear" w:color="auto" w:fill="DCE2EF"/>
          </w:tcPr>
          <w:p>
            <w:pPr>
              <w:spacing w:after="0"/>
              <w:rPr>
                <w:sz w:val="3"/>
                <w:szCs w:val="3"/>
                <w:color w:val="auto"/>
              </w:rPr>
            </w:pPr>
          </w:p>
        </w:tc>
        <w:tc>
          <w:tcPr>
            <w:tcW w:w="40" w:type="dxa"/>
            <w:vAlign w:val="bottom"/>
            <w:shd w:val="clear" w:color="auto" w:fill="DCE2EF"/>
          </w:tcPr>
          <w:p>
            <w:pPr>
              <w:spacing w:after="0"/>
              <w:rPr>
                <w:sz w:val="3"/>
                <w:szCs w:val="3"/>
                <w:color w:val="auto"/>
              </w:rPr>
            </w:pPr>
          </w:p>
        </w:tc>
        <w:tc>
          <w:tcPr>
            <w:tcW w:w="20" w:type="dxa"/>
            <w:vAlign w:val="bottom"/>
            <w:shd w:val="clear" w:color="auto" w:fill="DCE2EF"/>
          </w:tcPr>
          <w:p>
            <w:pPr>
              <w:spacing w:after="0"/>
              <w:rPr>
                <w:sz w:val="3"/>
                <w:szCs w:val="3"/>
                <w:color w:val="auto"/>
              </w:rPr>
            </w:pPr>
          </w:p>
        </w:tc>
        <w:tc>
          <w:tcPr>
            <w:tcW w:w="20" w:type="dxa"/>
            <w:vAlign w:val="bottom"/>
            <w:shd w:val="clear" w:color="auto" w:fill="DCE2EF"/>
          </w:tcPr>
          <w:p>
            <w:pPr>
              <w:spacing w:after="0"/>
              <w:rPr>
                <w:sz w:val="3"/>
                <w:szCs w:val="3"/>
                <w:color w:val="auto"/>
              </w:rPr>
            </w:pPr>
          </w:p>
        </w:tc>
        <w:tc>
          <w:tcPr>
            <w:tcW w:w="40" w:type="dxa"/>
            <w:vAlign w:val="bottom"/>
            <w:shd w:val="clear" w:color="auto" w:fill="DCE2EF"/>
          </w:tcPr>
          <w:p>
            <w:pPr>
              <w:spacing w:after="0"/>
              <w:rPr>
                <w:sz w:val="3"/>
                <w:szCs w:val="3"/>
                <w:color w:val="auto"/>
              </w:rPr>
            </w:pPr>
          </w:p>
        </w:tc>
        <w:tc>
          <w:tcPr>
            <w:tcW w:w="20" w:type="dxa"/>
            <w:vAlign w:val="bottom"/>
            <w:shd w:val="clear" w:color="auto" w:fill="DCE2EF"/>
          </w:tcPr>
          <w:p>
            <w:pPr>
              <w:spacing w:after="0"/>
              <w:rPr>
                <w:sz w:val="3"/>
                <w:szCs w:val="3"/>
                <w:color w:val="auto"/>
              </w:rPr>
            </w:pPr>
          </w:p>
        </w:tc>
        <w:tc>
          <w:tcPr>
            <w:tcW w:w="20" w:type="dxa"/>
            <w:vAlign w:val="bottom"/>
            <w:shd w:val="clear" w:color="auto" w:fill="DCE2EF"/>
          </w:tcPr>
          <w:p>
            <w:pPr>
              <w:spacing w:after="0"/>
              <w:rPr>
                <w:sz w:val="3"/>
                <w:szCs w:val="3"/>
                <w:color w:val="auto"/>
              </w:rPr>
            </w:pPr>
          </w:p>
        </w:tc>
        <w:tc>
          <w:tcPr>
            <w:tcW w:w="20" w:type="dxa"/>
            <w:vAlign w:val="bottom"/>
            <w:shd w:val="clear" w:color="auto" w:fill="DCE2EF"/>
          </w:tcPr>
          <w:p>
            <w:pPr>
              <w:spacing w:after="0"/>
              <w:rPr>
                <w:sz w:val="3"/>
                <w:szCs w:val="3"/>
                <w:color w:val="auto"/>
              </w:rPr>
            </w:pPr>
          </w:p>
        </w:tc>
        <w:tc>
          <w:tcPr>
            <w:tcW w:w="20" w:type="dxa"/>
            <w:vAlign w:val="bottom"/>
            <w:shd w:val="clear" w:color="auto" w:fill="DCE2EF"/>
          </w:tcPr>
          <w:p>
            <w:pPr>
              <w:spacing w:after="0"/>
              <w:rPr>
                <w:sz w:val="3"/>
                <w:szCs w:val="3"/>
                <w:color w:val="auto"/>
              </w:rPr>
            </w:pPr>
          </w:p>
        </w:tc>
        <w:tc>
          <w:tcPr>
            <w:tcW w:w="20" w:type="dxa"/>
            <w:vAlign w:val="bottom"/>
            <w:shd w:val="clear" w:color="auto" w:fill="DCE2EF"/>
          </w:tcPr>
          <w:p>
            <w:pPr>
              <w:spacing w:after="0"/>
              <w:rPr>
                <w:sz w:val="3"/>
                <w:szCs w:val="3"/>
                <w:color w:val="auto"/>
              </w:rPr>
            </w:pPr>
          </w:p>
        </w:tc>
        <w:tc>
          <w:tcPr>
            <w:tcW w:w="20" w:type="dxa"/>
            <w:vAlign w:val="bottom"/>
            <w:shd w:val="clear" w:color="auto" w:fill="DCE2EF"/>
          </w:tcPr>
          <w:p>
            <w:pPr>
              <w:spacing w:after="0"/>
              <w:rPr>
                <w:sz w:val="3"/>
                <w:szCs w:val="3"/>
                <w:color w:val="auto"/>
              </w:rPr>
            </w:pPr>
          </w:p>
        </w:tc>
        <w:tc>
          <w:tcPr>
            <w:tcW w:w="20" w:type="dxa"/>
            <w:vAlign w:val="bottom"/>
            <w:shd w:val="clear" w:color="auto" w:fill="DCE2EF"/>
          </w:tcPr>
          <w:p>
            <w:pPr>
              <w:spacing w:after="0"/>
              <w:rPr>
                <w:sz w:val="3"/>
                <w:szCs w:val="3"/>
                <w:color w:val="auto"/>
              </w:rPr>
            </w:pPr>
          </w:p>
        </w:tc>
        <w:tc>
          <w:tcPr>
            <w:tcW w:w="20" w:type="dxa"/>
            <w:vAlign w:val="bottom"/>
            <w:shd w:val="clear" w:color="auto" w:fill="DCE2EF"/>
          </w:tcPr>
          <w:p>
            <w:pPr>
              <w:spacing w:after="0"/>
              <w:rPr>
                <w:sz w:val="3"/>
                <w:szCs w:val="3"/>
                <w:color w:val="auto"/>
              </w:rPr>
            </w:pPr>
          </w:p>
        </w:tc>
        <w:tc>
          <w:tcPr>
            <w:tcW w:w="860" w:type="dxa"/>
            <w:vAlign w:val="bottom"/>
            <w:shd w:val="clear" w:color="auto" w:fill="DCE2EF"/>
          </w:tcPr>
          <w:p>
            <w:pPr>
              <w:spacing w:after="0"/>
              <w:rPr>
                <w:sz w:val="3"/>
                <w:szCs w:val="3"/>
                <w:color w:val="auto"/>
              </w:rPr>
            </w:pPr>
          </w:p>
        </w:tc>
        <w:tc>
          <w:tcPr>
            <w:tcW w:w="1340" w:type="dxa"/>
            <w:vAlign w:val="bottom"/>
            <w:shd w:val="clear" w:color="auto" w:fill="DCE2EF"/>
          </w:tcPr>
          <w:p>
            <w:pPr>
              <w:spacing w:after="0"/>
              <w:rPr>
                <w:sz w:val="3"/>
                <w:szCs w:val="3"/>
                <w:color w:val="auto"/>
              </w:rPr>
            </w:pPr>
          </w:p>
        </w:tc>
        <w:tc>
          <w:tcPr>
            <w:tcW w:w="1040" w:type="dxa"/>
            <w:vAlign w:val="bottom"/>
            <w:shd w:val="clear" w:color="auto" w:fill="DCE2EF"/>
          </w:tcPr>
          <w:p>
            <w:pPr>
              <w:spacing w:after="0"/>
              <w:rPr>
                <w:sz w:val="3"/>
                <w:szCs w:val="3"/>
                <w:color w:val="auto"/>
              </w:rPr>
            </w:pPr>
          </w:p>
        </w:tc>
        <w:tc>
          <w:tcPr>
            <w:tcW w:w="2160" w:type="dxa"/>
            <w:vAlign w:val="bottom"/>
            <w:shd w:val="clear" w:color="auto" w:fill="DCE2EF"/>
          </w:tcPr>
          <w:p>
            <w:pPr>
              <w:spacing w:after="0"/>
              <w:rPr>
                <w:sz w:val="3"/>
                <w:szCs w:val="3"/>
                <w:color w:val="auto"/>
              </w:rPr>
            </w:pPr>
          </w:p>
        </w:tc>
      </w:tr>
      <w:tr>
        <w:trPr>
          <w:trHeight w:val="180"/>
        </w:trPr>
        <w:tc>
          <w:tcPr>
            <w:tcW w:w="1300" w:type="dxa"/>
            <w:vAlign w:val="bottom"/>
          </w:tcPr>
          <w:p>
            <w:pPr>
              <w:ind w:left="20"/>
              <w:spacing w:after="0" w:line="180" w:lineRule="exact"/>
              <w:rPr>
                <w:sz w:val="20"/>
                <w:szCs w:val="20"/>
                <w:color w:val="auto"/>
              </w:rPr>
            </w:pPr>
            <w:r>
              <w:rPr>
                <w:rFonts w:ascii="Arial" w:cs="Arial" w:eastAsia="Arial" w:hAnsi="Arial"/>
                <w:sz w:val="17"/>
                <w:szCs w:val="17"/>
                <w:color w:val="auto"/>
              </w:rPr>
              <w:t>10.46 *‡</w:t>
            </w:r>
          </w:p>
        </w:tc>
        <w:tc>
          <w:tcPr>
            <w:tcW w:w="4540" w:type="dxa"/>
            <w:vAlign w:val="bottom"/>
            <w:gridSpan w:val="35"/>
          </w:tcPr>
          <w:p>
            <w:pPr>
              <w:spacing w:after="0" w:line="180" w:lineRule="exact"/>
              <w:rPr>
                <w:sz w:val="20"/>
                <w:szCs w:val="20"/>
                <w:color w:val="auto"/>
              </w:rPr>
            </w:pPr>
            <w:r>
              <w:rPr>
                <w:rFonts w:ascii="Arial" w:cs="Arial" w:eastAsia="Arial" w:hAnsi="Arial"/>
                <w:sz w:val="17"/>
                <w:szCs w:val="17"/>
                <w:color w:val="0000FF"/>
              </w:rPr>
              <w:t>Executive Separation and Release Agreement, dated as of</w:t>
            </w:r>
          </w:p>
        </w:tc>
        <w:tc>
          <w:tcPr>
            <w:tcW w:w="8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160" w:type="dxa"/>
            <w:vAlign w:val="bottom"/>
          </w:tcPr>
          <w:p>
            <w:pPr>
              <w:spacing w:after="0"/>
              <w:rPr>
                <w:sz w:val="15"/>
                <w:szCs w:val="15"/>
                <w:color w:val="auto"/>
              </w:rPr>
            </w:pPr>
          </w:p>
        </w:tc>
      </w:tr>
      <w:tr>
        <w:trPr>
          <w:trHeight w:val="148"/>
        </w:trPr>
        <w:tc>
          <w:tcPr>
            <w:tcW w:w="1300" w:type="dxa"/>
            <w:vAlign w:val="bottom"/>
          </w:tcPr>
          <w:p>
            <w:pPr>
              <w:spacing w:after="0"/>
              <w:rPr>
                <w:sz w:val="12"/>
                <w:szCs w:val="12"/>
                <w:color w:val="auto"/>
              </w:rPr>
            </w:pPr>
          </w:p>
        </w:tc>
        <w:tc>
          <w:tcPr>
            <w:tcW w:w="4520" w:type="dxa"/>
            <w:vAlign w:val="bottom"/>
            <w:tcBorders>
              <w:top w:val="single" w:sz="8" w:color="0000FF"/>
            </w:tcBorders>
            <w:gridSpan w:val="34"/>
          </w:tcPr>
          <w:p>
            <w:pPr>
              <w:spacing w:after="0" w:line="148" w:lineRule="exact"/>
              <w:rPr>
                <w:sz w:val="20"/>
                <w:szCs w:val="20"/>
                <w:color w:val="auto"/>
              </w:rPr>
            </w:pPr>
            <w:r>
              <w:rPr>
                <w:rFonts w:ascii="Arial" w:cs="Arial" w:eastAsia="Arial" w:hAnsi="Arial"/>
                <w:sz w:val="17"/>
                <w:szCs w:val="17"/>
                <w:color w:val="0000FF"/>
              </w:rPr>
              <w:t>September 5, 2025, by and between ABM Industries</w:t>
            </w:r>
          </w:p>
        </w:tc>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160" w:type="dxa"/>
            <w:vAlign w:val="bottom"/>
          </w:tcPr>
          <w:p>
            <w:pPr>
              <w:spacing w:after="0"/>
              <w:rPr>
                <w:sz w:val="12"/>
                <w:szCs w:val="12"/>
                <w:color w:val="auto"/>
              </w:rPr>
            </w:pPr>
          </w:p>
        </w:tc>
      </w:tr>
      <w:tr>
        <w:trPr>
          <w:trHeight w:val="170"/>
        </w:trPr>
        <w:tc>
          <w:tcPr>
            <w:tcW w:w="1300" w:type="dxa"/>
            <w:vAlign w:val="bottom"/>
          </w:tcPr>
          <w:p>
            <w:pPr>
              <w:spacing w:after="0"/>
              <w:rPr>
                <w:sz w:val="14"/>
                <w:szCs w:val="14"/>
                <w:color w:val="auto"/>
              </w:rPr>
            </w:pPr>
          </w:p>
        </w:tc>
        <w:tc>
          <w:tcPr>
            <w:tcW w:w="2020" w:type="dxa"/>
            <w:vAlign w:val="bottom"/>
            <w:tcBorders>
              <w:top w:val="single" w:sz="8" w:color="0000FF"/>
              <w:bottom w:val="single" w:sz="8" w:color="0000FF"/>
            </w:tcBorders>
            <w:gridSpan w:val="8"/>
          </w:tcPr>
          <w:p>
            <w:pPr>
              <w:spacing w:after="0" w:line="161" w:lineRule="exact"/>
              <w:rPr>
                <w:sz w:val="20"/>
                <w:szCs w:val="20"/>
                <w:color w:val="auto"/>
              </w:rPr>
            </w:pPr>
            <w:r>
              <w:rPr>
                <w:rFonts w:ascii="Arial" w:cs="Arial" w:eastAsia="Arial" w:hAnsi="Arial"/>
                <w:sz w:val="17"/>
                <w:szCs w:val="17"/>
                <w:color w:val="0000FF"/>
              </w:rPr>
              <w:t>Incorporated and Earl Ellis</w:t>
            </w:r>
          </w:p>
        </w:tc>
        <w:tc>
          <w:tcPr>
            <w:tcW w:w="1960" w:type="dxa"/>
            <w:vAlign w:val="bottom"/>
            <w:tcBorders>
              <w:top w:val="single" w:sz="8" w:color="0000FF"/>
            </w:tcBorders>
            <w:gridSpan w:val="7"/>
          </w:tcPr>
          <w:p>
            <w:pPr>
              <w:spacing w:after="0"/>
              <w:rPr>
                <w:sz w:val="14"/>
                <w:szCs w:val="14"/>
                <w:color w:val="auto"/>
              </w:rPr>
            </w:pPr>
          </w:p>
        </w:tc>
        <w:tc>
          <w:tcPr>
            <w:tcW w:w="540" w:type="dxa"/>
            <w:vAlign w:val="bottom"/>
            <w:gridSpan w:val="19"/>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160" w:type="dxa"/>
            <w:vAlign w:val="bottom"/>
          </w:tcPr>
          <w:p>
            <w:pPr>
              <w:spacing w:after="0"/>
              <w:rPr>
                <w:sz w:val="14"/>
                <w:szCs w:val="14"/>
                <w:color w:val="auto"/>
              </w:rPr>
            </w:pPr>
          </w:p>
        </w:tc>
      </w:tr>
      <w:tr>
        <w:trPr>
          <w:trHeight w:val="190"/>
        </w:trPr>
        <w:tc>
          <w:tcPr>
            <w:tcW w:w="1300" w:type="dxa"/>
            <w:vAlign w:val="bottom"/>
            <w:shd w:val="clear" w:color="auto" w:fill="DCE2EF"/>
          </w:tcPr>
          <w:p>
            <w:pPr>
              <w:ind w:left="20"/>
              <w:spacing w:after="0" w:line="190" w:lineRule="exact"/>
              <w:rPr>
                <w:sz w:val="20"/>
                <w:szCs w:val="20"/>
                <w:color w:val="auto"/>
              </w:rPr>
            </w:pPr>
            <w:r>
              <w:rPr>
                <w:rFonts w:ascii="Arial" w:cs="Arial" w:eastAsia="Arial" w:hAnsi="Arial"/>
                <w:sz w:val="17"/>
                <w:szCs w:val="17"/>
                <w:color w:val="auto"/>
              </w:rPr>
              <w:t>19</w:t>
            </w:r>
          </w:p>
        </w:tc>
        <w:tc>
          <w:tcPr>
            <w:tcW w:w="4540" w:type="dxa"/>
            <w:vAlign w:val="bottom"/>
            <w:gridSpan w:val="35"/>
            <w:shd w:val="clear" w:color="auto" w:fill="DCE2EF"/>
          </w:tcPr>
          <w:p>
            <w:pPr>
              <w:spacing w:after="0" w:line="190" w:lineRule="exact"/>
              <w:rPr>
                <w:rFonts w:ascii="Arial" w:cs="Arial" w:eastAsia="Arial" w:hAnsi="Arial"/>
                <w:sz w:val="17"/>
                <w:szCs w:val="17"/>
                <w:color w:val="0000FF"/>
              </w:rPr>
            </w:pPr>
            <w:hyperlink r:id="rId218">
              <w:r>
                <w:rPr>
                  <w:rFonts w:ascii="Arial" w:cs="Arial" w:eastAsia="Arial" w:hAnsi="Arial"/>
                  <w:sz w:val="17"/>
                  <w:szCs w:val="17"/>
                  <w:color w:val="0000FF"/>
                </w:rPr>
                <w:t>Insider Trading Policy</w:t>
              </w:r>
            </w:hyperlink>
          </w:p>
        </w:tc>
        <w:tc>
          <w:tcPr>
            <w:tcW w:w="860" w:type="dxa"/>
            <w:vAlign w:val="bottom"/>
            <w:shd w:val="clear" w:color="auto" w:fill="DCE2EF"/>
          </w:tcPr>
          <w:p>
            <w:pPr>
              <w:ind w:left="260"/>
              <w:spacing w:after="0" w:line="190" w:lineRule="exact"/>
              <w:rPr>
                <w:sz w:val="20"/>
                <w:szCs w:val="20"/>
                <w:color w:val="auto"/>
              </w:rPr>
            </w:pPr>
            <w:r>
              <w:rPr>
                <w:rFonts w:ascii="Arial" w:cs="Arial" w:eastAsia="Arial" w:hAnsi="Arial"/>
                <w:sz w:val="17"/>
                <w:szCs w:val="17"/>
                <w:color w:val="auto"/>
              </w:rPr>
              <w:t>10-K</w:t>
            </w:r>
          </w:p>
        </w:tc>
        <w:tc>
          <w:tcPr>
            <w:tcW w:w="1340" w:type="dxa"/>
            <w:vAlign w:val="bottom"/>
            <w:shd w:val="clear" w:color="auto" w:fill="DCE2EF"/>
          </w:tcPr>
          <w:p>
            <w:pPr>
              <w:jc w:val="right"/>
              <w:ind w:right="194"/>
              <w:spacing w:after="0" w:line="190" w:lineRule="exact"/>
              <w:rPr>
                <w:sz w:val="20"/>
                <w:szCs w:val="20"/>
                <w:color w:val="auto"/>
              </w:rPr>
            </w:pPr>
            <w:r>
              <w:rPr>
                <w:rFonts w:ascii="Arial" w:cs="Arial" w:eastAsia="Arial" w:hAnsi="Arial"/>
                <w:sz w:val="17"/>
                <w:szCs w:val="17"/>
                <w:color w:val="auto"/>
              </w:rPr>
              <w:t>001-08929</w:t>
            </w:r>
          </w:p>
        </w:tc>
        <w:tc>
          <w:tcPr>
            <w:tcW w:w="1040" w:type="dxa"/>
            <w:vAlign w:val="bottom"/>
            <w:shd w:val="clear" w:color="auto" w:fill="DCE2EF"/>
          </w:tcPr>
          <w:p>
            <w:pPr>
              <w:jc w:val="center"/>
              <w:spacing w:after="0" w:line="190" w:lineRule="exact"/>
              <w:rPr>
                <w:sz w:val="20"/>
                <w:szCs w:val="20"/>
                <w:color w:val="auto"/>
              </w:rPr>
            </w:pPr>
            <w:r>
              <w:rPr>
                <w:rFonts w:ascii="Arial" w:cs="Arial" w:eastAsia="Arial" w:hAnsi="Arial"/>
                <w:sz w:val="17"/>
                <w:szCs w:val="17"/>
                <w:color w:val="auto"/>
              </w:rPr>
              <w:t>19</w:t>
            </w:r>
          </w:p>
        </w:tc>
        <w:tc>
          <w:tcPr>
            <w:tcW w:w="2160" w:type="dxa"/>
            <w:vAlign w:val="bottom"/>
            <w:shd w:val="clear" w:color="auto" w:fill="DCE2EF"/>
          </w:tcPr>
          <w:p>
            <w:pPr>
              <w:jc w:val="center"/>
              <w:spacing w:after="0" w:line="190" w:lineRule="exact"/>
              <w:rPr>
                <w:sz w:val="20"/>
                <w:szCs w:val="20"/>
                <w:color w:val="auto"/>
              </w:rPr>
            </w:pPr>
            <w:r>
              <w:rPr>
                <w:rFonts w:ascii="Arial" w:cs="Arial" w:eastAsia="Arial" w:hAnsi="Arial"/>
                <w:sz w:val="17"/>
                <w:szCs w:val="17"/>
                <w:color w:val="auto"/>
              </w:rPr>
              <w:t>December 19, 2024</w:t>
            </w:r>
          </w:p>
        </w:tc>
      </w:tr>
      <w:tr>
        <w:trPr>
          <w:trHeight w:val="39"/>
        </w:trPr>
        <w:tc>
          <w:tcPr>
            <w:tcW w:w="1300" w:type="dxa"/>
            <w:vAlign w:val="bottom"/>
            <w:shd w:val="clear" w:color="auto" w:fill="DCE2EF"/>
          </w:tcPr>
          <w:p>
            <w:pPr>
              <w:spacing w:after="0"/>
              <w:rPr>
                <w:sz w:val="3"/>
                <w:szCs w:val="3"/>
                <w:color w:val="auto"/>
              </w:rPr>
            </w:pPr>
          </w:p>
        </w:tc>
        <w:tc>
          <w:tcPr>
            <w:tcW w:w="68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380" w:type="dxa"/>
            <w:vAlign w:val="bottom"/>
            <w:shd w:val="clear" w:color="auto" w:fill="DCE2EF"/>
          </w:tcPr>
          <w:p>
            <w:pPr>
              <w:spacing w:after="0"/>
              <w:rPr>
                <w:sz w:val="3"/>
                <w:szCs w:val="3"/>
                <w:color w:val="auto"/>
              </w:rPr>
            </w:pPr>
          </w:p>
        </w:tc>
        <w:tc>
          <w:tcPr>
            <w:tcW w:w="80" w:type="dxa"/>
            <w:vAlign w:val="bottom"/>
            <w:shd w:val="clear" w:color="auto" w:fill="DCE2EF"/>
          </w:tcPr>
          <w:p>
            <w:pPr>
              <w:spacing w:after="0"/>
              <w:rPr>
                <w:sz w:val="3"/>
                <w:szCs w:val="3"/>
                <w:color w:val="auto"/>
              </w:rPr>
            </w:pPr>
          </w:p>
        </w:tc>
        <w:tc>
          <w:tcPr>
            <w:tcW w:w="140" w:type="dxa"/>
            <w:vAlign w:val="bottom"/>
            <w:shd w:val="clear" w:color="auto" w:fill="DCE2EF"/>
          </w:tcPr>
          <w:p>
            <w:pPr>
              <w:spacing w:after="0"/>
              <w:rPr>
                <w:sz w:val="3"/>
                <w:szCs w:val="3"/>
                <w:color w:val="auto"/>
              </w:rPr>
            </w:pPr>
          </w:p>
        </w:tc>
        <w:tc>
          <w:tcPr>
            <w:tcW w:w="600" w:type="dxa"/>
            <w:vAlign w:val="bottom"/>
            <w:shd w:val="clear" w:color="auto" w:fill="DCE2EF"/>
          </w:tcPr>
          <w:p>
            <w:pPr>
              <w:spacing w:after="0"/>
              <w:rPr>
                <w:sz w:val="3"/>
                <w:szCs w:val="3"/>
                <w:color w:val="auto"/>
              </w:rPr>
            </w:pPr>
          </w:p>
        </w:tc>
        <w:tc>
          <w:tcPr>
            <w:tcW w:w="300" w:type="dxa"/>
            <w:vAlign w:val="bottom"/>
            <w:shd w:val="clear" w:color="auto" w:fill="DCE2EF"/>
          </w:tcPr>
          <w:p>
            <w:pPr>
              <w:spacing w:after="0"/>
              <w:rPr>
                <w:sz w:val="3"/>
                <w:szCs w:val="3"/>
                <w:color w:val="auto"/>
              </w:rPr>
            </w:pPr>
          </w:p>
        </w:tc>
        <w:tc>
          <w:tcPr>
            <w:tcW w:w="460" w:type="dxa"/>
            <w:vAlign w:val="bottom"/>
            <w:shd w:val="clear" w:color="auto" w:fill="DCE2EF"/>
          </w:tcPr>
          <w:p>
            <w:pPr>
              <w:spacing w:after="0"/>
              <w:rPr>
                <w:sz w:val="3"/>
                <w:szCs w:val="3"/>
                <w:color w:val="auto"/>
              </w:rPr>
            </w:pPr>
          </w:p>
        </w:tc>
        <w:tc>
          <w:tcPr>
            <w:tcW w:w="240" w:type="dxa"/>
            <w:vAlign w:val="bottom"/>
            <w:shd w:val="clear" w:color="auto" w:fill="DCE2EF"/>
          </w:tcPr>
          <w:p>
            <w:pPr>
              <w:spacing w:after="0"/>
              <w:rPr>
                <w:sz w:val="3"/>
                <w:szCs w:val="3"/>
                <w:color w:val="auto"/>
              </w:rPr>
            </w:pPr>
          </w:p>
        </w:tc>
        <w:tc>
          <w:tcPr>
            <w:tcW w:w="140" w:type="dxa"/>
            <w:vAlign w:val="bottom"/>
            <w:shd w:val="clear" w:color="auto" w:fill="DCE2EF"/>
          </w:tcPr>
          <w:p>
            <w:pPr>
              <w:spacing w:after="0"/>
              <w:rPr>
                <w:sz w:val="3"/>
                <w:szCs w:val="3"/>
                <w:color w:val="auto"/>
              </w:rPr>
            </w:pPr>
          </w:p>
        </w:tc>
        <w:tc>
          <w:tcPr>
            <w:tcW w:w="20" w:type="dxa"/>
            <w:vAlign w:val="bottom"/>
            <w:shd w:val="clear" w:color="auto" w:fill="DCE2EF"/>
          </w:tcPr>
          <w:p>
            <w:pPr>
              <w:spacing w:after="0"/>
              <w:rPr>
                <w:sz w:val="3"/>
                <w:szCs w:val="3"/>
                <w:color w:val="auto"/>
              </w:rPr>
            </w:pPr>
          </w:p>
        </w:tc>
        <w:tc>
          <w:tcPr>
            <w:tcW w:w="60" w:type="dxa"/>
            <w:vAlign w:val="bottom"/>
            <w:shd w:val="clear" w:color="auto" w:fill="DCE2EF"/>
          </w:tcPr>
          <w:p>
            <w:pPr>
              <w:spacing w:after="0"/>
              <w:rPr>
                <w:sz w:val="3"/>
                <w:szCs w:val="3"/>
                <w:color w:val="auto"/>
              </w:rPr>
            </w:pPr>
          </w:p>
        </w:tc>
        <w:tc>
          <w:tcPr>
            <w:tcW w:w="60" w:type="dxa"/>
            <w:vAlign w:val="bottom"/>
            <w:shd w:val="clear" w:color="auto" w:fill="DCE2EF"/>
          </w:tcPr>
          <w:p>
            <w:pPr>
              <w:spacing w:after="0"/>
              <w:rPr>
                <w:sz w:val="3"/>
                <w:szCs w:val="3"/>
                <w:color w:val="auto"/>
              </w:rPr>
            </w:pPr>
          </w:p>
        </w:tc>
        <w:tc>
          <w:tcPr>
            <w:tcW w:w="20" w:type="dxa"/>
            <w:vAlign w:val="bottom"/>
            <w:shd w:val="clear" w:color="auto" w:fill="DCE2EF"/>
          </w:tcPr>
          <w:p>
            <w:pPr>
              <w:spacing w:after="0"/>
              <w:rPr>
                <w:sz w:val="3"/>
                <w:szCs w:val="3"/>
                <w:color w:val="auto"/>
              </w:rPr>
            </w:pPr>
          </w:p>
        </w:tc>
        <w:tc>
          <w:tcPr>
            <w:tcW w:w="40" w:type="dxa"/>
            <w:vAlign w:val="bottom"/>
            <w:shd w:val="clear" w:color="auto" w:fill="DCE2EF"/>
          </w:tcPr>
          <w:p>
            <w:pPr>
              <w:spacing w:after="0"/>
              <w:rPr>
                <w:sz w:val="3"/>
                <w:szCs w:val="3"/>
                <w:color w:val="auto"/>
              </w:rPr>
            </w:pPr>
          </w:p>
        </w:tc>
        <w:tc>
          <w:tcPr>
            <w:tcW w:w="20" w:type="dxa"/>
            <w:vAlign w:val="bottom"/>
            <w:shd w:val="clear" w:color="auto" w:fill="DCE2EF"/>
          </w:tcPr>
          <w:p>
            <w:pPr>
              <w:spacing w:after="0"/>
              <w:rPr>
                <w:sz w:val="3"/>
                <w:szCs w:val="3"/>
                <w:color w:val="auto"/>
              </w:rPr>
            </w:pPr>
          </w:p>
        </w:tc>
        <w:tc>
          <w:tcPr>
            <w:tcW w:w="40" w:type="dxa"/>
            <w:vAlign w:val="bottom"/>
            <w:shd w:val="clear" w:color="auto" w:fill="DCE2EF"/>
          </w:tcPr>
          <w:p>
            <w:pPr>
              <w:spacing w:after="0"/>
              <w:rPr>
                <w:sz w:val="3"/>
                <w:szCs w:val="3"/>
                <w:color w:val="auto"/>
              </w:rPr>
            </w:pPr>
          </w:p>
        </w:tc>
        <w:tc>
          <w:tcPr>
            <w:tcW w:w="20" w:type="dxa"/>
            <w:vAlign w:val="bottom"/>
            <w:shd w:val="clear" w:color="auto" w:fill="DCE2EF"/>
          </w:tcPr>
          <w:p>
            <w:pPr>
              <w:spacing w:after="0"/>
              <w:rPr>
                <w:sz w:val="3"/>
                <w:szCs w:val="3"/>
                <w:color w:val="auto"/>
              </w:rPr>
            </w:pPr>
          </w:p>
        </w:tc>
        <w:tc>
          <w:tcPr>
            <w:tcW w:w="40" w:type="dxa"/>
            <w:vAlign w:val="bottom"/>
            <w:shd w:val="clear" w:color="auto" w:fill="DCE2EF"/>
          </w:tcPr>
          <w:p>
            <w:pPr>
              <w:spacing w:after="0"/>
              <w:rPr>
                <w:sz w:val="3"/>
                <w:szCs w:val="3"/>
                <w:color w:val="auto"/>
              </w:rPr>
            </w:pPr>
          </w:p>
        </w:tc>
        <w:tc>
          <w:tcPr>
            <w:tcW w:w="20" w:type="dxa"/>
            <w:vAlign w:val="bottom"/>
            <w:shd w:val="clear" w:color="auto" w:fill="DCE2EF"/>
          </w:tcPr>
          <w:p>
            <w:pPr>
              <w:spacing w:after="0"/>
              <w:rPr>
                <w:sz w:val="3"/>
                <w:szCs w:val="3"/>
                <w:color w:val="auto"/>
              </w:rPr>
            </w:pPr>
          </w:p>
        </w:tc>
        <w:tc>
          <w:tcPr>
            <w:tcW w:w="20" w:type="dxa"/>
            <w:vAlign w:val="bottom"/>
            <w:shd w:val="clear" w:color="auto" w:fill="DCE2EF"/>
          </w:tcPr>
          <w:p>
            <w:pPr>
              <w:spacing w:after="0"/>
              <w:rPr>
                <w:sz w:val="3"/>
                <w:szCs w:val="3"/>
                <w:color w:val="auto"/>
              </w:rPr>
            </w:pPr>
          </w:p>
        </w:tc>
        <w:tc>
          <w:tcPr>
            <w:tcW w:w="40" w:type="dxa"/>
            <w:vAlign w:val="bottom"/>
            <w:shd w:val="clear" w:color="auto" w:fill="DCE2EF"/>
          </w:tcPr>
          <w:p>
            <w:pPr>
              <w:spacing w:after="0"/>
              <w:rPr>
                <w:sz w:val="3"/>
                <w:szCs w:val="3"/>
                <w:color w:val="auto"/>
              </w:rPr>
            </w:pPr>
          </w:p>
        </w:tc>
        <w:tc>
          <w:tcPr>
            <w:tcW w:w="20" w:type="dxa"/>
            <w:vAlign w:val="bottom"/>
            <w:shd w:val="clear" w:color="auto" w:fill="DCE2EF"/>
          </w:tcPr>
          <w:p>
            <w:pPr>
              <w:spacing w:after="0"/>
              <w:rPr>
                <w:sz w:val="3"/>
                <w:szCs w:val="3"/>
                <w:color w:val="auto"/>
              </w:rPr>
            </w:pPr>
          </w:p>
        </w:tc>
        <w:tc>
          <w:tcPr>
            <w:tcW w:w="20" w:type="dxa"/>
            <w:vAlign w:val="bottom"/>
            <w:shd w:val="clear" w:color="auto" w:fill="DCE2EF"/>
          </w:tcPr>
          <w:p>
            <w:pPr>
              <w:spacing w:after="0"/>
              <w:rPr>
                <w:sz w:val="3"/>
                <w:szCs w:val="3"/>
                <w:color w:val="auto"/>
              </w:rPr>
            </w:pPr>
          </w:p>
        </w:tc>
        <w:tc>
          <w:tcPr>
            <w:tcW w:w="20" w:type="dxa"/>
            <w:vAlign w:val="bottom"/>
            <w:shd w:val="clear" w:color="auto" w:fill="DCE2EF"/>
          </w:tcPr>
          <w:p>
            <w:pPr>
              <w:spacing w:after="0"/>
              <w:rPr>
                <w:sz w:val="3"/>
                <w:szCs w:val="3"/>
                <w:color w:val="auto"/>
              </w:rPr>
            </w:pPr>
          </w:p>
        </w:tc>
        <w:tc>
          <w:tcPr>
            <w:tcW w:w="20" w:type="dxa"/>
            <w:vAlign w:val="bottom"/>
            <w:shd w:val="clear" w:color="auto" w:fill="DCE2EF"/>
          </w:tcPr>
          <w:p>
            <w:pPr>
              <w:spacing w:after="0"/>
              <w:rPr>
                <w:sz w:val="3"/>
                <w:szCs w:val="3"/>
                <w:color w:val="auto"/>
              </w:rPr>
            </w:pPr>
          </w:p>
        </w:tc>
        <w:tc>
          <w:tcPr>
            <w:tcW w:w="20" w:type="dxa"/>
            <w:vAlign w:val="bottom"/>
            <w:shd w:val="clear" w:color="auto" w:fill="DCE2EF"/>
          </w:tcPr>
          <w:p>
            <w:pPr>
              <w:spacing w:after="0"/>
              <w:rPr>
                <w:sz w:val="3"/>
                <w:szCs w:val="3"/>
                <w:color w:val="auto"/>
              </w:rPr>
            </w:pPr>
          </w:p>
        </w:tc>
        <w:tc>
          <w:tcPr>
            <w:tcW w:w="20" w:type="dxa"/>
            <w:vAlign w:val="bottom"/>
            <w:shd w:val="clear" w:color="auto" w:fill="DCE2EF"/>
          </w:tcPr>
          <w:p>
            <w:pPr>
              <w:spacing w:after="0"/>
              <w:rPr>
                <w:sz w:val="3"/>
                <w:szCs w:val="3"/>
                <w:color w:val="auto"/>
              </w:rPr>
            </w:pPr>
          </w:p>
        </w:tc>
        <w:tc>
          <w:tcPr>
            <w:tcW w:w="20" w:type="dxa"/>
            <w:vAlign w:val="bottom"/>
            <w:shd w:val="clear" w:color="auto" w:fill="DCE2EF"/>
          </w:tcPr>
          <w:p>
            <w:pPr>
              <w:spacing w:after="0"/>
              <w:rPr>
                <w:sz w:val="3"/>
                <w:szCs w:val="3"/>
                <w:color w:val="auto"/>
              </w:rPr>
            </w:pPr>
          </w:p>
        </w:tc>
        <w:tc>
          <w:tcPr>
            <w:tcW w:w="20" w:type="dxa"/>
            <w:vAlign w:val="bottom"/>
            <w:shd w:val="clear" w:color="auto" w:fill="DCE2EF"/>
          </w:tcPr>
          <w:p>
            <w:pPr>
              <w:spacing w:after="0"/>
              <w:rPr>
                <w:sz w:val="3"/>
                <w:szCs w:val="3"/>
                <w:color w:val="auto"/>
              </w:rPr>
            </w:pPr>
          </w:p>
        </w:tc>
        <w:tc>
          <w:tcPr>
            <w:tcW w:w="860" w:type="dxa"/>
            <w:vAlign w:val="bottom"/>
            <w:shd w:val="clear" w:color="auto" w:fill="DCE2EF"/>
          </w:tcPr>
          <w:p>
            <w:pPr>
              <w:spacing w:after="0"/>
              <w:rPr>
                <w:sz w:val="3"/>
                <w:szCs w:val="3"/>
                <w:color w:val="auto"/>
              </w:rPr>
            </w:pPr>
          </w:p>
        </w:tc>
        <w:tc>
          <w:tcPr>
            <w:tcW w:w="1340" w:type="dxa"/>
            <w:vAlign w:val="bottom"/>
            <w:shd w:val="clear" w:color="auto" w:fill="DCE2EF"/>
          </w:tcPr>
          <w:p>
            <w:pPr>
              <w:spacing w:after="0"/>
              <w:rPr>
                <w:sz w:val="3"/>
                <w:szCs w:val="3"/>
                <w:color w:val="auto"/>
              </w:rPr>
            </w:pPr>
          </w:p>
        </w:tc>
        <w:tc>
          <w:tcPr>
            <w:tcW w:w="1040" w:type="dxa"/>
            <w:vAlign w:val="bottom"/>
            <w:shd w:val="clear" w:color="auto" w:fill="DCE2EF"/>
          </w:tcPr>
          <w:p>
            <w:pPr>
              <w:spacing w:after="0"/>
              <w:rPr>
                <w:sz w:val="3"/>
                <w:szCs w:val="3"/>
                <w:color w:val="auto"/>
              </w:rPr>
            </w:pPr>
          </w:p>
        </w:tc>
        <w:tc>
          <w:tcPr>
            <w:tcW w:w="2160" w:type="dxa"/>
            <w:vAlign w:val="bottom"/>
            <w:shd w:val="clear" w:color="auto" w:fill="DCE2EF"/>
          </w:tcPr>
          <w:p>
            <w:pPr>
              <w:spacing w:after="0"/>
              <w:rPr>
                <w:sz w:val="3"/>
                <w:szCs w:val="3"/>
                <w:color w:val="auto"/>
              </w:rPr>
            </w:pPr>
          </w:p>
        </w:tc>
      </w:tr>
      <w:tr>
        <w:trPr>
          <w:trHeight w:val="180"/>
        </w:trPr>
        <w:tc>
          <w:tcPr>
            <w:tcW w:w="1300" w:type="dxa"/>
            <w:vAlign w:val="bottom"/>
          </w:tcPr>
          <w:p>
            <w:pPr>
              <w:ind w:left="20"/>
              <w:spacing w:after="0" w:line="180" w:lineRule="exact"/>
              <w:rPr>
                <w:sz w:val="20"/>
                <w:szCs w:val="20"/>
                <w:color w:val="auto"/>
              </w:rPr>
            </w:pPr>
            <w:r>
              <w:rPr>
                <w:rFonts w:ascii="Arial" w:cs="Arial" w:eastAsia="Arial" w:hAnsi="Arial"/>
                <w:sz w:val="17"/>
                <w:szCs w:val="17"/>
                <w:color w:val="auto"/>
              </w:rPr>
              <w:t>21.1‡</w:t>
            </w:r>
          </w:p>
        </w:tc>
        <w:tc>
          <w:tcPr>
            <w:tcW w:w="4540" w:type="dxa"/>
            <w:vAlign w:val="bottom"/>
            <w:gridSpan w:val="35"/>
          </w:tcPr>
          <w:p>
            <w:pPr>
              <w:spacing w:after="0" w:line="180" w:lineRule="exact"/>
              <w:rPr>
                <w:sz w:val="20"/>
                <w:szCs w:val="20"/>
                <w:color w:val="auto"/>
              </w:rPr>
            </w:pPr>
            <w:r>
              <w:rPr>
                <w:rFonts w:ascii="Arial" w:cs="Arial" w:eastAsia="Arial" w:hAnsi="Arial"/>
                <w:sz w:val="17"/>
                <w:szCs w:val="17"/>
                <w:color w:val="0000FF"/>
              </w:rPr>
              <w:t>Subsidiaries of the Registrant</w:t>
            </w:r>
          </w:p>
        </w:tc>
        <w:tc>
          <w:tcPr>
            <w:tcW w:w="8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160" w:type="dxa"/>
            <w:vAlign w:val="bottom"/>
          </w:tcPr>
          <w:p>
            <w:pPr>
              <w:spacing w:after="0"/>
              <w:rPr>
                <w:sz w:val="15"/>
                <w:szCs w:val="15"/>
                <w:color w:val="auto"/>
              </w:rPr>
            </w:pPr>
          </w:p>
        </w:tc>
      </w:tr>
      <w:tr>
        <w:trPr>
          <w:trHeight w:val="29"/>
        </w:trPr>
        <w:tc>
          <w:tcPr>
            <w:tcW w:w="1300" w:type="dxa"/>
            <w:vAlign w:val="bottom"/>
          </w:tcPr>
          <w:p>
            <w:pPr>
              <w:spacing w:after="0"/>
              <w:rPr>
                <w:sz w:val="2"/>
                <w:szCs w:val="2"/>
                <w:color w:val="auto"/>
              </w:rPr>
            </w:pPr>
          </w:p>
        </w:tc>
        <w:tc>
          <w:tcPr>
            <w:tcW w:w="68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08"/>
        </w:trPr>
        <w:tc>
          <w:tcPr>
            <w:tcW w:w="1300" w:type="dxa"/>
            <w:vAlign w:val="bottom"/>
            <w:tcBorders>
              <w:bottom w:val="single" w:sz="8" w:color="DCE2EF"/>
            </w:tcBorders>
            <w:shd w:val="clear" w:color="auto" w:fill="DCE2EF"/>
          </w:tcPr>
          <w:p>
            <w:pPr>
              <w:ind w:left="20"/>
              <w:spacing w:after="0" w:line="190" w:lineRule="exact"/>
              <w:rPr>
                <w:sz w:val="20"/>
                <w:szCs w:val="20"/>
                <w:color w:val="auto"/>
              </w:rPr>
            </w:pPr>
            <w:r>
              <w:rPr>
                <w:rFonts w:ascii="Arial" w:cs="Arial" w:eastAsia="Arial" w:hAnsi="Arial"/>
                <w:sz w:val="17"/>
                <w:szCs w:val="17"/>
                <w:color w:val="auto"/>
              </w:rPr>
              <w:t>23.1‡</w:t>
            </w:r>
          </w:p>
        </w:tc>
        <w:tc>
          <w:tcPr>
            <w:tcW w:w="4540" w:type="dxa"/>
            <w:vAlign w:val="bottom"/>
            <w:tcBorders>
              <w:bottom w:val="single" w:sz="8" w:color="0000FF"/>
            </w:tcBorders>
            <w:gridSpan w:val="35"/>
            <w:shd w:val="clear" w:color="auto" w:fill="DCE2EF"/>
          </w:tcPr>
          <w:p>
            <w:pPr>
              <w:spacing w:after="0" w:line="190" w:lineRule="exact"/>
              <w:rPr>
                <w:sz w:val="20"/>
                <w:szCs w:val="20"/>
                <w:color w:val="auto"/>
              </w:rPr>
            </w:pPr>
            <w:r>
              <w:rPr>
                <w:rFonts w:ascii="Arial" w:cs="Arial" w:eastAsia="Arial" w:hAnsi="Arial"/>
                <w:sz w:val="17"/>
                <w:szCs w:val="17"/>
                <w:color w:val="0000FF"/>
              </w:rPr>
              <w:t>Consent of Independent Registered Public Accounting Firm</w:t>
            </w:r>
          </w:p>
        </w:tc>
        <w:tc>
          <w:tcPr>
            <w:tcW w:w="860" w:type="dxa"/>
            <w:vAlign w:val="bottom"/>
            <w:tcBorders>
              <w:bottom w:val="single" w:sz="8" w:color="DCE2EF"/>
            </w:tcBorders>
            <w:shd w:val="clear" w:color="auto" w:fill="DCE2EF"/>
          </w:tcPr>
          <w:p>
            <w:pPr>
              <w:spacing w:after="0"/>
              <w:rPr>
                <w:sz w:val="18"/>
                <w:szCs w:val="18"/>
                <w:color w:val="auto"/>
              </w:rPr>
            </w:pPr>
          </w:p>
        </w:tc>
        <w:tc>
          <w:tcPr>
            <w:tcW w:w="1340" w:type="dxa"/>
            <w:vAlign w:val="bottom"/>
            <w:tcBorders>
              <w:bottom w:val="single" w:sz="8" w:color="DCE2EF"/>
            </w:tcBorders>
            <w:shd w:val="clear" w:color="auto" w:fill="DCE2EF"/>
          </w:tcPr>
          <w:p>
            <w:pPr>
              <w:spacing w:after="0"/>
              <w:rPr>
                <w:sz w:val="18"/>
                <w:szCs w:val="18"/>
                <w:color w:val="auto"/>
              </w:rPr>
            </w:pPr>
          </w:p>
        </w:tc>
        <w:tc>
          <w:tcPr>
            <w:tcW w:w="1040" w:type="dxa"/>
            <w:vAlign w:val="bottom"/>
            <w:tcBorders>
              <w:bottom w:val="single" w:sz="8" w:color="DCE2EF"/>
            </w:tcBorders>
            <w:shd w:val="clear" w:color="auto" w:fill="DCE2EF"/>
          </w:tcPr>
          <w:p>
            <w:pPr>
              <w:spacing w:after="0"/>
              <w:rPr>
                <w:sz w:val="18"/>
                <w:szCs w:val="18"/>
                <w:color w:val="auto"/>
              </w:rPr>
            </w:pPr>
          </w:p>
        </w:tc>
        <w:tc>
          <w:tcPr>
            <w:tcW w:w="2160" w:type="dxa"/>
            <w:vAlign w:val="bottom"/>
            <w:tcBorders>
              <w:bottom w:val="single" w:sz="8" w:color="DCE2EF"/>
            </w:tcBorders>
            <w:shd w:val="clear" w:color="auto" w:fill="DCE2EF"/>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1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4" w:right="339" w:bottom="1440" w:gutter="0" w:footer="0" w:header="0"/>
        </w:sectPr>
      </w:pPr>
    </w:p>
    <w:bookmarkStart w:id="103" w:name="page104"/>
    <w:bookmarkEnd w:id="103"/>
    <w:tbl>
      <w:tblPr>
        <w:tblLayout w:type="fixed"/>
        <w:tblInd w:w="0" w:type="dxa"/>
        <w:tblCellMar>
          <w:top w:w="0" w:type="dxa"/>
          <w:left w:w="0" w:type="dxa"/>
          <w:bottom w:w="0" w:type="dxa"/>
          <w:right w:w="0" w:type="dxa"/>
        </w:tblCellMar>
      </w:tblPr>
      <w:tr>
        <w:trPr>
          <w:trHeight w:val="195"/>
        </w:trPr>
        <w:tc>
          <w:tcPr>
            <w:tcW w:w="1300" w:type="dxa"/>
            <w:vAlign w:val="bottom"/>
          </w:tcPr>
          <w:p>
            <w:pPr>
              <w:ind w:left="20"/>
              <w:spacing w:after="0"/>
              <w:rPr>
                <w:sz w:val="20"/>
                <w:szCs w:val="20"/>
                <w:color w:val="auto"/>
              </w:rPr>
            </w:pPr>
            <w:r>
              <w:rPr>
                <w:rFonts w:ascii="Arial" w:cs="Arial" w:eastAsia="Arial" w:hAnsi="Arial"/>
                <w:sz w:val="17"/>
                <w:szCs w:val="17"/>
                <w:color w:val="auto"/>
              </w:rPr>
              <w:t>31.1‡</w:t>
            </w:r>
          </w:p>
        </w:tc>
        <w:tc>
          <w:tcPr>
            <w:tcW w:w="4660" w:type="dxa"/>
            <w:vAlign w:val="bottom"/>
            <w:gridSpan w:val="11"/>
          </w:tcPr>
          <w:p>
            <w:pPr>
              <w:spacing w:after="0"/>
              <w:rPr>
                <w:sz w:val="20"/>
                <w:szCs w:val="20"/>
                <w:color w:val="auto"/>
              </w:rPr>
            </w:pPr>
            <w:r>
              <w:rPr>
                <w:rFonts w:ascii="Arial" w:cs="Arial" w:eastAsia="Arial" w:hAnsi="Arial"/>
                <w:sz w:val="17"/>
                <w:szCs w:val="17"/>
                <w:color w:val="0000FF"/>
              </w:rPr>
              <w:t>Certification of Chief Executive Officer pursuant to</w:t>
            </w:r>
          </w:p>
        </w:tc>
        <w:tc>
          <w:tcPr>
            <w:tcW w:w="7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20" w:type="dxa"/>
            <w:vAlign w:val="bottom"/>
          </w:tcPr>
          <w:p>
            <w:pPr>
              <w:spacing w:after="0"/>
              <w:rPr>
                <w:sz w:val="16"/>
                <w:szCs w:val="16"/>
                <w:color w:val="auto"/>
              </w:rPr>
            </w:pPr>
          </w:p>
        </w:tc>
      </w:tr>
      <w:tr>
        <w:trPr>
          <w:trHeight w:val="20"/>
        </w:trPr>
        <w:tc>
          <w:tcPr>
            <w:tcW w:w="1300" w:type="dxa"/>
            <w:vAlign w:val="bottom"/>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r>
      <w:tr>
        <w:trPr>
          <w:trHeight w:val="148"/>
        </w:trPr>
        <w:tc>
          <w:tcPr>
            <w:tcW w:w="1300" w:type="dxa"/>
            <w:vAlign w:val="bottom"/>
          </w:tcPr>
          <w:p>
            <w:pPr>
              <w:spacing w:after="0"/>
              <w:rPr>
                <w:sz w:val="12"/>
                <w:szCs w:val="12"/>
                <w:color w:val="auto"/>
              </w:rPr>
            </w:pPr>
          </w:p>
        </w:tc>
        <w:tc>
          <w:tcPr>
            <w:tcW w:w="4660" w:type="dxa"/>
            <w:vAlign w:val="bottom"/>
            <w:gridSpan w:val="11"/>
          </w:tcPr>
          <w:p>
            <w:pPr>
              <w:spacing w:after="0" w:line="148" w:lineRule="exact"/>
              <w:rPr>
                <w:sz w:val="20"/>
                <w:szCs w:val="20"/>
                <w:color w:val="auto"/>
              </w:rPr>
            </w:pPr>
            <w:r>
              <w:rPr>
                <w:rFonts w:ascii="Arial" w:cs="Arial" w:eastAsia="Arial" w:hAnsi="Arial"/>
                <w:sz w:val="17"/>
                <w:szCs w:val="17"/>
                <w:color w:val="0000FF"/>
              </w:rPr>
              <w:t>Securities Exchange Act of 1934 Rule 13a-14(a) or 15d-</w:t>
            </w:r>
          </w:p>
        </w:tc>
        <w:tc>
          <w:tcPr>
            <w:tcW w:w="7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20" w:type="dxa"/>
            <w:vAlign w:val="bottom"/>
          </w:tcPr>
          <w:p>
            <w:pPr>
              <w:spacing w:after="0"/>
              <w:rPr>
                <w:sz w:val="12"/>
                <w:szCs w:val="12"/>
                <w:color w:val="auto"/>
              </w:rPr>
            </w:pPr>
          </w:p>
        </w:tc>
      </w:tr>
      <w:tr>
        <w:trPr>
          <w:trHeight w:val="160"/>
        </w:trPr>
        <w:tc>
          <w:tcPr>
            <w:tcW w:w="1300" w:type="dxa"/>
            <w:vAlign w:val="bottom"/>
          </w:tcPr>
          <w:p>
            <w:pPr>
              <w:spacing w:after="0"/>
              <w:rPr>
                <w:sz w:val="13"/>
                <w:szCs w:val="13"/>
                <w:color w:val="auto"/>
              </w:rPr>
            </w:pPr>
          </w:p>
        </w:tc>
        <w:tc>
          <w:tcPr>
            <w:tcW w:w="4280" w:type="dxa"/>
            <w:vAlign w:val="bottom"/>
            <w:tcBorders>
              <w:top w:val="single" w:sz="8" w:color="0000FF"/>
            </w:tcBorders>
            <w:gridSpan w:val="7"/>
          </w:tcPr>
          <w:p>
            <w:pPr>
              <w:spacing w:after="0" w:line="161" w:lineRule="exact"/>
              <w:rPr>
                <w:sz w:val="20"/>
                <w:szCs w:val="20"/>
                <w:color w:val="auto"/>
              </w:rPr>
            </w:pPr>
            <w:r>
              <w:rPr>
                <w:rFonts w:ascii="Arial" w:cs="Arial" w:eastAsia="Arial" w:hAnsi="Arial"/>
                <w:sz w:val="17"/>
                <w:szCs w:val="17"/>
                <w:color w:val="0000FF"/>
              </w:rPr>
              <w:t>14(a), as adopted pursuant to Section 302 of the</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20" w:type="dxa"/>
            <w:vAlign w:val="bottom"/>
          </w:tcPr>
          <w:p>
            <w:pPr>
              <w:spacing w:after="0"/>
              <w:rPr>
                <w:sz w:val="13"/>
                <w:szCs w:val="13"/>
                <w:color w:val="auto"/>
              </w:rPr>
            </w:pPr>
          </w:p>
        </w:tc>
      </w:tr>
      <w:tr>
        <w:trPr>
          <w:trHeight w:val="157"/>
        </w:trPr>
        <w:tc>
          <w:tcPr>
            <w:tcW w:w="1300" w:type="dxa"/>
            <w:vAlign w:val="bottom"/>
          </w:tcPr>
          <w:p>
            <w:pPr>
              <w:spacing w:after="0"/>
              <w:rPr>
                <w:sz w:val="13"/>
                <w:szCs w:val="13"/>
                <w:color w:val="auto"/>
              </w:rPr>
            </w:pPr>
          </w:p>
        </w:tc>
        <w:tc>
          <w:tcPr>
            <w:tcW w:w="2160" w:type="dxa"/>
            <w:vAlign w:val="bottom"/>
            <w:tcBorders>
              <w:top w:val="single" w:sz="8" w:color="0000FF"/>
              <w:bottom w:val="single" w:sz="8" w:color="0000FF"/>
            </w:tcBorders>
            <w:gridSpan w:val="2"/>
          </w:tcPr>
          <w:p>
            <w:pPr>
              <w:spacing w:after="0" w:line="148" w:lineRule="exact"/>
              <w:rPr>
                <w:sz w:val="20"/>
                <w:szCs w:val="20"/>
                <w:color w:val="auto"/>
              </w:rPr>
            </w:pPr>
            <w:r>
              <w:rPr>
                <w:rFonts w:ascii="Arial" w:cs="Arial" w:eastAsia="Arial" w:hAnsi="Arial"/>
                <w:sz w:val="17"/>
                <w:szCs w:val="17"/>
                <w:color w:val="0000FF"/>
              </w:rPr>
              <w:t>Sarbanes-Oxley Act of 2002</w:t>
            </w:r>
          </w:p>
        </w:tc>
        <w:tc>
          <w:tcPr>
            <w:tcW w:w="1540" w:type="dxa"/>
            <w:vAlign w:val="bottom"/>
            <w:tcBorders>
              <w:top w:val="single" w:sz="8" w:color="0000FF"/>
            </w:tcBorders>
            <w:gridSpan w:val="2"/>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20" w:type="dxa"/>
            <w:vAlign w:val="bottom"/>
          </w:tcPr>
          <w:p>
            <w:pPr>
              <w:spacing w:after="0"/>
              <w:rPr>
                <w:sz w:val="13"/>
                <w:szCs w:val="13"/>
                <w:color w:val="auto"/>
              </w:rPr>
            </w:pPr>
          </w:p>
        </w:tc>
      </w:tr>
      <w:tr>
        <w:trPr>
          <w:trHeight w:val="183"/>
        </w:trPr>
        <w:tc>
          <w:tcPr>
            <w:tcW w:w="1300" w:type="dxa"/>
            <w:vAlign w:val="bottom"/>
            <w:shd w:val="clear" w:color="auto" w:fill="DCE2EF"/>
          </w:tcPr>
          <w:p>
            <w:pPr>
              <w:ind w:left="20"/>
              <w:spacing w:after="0" w:line="177" w:lineRule="exact"/>
              <w:rPr>
                <w:sz w:val="20"/>
                <w:szCs w:val="20"/>
                <w:color w:val="auto"/>
              </w:rPr>
            </w:pPr>
            <w:r>
              <w:rPr>
                <w:rFonts w:ascii="Arial" w:cs="Arial" w:eastAsia="Arial" w:hAnsi="Arial"/>
                <w:sz w:val="17"/>
                <w:szCs w:val="17"/>
                <w:color w:val="auto"/>
              </w:rPr>
              <w:t>31.2‡</w:t>
            </w:r>
          </w:p>
        </w:tc>
        <w:tc>
          <w:tcPr>
            <w:tcW w:w="4660" w:type="dxa"/>
            <w:vAlign w:val="bottom"/>
            <w:gridSpan w:val="11"/>
            <w:shd w:val="clear" w:color="auto" w:fill="DCE2EF"/>
          </w:tcPr>
          <w:p>
            <w:pPr>
              <w:spacing w:after="0" w:line="177" w:lineRule="exact"/>
              <w:rPr>
                <w:sz w:val="20"/>
                <w:szCs w:val="20"/>
                <w:color w:val="auto"/>
              </w:rPr>
            </w:pPr>
            <w:r>
              <w:rPr>
                <w:rFonts w:ascii="Arial" w:cs="Arial" w:eastAsia="Arial" w:hAnsi="Arial"/>
                <w:sz w:val="17"/>
                <w:szCs w:val="17"/>
                <w:color w:val="0000FF"/>
              </w:rPr>
              <w:t>Certification of Chief Financial Officer pursuant to</w:t>
            </w:r>
          </w:p>
        </w:tc>
        <w:tc>
          <w:tcPr>
            <w:tcW w:w="740" w:type="dxa"/>
            <w:vAlign w:val="bottom"/>
            <w:shd w:val="clear" w:color="auto" w:fill="DCE2EF"/>
          </w:tcPr>
          <w:p>
            <w:pPr>
              <w:spacing w:after="0"/>
              <w:rPr>
                <w:sz w:val="15"/>
                <w:szCs w:val="15"/>
                <w:color w:val="auto"/>
              </w:rPr>
            </w:pPr>
          </w:p>
        </w:tc>
        <w:tc>
          <w:tcPr>
            <w:tcW w:w="1400" w:type="dxa"/>
            <w:vAlign w:val="bottom"/>
            <w:shd w:val="clear" w:color="auto" w:fill="DCE2EF"/>
          </w:tcPr>
          <w:p>
            <w:pPr>
              <w:spacing w:after="0"/>
              <w:rPr>
                <w:sz w:val="15"/>
                <w:szCs w:val="15"/>
                <w:color w:val="auto"/>
              </w:rPr>
            </w:pPr>
          </w:p>
        </w:tc>
        <w:tc>
          <w:tcPr>
            <w:tcW w:w="920" w:type="dxa"/>
            <w:vAlign w:val="bottom"/>
            <w:shd w:val="clear" w:color="auto" w:fill="DCE2EF"/>
          </w:tcPr>
          <w:p>
            <w:pPr>
              <w:spacing w:after="0"/>
              <w:rPr>
                <w:sz w:val="15"/>
                <w:szCs w:val="15"/>
                <w:color w:val="auto"/>
              </w:rPr>
            </w:pPr>
          </w:p>
        </w:tc>
        <w:tc>
          <w:tcPr>
            <w:tcW w:w="2220" w:type="dxa"/>
            <w:vAlign w:val="bottom"/>
            <w:shd w:val="clear" w:color="auto" w:fill="DCE2EF"/>
          </w:tcPr>
          <w:p>
            <w:pPr>
              <w:spacing w:after="0"/>
              <w:rPr>
                <w:sz w:val="15"/>
                <w:szCs w:val="15"/>
                <w:color w:val="auto"/>
              </w:rPr>
            </w:pPr>
          </w:p>
        </w:tc>
      </w:tr>
      <w:tr>
        <w:trPr>
          <w:trHeight w:val="155"/>
        </w:trPr>
        <w:tc>
          <w:tcPr>
            <w:tcW w:w="1300" w:type="dxa"/>
            <w:vAlign w:val="bottom"/>
            <w:tcBorders>
              <w:top w:val="single" w:sz="8" w:color="DCE2EF"/>
            </w:tcBorders>
            <w:shd w:val="clear" w:color="auto" w:fill="DCE2EF"/>
          </w:tcPr>
          <w:p>
            <w:pPr>
              <w:spacing w:after="0"/>
              <w:rPr>
                <w:sz w:val="13"/>
                <w:szCs w:val="13"/>
                <w:color w:val="auto"/>
              </w:rPr>
            </w:pPr>
          </w:p>
        </w:tc>
        <w:tc>
          <w:tcPr>
            <w:tcW w:w="3800" w:type="dxa"/>
            <w:vAlign w:val="bottom"/>
            <w:tcBorders>
              <w:top w:val="single" w:sz="8" w:color="0000FF"/>
              <w:right w:val="single" w:sz="8" w:color="DCE2EF"/>
            </w:tcBorders>
            <w:gridSpan w:val="5"/>
            <w:shd w:val="clear" w:color="auto" w:fill="DCE2EF"/>
          </w:tcPr>
          <w:p>
            <w:pPr>
              <w:spacing w:after="0" w:line="154" w:lineRule="exact"/>
              <w:rPr>
                <w:sz w:val="20"/>
                <w:szCs w:val="20"/>
                <w:color w:val="auto"/>
              </w:rPr>
            </w:pPr>
            <w:r>
              <w:rPr>
                <w:rFonts w:ascii="Arial" w:cs="Arial" w:eastAsia="Arial" w:hAnsi="Arial"/>
                <w:sz w:val="17"/>
                <w:szCs w:val="17"/>
                <w:color w:val="0000FF"/>
              </w:rPr>
              <w:t>Securities Exchange Act of 1934 Rule 13a-14(a)</w:t>
            </w:r>
          </w:p>
        </w:tc>
        <w:tc>
          <w:tcPr>
            <w:tcW w:w="860" w:type="dxa"/>
            <w:vAlign w:val="bottom"/>
            <w:tcBorders>
              <w:top w:val="single" w:sz="8" w:color="DCE2EF"/>
            </w:tcBorders>
            <w:gridSpan w:val="6"/>
            <w:shd w:val="clear" w:color="auto" w:fill="DCE2EF"/>
          </w:tcPr>
          <w:p>
            <w:pPr>
              <w:spacing w:after="0" w:line="154" w:lineRule="exact"/>
              <w:rPr>
                <w:sz w:val="20"/>
                <w:szCs w:val="20"/>
                <w:color w:val="auto"/>
              </w:rPr>
            </w:pPr>
            <w:r>
              <w:rPr>
                <w:rFonts w:ascii="Arial" w:cs="Arial" w:eastAsia="Arial" w:hAnsi="Arial"/>
                <w:sz w:val="17"/>
                <w:szCs w:val="17"/>
                <w:color w:val="0000FF"/>
              </w:rPr>
              <w:t>or 15d-</w:t>
            </w:r>
          </w:p>
        </w:tc>
        <w:tc>
          <w:tcPr>
            <w:tcW w:w="740" w:type="dxa"/>
            <w:vAlign w:val="bottom"/>
            <w:tcBorders>
              <w:top w:val="single" w:sz="8" w:color="DCE2EF"/>
            </w:tcBorders>
            <w:shd w:val="clear" w:color="auto" w:fill="DCE2EF"/>
          </w:tcPr>
          <w:p>
            <w:pPr>
              <w:spacing w:after="0"/>
              <w:rPr>
                <w:sz w:val="13"/>
                <w:szCs w:val="13"/>
                <w:color w:val="auto"/>
              </w:rPr>
            </w:pPr>
          </w:p>
        </w:tc>
        <w:tc>
          <w:tcPr>
            <w:tcW w:w="1400" w:type="dxa"/>
            <w:vAlign w:val="bottom"/>
            <w:tcBorders>
              <w:top w:val="single" w:sz="8" w:color="DCE2EF"/>
            </w:tcBorders>
            <w:shd w:val="clear" w:color="auto" w:fill="DCE2EF"/>
          </w:tcPr>
          <w:p>
            <w:pPr>
              <w:spacing w:after="0"/>
              <w:rPr>
                <w:sz w:val="13"/>
                <w:szCs w:val="13"/>
                <w:color w:val="auto"/>
              </w:rPr>
            </w:pPr>
          </w:p>
        </w:tc>
        <w:tc>
          <w:tcPr>
            <w:tcW w:w="920" w:type="dxa"/>
            <w:vAlign w:val="bottom"/>
            <w:tcBorders>
              <w:top w:val="single" w:sz="8" w:color="DCE2EF"/>
            </w:tcBorders>
            <w:shd w:val="clear" w:color="auto" w:fill="DCE2EF"/>
          </w:tcPr>
          <w:p>
            <w:pPr>
              <w:spacing w:after="0"/>
              <w:rPr>
                <w:sz w:val="13"/>
                <w:szCs w:val="13"/>
                <w:color w:val="auto"/>
              </w:rPr>
            </w:pPr>
          </w:p>
        </w:tc>
        <w:tc>
          <w:tcPr>
            <w:tcW w:w="2220" w:type="dxa"/>
            <w:vAlign w:val="bottom"/>
            <w:tcBorders>
              <w:top w:val="single" w:sz="8" w:color="DCE2EF"/>
            </w:tcBorders>
            <w:shd w:val="clear" w:color="auto" w:fill="DCE2EF"/>
          </w:tcPr>
          <w:p>
            <w:pPr>
              <w:spacing w:after="0"/>
              <w:rPr>
                <w:sz w:val="13"/>
                <w:szCs w:val="13"/>
                <w:color w:val="auto"/>
              </w:rPr>
            </w:pPr>
          </w:p>
        </w:tc>
      </w:tr>
      <w:tr>
        <w:trPr>
          <w:trHeight w:val="160"/>
        </w:trPr>
        <w:tc>
          <w:tcPr>
            <w:tcW w:w="1300" w:type="dxa"/>
            <w:vAlign w:val="bottom"/>
            <w:tcBorders>
              <w:top w:val="single" w:sz="8" w:color="DCE2EF"/>
            </w:tcBorders>
            <w:shd w:val="clear" w:color="auto" w:fill="DCE2EF"/>
          </w:tcPr>
          <w:p>
            <w:pPr>
              <w:spacing w:after="0"/>
              <w:rPr>
                <w:sz w:val="13"/>
                <w:szCs w:val="13"/>
                <w:color w:val="auto"/>
              </w:rPr>
            </w:pPr>
          </w:p>
        </w:tc>
        <w:tc>
          <w:tcPr>
            <w:tcW w:w="4280" w:type="dxa"/>
            <w:vAlign w:val="bottom"/>
            <w:tcBorders>
              <w:top w:val="single" w:sz="8" w:color="0000FF"/>
            </w:tcBorders>
            <w:gridSpan w:val="7"/>
            <w:shd w:val="clear" w:color="auto" w:fill="DCE2EF"/>
          </w:tcPr>
          <w:p>
            <w:pPr>
              <w:spacing w:after="0" w:line="161" w:lineRule="exact"/>
              <w:rPr>
                <w:sz w:val="20"/>
                <w:szCs w:val="20"/>
                <w:color w:val="auto"/>
              </w:rPr>
            </w:pPr>
            <w:r>
              <w:rPr>
                <w:rFonts w:ascii="Arial" w:cs="Arial" w:eastAsia="Arial" w:hAnsi="Arial"/>
                <w:sz w:val="17"/>
                <w:szCs w:val="17"/>
                <w:color w:val="0000FF"/>
              </w:rPr>
              <w:t>14(a), as adopted pursuant to Section 302 of the</w:t>
            </w:r>
          </w:p>
        </w:tc>
        <w:tc>
          <w:tcPr>
            <w:tcW w:w="100" w:type="dxa"/>
            <w:vAlign w:val="bottom"/>
            <w:tcBorders>
              <w:top w:val="single" w:sz="8" w:color="DCE2EF"/>
            </w:tcBorders>
            <w:shd w:val="clear" w:color="auto" w:fill="DCE2EF"/>
          </w:tcPr>
          <w:p>
            <w:pPr>
              <w:spacing w:after="0"/>
              <w:rPr>
                <w:sz w:val="13"/>
                <w:szCs w:val="13"/>
                <w:color w:val="auto"/>
              </w:rPr>
            </w:pPr>
          </w:p>
        </w:tc>
        <w:tc>
          <w:tcPr>
            <w:tcW w:w="60" w:type="dxa"/>
            <w:vAlign w:val="bottom"/>
            <w:tcBorders>
              <w:top w:val="single" w:sz="8" w:color="DCE2EF"/>
            </w:tcBorders>
            <w:shd w:val="clear" w:color="auto" w:fill="DCE2EF"/>
          </w:tcPr>
          <w:p>
            <w:pPr>
              <w:spacing w:after="0"/>
              <w:rPr>
                <w:sz w:val="13"/>
                <w:szCs w:val="13"/>
                <w:color w:val="auto"/>
              </w:rPr>
            </w:pPr>
          </w:p>
        </w:tc>
        <w:tc>
          <w:tcPr>
            <w:tcW w:w="40" w:type="dxa"/>
            <w:vAlign w:val="bottom"/>
            <w:tcBorders>
              <w:top w:val="single" w:sz="8" w:color="DCE2EF"/>
            </w:tcBorders>
            <w:shd w:val="clear" w:color="auto" w:fill="DCE2EF"/>
          </w:tcPr>
          <w:p>
            <w:pPr>
              <w:spacing w:after="0"/>
              <w:rPr>
                <w:sz w:val="13"/>
                <w:szCs w:val="13"/>
                <w:color w:val="auto"/>
              </w:rPr>
            </w:pPr>
          </w:p>
        </w:tc>
        <w:tc>
          <w:tcPr>
            <w:tcW w:w="180" w:type="dxa"/>
            <w:vAlign w:val="bottom"/>
            <w:tcBorders>
              <w:top w:val="single" w:sz="8" w:color="DCE2EF"/>
            </w:tcBorders>
            <w:shd w:val="clear" w:color="auto" w:fill="DCE2EF"/>
          </w:tcPr>
          <w:p>
            <w:pPr>
              <w:spacing w:after="0"/>
              <w:rPr>
                <w:sz w:val="13"/>
                <w:szCs w:val="13"/>
                <w:color w:val="auto"/>
              </w:rPr>
            </w:pPr>
          </w:p>
        </w:tc>
        <w:tc>
          <w:tcPr>
            <w:tcW w:w="740" w:type="dxa"/>
            <w:vAlign w:val="bottom"/>
            <w:tcBorders>
              <w:top w:val="single" w:sz="8" w:color="DCE2EF"/>
            </w:tcBorders>
            <w:shd w:val="clear" w:color="auto" w:fill="DCE2EF"/>
          </w:tcPr>
          <w:p>
            <w:pPr>
              <w:spacing w:after="0"/>
              <w:rPr>
                <w:sz w:val="13"/>
                <w:szCs w:val="13"/>
                <w:color w:val="auto"/>
              </w:rPr>
            </w:pPr>
          </w:p>
        </w:tc>
        <w:tc>
          <w:tcPr>
            <w:tcW w:w="1400" w:type="dxa"/>
            <w:vAlign w:val="bottom"/>
            <w:tcBorders>
              <w:top w:val="single" w:sz="8" w:color="DCE2EF"/>
            </w:tcBorders>
            <w:shd w:val="clear" w:color="auto" w:fill="DCE2EF"/>
          </w:tcPr>
          <w:p>
            <w:pPr>
              <w:spacing w:after="0"/>
              <w:rPr>
                <w:sz w:val="13"/>
                <w:szCs w:val="13"/>
                <w:color w:val="auto"/>
              </w:rPr>
            </w:pPr>
          </w:p>
        </w:tc>
        <w:tc>
          <w:tcPr>
            <w:tcW w:w="920" w:type="dxa"/>
            <w:vAlign w:val="bottom"/>
            <w:tcBorders>
              <w:top w:val="single" w:sz="8" w:color="DCE2EF"/>
            </w:tcBorders>
            <w:shd w:val="clear" w:color="auto" w:fill="DCE2EF"/>
          </w:tcPr>
          <w:p>
            <w:pPr>
              <w:spacing w:after="0"/>
              <w:rPr>
                <w:sz w:val="13"/>
                <w:szCs w:val="13"/>
                <w:color w:val="auto"/>
              </w:rPr>
            </w:pPr>
          </w:p>
        </w:tc>
        <w:tc>
          <w:tcPr>
            <w:tcW w:w="2220" w:type="dxa"/>
            <w:vAlign w:val="bottom"/>
            <w:tcBorders>
              <w:top w:val="single" w:sz="8" w:color="DCE2EF"/>
            </w:tcBorders>
            <w:shd w:val="clear" w:color="auto" w:fill="DCE2EF"/>
          </w:tcPr>
          <w:p>
            <w:pPr>
              <w:spacing w:after="0"/>
              <w:rPr>
                <w:sz w:val="13"/>
                <w:szCs w:val="13"/>
                <w:color w:val="auto"/>
              </w:rPr>
            </w:pPr>
          </w:p>
        </w:tc>
      </w:tr>
      <w:tr>
        <w:trPr>
          <w:trHeight w:val="166"/>
        </w:trPr>
        <w:tc>
          <w:tcPr>
            <w:tcW w:w="1300" w:type="dxa"/>
            <w:vAlign w:val="bottom"/>
            <w:tcBorders>
              <w:top w:val="single" w:sz="8" w:color="DCE2EF"/>
              <w:bottom w:val="single" w:sz="8" w:color="DCE2EF"/>
            </w:tcBorders>
            <w:shd w:val="clear" w:color="auto" w:fill="DCE2EF"/>
          </w:tcPr>
          <w:p>
            <w:pPr>
              <w:spacing w:after="0"/>
              <w:rPr>
                <w:sz w:val="14"/>
                <w:szCs w:val="14"/>
                <w:color w:val="auto"/>
              </w:rPr>
            </w:pPr>
          </w:p>
        </w:tc>
        <w:tc>
          <w:tcPr>
            <w:tcW w:w="2160" w:type="dxa"/>
            <w:vAlign w:val="bottom"/>
            <w:tcBorders>
              <w:top w:val="single" w:sz="8" w:color="0000FF"/>
              <w:bottom w:val="single" w:sz="8" w:color="0000FF"/>
            </w:tcBorders>
            <w:gridSpan w:val="2"/>
            <w:shd w:val="clear" w:color="auto" w:fill="DCE2EF"/>
          </w:tcPr>
          <w:p>
            <w:pPr>
              <w:spacing w:after="0" w:line="148" w:lineRule="exact"/>
              <w:rPr>
                <w:sz w:val="20"/>
                <w:szCs w:val="20"/>
                <w:color w:val="auto"/>
              </w:rPr>
            </w:pPr>
            <w:r>
              <w:rPr>
                <w:rFonts w:ascii="Arial" w:cs="Arial" w:eastAsia="Arial" w:hAnsi="Arial"/>
                <w:sz w:val="17"/>
                <w:szCs w:val="17"/>
                <w:color w:val="0000FF"/>
              </w:rPr>
              <w:t>Sarbanes-Oxley Act of 2002</w:t>
            </w:r>
          </w:p>
        </w:tc>
        <w:tc>
          <w:tcPr>
            <w:tcW w:w="1540" w:type="dxa"/>
            <w:vAlign w:val="bottom"/>
            <w:tcBorders>
              <w:top w:val="single" w:sz="8" w:color="0000FF"/>
              <w:bottom w:val="single" w:sz="8" w:color="DCE2EF"/>
            </w:tcBorders>
            <w:gridSpan w:val="2"/>
            <w:shd w:val="clear" w:color="auto" w:fill="DCE2EF"/>
          </w:tcPr>
          <w:p>
            <w:pPr>
              <w:spacing w:after="0"/>
              <w:rPr>
                <w:sz w:val="14"/>
                <w:szCs w:val="14"/>
                <w:color w:val="auto"/>
              </w:rPr>
            </w:pPr>
          </w:p>
        </w:tc>
        <w:tc>
          <w:tcPr>
            <w:tcW w:w="340" w:type="dxa"/>
            <w:vAlign w:val="bottom"/>
            <w:tcBorders>
              <w:top w:val="single" w:sz="8" w:color="DCE2EF"/>
              <w:bottom w:val="single" w:sz="8" w:color="DCE2EF"/>
            </w:tcBorders>
            <w:gridSpan w:val="2"/>
            <w:shd w:val="clear" w:color="auto" w:fill="DCE2EF"/>
          </w:tcPr>
          <w:p>
            <w:pPr>
              <w:spacing w:after="0"/>
              <w:rPr>
                <w:sz w:val="14"/>
                <w:szCs w:val="14"/>
                <w:color w:val="auto"/>
              </w:rPr>
            </w:pPr>
          </w:p>
        </w:tc>
        <w:tc>
          <w:tcPr>
            <w:tcW w:w="340" w:type="dxa"/>
            <w:vAlign w:val="bottom"/>
            <w:tcBorders>
              <w:top w:val="single" w:sz="8" w:color="DCE2EF"/>
              <w:bottom w:val="single" w:sz="8" w:color="DCE2EF"/>
            </w:tcBorders>
            <w:gridSpan w:val="2"/>
            <w:shd w:val="clear" w:color="auto" w:fill="DCE2EF"/>
          </w:tcPr>
          <w:p>
            <w:pPr>
              <w:spacing w:after="0"/>
              <w:rPr>
                <w:sz w:val="14"/>
                <w:szCs w:val="14"/>
                <w:color w:val="auto"/>
              </w:rPr>
            </w:pPr>
          </w:p>
        </w:tc>
        <w:tc>
          <w:tcPr>
            <w:tcW w:w="60" w:type="dxa"/>
            <w:vAlign w:val="bottom"/>
            <w:tcBorders>
              <w:top w:val="single" w:sz="8" w:color="DCE2EF"/>
              <w:bottom w:val="single" w:sz="8" w:color="DCE2EF"/>
            </w:tcBorders>
            <w:shd w:val="clear" w:color="auto" w:fill="DCE2EF"/>
          </w:tcPr>
          <w:p>
            <w:pPr>
              <w:spacing w:after="0"/>
              <w:rPr>
                <w:sz w:val="14"/>
                <w:szCs w:val="14"/>
                <w:color w:val="auto"/>
              </w:rPr>
            </w:pPr>
          </w:p>
        </w:tc>
        <w:tc>
          <w:tcPr>
            <w:tcW w:w="40" w:type="dxa"/>
            <w:vAlign w:val="bottom"/>
            <w:tcBorders>
              <w:top w:val="single" w:sz="8" w:color="DCE2EF"/>
              <w:bottom w:val="single" w:sz="8" w:color="DCE2EF"/>
            </w:tcBorders>
            <w:shd w:val="clear" w:color="auto" w:fill="DCE2EF"/>
          </w:tcPr>
          <w:p>
            <w:pPr>
              <w:spacing w:after="0"/>
              <w:rPr>
                <w:sz w:val="14"/>
                <w:szCs w:val="14"/>
                <w:color w:val="auto"/>
              </w:rPr>
            </w:pPr>
          </w:p>
        </w:tc>
        <w:tc>
          <w:tcPr>
            <w:tcW w:w="180" w:type="dxa"/>
            <w:vAlign w:val="bottom"/>
            <w:tcBorders>
              <w:top w:val="single" w:sz="8" w:color="DCE2EF"/>
              <w:bottom w:val="single" w:sz="8" w:color="DCE2EF"/>
            </w:tcBorders>
            <w:shd w:val="clear" w:color="auto" w:fill="DCE2EF"/>
          </w:tcPr>
          <w:p>
            <w:pPr>
              <w:spacing w:after="0"/>
              <w:rPr>
                <w:sz w:val="14"/>
                <w:szCs w:val="14"/>
                <w:color w:val="auto"/>
              </w:rPr>
            </w:pPr>
          </w:p>
        </w:tc>
        <w:tc>
          <w:tcPr>
            <w:tcW w:w="740" w:type="dxa"/>
            <w:vAlign w:val="bottom"/>
            <w:tcBorders>
              <w:top w:val="single" w:sz="8" w:color="DCE2EF"/>
              <w:bottom w:val="single" w:sz="8" w:color="DCE2EF"/>
            </w:tcBorders>
            <w:shd w:val="clear" w:color="auto" w:fill="DCE2EF"/>
          </w:tcPr>
          <w:p>
            <w:pPr>
              <w:spacing w:after="0"/>
              <w:rPr>
                <w:sz w:val="14"/>
                <w:szCs w:val="14"/>
                <w:color w:val="auto"/>
              </w:rPr>
            </w:pPr>
          </w:p>
        </w:tc>
        <w:tc>
          <w:tcPr>
            <w:tcW w:w="1400" w:type="dxa"/>
            <w:vAlign w:val="bottom"/>
            <w:tcBorders>
              <w:top w:val="single" w:sz="8" w:color="DCE2EF"/>
              <w:bottom w:val="single" w:sz="8" w:color="DCE2EF"/>
            </w:tcBorders>
            <w:shd w:val="clear" w:color="auto" w:fill="DCE2EF"/>
          </w:tcPr>
          <w:p>
            <w:pPr>
              <w:spacing w:after="0"/>
              <w:rPr>
                <w:sz w:val="14"/>
                <w:szCs w:val="14"/>
                <w:color w:val="auto"/>
              </w:rPr>
            </w:pPr>
          </w:p>
        </w:tc>
        <w:tc>
          <w:tcPr>
            <w:tcW w:w="920" w:type="dxa"/>
            <w:vAlign w:val="bottom"/>
            <w:tcBorders>
              <w:top w:val="single" w:sz="8" w:color="DCE2EF"/>
              <w:bottom w:val="single" w:sz="8" w:color="DCE2EF"/>
            </w:tcBorders>
            <w:shd w:val="clear" w:color="auto" w:fill="DCE2EF"/>
          </w:tcPr>
          <w:p>
            <w:pPr>
              <w:spacing w:after="0"/>
              <w:rPr>
                <w:sz w:val="14"/>
                <w:szCs w:val="14"/>
                <w:color w:val="auto"/>
              </w:rPr>
            </w:pPr>
          </w:p>
        </w:tc>
        <w:tc>
          <w:tcPr>
            <w:tcW w:w="2220" w:type="dxa"/>
            <w:vAlign w:val="bottom"/>
            <w:tcBorders>
              <w:top w:val="single" w:sz="8" w:color="DCE2EF"/>
              <w:bottom w:val="single" w:sz="8" w:color="DCE2EF"/>
            </w:tcBorders>
            <w:shd w:val="clear" w:color="auto" w:fill="DCE2EF"/>
          </w:tcPr>
          <w:p>
            <w:pPr>
              <w:spacing w:after="0"/>
              <w:rPr>
                <w:sz w:val="14"/>
                <w:szCs w:val="14"/>
                <w:color w:val="auto"/>
              </w:rPr>
            </w:pPr>
          </w:p>
        </w:tc>
      </w:tr>
      <w:tr>
        <w:trPr>
          <w:trHeight w:val="180"/>
        </w:trPr>
        <w:tc>
          <w:tcPr>
            <w:tcW w:w="1300" w:type="dxa"/>
            <w:vAlign w:val="bottom"/>
          </w:tcPr>
          <w:p>
            <w:pPr>
              <w:ind w:left="20"/>
              <w:spacing w:after="0" w:line="180" w:lineRule="exact"/>
              <w:rPr>
                <w:sz w:val="20"/>
                <w:szCs w:val="20"/>
                <w:color w:val="auto"/>
              </w:rPr>
            </w:pPr>
            <w:r>
              <w:rPr>
                <w:rFonts w:ascii="Arial" w:cs="Arial" w:eastAsia="Arial" w:hAnsi="Arial"/>
                <w:sz w:val="17"/>
                <w:szCs w:val="17"/>
                <w:color w:val="auto"/>
              </w:rPr>
              <w:t>32.1†</w:t>
            </w:r>
          </w:p>
        </w:tc>
        <w:tc>
          <w:tcPr>
            <w:tcW w:w="4660" w:type="dxa"/>
            <w:vAlign w:val="bottom"/>
            <w:gridSpan w:val="11"/>
          </w:tcPr>
          <w:p>
            <w:pPr>
              <w:spacing w:after="0" w:line="180" w:lineRule="exact"/>
              <w:rPr>
                <w:sz w:val="20"/>
                <w:szCs w:val="20"/>
                <w:color w:val="auto"/>
              </w:rPr>
            </w:pPr>
            <w:r>
              <w:rPr>
                <w:rFonts w:ascii="Arial" w:cs="Arial" w:eastAsia="Arial" w:hAnsi="Arial"/>
                <w:sz w:val="17"/>
                <w:szCs w:val="17"/>
                <w:color w:val="0000FF"/>
              </w:rPr>
              <w:t>Certifications pursuant to Securities Exchange Act of 1934</w:t>
            </w:r>
          </w:p>
        </w:tc>
        <w:tc>
          <w:tcPr>
            <w:tcW w:w="7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20" w:type="dxa"/>
            <w:vAlign w:val="bottom"/>
          </w:tcPr>
          <w:p>
            <w:pPr>
              <w:spacing w:after="0"/>
              <w:rPr>
                <w:sz w:val="15"/>
                <w:szCs w:val="15"/>
                <w:color w:val="auto"/>
              </w:rPr>
            </w:pPr>
          </w:p>
        </w:tc>
      </w:tr>
      <w:tr>
        <w:trPr>
          <w:trHeight w:val="148"/>
        </w:trPr>
        <w:tc>
          <w:tcPr>
            <w:tcW w:w="1300" w:type="dxa"/>
            <w:vAlign w:val="bottom"/>
          </w:tcPr>
          <w:p>
            <w:pPr>
              <w:spacing w:after="0"/>
              <w:rPr>
                <w:sz w:val="12"/>
                <w:szCs w:val="12"/>
                <w:color w:val="auto"/>
              </w:rPr>
            </w:pPr>
          </w:p>
        </w:tc>
        <w:tc>
          <w:tcPr>
            <w:tcW w:w="4440" w:type="dxa"/>
            <w:vAlign w:val="bottom"/>
            <w:tcBorders>
              <w:top w:val="single" w:sz="8" w:color="0000FF"/>
            </w:tcBorders>
            <w:gridSpan w:val="9"/>
          </w:tcPr>
          <w:p>
            <w:pPr>
              <w:spacing w:after="0" w:line="148" w:lineRule="exact"/>
              <w:rPr>
                <w:sz w:val="20"/>
                <w:szCs w:val="20"/>
                <w:color w:val="auto"/>
              </w:rPr>
            </w:pPr>
            <w:r>
              <w:rPr>
                <w:rFonts w:ascii="Arial" w:cs="Arial" w:eastAsia="Arial" w:hAnsi="Arial"/>
                <w:sz w:val="17"/>
                <w:szCs w:val="17"/>
                <w:color w:val="0000FF"/>
              </w:rPr>
              <w:t>Rule 13a-14(b) or 15d-14(b) and 18 U.S.C. Section 1350,</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20" w:type="dxa"/>
            <w:vAlign w:val="bottom"/>
          </w:tcPr>
          <w:p>
            <w:pPr>
              <w:spacing w:after="0"/>
              <w:rPr>
                <w:sz w:val="12"/>
                <w:szCs w:val="12"/>
                <w:color w:val="auto"/>
              </w:rPr>
            </w:pPr>
          </w:p>
        </w:tc>
      </w:tr>
      <w:tr>
        <w:trPr>
          <w:trHeight w:val="160"/>
        </w:trPr>
        <w:tc>
          <w:tcPr>
            <w:tcW w:w="1300" w:type="dxa"/>
            <w:vAlign w:val="bottom"/>
          </w:tcPr>
          <w:p>
            <w:pPr>
              <w:spacing w:after="0"/>
              <w:rPr>
                <w:sz w:val="13"/>
                <w:szCs w:val="13"/>
                <w:color w:val="auto"/>
              </w:rPr>
            </w:pPr>
          </w:p>
        </w:tc>
        <w:tc>
          <w:tcPr>
            <w:tcW w:w="4380" w:type="dxa"/>
            <w:vAlign w:val="bottom"/>
            <w:tcBorders>
              <w:top w:val="single" w:sz="8" w:color="0000FF"/>
              <w:bottom w:val="single" w:sz="8" w:color="0000FF"/>
            </w:tcBorders>
            <w:gridSpan w:val="8"/>
          </w:tcPr>
          <w:p>
            <w:pPr>
              <w:spacing w:after="0" w:line="161" w:lineRule="exact"/>
              <w:rPr>
                <w:sz w:val="20"/>
                <w:szCs w:val="20"/>
                <w:color w:val="auto"/>
              </w:rPr>
            </w:pPr>
            <w:r>
              <w:rPr>
                <w:rFonts w:ascii="Arial" w:cs="Arial" w:eastAsia="Arial" w:hAnsi="Arial"/>
                <w:sz w:val="17"/>
                <w:szCs w:val="17"/>
                <w:color w:val="0000FF"/>
                <w:w w:val="98"/>
              </w:rPr>
              <w:t>as adopted pursuant to Section 302 of the Sarbanes-Oxley</w:t>
            </w:r>
          </w:p>
        </w:tc>
        <w:tc>
          <w:tcPr>
            <w:tcW w:w="100" w:type="dxa"/>
            <w:vAlign w:val="bottom"/>
            <w:tcBorders>
              <w:bottom w:val="single" w:sz="8" w:color="0000FF"/>
            </w:tcBorders>
            <w:gridSpan w:val="2"/>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20" w:type="dxa"/>
            <w:vAlign w:val="bottom"/>
          </w:tcPr>
          <w:p>
            <w:pPr>
              <w:spacing w:after="0"/>
              <w:rPr>
                <w:sz w:val="13"/>
                <w:szCs w:val="13"/>
                <w:color w:val="auto"/>
              </w:rPr>
            </w:pPr>
          </w:p>
        </w:tc>
      </w:tr>
      <w:tr>
        <w:trPr>
          <w:trHeight w:val="157"/>
        </w:trPr>
        <w:tc>
          <w:tcPr>
            <w:tcW w:w="1300" w:type="dxa"/>
            <w:vAlign w:val="bottom"/>
          </w:tcPr>
          <w:p>
            <w:pPr>
              <w:spacing w:after="0"/>
              <w:rPr>
                <w:sz w:val="13"/>
                <w:szCs w:val="13"/>
                <w:color w:val="auto"/>
              </w:rPr>
            </w:pPr>
          </w:p>
        </w:tc>
        <w:tc>
          <w:tcPr>
            <w:tcW w:w="880" w:type="dxa"/>
            <w:vAlign w:val="bottom"/>
            <w:tcBorders>
              <w:bottom w:val="single" w:sz="8" w:color="0000FF"/>
            </w:tcBorders>
          </w:tcPr>
          <w:p>
            <w:pPr>
              <w:spacing w:after="0" w:line="148" w:lineRule="exact"/>
              <w:rPr>
                <w:sz w:val="20"/>
                <w:szCs w:val="20"/>
                <w:color w:val="auto"/>
              </w:rPr>
            </w:pPr>
            <w:r>
              <w:rPr>
                <w:rFonts w:ascii="Arial" w:cs="Arial" w:eastAsia="Arial" w:hAnsi="Arial"/>
                <w:sz w:val="17"/>
                <w:szCs w:val="17"/>
                <w:color w:val="0000FF"/>
                <w:w w:val="99"/>
              </w:rPr>
              <w:t>Act of 2002</w:t>
            </w:r>
          </w:p>
        </w:tc>
        <w:tc>
          <w:tcPr>
            <w:tcW w:w="3600" w:type="dxa"/>
            <w:vAlign w:val="bottom"/>
            <w:gridSpan w:val="9"/>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20" w:type="dxa"/>
            <w:vAlign w:val="bottom"/>
          </w:tcPr>
          <w:p>
            <w:pPr>
              <w:spacing w:after="0"/>
              <w:rPr>
                <w:sz w:val="13"/>
                <w:szCs w:val="13"/>
                <w:color w:val="auto"/>
              </w:rPr>
            </w:pPr>
          </w:p>
        </w:tc>
      </w:tr>
      <w:tr>
        <w:trPr>
          <w:trHeight w:val="190"/>
        </w:trPr>
        <w:tc>
          <w:tcPr>
            <w:tcW w:w="1300" w:type="dxa"/>
            <w:vAlign w:val="bottom"/>
            <w:shd w:val="clear" w:color="auto" w:fill="DCE2EF"/>
          </w:tcPr>
          <w:p>
            <w:pPr>
              <w:ind w:left="20"/>
              <w:spacing w:after="0" w:line="190" w:lineRule="exact"/>
              <w:rPr>
                <w:sz w:val="20"/>
                <w:szCs w:val="20"/>
                <w:color w:val="auto"/>
              </w:rPr>
            </w:pPr>
            <w:r>
              <w:rPr>
                <w:rFonts w:ascii="Arial" w:cs="Arial" w:eastAsia="Arial" w:hAnsi="Arial"/>
                <w:sz w:val="17"/>
                <w:szCs w:val="17"/>
                <w:color w:val="auto"/>
              </w:rPr>
              <w:t>97*</w:t>
            </w:r>
          </w:p>
        </w:tc>
        <w:tc>
          <w:tcPr>
            <w:tcW w:w="4660" w:type="dxa"/>
            <w:vAlign w:val="bottom"/>
            <w:gridSpan w:val="11"/>
            <w:shd w:val="clear" w:color="auto" w:fill="DCE2EF"/>
          </w:tcPr>
          <w:p>
            <w:pPr>
              <w:spacing w:after="0" w:line="190" w:lineRule="exact"/>
              <w:rPr>
                <w:rFonts w:ascii="Arial" w:cs="Arial" w:eastAsia="Arial" w:hAnsi="Arial"/>
                <w:sz w:val="17"/>
                <w:szCs w:val="17"/>
                <w:color w:val="0000FF"/>
              </w:rPr>
            </w:pPr>
            <w:hyperlink r:id="rId220">
              <w:r>
                <w:rPr>
                  <w:rFonts w:ascii="Arial" w:cs="Arial" w:eastAsia="Arial" w:hAnsi="Arial"/>
                  <w:sz w:val="17"/>
                  <w:szCs w:val="17"/>
                  <w:color w:val="0000FF"/>
                </w:rPr>
                <w:t>ABM Industries Incorporated Amended and Restated</w:t>
              </w:r>
            </w:hyperlink>
          </w:p>
        </w:tc>
        <w:tc>
          <w:tcPr>
            <w:tcW w:w="740" w:type="dxa"/>
            <w:vAlign w:val="bottom"/>
            <w:shd w:val="clear" w:color="auto" w:fill="DCE2EF"/>
          </w:tcPr>
          <w:p>
            <w:pPr>
              <w:ind w:left="140"/>
              <w:spacing w:after="0" w:line="190" w:lineRule="exact"/>
              <w:rPr>
                <w:sz w:val="20"/>
                <w:szCs w:val="20"/>
                <w:color w:val="auto"/>
              </w:rPr>
            </w:pPr>
            <w:r>
              <w:rPr>
                <w:rFonts w:ascii="Arial" w:cs="Arial" w:eastAsia="Arial" w:hAnsi="Arial"/>
                <w:sz w:val="17"/>
                <w:szCs w:val="17"/>
                <w:color w:val="auto"/>
              </w:rPr>
              <w:t>10-K</w:t>
            </w:r>
          </w:p>
        </w:tc>
        <w:tc>
          <w:tcPr>
            <w:tcW w:w="1400" w:type="dxa"/>
            <w:vAlign w:val="bottom"/>
            <w:shd w:val="clear" w:color="auto" w:fill="DCE2EF"/>
          </w:tcPr>
          <w:p>
            <w:pPr>
              <w:jc w:val="right"/>
              <w:ind w:right="254"/>
              <w:spacing w:after="0" w:line="190" w:lineRule="exact"/>
              <w:rPr>
                <w:sz w:val="20"/>
                <w:szCs w:val="20"/>
                <w:color w:val="auto"/>
              </w:rPr>
            </w:pPr>
            <w:r>
              <w:rPr>
                <w:rFonts w:ascii="Arial" w:cs="Arial" w:eastAsia="Arial" w:hAnsi="Arial"/>
                <w:sz w:val="17"/>
                <w:szCs w:val="17"/>
                <w:color w:val="auto"/>
              </w:rPr>
              <w:t>001-08929</w:t>
            </w:r>
          </w:p>
        </w:tc>
        <w:tc>
          <w:tcPr>
            <w:tcW w:w="920" w:type="dxa"/>
            <w:vAlign w:val="bottom"/>
            <w:shd w:val="clear" w:color="auto" w:fill="DCE2EF"/>
          </w:tcPr>
          <w:p>
            <w:pPr>
              <w:jc w:val="right"/>
              <w:ind w:right="294"/>
              <w:spacing w:after="0" w:line="190" w:lineRule="exact"/>
              <w:rPr>
                <w:sz w:val="20"/>
                <w:szCs w:val="20"/>
                <w:color w:val="auto"/>
              </w:rPr>
            </w:pPr>
            <w:r>
              <w:rPr>
                <w:rFonts w:ascii="Arial" w:cs="Arial" w:eastAsia="Arial" w:hAnsi="Arial"/>
                <w:sz w:val="17"/>
                <w:szCs w:val="17"/>
                <w:color w:val="auto"/>
              </w:rPr>
              <w:t>97</w:t>
            </w:r>
          </w:p>
        </w:tc>
        <w:tc>
          <w:tcPr>
            <w:tcW w:w="2220" w:type="dxa"/>
            <w:vAlign w:val="bottom"/>
            <w:shd w:val="clear" w:color="auto" w:fill="DCE2EF"/>
          </w:tcPr>
          <w:p>
            <w:pPr>
              <w:ind w:left="400"/>
              <w:spacing w:after="0" w:line="190" w:lineRule="exact"/>
              <w:rPr>
                <w:sz w:val="20"/>
                <w:szCs w:val="20"/>
                <w:color w:val="auto"/>
              </w:rPr>
            </w:pPr>
            <w:r>
              <w:rPr>
                <w:rFonts w:ascii="Arial" w:cs="Arial" w:eastAsia="Arial" w:hAnsi="Arial"/>
                <w:sz w:val="17"/>
                <w:szCs w:val="17"/>
                <w:color w:val="auto"/>
              </w:rPr>
              <w:t>December 18, 2023</w:t>
            </w:r>
          </w:p>
        </w:tc>
      </w:tr>
      <w:tr>
        <w:trPr>
          <w:trHeight w:val="148"/>
        </w:trPr>
        <w:tc>
          <w:tcPr>
            <w:tcW w:w="1300" w:type="dxa"/>
            <w:vAlign w:val="bottom"/>
            <w:tcBorders>
              <w:top w:val="single" w:sz="8" w:color="DCE2EF"/>
            </w:tcBorders>
            <w:shd w:val="clear" w:color="auto" w:fill="DCE2EF"/>
          </w:tcPr>
          <w:p>
            <w:pPr>
              <w:spacing w:after="0"/>
              <w:rPr>
                <w:sz w:val="12"/>
                <w:szCs w:val="12"/>
                <w:color w:val="auto"/>
              </w:rPr>
            </w:pPr>
          </w:p>
        </w:tc>
        <w:tc>
          <w:tcPr>
            <w:tcW w:w="4040" w:type="dxa"/>
            <w:vAlign w:val="bottom"/>
            <w:tcBorders>
              <w:top w:val="single" w:sz="8" w:color="0000FF"/>
            </w:tcBorders>
            <w:gridSpan w:val="6"/>
            <w:shd w:val="clear" w:color="auto" w:fill="DCE2EF"/>
          </w:tcPr>
          <w:p>
            <w:pPr>
              <w:spacing w:after="0" w:line="148" w:lineRule="exact"/>
              <w:rPr>
                <w:rFonts w:ascii="Arial" w:cs="Arial" w:eastAsia="Arial" w:hAnsi="Arial"/>
                <w:sz w:val="17"/>
                <w:szCs w:val="17"/>
                <w:color w:val="0000FF"/>
              </w:rPr>
            </w:pPr>
            <w:hyperlink r:id="rId220">
              <w:r>
                <w:rPr>
                  <w:rFonts w:ascii="Arial" w:cs="Arial" w:eastAsia="Arial" w:hAnsi="Arial"/>
                  <w:sz w:val="17"/>
                  <w:szCs w:val="17"/>
                  <w:color w:val="0000FF"/>
                </w:rPr>
                <w:t>Recoupment Policy, effective October 2, 2023</w:t>
              </w:r>
            </w:hyperlink>
          </w:p>
        </w:tc>
        <w:tc>
          <w:tcPr>
            <w:tcW w:w="620" w:type="dxa"/>
            <w:vAlign w:val="bottom"/>
            <w:tcBorders>
              <w:top w:val="single" w:sz="8" w:color="DCE2EF"/>
            </w:tcBorders>
            <w:gridSpan w:val="5"/>
            <w:shd w:val="clear" w:color="auto" w:fill="DCE2EF"/>
          </w:tcPr>
          <w:p>
            <w:pPr>
              <w:spacing w:after="0"/>
              <w:rPr>
                <w:sz w:val="12"/>
                <w:szCs w:val="12"/>
                <w:color w:val="auto"/>
              </w:rPr>
            </w:pPr>
          </w:p>
        </w:tc>
        <w:tc>
          <w:tcPr>
            <w:tcW w:w="740" w:type="dxa"/>
            <w:vAlign w:val="bottom"/>
            <w:tcBorders>
              <w:top w:val="single" w:sz="8" w:color="DCE2EF"/>
            </w:tcBorders>
            <w:shd w:val="clear" w:color="auto" w:fill="DCE2EF"/>
          </w:tcPr>
          <w:p>
            <w:pPr>
              <w:spacing w:after="0"/>
              <w:rPr>
                <w:sz w:val="12"/>
                <w:szCs w:val="12"/>
                <w:color w:val="auto"/>
              </w:rPr>
            </w:pPr>
          </w:p>
        </w:tc>
        <w:tc>
          <w:tcPr>
            <w:tcW w:w="1400" w:type="dxa"/>
            <w:vAlign w:val="bottom"/>
            <w:tcBorders>
              <w:top w:val="single" w:sz="8" w:color="DCE2EF"/>
            </w:tcBorders>
            <w:shd w:val="clear" w:color="auto" w:fill="DCE2EF"/>
          </w:tcPr>
          <w:p>
            <w:pPr>
              <w:spacing w:after="0"/>
              <w:rPr>
                <w:sz w:val="12"/>
                <w:szCs w:val="12"/>
                <w:color w:val="auto"/>
              </w:rPr>
            </w:pPr>
          </w:p>
        </w:tc>
        <w:tc>
          <w:tcPr>
            <w:tcW w:w="920" w:type="dxa"/>
            <w:vAlign w:val="bottom"/>
            <w:tcBorders>
              <w:top w:val="single" w:sz="8" w:color="DCE2EF"/>
            </w:tcBorders>
            <w:shd w:val="clear" w:color="auto" w:fill="DCE2EF"/>
          </w:tcPr>
          <w:p>
            <w:pPr>
              <w:spacing w:after="0"/>
              <w:rPr>
                <w:sz w:val="12"/>
                <w:szCs w:val="12"/>
                <w:color w:val="auto"/>
              </w:rPr>
            </w:pPr>
          </w:p>
        </w:tc>
        <w:tc>
          <w:tcPr>
            <w:tcW w:w="2220" w:type="dxa"/>
            <w:vAlign w:val="bottom"/>
            <w:tcBorders>
              <w:top w:val="single" w:sz="8" w:color="DCE2EF"/>
            </w:tcBorders>
            <w:shd w:val="clear" w:color="auto" w:fill="DCE2EF"/>
          </w:tcPr>
          <w:p>
            <w:pPr>
              <w:spacing w:after="0"/>
              <w:rPr>
                <w:sz w:val="12"/>
                <w:szCs w:val="12"/>
                <w:color w:val="auto"/>
              </w:rPr>
            </w:pPr>
          </w:p>
        </w:tc>
      </w:tr>
      <w:tr>
        <w:trPr>
          <w:trHeight w:val="32"/>
        </w:trPr>
        <w:tc>
          <w:tcPr>
            <w:tcW w:w="1300" w:type="dxa"/>
            <w:vAlign w:val="bottom"/>
            <w:tcBorders>
              <w:top w:val="single" w:sz="8" w:color="DCE2EF"/>
            </w:tcBorders>
            <w:shd w:val="clear" w:color="auto" w:fill="DCE2EF"/>
          </w:tcPr>
          <w:p>
            <w:pPr>
              <w:spacing w:after="0"/>
              <w:rPr>
                <w:sz w:val="2"/>
                <w:szCs w:val="2"/>
                <w:color w:val="auto"/>
              </w:rPr>
            </w:pPr>
          </w:p>
        </w:tc>
        <w:tc>
          <w:tcPr>
            <w:tcW w:w="880" w:type="dxa"/>
            <w:vAlign w:val="bottom"/>
            <w:tcBorders>
              <w:top w:val="single" w:sz="8" w:color="0000FF"/>
            </w:tcBorders>
            <w:shd w:val="clear" w:color="auto" w:fill="DCE2EF"/>
          </w:tcPr>
          <w:p>
            <w:pPr>
              <w:spacing w:after="0"/>
              <w:rPr>
                <w:sz w:val="2"/>
                <w:szCs w:val="2"/>
                <w:color w:val="auto"/>
              </w:rPr>
            </w:pPr>
          </w:p>
        </w:tc>
        <w:tc>
          <w:tcPr>
            <w:tcW w:w="1280" w:type="dxa"/>
            <w:vAlign w:val="bottom"/>
            <w:tcBorders>
              <w:top w:val="single" w:sz="8" w:color="0000FF"/>
            </w:tcBorders>
            <w:shd w:val="clear" w:color="auto" w:fill="DCE2EF"/>
          </w:tcPr>
          <w:p>
            <w:pPr>
              <w:spacing w:after="0"/>
              <w:rPr>
                <w:sz w:val="2"/>
                <w:szCs w:val="2"/>
                <w:color w:val="auto"/>
              </w:rPr>
            </w:pPr>
          </w:p>
        </w:tc>
        <w:tc>
          <w:tcPr>
            <w:tcW w:w="1320" w:type="dxa"/>
            <w:vAlign w:val="bottom"/>
            <w:tcBorders>
              <w:top w:val="single" w:sz="8" w:color="0000FF"/>
            </w:tcBorders>
            <w:shd w:val="clear" w:color="auto" w:fill="DCE2EF"/>
          </w:tcPr>
          <w:p>
            <w:pPr>
              <w:spacing w:after="0"/>
              <w:rPr>
                <w:sz w:val="2"/>
                <w:szCs w:val="2"/>
                <w:color w:val="auto"/>
              </w:rPr>
            </w:pPr>
          </w:p>
        </w:tc>
        <w:tc>
          <w:tcPr>
            <w:tcW w:w="220" w:type="dxa"/>
            <w:vAlign w:val="bottom"/>
            <w:tcBorders>
              <w:top w:val="single" w:sz="8" w:color="DCE2EF"/>
            </w:tcBorders>
            <w:shd w:val="clear" w:color="auto" w:fill="DCE2EF"/>
          </w:tcPr>
          <w:p>
            <w:pPr>
              <w:spacing w:after="0"/>
              <w:rPr>
                <w:sz w:val="2"/>
                <w:szCs w:val="2"/>
                <w:color w:val="auto"/>
              </w:rPr>
            </w:pPr>
          </w:p>
        </w:tc>
        <w:tc>
          <w:tcPr>
            <w:tcW w:w="100" w:type="dxa"/>
            <w:vAlign w:val="bottom"/>
            <w:tcBorders>
              <w:top w:val="single" w:sz="8" w:color="DCE2EF"/>
              <w:right w:val="single" w:sz="8" w:color="DCE2EF"/>
            </w:tcBorders>
            <w:shd w:val="clear" w:color="auto" w:fill="DCE2EF"/>
          </w:tcPr>
          <w:p>
            <w:pPr>
              <w:spacing w:after="0"/>
              <w:rPr>
                <w:sz w:val="2"/>
                <w:szCs w:val="2"/>
                <w:color w:val="auto"/>
              </w:rPr>
            </w:pPr>
          </w:p>
        </w:tc>
        <w:tc>
          <w:tcPr>
            <w:tcW w:w="240" w:type="dxa"/>
            <w:vAlign w:val="bottom"/>
            <w:tcBorders>
              <w:top w:val="single" w:sz="8" w:color="DCE2EF"/>
            </w:tcBorders>
            <w:shd w:val="clear" w:color="auto" w:fill="DCE2EF"/>
          </w:tcPr>
          <w:p>
            <w:pPr>
              <w:spacing w:after="0"/>
              <w:rPr>
                <w:sz w:val="2"/>
                <w:szCs w:val="2"/>
                <w:color w:val="auto"/>
              </w:rPr>
            </w:pPr>
          </w:p>
        </w:tc>
        <w:tc>
          <w:tcPr>
            <w:tcW w:w="240" w:type="dxa"/>
            <w:vAlign w:val="bottom"/>
            <w:tcBorders>
              <w:top w:val="single" w:sz="8" w:color="DCE2EF"/>
            </w:tcBorders>
            <w:shd w:val="clear" w:color="auto" w:fill="DCE2EF"/>
          </w:tcPr>
          <w:p>
            <w:pPr>
              <w:spacing w:after="0"/>
              <w:rPr>
                <w:sz w:val="2"/>
                <w:szCs w:val="2"/>
                <w:color w:val="auto"/>
              </w:rPr>
            </w:pPr>
          </w:p>
        </w:tc>
        <w:tc>
          <w:tcPr>
            <w:tcW w:w="100" w:type="dxa"/>
            <w:vAlign w:val="bottom"/>
            <w:tcBorders>
              <w:top w:val="single" w:sz="8" w:color="DCE2EF"/>
            </w:tcBorders>
            <w:shd w:val="clear" w:color="auto" w:fill="DCE2EF"/>
          </w:tcPr>
          <w:p>
            <w:pPr>
              <w:spacing w:after="0"/>
              <w:rPr>
                <w:sz w:val="2"/>
                <w:szCs w:val="2"/>
                <w:color w:val="auto"/>
              </w:rPr>
            </w:pPr>
          </w:p>
        </w:tc>
        <w:tc>
          <w:tcPr>
            <w:tcW w:w="60" w:type="dxa"/>
            <w:vAlign w:val="bottom"/>
            <w:tcBorders>
              <w:top w:val="single" w:sz="8" w:color="DCE2EF"/>
            </w:tcBorders>
            <w:shd w:val="clear" w:color="auto" w:fill="DCE2EF"/>
          </w:tcPr>
          <w:p>
            <w:pPr>
              <w:spacing w:after="0"/>
              <w:rPr>
                <w:sz w:val="2"/>
                <w:szCs w:val="2"/>
                <w:color w:val="auto"/>
              </w:rPr>
            </w:pPr>
          </w:p>
        </w:tc>
        <w:tc>
          <w:tcPr>
            <w:tcW w:w="40" w:type="dxa"/>
            <w:vAlign w:val="bottom"/>
            <w:tcBorders>
              <w:top w:val="single" w:sz="8" w:color="DCE2EF"/>
            </w:tcBorders>
            <w:shd w:val="clear" w:color="auto" w:fill="DCE2EF"/>
          </w:tcPr>
          <w:p>
            <w:pPr>
              <w:spacing w:after="0"/>
              <w:rPr>
                <w:sz w:val="2"/>
                <w:szCs w:val="2"/>
                <w:color w:val="auto"/>
              </w:rPr>
            </w:pPr>
          </w:p>
        </w:tc>
        <w:tc>
          <w:tcPr>
            <w:tcW w:w="180" w:type="dxa"/>
            <w:vAlign w:val="bottom"/>
            <w:tcBorders>
              <w:top w:val="single" w:sz="8" w:color="DCE2EF"/>
            </w:tcBorders>
            <w:shd w:val="clear" w:color="auto" w:fill="DCE2EF"/>
          </w:tcPr>
          <w:p>
            <w:pPr>
              <w:spacing w:after="0"/>
              <w:rPr>
                <w:sz w:val="2"/>
                <w:szCs w:val="2"/>
                <w:color w:val="auto"/>
              </w:rPr>
            </w:pPr>
          </w:p>
        </w:tc>
        <w:tc>
          <w:tcPr>
            <w:tcW w:w="740" w:type="dxa"/>
            <w:vAlign w:val="bottom"/>
            <w:tcBorders>
              <w:top w:val="single" w:sz="8" w:color="DCE2EF"/>
            </w:tcBorders>
            <w:shd w:val="clear" w:color="auto" w:fill="DCE2EF"/>
          </w:tcPr>
          <w:p>
            <w:pPr>
              <w:spacing w:after="0"/>
              <w:rPr>
                <w:sz w:val="2"/>
                <w:szCs w:val="2"/>
                <w:color w:val="auto"/>
              </w:rPr>
            </w:pPr>
          </w:p>
        </w:tc>
        <w:tc>
          <w:tcPr>
            <w:tcW w:w="1400" w:type="dxa"/>
            <w:vAlign w:val="bottom"/>
            <w:tcBorders>
              <w:top w:val="single" w:sz="8" w:color="DCE2EF"/>
            </w:tcBorders>
            <w:shd w:val="clear" w:color="auto" w:fill="DCE2EF"/>
          </w:tcPr>
          <w:p>
            <w:pPr>
              <w:spacing w:after="0"/>
              <w:rPr>
                <w:sz w:val="2"/>
                <w:szCs w:val="2"/>
                <w:color w:val="auto"/>
              </w:rPr>
            </w:pPr>
          </w:p>
        </w:tc>
        <w:tc>
          <w:tcPr>
            <w:tcW w:w="920" w:type="dxa"/>
            <w:vAlign w:val="bottom"/>
            <w:tcBorders>
              <w:top w:val="single" w:sz="8" w:color="DCE2EF"/>
            </w:tcBorders>
            <w:shd w:val="clear" w:color="auto" w:fill="DCE2EF"/>
          </w:tcPr>
          <w:p>
            <w:pPr>
              <w:spacing w:after="0"/>
              <w:rPr>
                <w:sz w:val="2"/>
                <w:szCs w:val="2"/>
                <w:color w:val="auto"/>
              </w:rPr>
            </w:pPr>
          </w:p>
        </w:tc>
        <w:tc>
          <w:tcPr>
            <w:tcW w:w="2220" w:type="dxa"/>
            <w:vAlign w:val="bottom"/>
            <w:tcBorders>
              <w:top w:val="single" w:sz="8" w:color="DCE2EF"/>
            </w:tcBorders>
            <w:shd w:val="clear" w:color="auto" w:fill="DCE2EF"/>
          </w:tcPr>
          <w:p>
            <w:pPr>
              <w:spacing w:after="0"/>
              <w:rPr>
                <w:sz w:val="2"/>
                <w:szCs w:val="2"/>
                <w:color w:val="auto"/>
              </w:rPr>
            </w:pPr>
          </w:p>
        </w:tc>
      </w:tr>
      <w:tr>
        <w:trPr>
          <w:trHeight w:val="168"/>
        </w:trPr>
        <w:tc>
          <w:tcPr>
            <w:tcW w:w="1300" w:type="dxa"/>
            <w:vAlign w:val="bottom"/>
          </w:tcPr>
          <w:p>
            <w:pPr>
              <w:ind w:left="20"/>
              <w:spacing w:after="0" w:line="167" w:lineRule="exact"/>
              <w:rPr>
                <w:sz w:val="20"/>
                <w:szCs w:val="20"/>
                <w:color w:val="auto"/>
              </w:rPr>
            </w:pPr>
            <w:r>
              <w:rPr>
                <w:rFonts w:ascii="Arial" w:cs="Arial" w:eastAsia="Arial" w:hAnsi="Arial"/>
                <w:sz w:val="17"/>
                <w:szCs w:val="17"/>
                <w:color w:val="auto"/>
              </w:rPr>
              <w:t>101.INS ‡</w:t>
            </w:r>
          </w:p>
        </w:tc>
        <w:tc>
          <w:tcPr>
            <w:tcW w:w="4660" w:type="dxa"/>
            <w:vAlign w:val="bottom"/>
            <w:gridSpan w:val="11"/>
          </w:tcPr>
          <w:p>
            <w:pPr>
              <w:spacing w:after="0" w:line="167" w:lineRule="exact"/>
              <w:rPr>
                <w:sz w:val="20"/>
                <w:szCs w:val="20"/>
                <w:color w:val="auto"/>
              </w:rPr>
            </w:pPr>
            <w:r>
              <w:rPr>
                <w:rFonts w:ascii="Arial" w:cs="Arial" w:eastAsia="Arial" w:hAnsi="Arial"/>
                <w:sz w:val="17"/>
                <w:szCs w:val="17"/>
                <w:color w:val="auto"/>
              </w:rPr>
              <w:t>Inline XBRL Instance Document (the instance document</w:t>
            </w:r>
          </w:p>
        </w:tc>
        <w:tc>
          <w:tcPr>
            <w:tcW w:w="7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20" w:type="dxa"/>
            <w:vAlign w:val="bottom"/>
          </w:tcPr>
          <w:p>
            <w:pPr>
              <w:spacing w:after="0"/>
              <w:rPr>
                <w:sz w:val="14"/>
                <w:szCs w:val="14"/>
                <w:color w:val="auto"/>
              </w:rPr>
            </w:pPr>
          </w:p>
        </w:tc>
      </w:tr>
      <w:tr>
        <w:trPr>
          <w:trHeight w:val="177"/>
        </w:trPr>
        <w:tc>
          <w:tcPr>
            <w:tcW w:w="1300" w:type="dxa"/>
            <w:vAlign w:val="bottom"/>
          </w:tcPr>
          <w:p>
            <w:pPr>
              <w:spacing w:after="0"/>
              <w:rPr>
                <w:sz w:val="15"/>
                <w:szCs w:val="15"/>
                <w:color w:val="auto"/>
              </w:rPr>
            </w:pPr>
          </w:p>
        </w:tc>
        <w:tc>
          <w:tcPr>
            <w:tcW w:w="4660" w:type="dxa"/>
            <w:vAlign w:val="bottom"/>
            <w:gridSpan w:val="11"/>
          </w:tcPr>
          <w:p>
            <w:pPr>
              <w:spacing w:after="0" w:line="176" w:lineRule="exact"/>
              <w:rPr>
                <w:sz w:val="20"/>
                <w:szCs w:val="20"/>
                <w:color w:val="auto"/>
              </w:rPr>
            </w:pPr>
            <w:r>
              <w:rPr>
                <w:rFonts w:ascii="Arial" w:cs="Arial" w:eastAsia="Arial" w:hAnsi="Arial"/>
                <w:sz w:val="17"/>
                <w:szCs w:val="17"/>
                <w:color w:val="auto"/>
              </w:rPr>
              <w:t>does not appear in the Interactive Data File because its</w:t>
            </w:r>
          </w:p>
        </w:tc>
        <w:tc>
          <w:tcPr>
            <w:tcW w:w="7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20" w:type="dxa"/>
            <w:vAlign w:val="bottom"/>
          </w:tcPr>
          <w:p>
            <w:pPr>
              <w:spacing w:after="0"/>
              <w:rPr>
                <w:sz w:val="15"/>
                <w:szCs w:val="15"/>
                <w:color w:val="auto"/>
              </w:rPr>
            </w:pPr>
          </w:p>
        </w:tc>
      </w:tr>
      <w:tr>
        <w:trPr>
          <w:trHeight w:val="172"/>
        </w:trPr>
        <w:tc>
          <w:tcPr>
            <w:tcW w:w="1300" w:type="dxa"/>
            <w:vAlign w:val="bottom"/>
          </w:tcPr>
          <w:p>
            <w:pPr>
              <w:spacing w:after="0"/>
              <w:rPr>
                <w:sz w:val="14"/>
                <w:szCs w:val="14"/>
                <w:color w:val="auto"/>
              </w:rPr>
            </w:pPr>
          </w:p>
        </w:tc>
        <w:tc>
          <w:tcPr>
            <w:tcW w:w="4660" w:type="dxa"/>
            <w:vAlign w:val="bottom"/>
            <w:gridSpan w:val="11"/>
          </w:tcPr>
          <w:p>
            <w:pPr>
              <w:spacing w:after="0" w:line="172" w:lineRule="exact"/>
              <w:rPr>
                <w:sz w:val="20"/>
                <w:szCs w:val="20"/>
                <w:color w:val="auto"/>
              </w:rPr>
            </w:pPr>
            <w:r>
              <w:rPr>
                <w:rFonts w:ascii="Arial" w:cs="Arial" w:eastAsia="Arial" w:hAnsi="Arial"/>
                <w:sz w:val="17"/>
                <w:szCs w:val="17"/>
                <w:color w:val="auto"/>
              </w:rPr>
              <w:t>XBRL tags are embedded within the Inline XBRL</w:t>
            </w:r>
          </w:p>
        </w:tc>
        <w:tc>
          <w:tcPr>
            <w:tcW w:w="7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20" w:type="dxa"/>
            <w:vAlign w:val="bottom"/>
          </w:tcPr>
          <w:p>
            <w:pPr>
              <w:spacing w:after="0"/>
              <w:rPr>
                <w:sz w:val="14"/>
                <w:szCs w:val="14"/>
                <w:color w:val="auto"/>
              </w:rPr>
            </w:pPr>
          </w:p>
        </w:tc>
      </w:tr>
      <w:tr>
        <w:trPr>
          <w:trHeight w:val="219"/>
        </w:trPr>
        <w:tc>
          <w:tcPr>
            <w:tcW w:w="1300" w:type="dxa"/>
            <w:vAlign w:val="bottom"/>
          </w:tcPr>
          <w:p>
            <w:pPr>
              <w:spacing w:after="0"/>
              <w:rPr>
                <w:sz w:val="19"/>
                <w:szCs w:val="19"/>
                <w:color w:val="auto"/>
              </w:rPr>
            </w:pPr>
          </w:p>
        </w:tc>
        <w:tc>
          <w:tcPr>
            <w:tcW w:w="4660" w:type="dxa"/>
            <w:vAlign w:val="bottom"/>
            <w:gridSpan w:val="11"/>
          </w:tcPr>
          <w:p>
            <w:pPr>
              <w:spacing w:after="0"/>
              <w:rPr>
                <w:sz w:val="20"/>
                <w:szCs w:val="20"/>
                <w:color w:val="auto"/>
              </w:rPr>
            </w:pPr>
            <w:r>
              <w:rPr>
                <w:rFonts w:ascii="Arial" w:cs="Arial" w:eastAsia="Arial" w:hAnsi="Arial"/>
                <w:sz w:val="17"/>
                <w:szCs w:val="17"/>
                <w:color w:val="auto"/>
              </w:rPr>
              <w:t>document)</w:t>
            </w:r>
          </w:p>
        </w:tc>
        <w:tc>
          <w:tcPr>
            <w:tcW w:w="7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20" w:type="dxa"/>
            <w:vAlign w:val="bottom"/>
          </w:tcPr>
          <w:p>
            <w:pPr>
              <w:spacing w:after="0"/>
              <w:rPr>
                <w:sz w:val="19"/>
                <w:szCs w:val="19"/>
                <w:color w:val="auto"/>
              </w:rPr>
            </w:pPr>
          </w:p>
        </w:tc>
      </w:tr>
      <w:tr>
        <w:trPr>
          <w:trHeight w:val="219"/>
        </w:trPr>
        <w:tc>
          <w:tcPr>
            <w:tcW w:w="1300" w:type="dxa"/>
            <w:vAlign w:val="bottom"/>
            <w:shd w:val="clear" w:color="auto" w:fill="DCE2EF"/>
          </w:tcPr>
          <w:p>
            <w:pPr>
              <w:ind w:left="20"/>
              <w:spacing w:after="0"/>
              <w:rPr>
                <w:sz w:val="20"/>
                <w:szCs w:val="20"/>
                <w:color w:val="auto"/>
              </w:rPr>
            </w:pPr>
            <w:r>
              <w:rPr>
                <w:rFonts w:ascii="Arial" w:cs="Arial" w:eastAsia="Arial" w:hAnsi="Arial"/>
                <w:sz w:val="17"/>
                <w:szCs w:val="17"/>
                <w:color w:val="auto"/>
              </w:rPr>
              <w:t>101.SCH ‡</w:t>
            </w:r>
          </w:p>
        </w:tc>
        <w:tc>
          <w:tcPr>
            <w:tcW w:w="4660" w:type="dxa"/>
            <w:vAlign w:val="bottom"/>
            <w:gridSpan w:val="11"/>
            <w:shd w:val="clear" w:color="auto" w:fill="DCE2EF"/>
          </w:tcPr>
          <w:p>
            <w:pPr>
              <w:spacing w:after="0"/>
              <w:rPr>
                <w:sz w:val="20"/>
                <w:szCs w:val="20"/>
                <w:color w:val="auto"/>
              </w:rPr>
            </w:pPr>
            <w:r>
              <w:rPr>
                <w:rFonts w:ascii="Arial" w:cs="Arial" w:eastAsia="Arial" w:hAnsi="Arial"/>
                <w:sz w:val="17"/>
                <w:szCs w:val="17"/>
                <w:color w:val="auto"/>
              </w:rPr>
              <w:t>Inline XBRL Taxonomy Extension Schema Document</w:t>
            </w:r>
          </w:p>
        </w:tc>
        <w:tc>
          <w:tcPr>
            <w:tcW w:w="740" w:type="dxa"/>
            <w:vAlign w:val="bottom"/>
            <w:shd w:val="clear" w:color="auto" w:fill="DCE2EF"/>
          </w:tcPr>
          <w:p>
            <w:pPr>
              <w:spacing w:after="0"/>
              <w:rPr>
                <w:sz w:val="19"/>
                <w:szCs w:val="19"/>
                <w:color w:val="auto"/>
              </w:rPr>
            </w:pPr>
          </w:p>
        </w:tc>
        <w:tc>
          <w:tcPr>
            <w:tcW w:w="1400" w:type="dxa"/>
            <w:vAlign w:val="bottom"/>
            <w:shd w:val="clear" w:color="auto" w:fill="DCE2EF"/>
          </w:tcPr>
          <w:p>
            <w:pPr>
              <w:spacing w:after="0"/>
              <w:rPr>
                <w:sz w:val="19"/>
                <w:szCs w:val="19"/>
                <w:color w:val="auto"/>
              </w:rPr>
            </w:pPr>
          </w:p>
        </w:tc>
        <w:tc>
          <w:tcPr>
            <w:tcW w:w="920" w:type="dxa"/>
            <w:vAlign w:val="bottom"/>
            <w:shd w:val="clear" w:color="auto" w:fill="DCE2EF"/>
          </w:tcPr>
          <w:p>
            <w:pPr>
              <w:spacing w:after="0"/>
              <w:rPr>
                <w:sz w:val="19"/>
                <w:szCs w:val="19"/>
                <w:color w:val="auto"/>
              </w:rPr>
            </w:pPr>
          </w:p>
        </w:tc>
        <w:tc>
          <w:tcPr>
            <w:tcW w:w="2220" w:type="dxa"/>
            <w:vAlign w:val="bottom"/>
            <w:shd w:val="clear" w:color="auto" w:fill="DCE2EF"/>
          </w:tcPr>
          <w:p>
            <w:pPr>
              <w:spacing w:after="0"/>
              <w:rPr>
                <w:sz w:val="19"/>
                <w:szCs w:val="19"/>
                <w:color w:val="auto"/>
              </w:rPr>
            </w:pPr>
          </w:p>
        </w:tc>
      </w:tr>
      <w:tr>
        <w:trPr>
          <w:trHeight w:val="219"/>
        </w:trPr>
        <w:tc>
          <w:tcPr>
            <w:tcW w:w="1300" w:type="dxa"/>
            <w:vAlign w:val="bottom"/>
          </w:tcPr>
          <w:p>
            <w:pPr>
              <w:ind w:left="20"/>
              <w:spacing w:after="0"/>
              <w:rPr>
                <w:sz w:val="20"/>
                <w:szCs w:val="20"/>
                <w:color w:val="auto"/>
              </w:rPr>
            </w:pPr>
            <w:r>
              <w:rPr>
                <w:rFonts w:ascii="Arial" w:cs="Arial" w:eastAsia="Arial" w:hAnsi="Arial"/>
                <w:sz w:val="17"/>
                <w:szCs w:val="17"/>
                <w:color w:val="auto"/>
              </w:rPr>
              <w:t>101.CAL‡</w:t>
            </w:r>
          </w:p>
        </w:tc>
        <w:tc>
          <w:tcPr>
            <w:tcW w:w="4660" w:type="dxa"/>
            <w:vAlign w:val="bottom"/>
            <w:gridSpan w:val="11"/>
          </w:tcPr>
          <w:p>
            <w:pPr>
              <w:spacing w:after="0"/>
              <w:rPr>
                <w:sz w:val="20"/>
                <w:szCs w:val="20"/>
                <w:color w:val="auto"/>
              </w:rPr>
            </w:pPr>
            <w:r>
              <w:rPr>
                <w:rFonts w:ascii="Arial" w:cs="Arial" w:eastAsia="Arial" w:hAnsi="Arial"/>
                <w:sz w:val="17"/>
                <w:szCs w:val="17"/>
                <w:color w:val="auto"/>
              </w:rPr>
              <w:t>Inline XBRL Taxonomy Calculation Linkbase Document</w:t>
            </w:r>
          </w:p>
        </w:tc>
        <w:tc>
          <w:tcPr>
            <w:tcW w:w="7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20" w:type="dxa"/>
            <w:vAlign w:val="bottom"/>
          </w:tcPr>
          <w:p>
            <w:pPr>
              <w:spacing w:after="0"/>
              <w:rPr>
                <w:sz w:val="19"/>
                <w:szCs w:val="19"/>
                <w:color w:val="auto"/>
              </w:rPr>
            </w:pPr>
          </w:p>
        </w:tc>
      </w:tr>
      <w:tr>
        <w:trPr>
          <w:trHeight w:val="219"/>
        </w:trPr>
        <w:tc>
          <w:tcPr>
            <w:tcW w:w="1300" w:type="dxa"/>
            <w:vAlign w:val="bottom"/>
            <w:shd w:val="clear" w:color="auto" w:fill="DCE2EF"/>
          </w:tcPr>
          <w:p>
            <w:pPr>
              <w:ind w:left="20"/>
              <w:spacing w:after="0"/>
              <w:rPr>
                <w:sz w:val="20"/>
                <w:szCs w:val="20"/>
                <w:color w:val="auto"/>
              </w:rPr>
            </w:pPr>
            <w:r>
              <w:rPr>
                <w:rFonts w:ascii="Arial" w:cs="Arial" w:eastAsia="Arial" w:hAnsi="Arial"/>
                <w:sz w:val="17"/>
                <w:szCs w:val="17"/>
                <w:color w:val="auto"/>
              </w:rPr>
              <w:t>101.LAB ‡</w:t>
            </w:r>
          </w:p>
        </w:tc>
        <w:tc>
          <w:tcPr>
            <w:tcW w:w="4660" w:type="dxa"/>
            <w:vAlign w:val="bottom"/>
            <w:gridSpan w:val="11"/>
            <w:shd w:val="clear" w:color="auto" w:fill="DCE2EF"/>
          </w:tcPr>
          <w:p>
            <w:pPr>
              <w:spacing w:after="0"/>
              <w:rPr>
                <w:sz w:val="20"/>
                <w:szCs w:val="20"/>
                <w:color w:val="auto"/>
              </w:rPr>
            </w:pPr>
            <w:r>
              <w:rPr>
                <w:rFonts w:ascii="Arial" w:cs="Arial" w:eastAsia="Arial" w:hAnsi="Arial"/>
                <w:sz w:val="17"/>
                <w:szCs w:val="17"/>
                <w:color w:val="auto"/>
              </w:rPr>
              <w:t>Inline XBRL Taxonomy Label Linkbase Document</w:t>
            </w:r>
          </w:p>
        </w:tc>
        <w:tc>
          <w:tcPr>
            <w:tcW w:w="740" w:type="dxa"/>
            <w:vAlign w:val="bottom"/>
            <w:shd w:val="clear" w:color="auto" w:fill="DCE2EF"/>
          </w:tcPr>
          <w:p>
            <w:pPr>
              <w:spacing w:after="0"/>
              <w:rPr>
                <w:sz w:val="19"/>
                <w:szCs w:val="19"/>
                <w:color w:val="auto"/>
              </w:rPr>
            </w:pPr>
          </w:p>
        </w:tc>
        <w:tc>
          <w:tcPr>
            <w:tcW w:w="1400" w:type="dxa"/>
            <w:vAlign w:val="bottom"/>
            <w:shd w:val="clear" w:color="auto" w:fill="DCE2EF"/>
          </w:tcPr>
          <w:p>
            <w:pPr>
              <w:spacing w:after="0"/>
              <w:rPr>
                <w:sz w:val="19"/>
                <w:szCs w:val="19"/>
                <w:color w:val="auto"/>
              </w:rPr>
            </w:pPr>
          </w:p>
        </w:tc>
        <w:tc>
          <w:tcPr>
            <w:tcW w:w="920" w:type="dxa"/>
            <w:vAlign w:val="bottom"/>
            <w:shd w:val="clear" w:color="auto" w:fill="DCE2EF"/>
          </w:tcPr>
          <w:p>
            <w:pPr>
              <w:spacing w:after="0"/>
              <w:rPr>
                <w:sz w:val="19"/>
                <w:szCs w:val="19"/>
                <w:color w:val="auto"/>
              </w:rPr>
            </w:pPr>
          </w:p>
        </w:tc>
        <w:tc>
          <w:tcPr>
            <w:tcW w:w="2220" w:type="dxa"/>
            <w:vAlign w:val="bottom"/>
            <w:shd w:val="clear" w:color="auto" w:fill="DCE2EF"/>
          </w:tcPr>
          <w:p>
            <w:pPr>
              <w:spacing w:after="0"/>
              <w:rPr>
                <w:sz w:val="19"/>
                <w:szCs w:val="19"/>
                <w:color w:val="auto"/>
              </w:rPr>
            </w:pPr>
          </w:p>
        </w:tc>
      </w:tr>
      <w:tr>
        <w:trPr>
          <w:trHeight w:val="219"/>
        </w:trPr>
        <w:tc>
          <w:tcPr>
            <w:tcW w:w="1300" w:type="dxa"/>
            <w:vAlign w:val="bottom"/>
          </w:tcPr>
          <w:p>
            <w:pPr>
              <w:ind w:left="20"/>
              <w:spacing w:after="0"/>
              <w:rPr>
                <w:sz w:val="20"/>
                <w:szCs w:val="20"/>
                <w:color w:val="auto"/>
              </w:rPr>
            </w:pPr>
            <w:r>
              <w:rPr>
                <w:rFonts w:ascii="Arial" w:cs="Arial" w:eastAsia="Arial" w:hAnsi="Arial"/>
                <w:sz w:val="17"/>
                <w:szCs w:val="17"/>
                <w:color w:val="auto"/>
              </w:rPr>
              <w:t>101.PRE ‡</w:t>
            </w:r>
          </w:p>
        </w:tc>
        <w:tc>
          <w:tcPr>
            <w:tcW w:w="4660" w:type="dxa"/>
            <w:vAlign w:val="bottom"/>
            <w:gridSpan w:val="11"/>
          </w:tcPr>
          <w:p>
            <w:pPr>
              <w:spacing w:after="0"/>
              <w:rPr>
                <w:sz w:val="20"/>
                <w:szCs w:val="20"/>
                <w:color w:val="auto"/>
              </w:rPr>
            </w:pPr>
            <w:r>
              <w:rPr>
                <w:rFonts w:ascii="Arial" w:cs="Arial" w:eastAsia="Arial" w:hAnsi="Arial"/>
                <w:sz w:val="17"/>
                <w:szCs w:val="17"/>
                <w:color w:val="auto"/>
              </w:rPr>
              <w:t>Inline XBRL Presentation Linkbase Document</w:t>
            </w:r>
          </w:p>
        </w:tc>
        <w:tc>
          <w:tcPr>
            <w:tcW w:w="7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20" w:type="dxa"/>
            <w:vAlign w:val="bottom"/>
          </w:tcPr>
          <w:p>
            <w:pPr>
              <w:spacing w:after="0"/>
              <w:rPr>
                <w:sz w:val="19"/>
                <w:szCs w:val="19"/>
                <w:color w:val="auto"/>
              </w:rPr>
            </w:pPr>
          </w:p>
        </w:tc>
      </w:tr>
      <w:tr>
        <w:trPr>
          <w:trHeight w:val="168"/>
        </w:trPr>
        <w:tc>
          <w:tcPr>
            <w:tcW w:w="1300" w:type="dxa"/>
            <w:vAlign w:val="bottom"/>
            <w:shd w:val="clear" w:color="auto" w:fill="DCE2EF"/>
          </w:tcPr>
          <w:p>
            <w:pPr>
              <w:ind w:left="20"/>
              <w:spacing w:after="0" w:line="167" w:lineRule="exact"/>
              <w:rPr>
                <w:sz w:val="20"/>
                <w:szCs w:val="20"/>
                <w:color w:val="auto"/>
              </w:rPr>
            </w:pPr>
            <w:r>
              <w:rPr>
                <w:rFonts w:ascii="Arial" w:cs="Arial" w:eastAsia="Arial" w:hAnsi="Arial"/>
                <w:sz w:val="17"/>
                <w:szCs w:val="17"/>
                <w:color w:val="auto"/>
              </w:rPr>
              <w:t>101.DEF ‡</w:t>
            </w:r>
          </w:p>
        </w:tc>
        <w:tc>
          <w:tcPr>
            <w:tcW w:w="4660" w:type="dxa"/>
            <w:vAlign w:val="bottom"/>
            <w:gridSpan w:val="11"/>
            <w:shd w:val="clear" w:color="auto" w:fill="DCE2EF"/>
          </w:tcPr>
          <w:p>
            <w:pPr>
              <w:spacing w:after="0" w:line="167" w:lineRule="exact"/>
              <w:rPr>
                <w:sz w:val="20"/>
                <w:szCs w:val="20"/>
                <w:color w:val="auto"/>
              </w:rPr>
            </w:pPr>
            <w:r>
              <w:rPr>
                <w:rFonts w:ascii="Arial" w:cs="Arial" w:eastAsia="Arial" w:hAnsi="Arial"/>
                <w:sz w:val="17"/>
                <w:szCs w:val="17"/>
                <w:color w:val="auto"/>
              </w:rPr>
              <w:t>Inline XBRL Taxonomy Extension Definition Linkbase</w:t>
            </w:r>
          </w:p>
        </w:tc>
        <w:tc>
          <w:tcPr>
            <w:tcW w:w="740" w:type="dxa"/>
            <w:vAlign w:val="bottom"/>
            <w:shd w:val="clear" w:color="auto" w:fill="DCE2EF"/>
          </w:tcPr>
          <w:p>
            <w:pPr>
              <w:spacing w:after="0"/>
              <w:rPr>
                <w:sz w:val="14"/>
                <w:szCs w:val="14"/>
                <w:color w:val="auto"/>
              </w:rPr>
            </w:pPr>
          </w:p>
        </w:tc>
        <w:tc>
          <w:tcPr>
            <w:tcW w:w="1400" w:type="dxa"/>
            <w:vAlign w:val="bottom"/>
            <w:shd w:val="clear" w:color="auto" w:fill="DCE2EF"/>
          </w:tcPr>
          <w:p>
            <w:pPr>
              <w:spacing w:after="0"/>
              <w:rPr>
                <w:sz w:val="14"/>
                <w:szCs w:val="14"/>
                <w:color w:val="auto"/>
              </w:rPr>
            </w:pPr>
          </w:p>
        </w:tc>
        <w:tc>
          <w:tcPr>
            <w:tcW w:w="920" w:type="dxa"/>
            <w:vAlign w:val="bottom"/>
            <w:shd w:val="clear" w:color="auto" w:fill="DCE2EF"/>
          </w:tcPr>
          <w:p>
            <w:pPr>
              <w:spacing w:after="0"/>
              <w:rPr>
                <w:sz w:val="14"/>
                <w:szCs w:val="14"/>
                <w:color w:val="auto"/>
              </w:rPr>
            </w:pPr>
          </w:p>
        </w:tc>
        <w:tc>
          <w:tcPr>
            <w:tcW w:w="2220" w:type="dxa"/>
            <w:vAlign w:val="bottom"/>
            <w:shd w:val="clear" w:color="auto" w:fill="DCE2EF"/>
          </w:tcPr>
          <w:p>
            <w:pPr>
              <w:spacing w:after="0"/>
              <w:rPr>
                <w:sz w:val="14"/>
                <w:szCs w:val="14"/>
                <w:color w:val="auto"/>
              </w:rPr>
            </w:pPr>
          </w:p>
        </w:tc>
      </w:tr>
      <w:tr>
        <w:trPr>
          <w:trHeight w:val="232"/>
        </w:trPr>
        <w:tc>
          <w:tcPr>
            <w:tcW w:w="1300" w:type="dxa"/>
            <w:vAlign w:val="bottom"/>
            <w:shd w:val="clear" w:color="auto" w:fill="DCE2EF"/>
          </w:tcPr>
          <w:p>
            <w:pPr>
              <w:spacing w:after="0"/>
              <w:rPr>
                <w:sz w:val="20"/>
                <w:szCs w:val="20"/>
                <w:color w:val="auto"/>
              </w:rPr>
            </w:pPr>
          </w:p>
        </w:tc>
        <w:tc>
          <w:tcPr>
            <w:tcW w:w="4660" w:type="dxa"/>
            <w:vAlign w:val="bottom"/>
            <w:gridSpan w:val="11"/>
            <w:shd w:val="clear" w:color="auto" w:fill="DCE2EF"/>
          </w:tcPr>
          <w:p>
            <w:pPr>
              <w:spacing w:after="0"/>
              <w:rPr>
                <w:sz w:val="20"/>
                <w:szCs w:val="20"/>
                <w:color w:val="auto"/>
              </w:rPr>
            </w:pPr>
            <w:r>
              <w:rPr>
                <w:rFonts w:ascii="Arial" w:cs="Arial" w:eastAsia="Arial" w:hAnsi="Arial"/>
                <w:sz w:val="17"/>
                <w:szCs w:val="17"/>
                <w:color w:val="auto"/>
              </w:rPr>
              <w:t>Document</w:t>
            </w:r>
          </w:p>
        </w:tc>
        <w:tc>
          <w:tcPr>
            <w:tcW w:w="740" w:type="dxa"/>
            <w:vAlign w:val="bottom"/>
            <w:shd w:val="clear" w:color="auto" w:fill="DCE2EF"/>
          </w:tcPr>
          <w:p>
            <w:pPr>
              <w:spacing w:after="0"/>
              <w:rPr>
                <w:sz w:val="20"/>
                <w:szCs w:val="20"/>
                <w:color w:val="auto"/>
              </w:rPr>
            </w:pPr>
          </w:p>
        </w:tc>
        <w:tc>
          <w:tcPr>
            <w:tcW w:w="1400" w:type="dxa"/>
            <w:vAlign w:val="bottom"/>
            <w:shd w:val="clear" w:color="auto" w:fill="DCE2EF"/>
          </w:tcPr>
          <w:p>
            <w:pPr>
              <w:spacing w:after="0"/>
              <w:rPr>
                <w:sz w:val="20"/>
                <w:szCs w:val="20"/>
                <w:color w:val="auto"/>
              </w:rPr>
            </w:pPr>
          </w:p>
        </w:tc>
        <w:tc>
          <w:tcPr>
            <w:tcW w:w="920" w:type="dxa"/>
            <w:vAlign w:val="bottom"/>
            <w:shd w:val="clear" w:color="auto" w:fill="DCE2EF"/>
          </w:tcPr>
          <w:p>
            <w:pPr>
              <w:spacing w:after="0"/>
              <w:rPr>
                <w:sz w:val="20"/>
                <w:szCs w:val="20"/>
                <w:color w:val="auto"/>
              </w:rPr>
            </w:pPr>
          </w:p>
        </w:tc>
        <w:tc>
          <w:tcPr>
            <w:tcW w:w="2220" w:type="dxa"/>
            <w:vAlign w:val="bottom"/>
            <w:shd w:val="clear" w:color="auto" w:fill="DCE2EF"/>
          </w:tcPr>
          <w:p>
            <w:pPr>
              <w:spacing w:after="0"/>
              <w:rPr>
                <w:sz w:val="20"/>
                <w:szCs w:val="20"/>
                <w:color w:val="auto"/>
              </w:rPr>
            </w:pPr>
          </w:p>
        </w:tc>
      </w:tr>
      <w:tr>
        <w:trPr>
          <w:trHeight w:val="168"/>
        </w:trPr>
        <w:tc>
          <w:tcPr>
            <w:tcW w:w="1300" w:type="dxa"/>
            <w:vAlign w:val="bottom"/>
          </w:tcPr>
          <w:p>
            <w:pPr>
              <w:ind w:left="20"/>
              <w:spacing w:after="0" w:line="167" w:lineRule="exact"/>
              <w:rPr>
                <w:sz w:val="20"/>
                <w:szCs w:val="20"/>
                <w:color w:val="auto"/>
              </w:rPr>
            </w:pPr>
            <w:r>
              <w:rPr>
                <w:rFonts w:ascii="Arial" w:cs="Arial" w:eastAsia="Arial" w:hAnsi="Arial"/>
                <w:sz w:val="17"/>
                <w:szCs w:val="17"/>
                <w:color w:val="auto"/>
              </w:rPr>
              <w:t>104†</w:t>
            </w:r>
          </w:p>
        </w:tc>
        <w:tc>
          <w:tcPr>
            <w:tcW w:w="4660" w:type="dxa"/>
            <w:vAlign w:val="bottom"/>
            <w:gridSpan w:val="11"/>
          </w:tcPr>
          <w:p>
            <w:pPr>
              <w:spacing w:after="0" w:line="167" w:lineRule="exact"/>
              <w:rPr>
                <w:sz w:val="20"/>
                <w:szCs w:val="20"/>
                <w:color w:val="auto"/>
              </w:rPr>
            </w:pPr>
            <w:r>
              <w:rPr>
                <w:rFonts w:ascii="Arial" w:cs="Arial" w:eastAsia="Arial" w:hAnsi="Arial"/>
                <w:sz w:val="17"/>
                <w:szCs w:val="17"/>
                <w:color w:val="auto"/>
              </w:rPr>
              <w:t>Cover Page Interactive Data File (formatted as Inline XBRL</w:t>
            </w:r>
          </w:p>
        </w:tc>
        <w:tc>
          <w:tcPr>
            <w:tcW w:w="7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20" w:type="dxa"/>
            <w:vAlign w:val="bottom"/>
          </w:tcPr>
          <w:p>
            <w:pPr>
              <w:spacing w:after="0"/>
              <w:rPr>
                <w:sz w:val="14"/>
                <w:szCs w:val="14"/>
                <w:color w:val="auto"/>
              </w:rPr>
            </w:pPr>
          </w:p>
        </w:tc>
      </w:tr>
      <w:tr>
        <w:trPr>
          <w:trHeight w:val="226"/>
        </w:trPr>
        <w:tc>
          <w:tcPr>
            <w:tcW w:w="1300" w:type="dxa"/>
            <w:vAlign w:val="bottom"/>
          </w:tcPr>
          <w:p>
            <w:pPr>
              <w:spacing w:after="0"/>
              <w:rPr>
                <w:sz w:val="19"/>
                <w:szCs w:val="19"/>
                <w:color w:val="auto"/>
              </w:rPr>
            </w:pPr>
          </w:p>
        </w:tc>
        <w:tc>
          <w:tcPr>
            <w:tcW w:w="4660" w:type="dxa"/>
            <w:vAlign w:val="bottom"/>
            <w:gridSpan w:val="11"/>
          </w:tcPr>
          <w:p>
            <w:pPr>
              <w:spacing w:after="0"/>
              <w:rPr>
                <w:sz w:val="20"/>
                <w:szCs w:val="20"/>
                <w:color w:val="auto"/>
              </w:rPr>
            </w:pPr>
            <w:r>
              <w:rPr>
                <w:rFonts w:ascii="Arial" w:cs="Arial" w:eastAsia="Arial" w:hAnsi="Arial"/>
                <w:sz w:val="17"/>
                <w:szCs w:val="17"/>
                <w:color w:val="auto"/>
              </w:rPr>
              <w:t>and contained in Exhibit 101)</w:t>
            </w:r>
          </w:p>
        </w:tc>
        <w:tc>
          <w:tcPr>
            <w:tcW w:w="7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20" w:type="dxa"/>
            <w:vAlign w:val="bottom"/>
          </w:tcPr>
          <w:p>
            <w:pPr>
              <w:spacing w:after="0"/>
              <w:rPr>
                <w:sz w:val="19"/>
                <w:szCs w:val="19"/>
                <w:color w:val="auto"/>
              </w:rPr>
            </w:pPr>
          </w:p>
        </w:tc>
      </w:tr>
    </w:tbl>
    <w:p>
      <w:pPr>
        <w:spacing w:after="0" w:line="273" w:lineRule="exact"/>
        <w:rPr>
          <w:sz w:val="20"/>
          <w:szCs w:val="20"/>
          <w:color w:val="auto"/>
        </w:rPr>
      </w:pPr>
    </w:p>
    <w:p>
      <w:pPr>
        <w:ind w:left="680" w:hanging="660"/>
        <w:spacing w:after="0"/>
        <w:tabs>
          <w:tab w:leader="none" w:pos="680" w:val="left"/>
        </w:tabs>
        <w:numPr>
          <w:ilvl w:val="0"/>
          <w:numId w:val="48"/>
        </w:numPr>
        <w:rPr>
          <w:rFonts w:ascii="Arial" w:cs="Arial" w:eastAsia="Arial" w:hAnsi="Arial"/>
          <w:sz w:val="17"/>
          <w:szCs w:val="17"/>
          <w:color w:val="auto"/>
        </w:rPr>
      </w:pPr>
      <w:r>
        <w:rPr>
          <w:rFonts w:ascii="Arial" w:cs="Arial" w:eastAsia="Arial" w:hAnsi="Arial"/>
          <w:sz w:val="17"/>
          <w:szCs w:val="17"/>
          <w:color w:val="auto"/>
        </w:rPr>
        <w:t>Indicates management contract or compensatory plan, contract, or arrangement</w:t>
      </w:r>
    </w:p>
    <w:p>
      <w:pPr>
        <w:spacing w:after="0" w:line="30" w:lineRule="exact"/>
        <w:rPr>
          <w:rFonts w:ascii="Arial" w:cs="Arial" w:eastAsia="Arial" w:hAnsi="Arial"/>
          <w:sz w:val="17"/>
          <w:szCs w:val="17"/>
          <w:color w:val="auto"/>
        </w:rPr>
      </w:pPr>
    </w:p>
    <w:p>
      <w:pPr>
        <w:ind w:left="20"/>
        <w:spacing w:after="0"/>
        <w:rPr>
          <w:rFonts w:ascii="Arial" w:cs="Arial" w:eastAsia="Arial" w:hAnsi="Arial"/>
          <w:sz w:val="17"/>
          <w:szCs w:val="17"/>
          <w:color w:val="auto"/>
        </w:rPr>
      </w:pPr>
      <w:r>
        <w:rPr>
          <w:rFonts w:ascii="Arial" w:cs="Arial" w:eastAsia="Arial" w:hAnsi="Arial"/>
          <w:sz w:val="17"/>
          <w:szCs w:val="17"/>
          <w:color w:val="auto"/>
        </w:rPr>
        <w:t>‡Indicates filed herewith</w:t>
      </w:r>
    </w:p>
    <w:p>
      <w:pPr>
        <w:spacing w:after="0" w:line="23" w:lineRule="exact"/>
        <w:rPr>
          <w:rFonts w:ascii="Arial" w:cs="Arial" w:eastAsia="Arial" w:hAnsi="Arial"/>
          <w:sz w:val="17"/>
          <w:szCs w:val="17"/>
          <w:color w:val="auto"/>
        </w:rPr>
      </w:pPr>
    </w:p>
    <w:p>
      <w:pPr>
        <w:ind w:left="20"/>
        <w:spacing w:after="0"/>
        <w:rPr>
          <w:rFonts w:ascii="Arial" w:cs="Arial" w:eastAsia="Arial" w:hAnsi="Arial"/>
          <w:sz w:val="17"/>
          <w:szCs w:val="17"/>
          <w:color w:val="auto"/>
        </w:rPr>
      </w:pPr>
      <w:r>
        <w:rPr>
          <w:rFonts w:ascii="Arial" w:cs="Arial" w:eastAsia="Arial" w:hAnsi="Arial"/>
          <w:sz w:val="17"/>
          <w:szCs w:val="17"/>
          <w:color w:val="auto"/>
        </w:rPr>
        <w:t>†Indicates 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2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4" w:right="339" w:bottom="1440" w:gutter="0" w:footer="0" w:header="0"/>
        </w:sectPr>
      </w:pPr>
    </w:p>
    <w:bookmarkStart w:id="104" w:name="page105"/>
    <w:bookmarkEnd w:id="104"/>
    <w:p>
      <w:pPr>
        <w:jc w:val="center"/>
        <w:spacing w:after="0"/>
        <w:rPr>
          <w:sz w:val="20"/>
          <w:szCs w:val="20"/>
          <w:color w:val="auto"/>
        </w:rPr>
      </w:pPr>
      <w:r>
        <w:rPr>
          <w:rFonts w:ascii="Arial" w:cs="Arial" w:eastAsia="Arial" w:hAnsi="Arial"/>
          <w:sz w:val="17"/>
          <w:szCs w:val="17"/>
          <w:b w:val="1"/>
          <w:bCs w:val="1"/>
          <w:color w:val="auto"/>
        </w:rPr>
        <w:t>SIGNATURES</w:t>
      </w:r>
    </w:p>
    <w:p>
      <w:pPr>
        <w:spacing w:after="0" w:line="155" w:lineRule="exact"/>
        <w:rPr>
          <w:sz w:val="20"/>
          <w:szCs w:val="20"/>
          <w:color w:val="auto"/>
        </w:rPr>
      </w:pPr>
    </w:p>
    <w:p>
      <w:pPr>
        <w:ind w:firstLine="619"/>
        <w:spacing w:after="0" w:line="290" w:lineRule="auto"/>
        <w:rPr>
          <w:sz w:val="20"/>
          <w:szCs w:val="20"/>
          <w:color w:val="auto"/>
        </w:rPr>
      </w:pPr>
      <w:r>
        <w:rPr>
          <w:rFonts w:ascii="Arial" w:cs="Arial" w:eastAsia="Arial" w:hAnsi="Arial"/>
          <w:sz w:val="17"/>
          <w:szCs w:val="17"/>
          <w:color w:val="auto"/>
        </w:rPr>
        <w:t>Pursuant to the requirements of Section 13 or 15(d) of the Securities Exchange Act of 1934, the registrant has duly caused this report to be signed on its behalf by the undersigned, thereunto duly authorized.</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580" w:type="dxa"/>
            <w:vAlign w:val="bottom"/>
            <w:gridSpan w:val="2"/>
          </w:tcPr>
          <w:p>
            <w:pPr>
              <w:jc w:val="center"/>
              <w:ind w:left="14"/>
              <w:spacing w:after="0"/>
              <w:rPr>
                <w:sz w:val="20"/>
                <w:szCs w:val="20"/>
                <w:color w:val="auto"/>
              </w:rPr>
            </w:pPr>
            <w:r>
              <w:rPr>
                <w:rFonts w:ascii="Arial" w:cs="Arial" w:eastAsia="Arial" w:hAnsi="Arial"/>
                <w:sz w:val="17"/>
                <w:szCs w:val="17"/>
                <w:b w:val="1"/>
                <w:bCs w:val="1"/>
                <w:color w:val="auto"/>
              </w:rPr>
              <w:t>ABM Industries Incorporated</w:t>
            </w:r>
          </w:p>
        </w:tc>
        <w:tc>
          <w:tcPr>
            <w:tcW w:w="8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33"/>
        </w:trPr>
        <w:tc>
          <w:tcPr>
            <w:tcW w:w="3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360" w:type="dxa"/>
            <w:vAlign w:val="bottom"/>
            <w:gridSpan w:val="3"/>
          </w:tcPr>
          <w:p>
            <w:pPr>
              <w:ind w:left="380"/>
              <w:spacing w:after="0"/>
              <w:rPr>
                <w:sz w:val="20"/>
                <w:szCs w:val="20"/>
                <w:color w:val="auto"/>
              </w:rPr>
            </w:pPr>
            <w:r>
              <w:rPr>
                <w:rFonts w:ascii="Arial" w:cs="Arial" w:eastAsia="Arial" w:hAnsi="Arial"/>
                <w:sz w:val="17"/>
                <w:szCs w:val="17"/>
                <w:color w:val="auto"/>
              </w:rPr>
              <w:t>By:</w:t>
            </w:r>
          </w:p>
        </w:tc>
        <w:tc>
          <w:tcPr>
            <w:tcW w:w="7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900" w:type="dxa"/>
            <w:vAlign w:val="bottom"/>
          </w:tcPr>
          <w:p>
            <w:pPr>
              <w:jc w:val="center"/>
              <w:ind w:right="494"/>
              <w:spacing w:after="0"/>
              <w:rPr>
                <w:sz w:val="20"/>
                <w:szCs w:val="20"/>
                <w:color w:val="auto"/>
              </w:rPr>
            </w:pPr>
            <w:r>
              <w:rPr>
                <w:rFonts w:ascii="Arial" w:cs="Arial" w:eastAsia="Arial" w:hAnsi="Arial"/>
                <w:sz w:val="17"/>
                <w:szCs w:val="17"/>
                <w:color w:val="auto"/>
              </w:rPr>
              <w:t>/s/ Scott Salmirs</w:t>
            </w:r>
          </w:p>
        </w:tc>
        <w:tc>
          <w:tcPr>
            <w:tcW w:w="8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169"/>
        </w:trPr>
        <w:tc>
          <w:tcPr>
            <w:tcW w:w="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900" w:type="dxa"/>
            <w:vAlign w:val="bottom"/>
            <w:tcBorders>
              <w:top w:val="single" w:sz="8" w:color="auto"/>
            </w:tcBorders>
          </w:tcPr>
          <w:p>
            <w:pPr>
              <w:jc w:val="center"/>
              <w:ind w:right="494"/>
              <w:spacing w:after="0" w:line="170" w:lineRule="exact"/>
              <w:rPr>
                <w:sz w:val="20"/>
                <w:szCs w:val="20"/>
                <w:color w:val="auto"/>
              </w:rPr>
            </w:pPr>
            <w:r>
              <w:rPr>
                <w:rFonts w:ascii="Arial" w:cs="Arial" w:eastAsia="Arial" w:hAnsi="Arial"/>
                <w:sz w:val="17"/>
                <w:szCs w:val="17"/>
                <w:color w:val="auto"/>
                <w:w w:val="99"/>
              </w:rPr>
              <w:t>Scott Salmirs</w:t>
            </w:r>
          </w:p>
        </w:tc>
        <w:tc>
          <w:tcPr>
            <w:tcW w:w="82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0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219"/>
        </w:trPr>
        <w:tc>
          <w:tcPr>
            <w:tcW w:w="3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140" w:type="dxa"/>
            <w:vAlign w:val="bottom"/>
            <w:gridSpan w:val="4"/>
          </w:tcPr>
          <w:p>
            <w:pPr>
              <w:jc w:val="center"/>
              <w:spacing w:after="0"/>
              <w:rPr>
                <w:sz w:val="20"/>
                <w:szCs w:val="20"/>
                <w:color w:val="auto"/>
              </w:rPr>
            </w:pPr>
            <w:r>
              <w:rPr>
                <w:rFonts w:ascii="Arial" w:cs="Arial" w:eastAsia="Arial" w:hAnsi="Arial"/>
                <w:sz w:val="17"/>
                <w:szCs w:val="17"/>
                <w:color w:val="auto"/>
              </w:rPr>
              <w:t>President and Chief Executive Officer and Director</w:t>
            </w:r>
          </w:p>
        </w:tc>
        <w:tc>
          <w:tcPr>
            <w:tcW w:w="6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6"/>
        </w:trPr>
        <w:tc>
          <w:tcPr>
            <w:tcW w:w="3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580" w:type="dxa"/>
            <w:vAlign w:val="bottom"/>
            <w:gridSpan w:val="2"/>
          </w:tcPr>
          <w:p>
            <w:pPr>
              <w:jc w:val="center"/>
              <w:ind w:left="14"/>
              <w:spacing w:after="0"/>
              <w:rPr>
                <w:sz w:val="20"/>
                <w:szCs w:val="20"/>
                <w:color w:val="auto"/>
              </w:rPr>
            </w:pPr>
            <w:r>
              <w:rPr>
                <w:rFonts w:ascii="Arial" w:cs="Arial" w:eastAsia="Arial" w:hAnsi="Arial"/>
                <w:sz w:val="17"/>
                <w:szCs w:val="17"/>
                <w:color w:val="auto"/>
              </w:rPr>
              <w:t>December 19, 2025</w:t>
            </w:r>
          </w:p>
        </w:tc>
        <w:tc>
          <w:tcPr>
            <w:tcW w:w="8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419"/>
        </w:trPr>
        <w:tc>
          <w:tcPr>
            <w:tcW w:w="380" w:type="dxa"/>
            <w:vAlign w:val="bottom"/>
          </w:tcPr>
          <w:p>
            <w:pPr>
              <w:spacing w:after="0"/>
              <w:rPr>
                <w:sz w:val="24"/>
                <w:szCs w:val="24"/>
                <w:color w:val="auto"/>
              </w:rPr>
            </w:pPr>
          </w:p>
        </w:tc>
        <w:tc>
          <w:tcPr>
            <w:tcW w:w="10860" w:type="dxa"/>
            <w:vAlign w:val="bottom"/>
            <w:gridSpan w:val="14"/>
          </w:tcPr>
          <w:p>
            <w:pPr>
              <w:jc w:val="right"/>
              <w:spacing w:after="0"/>
              <w:rPr>
                <w:sz w:val="20"/>
                <w:szCs w:val="20"/>
                <w:color w:val="auto"/>
              </w:rPr>
            </w:pPr>
            <w:r>
              <w:rPr>
                <w:rFonts w:ascii="Arial" w:cs="Arial" w:eastAsia="Arial" w:hAnsi="Arial"/>
                <w:sz w:val="17"/>
                <w:szCs w:val="17"/>
                <w:color w:val="auto"/>
              </w:rPr>
              <w:t>Pursuant to the requirements of the Securities Exchange Act of 1934, this report has been signed below by the following persons on behalf</w:t>
            </w:r>
          </w:p>
        </w:tc>
      </w:tr>
      <w:tr>
        <w:trPr>
          <w:trHeight w:val="226"/>
        </w:trPr>
        <w:tc>
          <w:tcPr>
            <w:tcW w:w="380" w:type="dxa"/>
            <w:vAlign w:val="bottom"/>
          </w:tcPr>
          <w:p>
            <w:pPr>
              <w:spacing w:after="0"/>
              <w:rPr>
                <w:sz w:val="20"/>
                <w:szCs w:val="20"/>
                <w:color w:val="auto"/>
              </w:rPr>
            </w:pPr>
            <w:r>
              <w:rPr>
                <w:rFonts w:ascii="Arial" w:cs="Arial" w:eastAsia="Arial" w:hAnsi="Arial"/>
                <w:sz w:val="17"/>
                <w:szCs w:val="17"/>
                <w:color w:val="auto"/>
              </w:rPr>
              <w:t>of</w:t>
            </w:r>
          </w:p>
        </w:tc>
        <w:tc>
          <w:tcPr>
            <w:tcW w:w="1040" w:type="dxa"/>
            <w:vAlign w:val="bottom"/>
          </w:tcPr>
          <w:p>
            <w:pPr>
              <w:ind w:left="380"/>
              <w:spacing w:after="0"/>
              <w:rPr>
                <w:sz w:val="20"/>
                <w:szCs w:val="20"/>
                <w:color w:val="auto"/>
              </w:rPr>
            </w:pPr>
            <w:r>
              <w:rPr>
                <w:rFonts w:ascii="Arial" w:cs="Arial" w:eastAsia="Arial" w:hAnsi="Arial"/>
                <w:sz w:val="17"/>
                <w:szCs w:val="17"/>
                <w:color w:val="auto"/>
              </w:rPr>
              <w:t>ABM</w:t>
            </w:r>
          </w:p>
        </w:tc>
        <w:tc>
          <w:tcPr>
            <w:tcW w:w="1360" w:type="dxa"/>
            <w:vAlign w:val="bottom"/>
            <w:gridSpan w:val="3"/>
          </w:tcPr>
          <w:p>
            <w:pPr>
              <w:ind w:left="320"/>
              <w:spacing w:after="0"/>
              <w:rPr>
                <w:sz w:val="20"/>
                <w:szCs w:val="20"/>
                <w:color w:val="auto"/>
              </w:rPr>
            </w:pPr>
            <w:r>
              <w:rPr>
                <w:rFonts w:ascii="Arial" w:cs="Arial" w:eastAsia="Arial" w:hAnsi="Arial"/>
                <w:sz w:val="17"/>
                <w:szCs w:val="17"/>
                <w:color w:val="auto"/>
              </w:rPr>
              <w:t>Industries</w:t>
            </w:r>
          </w:p>
        </w:tc>
        <w:tc>
          <w:tcPr>
            <w:tcW w:w="760" w:type="dxa"/>
            <w:vAlign w:val="bottom"/>
          </w:tcPr>
          <w:p>
            <w:pPr>
              <w:ind w:left="300"/>
              <w:spacing w:after="0"/>
              <w:rPr>
                <w:sz w:val="20"/>
                <w:szCs w:val="20"/>
                <w:color w:val="auto"/>
              </w:rPr>
            </w:pPr>
            <w:r>
              <w:rPr>
                <w:rFonts w:ascii="Arial" w:cs="Arial" w:eastAsia="Arial" w:hAnsi="Arial"/>
                <w:sz w:val="17"/>
                <w:szCs w:val="17"/>
                <w:color w:val="auto"/>
              </w:rPr>
              <w:t>and</w:t>
            </w:r>
          </w:p>
        </w:tc>
        <w:tc>
          <w:tcPr>
            <w:tcW w:w="740" w:type="dxa"/>
            <w:vAlign w:val="bottom"/>
          </w:tcPr>
          <w:p>
            <w:pPr>
              <w:ind w:left="440"/>
              <w:spacing w:after="0"/>
              <w:rPr>
                <w:sz w:val="20"/>
                <w:szCs w:val="20"/>
                <w:color w:val="auto"/>
              </w:rPr>
            </w:pPr>
            <w:r>
              <w:rPr>
                <w:rFonts w:ascii="Arial" w:cs="Arial" w:eastAsia="Arial" w:hAnsi="Arial"/>
                <w:sz w:val="17"/>
                <w:szCs w:val="17"/>
                <w:color w:val="auto"/>
              </w:rPr>
              <w:t>in</w:t>
            </w:r>
          </w:p>
        </w:tc>
        <w:tc>
          <w:tcPr>
            <w:tcW w:w="680" w:type="dxa"/>
            <w:vAlign w:val="bottom"/>
          </w:tcPr>
          <w:p>
            <w:pPr>
              <w:ind w:left="440"/>
              <w:spacing w:after="0"/>
              <w:rPr>
                <w:sz w:val="20"/>
                <w:szCs w:val="20"/>
                <w:color w:val="auto"/>
              </w:rPr>
            </w:pPr>
            <w:r>
              <w:rPr>
                <w:rFonts w:ascii="Arial" w:cs="Arial" w:eastAsia="Arial" w:hAnsi="Arial"/>
                <w:sz w:val="17"/>
                <w:szCs w:val="17"/>
                <w:color w:val="auto"/>
                <w:w w:val="92"/>
              </w:rPr>
              <w:t>the</w:t>
            </w:r>
          </w:p>
        </w:tc>
        <w:tc>
          <w:tcPr>
            <w:tcW w:w="1900" w:type="dxa"/>
            <w:vAlign w:val="bottom"/>
          </w:tcPr>
          <w:p>
            <w:pPr>
              <w:ind w:left="600"/>
              <w:spacing w:after="0"/>
              <w:rPr>
                <w:sz w:val="20"/>
                <w:szCs w:val="20"/>
                <w:color w:val="auto"/>
              </w:rPr>
            </w:pPr>
            <w:r>
              <w:rPr>
                <w:rFonts w:ascii="Arial" w:cs="Arial" w:eastAsia="Arial" w:hAnsi="Arial"/>
                <w:sz w:val="17"/>
                <w:szCs w:val="17"/>
                <w:color w:val="auto"/>
              </w:rPr>
              <w:t>capacities</w:t>
            </w:r>
          </w:p>
        </w:tc>
        <w:tc>
          <w:tcPr>
            <w:tcW w:w="820" w:type="dxa"/>
            <w:vAlign w:val="bottom"/>
          </w:tcPr>
          <w:p>
            <w:pPr>
              <w:ind w:left="80"/>
              <w:spacing w:after="0"/>
              <w:rPr>
                <w:sz w:val="20"/>
                <w:szCs w:val="20"/>
                <w:color w:val="auto"/>
              </w:rPr>
            </w:pPr>
            <w:r>
              <w:rPr>
                <w:rFonts w:ascii="Arial" w:cs="Arial" w:eastAsia="Arial" w:hAnsi="Arial"/>
                <w:sz w:val="17"/>
                <w:szCs w:val="17"/>
                <w:color w:val="auto"/>
              </w:rPr>
              <w:t>and</w:t>
            </w:r>
          </w:p>
        </w:tc>
        <w:tc>
          <w:tcPr>
            <w:tcW w:w="640" w:type="dxa"/>
            <w:vAlign w:val="bottom"/>
          </w:tcPr>
          <w:p>
            <w:pPr>
              <w:ind w:left="140"/>
              <w:spacing w:after="0"/>
              <w:rPr>
                <w:sz w:val="20"/>
                <w:szCs w:val="20"/>
                <w:color w:val="auto"/>
              </w:rPr>
            </w:pPr>
            <w:r>
              <w:rPr>
                <w:rFonts w:ascii="Arial" w:cs="Arial" w:eastAsia="Arial" w:hAnsi="Arial"/>
                <w:sz w:val="17"/>
                <w:szCs w:val="17"/>
                <w:color w:val="auto"/>
              </w:rPr>
              <w:t>on</w:t>
            </w:r>
          </w:p>
        </w:tc>
        <w:tc>
          <w:tcPr>
            <w:tcW w:w="840" w:type="dxa"/>
            <w:vAlign w:val="bottom"/>
            <w:gridSpan w:val="2"/>
          </w:tcPr>
          <w:p>
            <w:pPr>
              <w:ind w:left="300"/>
              <w:spacing w:after="0"/>
              <w:rPr>
                <w:sz w:val="20"/>
                <w:szCs w:val="20"/>
                <w:color w:val="auto"/>
              </w:rPr>
            </w:pPr>
            <w:r>
              <w:rPr>
                <w:rFonts w:ascii="Arial" w:cs="Arial" w:eastAsia="Arial" w:hAnsi="Arial"/>
                <w:sz w:val="17"/>
                <w:szCs w:val="17"/>
                <w:color w:val="auto"/>
              </w:rPr>
              <w:t>the</w:t>
            </w:r>
          </w:p>
        </w:tc>
        <w:tc>
          <w:tcPr>
            <w:tcW w:w="1040" w:type="dxa"/>
            <w:vAlign w:val="bottom"/>
          </w:tcPr>
          <w:p>
            <w:pPr>
              <w:ind w:left="320"/>
              <w:spacing w:after="0"/>
              <w:rPr>
                <w:sz w:val="20"/>
                <w:szCs w:val="20"/>
                <w:color w:val="auto"/>
              </w:rPr>
            </w:pPr>
            <w:r>
              <w:rPr>
                <w:rFonts w:ascii="Arial" w:cs="Arial" w:eastAsia="Arial" w:hAnsi="Arial"/>
                <w:sz w:val="17"/>
                <w:szCs w:val="17"/>
                <w:color w:val="auto"/>
              </w:rPr>
              <w:t>dates</w:t>
            </w:r>
          </w:p>
        </w:tc>
        <w:tc>
          <w:tcPr>
            <w:tcW w:w="1040" w:type="dxa"/>
            <w:vAlign w:val="bottom"/>
          </w:tcPr>
          <w:p>
            <w:pPr>
              <w:jc w:val="right"/>
              <w:spacing w:after="0"/>
              <w:rPr>
                <w:sz w:val="20"/>
                <w:szCs w:val="20"/>
                <w:color w:val="auto"/>
              </w:rPr>
            </w:pPr>
            <w:r>
              <w:rPr>
                <w:rFonts w:ascii="Arial" w:cs="Arial" w:eastAsia="Arial" w:hAnsi="Arial"/>
                <w:sz w:val="17"/>
                <w:szCs w:val="17"/>
                <w:color w:val="auto"/>
              </w:rPr>
              <w:t>indicated.</w:t>
            </w:r>
          </w:p>
        </w:tc>
      </w:tr>
      <w:tr>
        <w:trPr>
          <w:trHeight w:val="243"/>
        </w:trPr>
        <w:tc>
          <w:tcPr>
            <w:tcW w:w="3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360" w:type="dxa"/>
            <w:vAlign w:val="bottom"/>
            <w:gridSpan w:val="3"/>
          </w:tcPr>
          <w:p>
            <w:pPr>
              <w:ind w:left="360"/>
              <w:spacing w:after="0"/>
              <w:rPr>
                <w:sz w:val="20"/>
                <w:szCs w:val="20"/>
                <w:color w:val="auto"/>
              </w:rPr>
            </w:pPr>
            <w:r>
              <w:rPr>
                <w:rFonts w:ascii="Arial" w:cs="Arial" w:eastAsia="Arial" w:hAnsi="Arial"/>
                <w:sz w:val="17"/>
                <w:szCs w:val="17"/>
                <w:color w:val="auto"/>
              </w:rPr>
              <w:t>By:</w:t>
            </w:r>
          </w:p>
        </w:tc>
        <w:tc>
          <w:tcPr>
            <w:tcW w:w="7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900" w:type="dxa"/>
            <w:vAlign w:val="bottom"/>
          </w:tcPr>
          <w:p>
            <w:pPr>
              <w:jc w:val="center"/>
              <w:ind w:right="534"/>
              <w:spacing w:after="0"/>
              <w:rPr>
                <w:sz w:val="20"/>
                <w:szCs w:val="20"/>
                <w:color w:val="auto"/>
              </w:rPr>
            </w:pPr>
            <w:r>
              <w:rPr>
                <w:rFonts w:ascii="Arial" w:cs="Arial" w:eastAsia="Arial" w:hAnsi="Arial"/>
                <w:sz w:val="17"/>
                <w:szCs w:val="17"/>
                <w:color w:val="auto"/>
              </w:rPr>
              <w:t>/s/ Scott Salmirs</w:t>
            </w:r>
          </w:p>
        </w:tc>
        <w:tc>
          <w:tcPr>
            <w:tcW w:w="8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173"/>
        </w:trPr>
        <w:tc>
          <w:tcPr>
            <w:tcW w:w="3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900" w:type="dxa"/>
            <w:vAlign w:val="bottom"/>
            <w:tcBorders>
              <w:top w:val="single" w:sz="8" w:color="auto"/>
            </w:tcBorders>
          </w:tcPr>
          <w:p>
            <w:pPr>
              <w:jc w:val="center"/>
              <w:ind w:right="534"/>
              <w:spacing w:after="0" w:line="172" w:lineRule="exact"/>
              <w:rPr>
                <w:sz w:val="20"/>
                <w:szCs w:val="20"/>
                <w:color w:val="auto"/>
              </w:rPr>
            </w:pPr>
            <w:r>
              <w:rPr>
                <w:rFonts w:ascii="Arial" w:cs="Arial" w:eastAsia="Arial" w:hAnsi="Arial"/>
                <w:sz w:val="17"/>
                <w:szCs w:val="17"/>
                <w:color w:val="auto"/>
                <w:w w:val="99"/>
              </w:rPr>
              <w:t>Scott Salmirs</w:t>
            </w:r>
          </w:p>
        </w:tc>
        <w:tc>
          <w:tcPr>
            <w:tcW w:w="82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40" w:type="dxa"/>
            <w:vAlign w:val="bottom"/>
          </w:tcPr>
          <w:p>
            <w:pPr>
              <w:spacing w:after="0"/>
              <w:rPr>
                <w:sz w:val="15"/>
                <w:szCs w:val="15"/>
                <w:color w:val="auto"/>
              </w:rPr>
            </w:pPr>
          </w:p>
        </w:tc>
      </w:tr>
    </w:tbl>
    <w:p>
      <w:pPr>
        <w:jc w:val="center"/>
        <w:ind w:right="100"/>
        <w:spacing w:after="0" w:line="205" w:lineRule="auto"/>
        <w:rPr>
          <w:sz w:val="20"/>
          <w:szCs w:val="20"/>
          <w:color w:val="auto"/>
        </w:rPr>
      </w:pPr>
      <w:r>
        <w:rPr>
          <w:rFonts w:ascii="Arial" w:cs="Arial" w:eastAsia="Arial" w:hAnsi="Arial"/>
          <w:sz w:val="17"/>
          <w:szCs w:val="17"/>
          <w:color w:val="auto"/>
        </w:rPr>
        <w:t>President and Chief Executive Officer and Director</w:t>
      </w:r>
    </w:p>
    <w:p>
      <w:pPr>
        <w:spacing w:after="0" w:line="1"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(Principal Executive Officer)</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December 19, 2025</w:t>
      </w:r>
    </w:p>
    <w:p>
      <w:pPr>
        <w:sectPr>
          <w:pgSz w:w="11900" w:h="16838" w:orient="portrait"/>
          <w:cols w:equalWidth="0" w:num="1">
            <w:col w:w="11240"/>
          </w:cols>
          <w:pgMar w:left="320" w:top="116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860"/>
        <w:spacing w:after="0"/>
        <w:rPr>
          <w:sz w:val="20"/>
          <w:szCs w:val="20"/>
          <w:color w:val="auto"/>
        </w:rPr>
      </w:pPr>
      <w:r>
        <w:rPr>
          <w:rFonts w:ascii="Arial" w:cs="Arial" w:eastAsia="Arial" w:hAnsi="Arial"/>
          <w:sz w:val="17"/>
          <w:szCs w:val="17"/>
          <w:color w:val="auto"/>
        </w:rPr>
        <w:t>/s/ David M. Orr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311912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22">
                      <a:extLst>
                        <a:ext uri="{28A0092B-C50C-407E-A947-70E740481C1C}"/>
                      </a:extLst>
                    </a:blip>
                    <a:srcRect/>
                    <a:stretch>
                      <a:fillRect/>
                    </a:stretch>
                  </pic:blipFill>
                  <pic:spPr bwMode="auto">
                    <a:xfrm>
                      <a:off x="0" y="0"/>
                      <a:ext cx="3119120" cy="8255"/>
                    </a:xfrm>
                    <a:prstGeom prst="rect">
                      <a:avLst/>
                    </a:prstGeom>
                    <a:noFill/>
                  </pic:spPr>
                </pic:pic>
              </a:graphicData>
            </a:graphic>
          </wp:anchor>
        </w:drawing>
      </w:r>
    </w:p>
    <w:p>
      <w:pPr>
        <w:spacing w:after="0" w:line="17" w:lineRule="exact"/>
        <w:rPr>
          <w:sz w:val="20"/>
          <w:szCs w:val="20"/>
          <w:color w:val="auto"/>
        </w:rPr>
      </w:pPr>
    </w:p>
    <w:p>
      <w:pPr>
        <w:ind w:left="1980"/>
        <w:spacing w:after="0"/>
        <w:rPr>
          <w:sz w:val="20"/>
          <w:szCs w:val="20"/>
          <w:color w:val="auto"/>
        </w:rPr>
      </w:pPr>
      <w:r>
        <w:rPr>
          <w:rFonts w:ascii="Arial" w:cs="Arial" w:eastAsia="Arial" w:hAnsi="Arial"/>
          <w:sz w:val="17"/>
          <w:szCs w:val="17"/>
          <w:color w:val="auto"/>
        </w:rPr>
        <w:t>David M. Orr</w:t>
      </w:r>
    </w:p>
    <w:p>
      <w:pPr>
        <w:spacing w:after="0" w:line="1" w:lineRule="exact"/>
        <w:rPr>
          <w:sz w:val="20"/>
          <w:szCs w:val="20"/>
          <w:color w:val="auto"/>
        </w:rPr>
      </w:pPr>
    </w:p>
    <w:p>
      <w:pPr>
        <w:jc w:val="center"/>
        <w:ind w:right="1300"/>
        <w:spacing w:after="0"/>
        <w:rPr>
          <w:sz w:val="20"/>
          <w:szCs w:val="20"/>
          <w:color w:val="auto"/>
        </w:rPr>
      </w:pPr>
      <w:r>
        <w:rPr>
          <w:rFonts w:ascii="Arial" w:cs="Arial" w:eastAsia="Arial" w:hAnsi="Arial"/>
          <w:sz w:val="17"/>
          <w:szCs w:val="17"/>
          <w:color w:val="auto"/>
        </w:rPr>
        <w:t>Executive Vice President and</w:t>
      </w:r>
    </w:p>
    <w:p>
      <w:pPr>
        <w:spacing w:after="0" w:line="11" w:lineRule="exact"/>
        <w:rPr>
          <w:sz w:val="20"/>
          <w:szCs w:val="20"/>
          <w:color w:val="auto"/>
        </w:rPr>
      </w:pPr>
    </w:p>
    <w:p>
      <w:pPr>
        <w:jc w:val="center"/>
        <w:ind w:right="1300"/>
        <w:spacing w:after="0"/>
        <w:rPr>
          <w:sz w:val="20"/>
          <w:szCs w:val="20"/>
          <w:color w:val="auto"/>
        </w:rPr>
      </w:pPr>
      <w:r>
        <w:rPr>
          <w:rFonts w:ascii="Arial" w:cs="Arial" w:eastAsia="Arial" w:hAnsi="Arial"/>
          <w:sz w:val="17"/>
          <w:szCs w:val="17"/>
          <w:color w:val="auto"/>
        </w:rPr>
        <w:t>Chief Financial Officer</w:t>
      </w:r>
    </w:p>
    <w:p>
      <w:pPr>
        <w:spacing w:after="0" w:line="21" w:lineRule="exact"/>
        <w:rPr>
          <w:sz w:val="20"/>
          <w:szCs w:val="20"/>
          <w:color w:val="auto"/>
        </w:rPr>
      </w:pPr>
    </w:p>
    <w:p>
      <w:pPr>
        <w:jc w:val="center"/>
        <w:ind w:right="1300"/>
        <w:spacing w:after="0"/>
        <w:rPr>
          <w:sz w:val="20"/>
          <w:szCs w:val="20"/>
          <w:color w:val="auto"/>
        </w:rPr>
      </w:pPr>
      <w:r>
        <w:rPr>
          <w:rFonts w:ascii="Arial" w:cs="Arial" w:eastAsia="Arial" w:hAnsi="Arial"/>
          <w:sz w:val="17"/>
          <w:szCs w:val="17"/>
          <w:color w:val="auto"/>
        </w:rPr>
        <w:t>(Principal Financial Officer)</w:t>
      </w:r>
    </w:p>
    <w:p>
      <w:pPr>
        <w:spacing w:after="0" w:line="30" w:lineRule="exact"/>
        <w:rPr>
          <w:sz w:val="20"/>
          <w:szCs w:val="20"/>
          <w:color w:val="auto"/>
        </w:rPr>
      </w:pPr>
    </w:p>
    <w:p>
      <w:pPr>
        <w:jc w:val="center"/>
        <w:ind w:right="1300"/>
        <w:spacing w:after="0"/>
        <w:rPr>
          <w:sz w:val="20"/>
          <w:szCs w:val="20"/>
          <w:color w:val="auto"/>
        </w:rPr>
      </w:pPr>
      <w:r>
        <w:rPr>
          <w:rFonts w:ascii="Arial" w:cs="Arial" w:eastAsia="Arial" w:hAnsi="Arial"/>
          <w:sz w:val="17"/>
          <w:szCs w:val="17"/>
          <w:color w:val="auto"/>
        </w:rPr>
        <w:t>December 19, 2025</w:t>
      </w:r>
    </w:p>
    <w:p>
      <w:pPr>
        <w:spacing w:after="0" w:line="275"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/s/ Sudhakar Kesavan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311912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23">
                      <a:extLst>
                        <a:ext uri="{28A0092B-C50C-407E-A947-70E740481C1C}"/>
                      </a:extLst>
                    </a:blip>
                    <a:srcRect/>
                    <a:stretch>
                      <a:fillRect/>
                    </a:stretch>
                  </pic:blipFill>
                  <pic:spPr bwMode="auto">
                    <a:xfrm>
                      <a:off x="0" y="0"/>
                      <a:ext cx="3119120" cy="8255"/>
                    </a:xfrm>
                    <a:prstGeom prst="rect">
                      <a:avLst/>
                    </a:prstGeom>
                    <a:noFill/>
                  </pic:spPr>
                </pic:pic>
              </a:graphicData>
            </a:graphic>
          </wp:anchor>
        </w:drawing>
      </w:r>
    </w:p>
    <w:p>
      <w:pPr>
        <w:spacing w:after="0" w:line="17" w:lineRule="exact"/>
        <w:rPr>
          <w:sz w:val="20"/>
          <w:szCs w:val="20"/>
          <w:color w:val="auto"/>
        </w:rPr>
      </w:pPr>
    </w:p>
    <w:p>
      <w:pPr>
        <w:ind w:left="1740"/>
        <w:spacing w:after="0"/>
        <w:rPr>
          <w:sz w:val="20"/>
          <w:szCs w:val="20"/>
          <w:color w:val="auto"/>
        </w:rPr>
      </w:pPr>
      <w:r>
        <w:rPr>
          <w:rFonts w:ascii="Arial" w:cs="Arial" w:eastAsia="Arial" w:hAnsi="Arial"/>
          <w:sz w:val="17"/>
          <w:szCs w:val="17"/>
          <w:color w:val="auto"/>
        </w:rPr>
        <w:t>Sudhakar Kesavan</w:t>
      </w:r>
    </w:p>
    <w:p>
      <w:pPr>
        <w:spacing w:after="0" w:line="30" w:lineRule="exact"/>
        <w:rPr>
          <w:sz w:val="20"/>
          <w:szCs w:val="20"/>
          <w:color w:val="auto"/>
        </w:rPr>
      </w:pPr>
    </w:p>
    <w:p>
      <w:pPr>
        <w:jc w:val="center"/>
        <w:ind w:right="1300"/>
        <w:spacing w:after="0"/>
        <w:rPr>
          <w:sz w:val="20"/>
          <w:szCs w:val="20"/>
          <w:color w:val="auto"/>
        </w:rPr>
      </w:pPr>
      <w:r>
        <w:rPr>
          <w:rFonts w:ascii="Arial" w:cs="Arial" w:eastAsia="Arial" w:hAnsi="Arial"/>
          <w:sz w:val="17"/>
          <w:szCs w:val="17"/>
          <w:color w:val="auto"/>
        </w:rPr>
        <w:t>Chairman of the Board and Director</w:t>
      </w:r>
    </w:p>
    <w:p>
      <w:pPr>
        <w:spacing w:after="0" w:line="24" w:lineRule="exact"/>
        <w:rPr>
          <w:sz w:val="20"/>
          <w:szCs w:val="20"/>
          <w:color w:val="auto"/>
        </w:rPr>
      </w:pPr>
    </w:p>
    <w:p>
      <w:pPr>
        <w:jc w:val="center"/>
        <w:ind w:right="1300"/>
        <w:spacing w:after="0"/>
        <w:rPr>
          <w:sz w:val="20"/>
          <w:szCs w:val="20"/>
          <w:color w:val="auto"/>
        </w:rPr>
      </w:pPr>
      <w:r>
        <w:rPr>
          <w:rFonts w:ascii="Arial" w:cs="Arial" w:eastAsia="Arial" w:hAnsi="Arial"/>
          <w:sz w:val="17"/>
          <w:szCs w:val="17"/>
          <w:color w:val="auto"/>
        </w:rPr>
        <w:t>December 19, 2025</w:t>
      </w:r>
    </w:p>
    <w:p>
      <w:pPr>
        <w:spacing w:after="0" w:line="275" w:lineRule="exact"/>
        <w:rPr>
          <w:sz w:val="20"/>
          <w:szCs w:val="20"/>
          <w:color w:val="auto"/>
        </w:rPr>
      </w:pPr>
    </w:p>
    <w:p>
      <w:pPr>
        <w:ind w:left="1580"/>
        <w:spacing w:after="0"/>
        <w:rPr>
          <w:sz w:val="20"/>
          <w:szCs w:val="20"/>
          <w:color w:val="auto"/>
        </w:rPr>
      </w:pPr>
      <w:r>
        <w:rPr>
          <w:rFonts w:ascii="Arial" w:cs="Arial" w:eastAsia="Arial" w:hAnsi="Arial"/>
          <w:sz w:val="17"/>
          <w:szCs w:val="17"/>
          <w:color w:val="auto"/>
        </w:rPr>
        <w:t>/s/ LeighAnne G.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311912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24">
                      <a:extLst>
                        <a:ext uri="{28A0092B-C50C-407E-A947-70E740481C1C}"/>
                      </a:extLst>
                    </a:blip>
                    <a:srcRect/>
                    <a:stretch>
                      <a:fillRect/>
                    </a:stretch>
                  </pic:blipFill>
                  <pic:spPr bwMode="auto">
                    <a:xfrm>
                      <a:off x="0" y="0"/>
                      <a:ext cx="3119120" cy="8255"/>
                    </a:xfrm>
                    <a:prstGeom prst="rect">
                      <a:avLst/>
                    </a:prstGeom>
                    <a:noFill/>
                  </pic:spPr>
                </pic:pic>
              </a:graphicData>
            </a:graphic>
          </wp:anchor>
        </w:drawing>
      </w:r>
    </w:p>
    <w:p>
      <w:pPr>
        <w:spacing w:after="0" w:line="17" w:lineRule="exact"/>
        <w:rPr>
          <w:sz w:val="20"/>
          <w:szCs w:val="20"/>
          <w:color w:val="auto"/>
        </w:rPr>
      </w:pPr>
    </w:p>
    <w:p>
      <w:pPr>
        <w:ind w:left="1340"/>
        <w:spacing w:after="0"/>
        <w:rPr>
          <w:sz w:val="20"/>
          <w:szCs w:val="20"/>
          <w:color w:val="auto"/>
        </w:rPr>
      </w:pPr>
      <w:r>
        <w:rPr>
          <w:rFonts w:ascii="Arial" w:cs="Arial" w:eastAsia="Arial" w:hAnsi="Arial"/>
          <w:sz w:val="17"/>
          <w:szCs w:val="17"/>
          <w:color w:val="auto"/>
        </w:rPr>
        <w:t>LeighAnne G. Baker, Director</w:t>
      </w:r>
    </w:p>
    <w:p>
      <w:pPr>
        <w:spacing w:after="0" w:line="30" w:lineRule="exact"/>
        <w:rPr>
          <w:sz w:val="20"/>
          <w:szCs w:val="20"/>
          <w:color w:val="auto"/>
        </w:rPr>
      </w:pPr>
    </w:p>
    <w:p>
      <w:pPr>
        <w:ind w:left="1700"/>
        <w:spacing w:after="0"/>
        <w:rPr>
          <w:sz w:val="20"/>
          <w:szCs w:val="20"/>
          <w:color w:val="auto"/>
        </w:rPr>
      </w:pPr>
      <w:r>
        <w:rPr>
          <w:rFonts w:ascii="Arial" w:cs="Arial" w:eastAsia="Arial" w:hAnsi="Arial"/>
          <w:sz w:val="17"/>
          <w:szCs w:val="17"/>
          <w:color w:val="auto"/>
        </w:rPr>
        <w:t>December 19, 2025</w:t>
      </w:r>
    </w:p>
    <w:p>
      <w:pPr>
        <w:spacing w:after="0" w:line="275" w:lineRule="exact"/>
        <w:rPr>
          <w:sz w:val="20"/>
          <w:szCs w:val="20"/>
          <w:color w:val="auto"/>
        </w:rPr>
      </w:pPr>
    </w:p>
    <w:p>
      <w:pPr>
        <w:ind w:left="1640"/>
        <w:spacing w:after="0"/>
        <w:rPr>
          <w:sz w:val="20"/>
          <w:szCs w:val="20"/>
          <w:color w:val="auto"/>
        </w:rPr>
      </w:pPr>
      <w:r>
        <w:rPr>
          <w:rFonts w:ascii="Arial" w:cs="Arial" w:eastAsia="Arial" w:hAnsi="Arial"/>
          <w:sz w:val="17"/>
          <w:szCs w:val="17"/>
          <w:color w:val="auto"/>
        </w:rPr>
        <w:t>/s/ Donald F. Colleran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311912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25">
                      <a:extLst>
                        <a:ext uri="{28A0092B-C50C-407E-A947-70E740481C1C}"/>
                      </a:extLst>
                    </a:blip>
                    <a:srcRect/>
                    <a:stretch>
                      <a:fillRect/>
                    </a:stretch>
                  </pic:blipFill>
                  <pic:spPr bwMode="auto">
                    <a:xfrm>
                      <a:off x="0" y="0"/>
                      <a:ext cx="3119120" cy="8255"/>
                    </a:xfrm>
                    <a:prstGeom prst="rect">
                      <a:avLst/>
                    </a:prstGeom>
                    <a:noFill/>
                  </pic:spPr>
                </pic:pic>
              </a:graphicData>
            </a:graphic>
          </wp:anchor>
        </w:drawing>
      </w:r>
    </w:p>
    <w:p>
      <w:pPr>
        <w:spacing w:after="0" w:line="17" w:lineRule="exact"/>
        <w:rPr>
          <w:sz w:val="20"/>
          <w:szCs w:val="20"/>
          <w:color w:val="auto"/>
        </w:rPr>
      </w:pPr>
    </w:p>
    <w:p>
      <w:pPr>
        <w:ind w:left="1400"/>
        <w:spacing w:after="0"/>
        <w:rPr>
          <w:sz w:val="20"/>
          <w:szCs w:val="20"/>
          <w:color w:val="auto"/>
        </w:rPr>
      </w:pPr>
      <w:r>
        <w:rPr>
          <w:rFonts w:ascii="Arial" w:cs="Arial" w:eastAsia="Arial" w:hAnsi="Arial"/>
          <w:sz w:val="17"/>
          <w:szCs w:val="17"/>
          <w:color w:val="auto"/>
        </w:rPr>
        <w:t>Donald F. Colleran, Director</w:t>
      </w:r>
    </w:p>
    <w:p>
      <w:pPr>
        <w:spacing w:after="0" w:line="30" w:lineRule="exact"/>
        <w:rPr>
          <w:sz w:val="20"/>
          <w:szCs w:val="20"/>
          <w:color w:val="auto"/>
        </w:rPr>
      </w:pPr>
    </w:p>
    <w:p>
      <w:pPr>
        <w:ind w:left="1700"/>
        <w:spacing w:after="0"/>
        <w:rPr>
          <w:sz w:val="20"/>
          <w:szCs w:val="20"/>
          <w:color w:val="auto"/>
        </w:rPr>
      </w:pPr>
      <w:r>
        <w:rPr>
          <w:rFonts w:ascii="Arial" w:cs="Arial" w:eastAsia="Arial" w:hAnsi="Arial"/>
          <w:sz w:val="17"/>
          <w:szCs w:val="17"/>
          <w:color w:val="auto"/>
        </w:rPr>
        <w:t>December 19, 2025</w:t>
      </w:r>
    </w:p>
    <w:p>
      <w:pPr>
        <w:spacing w:after="0" w:line="275" w:lineRule="exact"/>
        <w:rPr>
          <w:sz w:val="20"/>
          <w:szCs w:val="20"/>
          <w:color w:val="auto"/>
        </w:rPr>
      </w:pPr>
    </w:p>
    <w:p>
      <w:pPr>
        <w:ind w:left="1860"/>
        <w:spacing w:after="0"/>
        <w:rPr>
          <w:sz w:val="20"/>
          <w:szCs w:val="20"/>
          <w:color w:val="auto"/>
        </w:rPr>
      </w:pPr>
      <w:r>
        <w:rPr>
          <w:rFonts w:ascii="Arial" w:cs="Arial" w:eastAsia="Arial" w:hAnsi="Arial"/>
          <w:sz w:val="17"/>
          <w:szCs w:val="17"/>
          <w:color w:val="auto"/>
        </w:rPr>
        <w:t>/s/ Art A. Garcia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311912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26">
                      <a:extLst>
                        <a:ext uri="{28A0092B-C50C-407E-A947-70E740481C1C}"/>
                      </a:extLst>
                    </a:blip>
                    <a:srcRect/>
                    <a:stretch>
                      <a:fillRect/>
                    </a:stretch>
                  </pic:blipFill>
                  <pic:spPr bwMode="auto">
                    <a:xfrm>
                      <a:off x="0" y="0"/>
                      <a:ext cx="3119120" cy="8255"/>
                    </a:xfrm>
                    <a:prstGeom prst="rect">
                      <a:avLst/>
                    </a:prstGeom>
                    <a:noFill/>
                  </pic:spPr>
                </pic:pic>
              </a:graphicData>
            </a:graphic>
          </wp:anchor>
        </w:drawing>
      </w:r>
    </w:p>
    <w:p>
      <w:pPr>
        <w:spacing w:after="0" w:line="17"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Art A. Garcia, Director</w:t>
      </w:r>
    </w:p>
    <w:p>
      <w:pPr>
        <w:spacing w:after="0" w:line="30" w:lineRule="exact"/>
        <w:rPr>
          <w:sz w:val="20"/>
          <w:szCs w:val="20"/>
          <w:color w:val="auto"/>
        </w:rPr>
      </w:pPr>
    </w:p>
    <w:p>
      <w:pPr>
        <w:ind w:left="1700"/>
        <w:spacing w:after="0"/>
        <w:rPr>
          <w:sz w:val="20"/>
          <w:szCs w:val="20"/>
          <w:color w:val="auto"/>
        </w:rPr>
      </w:pPr>
      <w:r>
        <w:rPr>
          <w:rFonts w:ascii="Arial" w:cs="Arial" w:eastAsia="Arial" w:hAnsi="Arial"/>
          <w:sz w:val="17"/>
          <w:szCs w:val="17"/>
          <w:color w:val="auto"/>
        </w:rPr>
        <w:t>December 19, 2025</w:t>
      </w:r>
    </w:p>
    <w:p>
      <w:pPr>
        <w:spacing w:after="0" w:line="275" w:lineRule="exact"/>
        <w:rPr>
          <w:sz w:val="20"/>
          <w:szCs w:val="20"/>
          <w:color w:val="auto"/>
        </w:rPr>
      </w:pPr>
    </w:p>
    <w:p>
      <w:pPr>
        <w:ind w:left="1840"/>
        <w:spacing w:after="0"/>
        <w:rPr>
          <w:sz w:val="20"/>
          <w:szCs w:val="20"/>
          <w:color w:val="auto"/>
        </w:rPr>
      </w:pPr>
      <w:r>
        <w:rPr>
          <w:rFonts w:ascii="Arial" w:cs="Arial" w:eastAsia="Arial" w:hAnsi="Arial"/>
          <w:sz w:val="17"/>
          <w:szCs w:val="17"/>
          <w:color w:val="auto"/>
        </w:rPr>
        <w:t>/s/ Jill M. Golder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311912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27">
                      <a:extLst>
                        <a:ext uri="{28A0092B-C50C-407E-A947-70E740481C1C}"/>
                      </a:extLst>
                    </a:blip>
                    <a:srcRect/>
                    <a:stretch>
                      <a:fillRect/>
                    </a:stretch>
                  </pic:blipFill>
                  <pic:spPr bwMode="auto">
                    <a:xfrm>
                      <a:off x="0" y="0"/>
                      <a:ext cx="3119120" cy="8255"/>
                    </a:xfrm>
                    <a:prstGeom prst="rect">
                      <a:avLst/>
                    </a:prstGeom>
                    <a:noFill/>
                  </pic:spPr>
                </pic:pic>
              </a:graphicData>
            </a:graphic>
          </wp:anchor>
        </w:drawing>
      </w:r>
    </w:p>
    <w:p>
      <w:pPr>
        <w:spacing w:after="0" w:line="17"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Jill M. Golder, Director</w:t>
      </w:r>
    </w:p>
    <w:p>
      <w:pPr>
        <w:spacing w:after="0" w:line="30" w:lineRule="exact"/>
        <w:rPr>
          <w:sz w:val="20"/>
          <w:szCs w:val="20"/>
          <w:color w:val="auto"/>
        </w:rPr>
      </w:pPr>
    </w:p>
    <w:p>
      <w:pPr>
        <w:ind w:left="1700"/>
        <w:spacing w:after="0"/>
        <w:rPr>
          <w:sz w:val="20"/>
          <w:szCs w:val="20"/>
          <w:color w:val="auto"/>
        </w:rPr>
      </w:pPr>
      <w:r>
        <w:rPr>
          <w:rFonts w:ascii="Arial" w:cs="Arial" w:eastAsia="Arial" w:hAnsi="Arial"/>
          <w:sz w:val="17"/>
          <w:szCs w:val="17"/>
          <w:color w:val="auto"/>
        </w:rPr>
        <w:t>December 19, 2025</w:t>
      </w:r>
    </w:p>
    <w:p>
      <w:pPr>
        <w:spacing w:after="0" w:line="275" w:lineRule="exact"/>
        <w:rPr>
          <w:sz w:val="20"/>
          <w:szCs w:val="20"/>
          <w:color w:val="auto"/>
        </w:rPr>
      </w:pPr>
    </w:p>
    <w:p>
      <w:pPr>
        <w:ind w:left="1660"/>
        <w:spacing w:after="0"/>
        <w:rPr>
          <w:sz w:val="20"/>
          <w:szCs w:val="20"/>
          <w:color w:val="auto"/>
        </w:rPr>
      </w:pPr>
      <w:r>
        <w:rPr>
          <w:rFonts w:ascii="Arial" w:cs="Arial" w:eastAsia="Arial" w:hAnsi="Arial"/>
          <w:sz w:val="17"/>
          <w:szCs w:val="17"/>
          <w:color w:val="auto"/>
        </w:rPr>
        <w:t>/s/ Winifred M. Webb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311912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28">
                      <a:extLst>
                        <a:ext uri="{28A0092B-C50C-407E-A947-70E740481C1C}"/>
                      </a:extLst>
                    </a:blip>
                    <a:srcRect/>
                    <a:stretch>
                      <a:fillRect/>
                    </a:stretch>
                  </pic:blipFill>
                  <pic:spPr bwMode="auto">
                    <a:xfrm>
                      <a:off x="0" y="0"/>
                      <a:ext cx="3119120" cy="8255"/>
                    </a:xfrm>
                    <a:prstGeom prst="rect">
                      <a:avLst/>
                    </a:prstGeom>
                    <a:noFill/>
                  </pic:spPr>
                </pic:pic>
              </a:graphicData>
            </a:graphic>
          </wp:anchor>
        </w:drawing>
      </w:r>
    </w:p>
    <w:p>
      <w:pPr>
        <w:spacing w:after="0" w:line="17" w:lineRule="exact"/>
        <w:rPr>
          <w:sz w:val="20"/>
          <w:szCs w:val="20"/>
          <w:color w:val="auto"/>
        </w:rPr>
      </w:pPr>
    </w:p>
    <w:p>
      <w:pPr>
        <w:ind w:left="1420"/>
        <w:spacing w:after="0"/>
        <w:rPr>
          <w:sz w:val="20"/>
          <w:szCs w:val="20"/>
          <w:color w:val="auto"/>
        </w:rPr>
      </w:pPr>
      <w:r>
        <w:rPr>
          <w:rFonts w:ascii="Arial" w:cs="Arial" w:eastAsia="Arial" w:hAnsi="Arial"/>
          <w:sz w:val="17"/>
          <w:szCs w:val="17"/>
          <w:color w:val="auto"/>
        </w:rPr>
        <w:t>Winifred M. Webb, Director</w:t>
      </w:r>
    </w:p>
    <w:p>
      <w:pPr>
        <w:spacing w:after="0" w:line="30" w:lineRule="exact"/>
        <w:rPr>
          <w:sz w:val="20"/>
          <w:szCs w:val="20"/>
          <w:color w:val="auto"/>
        </w:rPr>
      </w:pPr>
    </w:p>
    <w:p>
      <w:pPr>
        <w:ind w:left="1700"/>
        <w:spacing w:after="0"/>
        <w:rPr>
          <w:sz w:val="20"/>
          <w:szCs w:val="20"/>
          <w:color w:val="auto"/>
        </w:rPr>
      </w:pPr>
      <w:r>
        <w:rPr>
          <w:rFonts w:ascii="Arial" w:cs="Arial" w:eastAsia="Arial" w:hAnsi="Arial"/>
          <w:sz w:val="17"/>
          <w:szCs w:val="17"/>
          <w:color w:val="auto"/>
        </w:rPr>
        <w:t>December 19, 2025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/s/ Dean A. Chin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-401320</wp:posOffset>
            </wp:positionH>
            <wp:positionV relativeFrom="paragraph">
              <wp:posOffset>17780</wp:posOffset>
            </wp:positionV>
            <wp:extent cx="311912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29">
                      <a:extLst>
                        <a:ext uri="{28A0092B-C50C-407E-A947-70E740481C1C}"/>
                      </a:extLst>
                    </a:blip>
                    <a:srcRect/>
                    <a:stretch>
                      <a:fillRect/>
                    </a:stretch>
                  </pic:blipFill>
                  <pic:spPr bwMode="auto">
                    <a:xfrm>
                      <a:off x="0" y="0"/>
                      <a:ext cx="3119120" cy="8255"/>
                    </a:xfrm>
                    <a:prstGeom prst="rect">
                      <a:avLst/>
                    </a:prstGeom>
                    <a:noFill/>
                  </pic:spPr>
                </pic:pic>
              </a:graphicData>
            </a:graphic>
          </wp:anchor>
        </w:drawing>
      </w:r>
    </w:p>
    <w:p>
      <w:pPr>
        <w:spacing w:after="0" w:line="56" w:lineRule="exact"/>
        <w:rPr>
          <w:sz w:val="20"/>
          <w:szCs w:val="20"/>
          <w:color w:val="auto"/>
        </w:rPr>
      </w:pPr>
    </w:p>
    <w:p>
      <w:pPr>
        <w:ind w:left="1320"/>
        <w:spacing w:after="0"/>
        <w:rPr>
          <w:sz w:val="20"/>
          <w:szCs w:val="20"/>
          <w:color w:val="auto"/>
        </w:rPr>
      </w:pPr>
      <w:r>
        <w:rPr>
          <w:rFonts w:ascii="Arial" w:cs="Arial" w:eastAsia="Arial" w:hAnsi="Arial"/>
          <w:sz w:val="17"/>
          <w:szCs w:val="17"/>
          <w:color w:val="auto"/>
        </w:rPr>
        <w:t>Dean A. Chin</w:t>
      </w:r>
    </w:p>
    <w:p>
      <w:pPr>
        <w:jc w:val="center"/>
        <w:ind w:right="660"/>
        <w:spacing w:after="0" w:line="221" w:lineRule="auto"/>
        <w:rPr>
          <w:sz w:val="20"/>
          <w:szCs w:val="20"/>
          <w:color w:val="auto"/>
        </w:rPr>
      </w:pPr>
      <w:r>
        <w:rPr>
          <w:rFonts w:ascii="Arial" w:cs="Arial" w:eastAsia="Arial" w:hAnsi="Arial"/>
          <w:sz w:val="17"/>
          <w:szCs w:val="17"/>
          <w:color w:val="auto"/>
        </w:rPr>
        <w:t>Senior Vice President, Chief Accounting Officer,</w:t>
      </w:r>
    </w:p>
    <w:p>
      <w:pPr>
        <w:jc w:val="center"/>
        <w:ind w:right="660"/>
        <w:spacing w:after="0"/>
        <w:rPr>
          <w:sz w:val="20"/>
          <w:szCs w:val="20"/>
          <w:color w:val="auto"/>
        </w:rPr>
      </w:pPr>
      <w:r>
        <w:rPr>
          <w:rFonts w:ascii="Arial" w:cs="Arial" w:eastAsia="Arial" w:hAnsi="Arial"/>
          <w:sz w:val="17"/>
          <w:szCs w:val="17"/>
          <w:color w:val="auto"/>
        </w:rPr>
        <w:t>Corporate Controller and Treasurer</w:t>
      </w:r>
    </w:p>
    <w:p>
      <w:pPr>
        <w:spacing w:after="0" w:line="14" w:lineRule="exact"/>
        <w:rPr>
          <w:sz w:val="20"/>
          <w:szCs w:val="20"/>
          <w:color w:val="auto"/>
        </w:rPr>
      </w:pPr>
    </w:p>
    <w:p>
      <w:pPr>
        <w:jc w:val="center"/>
        <w:ind w:right="660"/>
        <w:spacing w:after="0"/>
        <w:rPr>
          <w:sz w:val="20"/>
          <w:szCs w:val="20"/>
          <w:color w:val="auto"/>
        </w:rPr>
      </w:pPr>
      <w:r>
        <w:rPr>
          <w:rFonts w:ascii="Arial" w:cs="Arial" w:eastAsia="Arial" w:hAnsi="Arial"/>
          <w:sz w:val="17"/>
          <w:szCs w:val="17"/>
          <w:color w:val="auto"/>
        </w:rPr>
        <w:t>(Principal Accounting Officer)</w:t>
      </w:r>
    </w:p>
    <w:p>
      <w:pPr>
        <w:spacing w:after="0" w:line="24" w:lineRule="exact"/>
        <w:rPr>
          <w:sz w:val="20"/>
          <w:szCs w:val="20"/>
          <w:color w:val="auto"/>
        </w:rPr>
      </w:pPr>
    </w:p>
    <w:p>
      <w:pPr>
        <w:jc w:val="center"/>
        <w:ind w:right="660"/>
        <w:spacing w:after="0"/>
        <w:rPr>
          <w:sz w:val="20"/>
          <w:szCs w:val="20"/>
          <w:color w:val="auto"/>
        </w:rPr>
      </w:pPr>
      <w:r>
        <w:rPr>
          <w:rFonts w:ascii="Arial" w:cs="Arial" w:eastAsia="Arial" w:hAnsi="Arial"/>
          <w:sz w:val="17"/>
          <w:szCs w:val="17"/>
          <w:color w:val="auto"/>
        </w:rPr>
        <w:t>December 19, 2025</w:t>
      </w:r>
    </w:p>
    <w:p>
      <w:pPr>
        <w:spacing w:after="0" w:line="275"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/s/ Quincy L. Allen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-401320</wp:posOffset>
            </wp:positionH>
            <wp:positionV relativeFrom="paragraph">
              <wp:posOffset>17780</wp:posOffset>
            </wp:positionV>
            <wp:extent cx="311912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30">
                      <a:extLst>
                        <a:ext uri="{28A0092B-C50C-407E-A947-70E740481C1C}"/>
                      </a:extLst>
                    </a:blip>
                    <a:srcRect/>
                    <a:stretch>
                      <a:fillRect/>
                    </a:stretch>
                  </pic:blipFill>
                  <pic:spPr bwMode="auto">
                    <a:xfrm>
                      <a:off x="0" y="0"/>
                      <a:ext cx="3119120" cy="8255"/>
                    </a:xfrm>
                    <a:prstGeom prst="rect">
                      <a:avLst/>
                    </a:prstGeom>
                    <a:noFill/>
                  </pic:spPr>
                </pic:pic>
              </a:graphicData>
            </a:graphic>
          </wp:anchor>
        </w:drawing>
      </w:r>
    </w:p>
    <w:p>
      <w:pPr>
        <w:spacing w:after="0" w:line="17" w:lineRule="exact"/>
        <w:rPr>
          <w:sz w:val="20"/>
          <w:szCs w:val="20"/>
          <w:color w:val="auto"/>
        </w:rPr>
      </w:pPr>
    </w:p>
    <w:p>
      <w:pPr>
        <w:ind w:left="900"/>
        <w:spacing w:after="0"/>
        <w:rPr>
          <w:sz w:val="20"/>
          <w:szCs w:val="20"/>
          <w:color w:val="auto"/>
        </w:rPr>
      </w:pPr>
      <w:r>
        <w:rPr>
          <w:rFonts w:ascii="Arial" w:cs="Arial" w:eastAsia="Arial" w:hAnsi="Arial"/>
          <w:sz w:val="17"/>
          <w:szCs w:val="17"/>
          <w:color w:val="auto"/>
        </w:rPr>
        <w:t>Quincy L. Allen, Director</w:t>
      </w:r>
    </w:p>
    <w:p>
      <w:pPr>
        <w:spacing w:after="0" w:line="30" w:lineRule="exact"/>
        <w:rPr>
          <w:sz w:val="20"/>
          <w:szCs w:val="20"/>
          <w:color w:val="auto"/>
        </w:rPr>
      </w:pPr>
    </w:p>
    <w:p>
      <w:pPr>
        <w:ind w:left="1060"/>
        <w:spacing w:after="0"/>
        <w:rPr>
          <w:sz w:val="20"/>
          <w:szCs w:val="20"/>
          <w:color w:val="auto"/>
        </w:rPr>
      </w:pPr>
      <w:r>
        <w:rPr>
          <w:rFonts w:ascii="Arial" w:cs="Arial" w:eastAsia="Arial" w:hAnsi="Arial"/>
          <w:sz w:val="17"/>
          <w:szCs w:val="17"/>
          <w:color w:val="auto"/>
        </w:rPr>
        <w:t>December 19, 2025</w:t>
      </w:r>
    </w:p>
    <w:p>
      <w:pPr>
        <w:spacing w:after="0" w:line="200" w:lineRule="exact"/>
        <w:rPr>
          <w:sz w:val="20"/>
          <w:szCs w:val="20"/>
          <w:color w:val="auto"/>
        </w:rPr>
      </w:pPr>
    </w:p>
    <w:p>
      <w:pPr>
        <w:spacing w:after="0" w:line="294" w:lineRule="exact"/>
        <w:rPr>
          <w:sz w:val="20"/>
          <w:szCs w:val="20"/>
          <w:color w:val="auto"/>
        </w:rPr>
      </w:pPr>
    </w:p>
    <w:p>
      <w:pPr>
        <w:ind w:left="1020"/>
        <w:spacing w:after="0"/>
        <w:rPr>
          <w:sz w:val="20"/>
          <w:szCs w:val="20"/>
          <w:color w:val="auto"/>
        </w:rPr>
      </w:pPr>
      <w:r>
        <w:rPr>
          <w:rFonts w:ascii="Arial" w:cs="Arial" w:eastAsia="Arial" w:hAnsi="Arial"/>
          <w:sz w:val="17"/>
          <w:szCs w:val="17"/>
          <w:color w:val="auto"/>
        </w:rPr>
        <w:t>/s/ Carol A. Clements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-401320</wp:posOffset>
            </wp:positionH>
            <wp:positionV relativeFrom="paragraph">
              <wp:posOffset>17780</wp:posOffset>
            </wp:positionV>
            <wp:extent cx="311912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31">
                      <a:extLst>
                        <a:ext uri="{28A0092B-C50C-407E-A947-70E740481C1C}"/>
                      </a:extLst>
                    </a:blip>
                    <a:srcRect/>
                    <a:stretch>
                      <a:fillRect/>
                    </a:stretch>
                  </pic:blipFill>
                  <pic:spPr bwMode="auto">
                    <a:xfrm>
                      <a:off x="0" y="0"/>
                      <a:ext cx="3119120" cy="8255"/>
                    </a:xfrm>
                    <a:prstGeom prst="rect">
                      <a:avLst/>
                    </a:prstGeom>
                    <a:noFill/>
                  </pic:spPr>
                </pic:pic>
              </a:graphicData>
            </a:graphic>
          </wp:anchor>
        </w:drawing>
      </w:r>
    </w:p>
    <w:p>
      <w:pPr>
        <w:spacing w:after="0" w:line="17" w:lineRule="exact"/>
        <w:rPr>
          <w:sz w:val="20"/>
          <w:szCs w:val="20"/>
          <w:color w:val="auto"/>
        </w:rPr>
      </w:pPr>
    </w:p>
    <w:p>
      <w:pPr>
        <w:ind w:left="880"/>
        <w:spacing w:after="0"/>
        <w:rPr>
          <w:sz w:val="20"/>
          <w:szCs w:val="20"/>
          <w:color w:val="auto"/>
        </w:rPr>
      </w:pPr>
      <w:r>
        <w:rPr>
          <w:rFonts w:ascii="Arial" w:cs="Arial" w:eastAsia="Arial" w:hAnsi="Arial"/>
          <w:sz w:val="17"/>
          <w:szCs w:val="17"/>
          <w:color w:val="auto"/>
        </w:rPr>
        <w:t>Carol Clements, Director</w:t>
      </w:r>
    </w:p>
    <w:p>
      <w:pPr>
        <w:spacing w:after="0" w:line="30" w:lineRule="exact"/>
        <w:rPr>
          <w:sz w:val="20"/>
          <w:szCs w:val="20"/>
          <w:color w:val="auto"/>
        </w:rPr>
      </w:pPr>
    </w:p>
    <w:p>
      <w:pPr>
        <w:ind w:left="1060"/>
        <w:spacing w:after="0"/>
        <w:rPr>
          <w:sz w:val="20"/>
          <w:szCs w:val="20"/>
          <w:color w:val="auto"/>
        </w:rPr>
      </w:pPr>
      <w:r>
        <w:rPr>
          <w:rFonts w:ascii="Arial" w:cs="Arial" w:eastAsia="Arial" w:hAnsi="Arial"/>
          <w:sz w:val="17"/>
          <w:szCs w:val="17"/>
          <w:color w:val="auto"/>
        </w:rPr>
        <w:t>December 19, 2025</w:t>
      </w:r>
    </w:p>
    <w:p>
      <w:pPr>
        <w:spacing w:after="0" w:line="275" w:lineRule="exact"/>
        <w:rPr>
          <w:sz w:val="20"/>
          <w:szCs w:val="20"/>
          <w:color w:val="auto"/>
        </w:rPr>
      </w:pPr>
    </w:p>
    <w:p>
      <w:pPr>
        <w:ind w:left="1020"/>
        <w:spacing w:after="0"/>
        <w:rPr>
          <w:sz w:val="20"/>
          <w:szCs w:val="20"/>
          <w:color w:val="auto"/>
        </w:rPr>
      </w:pPr>
      <w:r>
        <w:rPr>
          <w:rFonts w:ascii="Arial" w:cs="Arial" w:eastAsia="Arial" w:hAnsi="Arial"/>
          <w:sz w:val="17"/>
          <w:szCs w:val="17"/>
          <w:color w:val="auto"/>
        </w:rPr>
        <w:t>/s/ James D. DeVries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-401320</wp:posOffset>
            </wp:positionH>
            <wp:positionV relativeFrom="paragraph">
              <wp:posOffset>17780</wp:posOffset>
            </wp:positionV>
            <wp:extent cx="311912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32">
                      <a:extLst>
                        <a:ext uri="{28A0092B-C50C-407E-A947-70E740481C1C}"/>
                      </a:extLst>
                    </a:blip>
                    <a:srcRect/>
                    <a:stretch>
                      <a:fillRect/>
                    </a:stretch>
                  </pic:blipFill>
                  <pic:spPr bwMode="auto">
                    <a:xfrm>
                      <a:off x="0" y="0"/>
                      <a:ext cx="3119120" cy="8255"/>
                    </a:xfrm>
                    <a:prstGeom prst="rect">
                      <a:avLst/>
                    </a:prstGeom>
                    <a:noFill/>
                  </pic:spPr>
                </pic:pic>
              </a:graphicData>
            </a:graphic>
          </wp:anchor>
        </w:drawing>
      </w:r>
    </w:p>
    <w:p>
      <w:pPr>
        <w:spacing w:after="0" w:line="17" w:lineRule="exact"/>
        <w:rPr>
          <w:sz w:val="20"/>
          <w:szCs w:val="20"/>
          <w:color w:val="auto"/>
        </w:rPr>
      </w:pPr>
    </w:p>
    <w:p>
      <w:pPr>
        <w:ind w:left="780"/>
        <w:spacing w:after="0"/>
        <w:rPr>
          <w:sz w:val="20"/>
          <w:szCs w:val="20"/>
          <w:color w:val="auto"/>
        </w:rPr>
      </w:pPr>
      <w:r>
        <w:rPr>
          <w:rFonts w:ascii="Arial" w:cs="Arial" w:eastAsia="Arial" w:hAnsi="Arial"/>
          <w:sz w:val="17"/>
          <w:szCs w:val="17"/>
          <w:color w:val="auto"/>
        </w:rPr>
        <w:t>James D. DeVries, Director</w:t>
      </w:r>
    </w:p>
    <w:p>
      <w:pPr>
        <w:spacing w:after="0" w:line="30" w:lineRule="exact"/>
        <w:rPr>
          <w:sz w:val="20"/>
          <w:szCs w:val="20"/>
          <w:color w:val="auto"/>
        </w:rPr>
      </w:pPr>
    </w:p>
    <w:p>
      <w:pPr>
        <w:ind w:left="1060"/>
        <w:spacing w:after="0"/>
        <w:rPr>
          <w:sz w:val="20"/>
          <w:szCs w:val="20"/>
          <w:color w:val="auto"/>
        </w:rPr>
      </w:pPr>
      <w:r>
        <w:rPr>
          <w:rFonts w:ascii="Arial" w:cs="Arial" w:eastAsia="Arial" w:hAnsi="Arial"/>
          <w:sz w:val="17"/>
          <w:szCs w:val="17"/>
          <w:color w:val="auto"/>
        </w:rPr>
        <w:t>December 19, 2025</w:t>
      </w:r>
    </w:p>
    <w:p>
      <w:pPr>
        <w:spacing w:after="0" w:line="275" w:lineRule="exact"/>
        <w:rPr>
          <w:sz w:val="20"/>
          <w:szCs w:val="20"/>
          <w:color w:val="auto"/>
        </w:rPr>
      </w:pPr>
    </w:p>
    <w:p>
      <w:pPr>
        <w:ind w:left="920"/>
        <w:spacing w:after="0"/>
        <w:rPr>
          <w:sz w:val="20"/>
          <w:szCs w:val="20"/>
          <w:color w:val="auto"/>
        </w:rPr>
      </w:pPr>
      <w:r>
        <w:rPr>
          <w:rFonts w:ascii="Arial" w:cs="Arial" w:eastAsia="Arial" w:hAnsi="Arial"/>
          <w:sz w:val="17"/>
          <w:szCs w:val="17"/>
          <w:color w:val="auto"/>
        </w:rPr>
        <w:t>/s/ Thomas M. Gartland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-401320</wp:posOffset>
            </wp:positionH>
            <wp:positionV relativeFrom="paragraph">
              <wp:posOffset>17780</wp:posOffset>
            </wp:positionV>
            <wp:extent cx="311912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33">
                      <a:extLst>
                        <a:ext uri="{28A0092B-C50C-407E-A947-70E740481C1C}"/>
                      </a:extLst>
                    </a:blip>
                    <a:srcRect/>
                    <a:stretch>
                      <a:fillRect/>
                    </a:stretch>
                  </pic:blipFill>
                  <pic:spPr bwMode="auto">
                    <a:xfrm>
                      <a:off x="0" y="0"/>
                      <a:ext cx="3119120" cy="8255"/>
                    </a:xfrm>
                    <a:prstGeom prst="rect">
                      <a:avLst/>
                    </a:prstGeom>
                    <a:noFill/>
                  </pic:spPr>
                </pic:pic>
              </a:graphicData>
            </a:graphic>
          </wp:anchor>
        </w:drawing>
      </w:r>
    </w:p>
    <w:p>
      <w:pPr>
        <w:spacing w:after="0" w:line="17" w:lineRule="exact"/>
        <w:rPr>
          <w:sz w:val="20"/>
          <w:szCs w:val="20"/>
          <w:color w:val="auto"/>
        </w:rPr>
      </w:pPr>
    </w:p>
    <w:p>
      <w:pPr>
        <w:ind w:left="700"/>
        <w:spacing w:after="0"/>
        <w:rPr>
          <w:sz w:val="20"/>
          <w:szCs w:val="20"/>
          <w:color w:val="auto"/>
        </w:rPr>
      </w:pPr>
      <w:r>
        <w:rPr>
          <w:rFonts w:ascii="Arial" w:cs="Arial" w:eastAsia="Arial" w:hAnsi="Arial"/>
          <w:sz w:val="17"/>
          <w:szCs w:val="17"/>
          <w:color w:val="auto"/>
        </w:rPr>
        <w:t>Thomas M. Gartland, Director</w:t>
      </w:r>
    </w:p>
    <w:p>
      <w:pPr>
        <w:spacing w:after="0" w:line="30" w:lineRule="exact"/>
        <w:rPr>
          <w:sz w:val="20"/>
          <w:szCs w:val="20"/>
          <w:color w:val="auto"/>
        </w:rPr>
      </w:pPr>
    </w:p>
    <w:p>
      <w:pPr>
        <w:ind w:left="1060"/>
        <w:spacing w:after="0"/>
        <w:rPr>
          <w:sz w:val="20"/>
          <w:szCs w:val="20"/>
          <w:color w:val="auto"/>
        </w:rPr>
      </w:pPr>
      <w:r>
        <w:rPr>
          <w:rFonts w:ascii="Arial" w:cs="Arial" w:eastAsia="Arial" w:hAnsi="Arial"/>
          <w:sz w:val="17"/>
          <w:szCs w:val="17"/>
          <w:color w:val="auto"/>
        </w:rPr>
        <w:t>December 19, 2025</w:t>
      </w:r>
    </w:p>
    <w:p>
      <w:pPr>
        <w:spacing w:after="0" w:line="275"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/s/ Barry A. Hytinen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-401320</wp:posOffset>
            </wp:positionH>
            <wp:positionV relativeFrom="paragraph">
              <wp:posOffset>17780</wp:posOffset>
            </wp:positionV>
            <wp:extent cx="311912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34">
                      <a:extLst>
                        <a:ext uri="{28A0092B-C50C-407E-A947-70E740481C1C}"/>
                      </a:extLst>
                    </a:blip>
                    <a:srcRect/>
                    <a:stretch>
                      <a:fillRect/>
                    </a:stretch>
                  </pic:blipFill>
                  <pic:spPr bwMode="auto">
                    <a:xfrm>
                      <a:off x="0" y="0"/>
                      <a:ext cx="3119120" cy="8255"/>
                    </a:xfrm>
                    <a:prstGeom prst="rect">
                      <a:avLst/>
                    </a:prstGeom>
                    <a:noFill/>
                  </pic:spPr>
                </pic:pic>
              </a:graphicData>
            </a:graphic>
          </wp:anchor>
        </w:drawing>
      </w:r>
    </w:p>
    <w:p>
      <w:pPr>
        <w:spacing w:after="0" w:line="17" w:lineRule="exact"/>
        <w:rPr>
          <w:sz w:val="20"/>
          <w:szCs w:val="20"/>
          <w:color w:val="auto"/>
        </w:rPr>
      </w:pPr>
    </w:p>
    <w:p>
      <w:pPr>
        <w:ind w:left="840"/>
        <w:spacing w:after="0"/>
        <w:rPr>
          <w:sz w:val="20"/>
          <w:szCs w:val="20"/>
          <w:color w:val="auto"/>
        </w:rPr>
      </w:pPr>
      <w:r>
        <w:rPr>
          <w:rFonts w:ascii="Arial" w:cs="Arial" w:eastAsia="Arial" w:hAnsi="Arial"/>
          <w:sz w:val="17"/>
          <w:szCs w:val="17"/>
          <w:color w:val="auto"/>
        </w:rPr>
        <w:t>Barry A. Hytinen, Director</w:t>
      </w:r>
    </w:p>
    <w:p>
      <w:pPr>
        <w:spacing w:after="0" w:line="30" w:lineRule="exact"/>
        <w:rPr>
          <w:sz w:val="20"/>
          <w:szCs w:val="20"/>
          <w:color w:val="auto"/>
        </w:rPr>
      </w:pPr>
    </w:p>
    <w:p>
      <w:pPr>
        <w:ind w:left="1060"/>
        <w:spacing w:after="0"/>
        <w:rPr>
          <w:sz w:val="20"/>
          <w:szCs w:val="20"/>
          <w:color w:val="auto"/>
        </w:rPr>
      </w:pPr>
      <w:r>
        <w:rPr>
          <w:rFonts w:ascii="Arial" w:cs="Arial" w:eastAsia="Arial" w:hAnsi="Arial"/>
          <w:sz w:val="17"/>
          <w:szCs w:val="17"/>
          <w:color w:val="auto"/>
        </w:rPr>
        <w:t>December 19, 2025</w:t>
      </w:r>
    </w:p>
    <w:p>
      <w:pPr>
        <w:spacing w:after="0" w:line="1128" w:lineRule="exact"/>
        <w:rPr>
          <w:sz w:val="20"/>
          <w:szCs w:val="20"/>
          <w:color w:val="auto"/>
        </w:rPr>
      </w:pPr>
    </w:p>
    <w:p>
      <w:pPr>
        <w:sectPr>
          <w:pgSz w:w="11900" w:h="16838" w:orient="portrait"/>
          <w:cols w:equalWidth="0" w:num="2">
            <w:col w:w="6220" w:space="720"/>
            <w:col w:w="4300"/>
          </w:cols>
          <w:pgMar w:left="320" w:top="116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102</w:t>
      </w:r>
    </w:p>
    <w:p>
      <w:pPr>
        <w:sectPr>
          <w:pgSz w:w="11900" w:h="16838" w:orient="portrait"/>
          <w:cols w:equalWidth="0" w:num="1">
            <w:col w:w="11240"/>
          </w:cols>
          <w:pgMar w:left="320" w:top="1165" w:right="339" w:bottom="1440" w:gutter="0" w:footer="0" w:header="0"/>
          <w:type w:val="continuous"/>
        </w:sectPr>
      </w:pPr>
    </w:p>
    <w:bookmarkStart w:id="105" w:name="page106"/>
    <w:bookmarkEnd w:id="105"/>
    <w:p>
      <w:pPr>
        <w:jc w:val="center"/>
        <w:spacing w:after="0"/>
        <w:rPr>
          <w:sz w:val="20"/>
          <w:szCs w:val="20"/>
          <w:color w:val="auto"/>
        </w:rPr>
      </w:pPr>
      <w:r>
        <w:rPr>
          <w:rFonts w:ascii="Arial" w:cs="Arial" w:eastAsia="Arial" w:hAnsi="Arial"/>
          <w:sz w:val="19"/>
          <w:szCs w:val="19"/>
          <w:b w:val="1"/>
          <w:bCs w:val="1"/>
          <w:color w:val="auto"/>
        </w:rPr>
        <w:t>Executive Separation and Release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9"/>
          <w:szCs w:val="19"/>
          <w:color w:val="auto"/>
        </w:rPr>
        <w:t>September 5, 2025</w:t>
      </w:r>
    </w:p>
    <w:p>
      <w:pPr>
        <w:spacing w:after="0" w:line="207" w:lineRule="exact"/>
        <w:rPr>
          <w:sz w:val="20"/>
          <w:szCs w:val="20"/>
          <w:color w:val="auto"/>
        </w:rPr>
      </w:pPr>
    </w:p>
    <w:p>
      <w:pPr>
        <w:spacing w:after="0"/>
        <w:rPr>
          <w:sz w:val="20"/>
          <w:szCs w:val="20"/>
          <w:color w:val="auto"/>
        </w:rPr>
      </w:pPr>
      <w:r>
        <w:rPr>
          <w:rFonts w:ascii="Arial" w:cs="Arial" w:eastAsia="Arial" w:hAnsi="Arial"/>
          <w:sz w:val="19"/>
          <w:szCs w:val="19"/>
          <w:color w:val="auto"/>
        </w:rPr>
        <w:t>Earl Ellis</w:t>
      </w:r>
    </w:p>
    <w:p>
      <w:pPr>
        <w:spacing w:after="0" w:line="31"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via email</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9"/>
          <w:szCs w:val="19"/>
          <w:color w:val="auto"/>
        </w:rPr>
        <w:t>Dear Earl:</w:t>
      </w:r>
    </w:p>
    <w:p>
      <w:pPr>
        <w:spacing w:after="0" w:line="220" w:lineRule="exact"/>
        <w:rPr>
          <w:sz w:val="20"/>
          <w:szCs w:val="20"/>
          <w:color w:val="auto"/>
        </w:rPr>
      </w:pPr>
    </w:p>
    <w:p>
      <w:pPr>
        <w:jc w:val="both"/>
        <w:spacing w:after="0" w:line="261" w:lineRule="auto"/>
        <w:rPr>
          <w:sz w:val="20"/>
          <w:szCs w:val="20"/>
          <w:color w:val="auto"/>
        </w:rPr>
      </w:pPr>
      <w:r>
        <w:rPr>
          <w:rFonts w:ascii="Arial" w:cs="Arial" w:eastAsia="Arial" w:hAnsi="Arial"/>
          <w:sz w:val="19"/>
          <w:szCs w:val="19"/>
          <w:color w:val="auto"/>
        </w:rPr>
        <w:t>This Executive Separation and Release Agreement (this “Separation Agreement”) between ABM Industries Incorporated (“Company” or “ABM”) and you sets forth the terms of your separation from the Company, including certain waivers and releases by you in order to receive certain separation payments and benefits, as set forth in detail below. By signing this Separation Agreement, you and the Company agree as follows:</w:t>
      </w:r>
    </w:p>
    <w:p>
      <w:pPr>
        <w:spacing w:after="0" w:line="171" w:lineRule="exact"/>
        <w:rPr>
          <w:sz w:val="20"/>
          <w:szCs w:val="20"/>
          <w:color w:val="auto"/>
        </w:rPr>
      </w:pPr>
    </w:p>
    <w:p>
      <w:pPr>
        <w:ind w:left="620" w:hanging="307"/>
        <w:spacing w:after="0"/>
        <w:tabs>
          <w:tab w:leader="none" w:pos="620" w:val="left"/>
        </w:tabs>
        <w:numPr>
          <w:ilvl w:val="0"/>
          <w:numId w:val="49"/>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Separation Date</w:t>
      </w:r>
    </w:p>
    <w:p>
      <w:pPr>
        <w:spacing w:after="0" w:line="194" w:lineRule="exact"/>
        <w:rPr>
          <w:sz w:val="20"/>
          <w:szCs w:val="20"/>
          <w:color w:val="auto"/>
        </w:rPr>
      </w:pPr>
    </w:p>
    <w:p>
      <w:pPr>
        <w:ind w:left="320"/>
        <w:spacing w:after="0"/>
        <w:rPr>
          <w:sz w:val="20"/>
          <w:szCs w:val="20"/>
          <w:color w:val="auto"/>
        </w:rPr>
      </w:pPr>
      <w:r>
        <w:rPr>
          <w:rFonts w:ascii="Arial" w:cs="Arial" w:eastAsia="Arial" w:hAnsi="Arial"/>
          <w:sz w:val="19"/>
          <w:szCs w:val="19"/>
          <w:color w:val="auto"/>
        </w:rPr>
        <w:t>Your employment with the Company will end on September 5, 2025 (“Separation Date”).</w:t>
      </w:r>
    </w:p>
    <w:p>
      <w:pPr>
        <w:spacing w:after="0" w:line="207" w:lineRule="exact"/>
        <w:rPr>
          <w:sz w:val="20"/>
          <w:szCs w:val="20"/>
          <w:color w:val="auto"/>
        </w:rPr>
      </w:pPr>
    </w:p>
    <w:p>
      <w:pPr>
        <w:ind w:left="620" w:hanging="307"/>
        <w:spacing w:after="0"/>
        <w:tabs>
          <w:tab w:leader="none" w:pos="620" w:val="left"/>
        </w:tabs>
        <w:numPr>
          <w:ilvl w:val="0"/>
          <w:numId w:val="50"/>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Status of Compensation and benefits</w:t>
      </w:r>
    </w:p>
    <w:p>
      <w:pPr>
        <w:spacing w:after="0" w:line="181" w:lineRule="exact"/>
        <w:rPr>
          <w:sz w:val="20"/>
          <w:szCs w:val="20"/>
          <w:color w:val="auto"/>
        </w:rPr>
      </w:pPr>
    </w:p>
    <w:p>
      <w:pPr>
        <w:ind w:left="320"/>
        <w:spacing w:after="0"/>
        <w:rPr>
          <w:sz w:val="20"/>
          <w:szCs w:val="20"/>
          <w:color w:val="auto"/>
        </w:rPr>
      </w:pPr>
      <w:r>
        <w:rPr>
          <w:rFonts w:ascii="Arial" w:cs="Arial" w:eastAsia="Arial" w:hAnsi="Arial"/>
          <w:sz w:val="19"/>
          <w:szCs w:val="19"/>
          <w:color w:val="auto"/>
        </w:rPr>
        <w:t>Whether you sign this Separation Agreement or not, you will, subject to applicable tax withholding:</w:t>
      </w:r>
    </w:p>
    <w:p>
      <w:pPr>
        <w:spacing w:after="0" w:line="207" w:lineRule="exact"/>
        <w:rPr>
          <w:sz w:val="20"/>
          <w:szCs w:val="20"/>
          <w:color w:val="auto"/>
        </w:rPr>
      </w:pPr>
    </w:p>
    <w:p>
      <w:pPr>
        <w:ind w:left="920" w:hanging="298"/>
        <w:spacing w:after="0"/>
        <w:tabs>
          <w:tab w:leader="none" w:pos="920" w:val="left"/>
        </w:tabs>
        <w:numPr>
          <w:ilvl w:val="0"/>
          <w:numId w:val="51"/>
        </w:numPr>
        <w:rPr>
          <w:rFonts w:ascii="Arial" w:cs="Arial" w:eastAsia="Arial" w:hAnsi="Arial"/>
          <w:sz w:val="19"/>
          <w:szCs w:val="19"/>
          <w:color w:val="auto"/>
        </w:rPr>
      </w:pPr>
      <w:r>
        <w:rPr>
          <w:rFonts w:ascii="Arial" w:cs="Arial" w:eastAsia="Arial" w:hAnsi="Arial"/>
          <w:sz w:val="19"/>
          <w:szCs w:val="19"/>
          <w:color w:val="auto"/>
        </w:rPr>
        <w:t>be paid your salary, less withholdings, through the Separation Date;</w:t>
      </w:r>
    </w:p>
    <w:p>
      <w:pPr>
        <w:spacing w:after="0" w:line="181" w:lineRule="exact"/>
        <w:rPr>
          <w:rFonts w:ascii="Arial" w:cs="Arial" w:eastAsia="Arial" w:hAnsi="Arial"/>
          <w:sz w:val="19"/>
          <w:szCs w:val="19"/>
          <w:color w:val="auto"/>
        </w:rPr>
      </w:pPr>
    </w:p>
    <w:p>
      <w:pPr>
        <w:ind w:left="940" w:hanging="318"/>
        <w:spacing w:after="0" w:line="235" w:lineRule="auto"/>
        <w:tabs>
          <w:tab w:leader="none" w:pos="930" w:val="left"/>
        </w:tabs>
        <w:numPr>
          <w:ilvl w:val="0"/>
          <w:numId w:val="51"/>
        </w:numPr>
        <w:rPr>
          <w:rFonts w:ascii="Arial" w:cs="Arial" w:eastAsia="Arial" w:hAnsi="Arial"/>
          <w:sz w:val="19"/>
          <w:szCs w:val="19"/>
          <w:color w:val="auto"/>
        </w:rPr>
      </w:pPr>
      <w:r>
        <w:rPr>
          <w:rFonts w:ascii="Arial" w:cs="Arial" w:eastAsia="Arial" w:hAnsi="Arial"/>
          <w:sz w:val="19"/>
          <w:szCs w:val="19"/>
          <w:color w:val="auto"/>
        </w:rPr>
        <w:t>be notified of your right to continue your health, dental and vision insurance coverage as well as Employee Assistance Program services under the COBRA law for a specified period of time (usually 18 months);</w:t>
      </w:r>
    </w:p>
    <w:p>
      <w:pPr>
        <w:spacing w:after="0" w:line="152" w:lineRule="exact"/>
        <w:rPr>
          <w:rFonts w:ascii="Arial" w:cs="Arial" w:eastAsia="Arial" w:hAnsi="Arial"/>
          <w:sz w:val="19"/>
          <w:szCs w:val="19"/>
          <w:color w:val="auto"/>
        </w:rPr>
      </w:pPr>
    </w:p>
    <w:p>
      <w:pPr>
        <w:jc w:val="both"/>
        <w:ind w:left="940" w:hanging="318"/>
        <w:spacing w:after="0" w:line="228" w:lineRule="auto"/>
        <w:tabs>
          <w:tab w:leader="none" w:pos="932" w:val="left"/>
        </w:tabs>
        <w:numPr>
          <w:ilvl w:val="0"/>
          <w:numId w:val="51"/>
        </w:numPr>
        <w:rPr>
          <w:rFonts w:ascii="Arial" w:cs="Arial" w:eastAsia="Arial" w:hAnsi="Arial"/>
          <w:sz w:val="19"/>
          <w:szCs w:val="19"/>
          <w:color w:val="auto"/>
        </w:rPr>
      </w:pPr>
      <w:r>
        <w:rPr>
          <w:rFonts w:ascii="Arial" w:cs="Arial" w:eastAsia="Arial" w:hAnsi="Arial"/>
          <w:sz w:val="19"/>
          <w:szCs w:val="19"/>
          <w:color w:val="auto"/>
        </w:rPr>
        <w:t>not be covered by any basic or supplemental life, short term disability or personal accident insurance offered through the Company after your Separation Date. However, you will have 31 days from your Separation Date to convert any of these group policies to an individual policy; and</w:t>
      </w:r>
    </w:p>
    <w:p>
      <w:pPr>
        <w:spacing w:after="0" w:line="163" w:lineRule="exact"/>
        <w:rPr>
          <w:rFonts w:ascii="Arial" w:cs="Arial" w:eastAsia="Arial" w:hAnsi="Arial"/>
          <w:sz w:val="19"/>
          <w:szCs w:val="19"/>
          <w:color w:val="auto"/>
        </w:rPr>
      </w:pPr>
    </w:p>
    <w:p>
      <w:pPr>
        <w:jc w:val="both"/>
        <w:ind w:left="940" w:hanging="318"/>
        <w:spacing w:after="0" w:line="264" w:lineRule="auto"/>
        <w:tabs>
          <w:tab w:leader="none" w:pos="930" w:val="left"/>
        </w:tabs>
        <w:numPr>
          <w:ilvl w:val="0"/>
          <w:numId w:val="51"/>
        </w:numPr>
        <w:rPr>
          <w:rFonts w:ascii="Arial" w:cs="Arial" w:eastAsia="Arial" w:hAnsi="Arial"/>
          <w:sz w:val="19"/>
          <w:szCs w:val="19"/>
          <w:color w:val="auto"/>
        </w:rPr>
      </w:pPr>
      <w:r>
        <w:rPr>
          <w:rFonts w:ascii="Arial" w:cs="Arial" w:eastAsia="Arial" w:hAnsi="Arial"/>
          <w:sz w:val="19"/>
          <w:szCs w:val="19"/>
          <w:color w:val="auto"/>
        </w:rPr>
        <w:t>not be eligible to contribute additional amounts or receive additional matching contributions in the Company 401(k) Employee Savings Plan after the Separation Date. However, monies in your account will be available to you under the terms of the plan and you can choose to roll-over the account balance to an outside 401(k) plan or IRA.</w:t>
      </w:r>
    </w:p>
    <w:p>
      <w:pPr>
        <w:spacing w:after="0" w:line="156" w:lineRule="exact"/>
        <w:rPr>
          <w:sz w:val="20"/>
          <w:szCs w:val="20"/>
          <w:color w:val="auto"/>
        </w:rPr>
      </w:pPr>
    </w:p>
    <w:p>
      <w:pPr>
        <w:ind w:left="620" w:hanging="307"/>
        <w:spacing w:after="0"/>
        <w:tabs>
          <w:tab w:leader="none" w:pos="620" w:val="left"/>
        </w:tabs>
        <w:numPr>
          <w:ilvl w:val="0"/>
          <w:numId w:val="52"/>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Separation Benefits</w:t>
      </w:r>
    </w:p>
    <w:p>
      <w:pPr>
        <w:spacing w:after="0" w:line="181" w:lineRule="exact"/>
        <w:rPr>
          <w:sz w:val="20"/>
          <w:szCs w:val="20"/>
          <w:color w:val="auto"/>
        </w:rPr>
      </w:pPr>
    </w:p>
    <w:p>
      <w:pPr>
        <w:jc w:val="both"/>
        <w:ind w:left="320"/>
        <w:spacing w:after="0" w:line="255" w:lineRule="auto"/>
        <w:rPr>
          <w:sz w:val="20"/>
          <w:szCs w:val="20"/>
          <w:color w:val="auto"/>
        </w:rPr>
      </w:pPr>
      <w:r>
        <w:rPr>
          <w:rFonts w:ascii="Arial" w:cs="Arial" w:eastAsia="Arial" w:hAnsi="Arial"/>
          <w:sz w:val="19"/>
          <w:szCs w:val="19"/>
          <w:color w:val="auto"/>
        </w:rPr>
        <w:t>In consideration for you signing this Separation Agreement on or after the Separation Date and not revoking this Separation Agreement, and your continuing compliance with all of your continuing obligations under your November 1, 2020 Executive Employment Agreement with ABM (the “Employment Agreement”), and those set forth in this Separation Agreement, you will receive the following additional payments and benefits (“Separation Benefits”), subject to the conditions set forth below, in full satisfaction of any amounts under the Employment Agreement, and any other Company plan, policy or agreement, all subject to applicable tax withholding:</w:t>
      </w:r>
    </w:p>
    <w:p>
      <w:pPr>
        <w:spacing w:after="0" w:line="167" w:lineRule="exact"/>
        <w:rPr>
          <w:sz w:val="20"/>
          <w:szCs w:val="20"/>
          <w:color w:val="auto"/>
        </w:rPr>
      </w:pPr>
    </w:p>
    <w:p>
      <w:pPr>
        <w:jc w:val="both"/>
        <w:ind w:left="940" w:hanging="318"/>
        <w:spacing w:after="0" w:line="228" w:lineRule="auto"/>
        <w:tabs>
          <w:tab w:leader="none" w:pos="930" w:val="left"/>
        </w:tabs>
        <w:numPr>
          <w:ilvl w:val="0"/>
          <w:numId w:val="53"/>
        </w:numPr>
        <w:rPr>
          <w:rFonts w:ascii="Arial" w:cs="Arial" w:eastAsia="Arial" w:hAnsi="Arial"/>
          <w:sz w:val="19"/>
          <w:szCs w:val="19"/>
          <w:color w:val="auto"/>
        </w:rPr>
      </w:pPr>
      <w:r>
        <w:rPr>
          <w:rFonts w:ascii="Arial" w:cs="Arial" w:eastAsia="Arial" w:hAnsi="Arial"/>
          <w:sz w:val="19"/>
          <w:szCs w:val="19"/>
          <w:b w:val="1"/>
          <w:bCs w:val="1"/>
          <w:color w:val="auto"/>
        </w:rPr>
        <w:t xml:space="preserve">Cash Severance Payment. </w:t>
      </w:r>
      <w:r>
        <w:rPr>
          <w:rFonts w:ascii="Arial" w:cs="Arial" w:eastAsia="Arial" w:hAnsi="Arial"/>
          <w:sz w:val="19"/>
          <w:szCs w:val="19"/>
          <w:color w:val="auto"/>
        </w:rPr>
        <w:t>The Company will pay you the total gross amount of $2,835,000.00, to be tendered in equal</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installments over the 24-month period following the Separation Date (see section 7.2 of Employment Agreement);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no such payment will be made earlier than five business days after the Effective Date (as defined below) and</w:t>
      </w:r>
    </w:p>
    <w:p>
      <w:pPr>
        <w:sectPr>
          <w:pgSz w:w="11900" w:h="16838" w:orient="portrait"/>
          <w:cols w:equalWidth="0" w:num="1">
            <w:col w:w="11240"/>
          </w:cols>
          <w:pgMar w:left="320" w:top="737" w:right="339" w:bottom="1440" w:gutter="0" w:footer="0" w:header="0"/>
        </w:sectPr>
      </w:pPr>
    </w:p>
    <w:bookmarkStart w:id="106" w:name="page107"/>
    <w:bookmarkEnd w:id="106"/>
    <w:p>
      <w:pPr>
        <w:jc w:val="right"/>
        <w:spacing w:after="0"/>
        <w:rPr>
          <w:sz w:val="20"/>
          <w:szCs w:val="20"/>
          <w:color w:val="auto"/>
        </w:rPr>
      </w:pPr>
      <w:r>
        <w:rPr>
          <w:rFonts w:ascii="Arial" w:cs="Arial" w:eastAsia="Arial" w:hAnsi="Arial"/>
          <w:sz w:val="17"/>
          <w:szCs w:val="17"/>
          <w:color w:val="auto"/>
        </w:rPr>
        <w:t>Page2</w:t>
      </w:r>
    </w:p>
    <w:p>
      <w:pPr>
        <w:spacing w:after="0" w:line="200" w:lineRule="exact"/>
        <w:rPr>
          <w:sz w:val="20"/>
          <w:szCs w:val="20"/>
          <w:color w:val="auto"/>
        </w:rPr>
      </w:pPr>
    </w:p>
    <w:p>
      <w:pPr>
        <w:spacing w:after="0" w:line="207" w:lineRule="exact"/>
        <w:rPr>
          <w:sz w:val="20"/>
          <w:szCs w:val="20"/>
          <w:color w:val="auto"/>
        </w:rPr>
      </w:pPr>
    </w:p>
    <w:p>
      <w:pPr>
        <w:jc w:val="center"/>
        <w:ind w:right="53"/>
        <w:spacing w:after="0"/>
        <w:rPr>
          <w:sz w:val="20"/>
          <w:szCs w:val="20"/>
          <w:color w:val="auto"/>
        </w:rPr>
      </w:pPr>
      <w:r>
        <w:rPr>
          <w:rFonts w:ascii="Arial" w:cs="Arial" w:eastAsia="Arial" w:hAnsi="Arial"/>
          <w:sz w:val="19"/>
          <w:szCs w:val="19"/>
          <w:color w:val="auto"/>
        </w:rPr>
        <w:t>any amounts payable prior to such date will be paid in a lump sum on the fifth business day after the Effective Date.</w:t>
      </w:r>
    </w:p>
    <w:p>
      <w:pPr>
        <w:spacing w:after="0" w:line="181" w:lineRule="exact"/>
        <w:rPr>
          <w:sz w:val="20"/>
          <w:szCs w:val="20"/>
          <w:color w:val="auto"/>
        </w:rPr>
      </w:pPr>
    </w:p>
    <w:p>
      <w:pPr>
        <w:jc w:val="both"/>
        <w:ind w:left="627" w:hanging="318"/>
        <w:spacing w:after="0" w:line="224" w:lineRule="auto"/>
        <w:tabs>
          <w:tab w:leader="none" w:pos="617" w:val="left"/>
        </w:tabs>
        <w:numPr>
          <w:ilvl w:val="0"/>
          <w:numId w:val="54"/>
        </w:numPr>
        <w:rPr>
          <w:rFonts w:ascii="Arial" w:cs="Arial" w:eastAsia="Arial" w:hAnsi="Arial"/>
          <w:sz w:val="19"/>
          <w:szCs w:val="19"/>
          <w:color w:val="auto"/>
        </w:rPr>
      </w:pPr>
      <w:r>
        <w:rPr>
          <w:rFonts w:ascii="Arial" w:cs="Arial" w:eastAsia="Arial" w:hAnsi="Arial"/>
          <w:sz w:val="19"/>
          <w:szCs w:val="19"/>
          <w:b w:val="1"/>
          <w:bCs w:val="1"/>
          <w:color w:val="auto"/>
        </w:rPr>
        <w:t>Health Benefits</w:t>
      </w:r>
      <w:r>
        <w:rPr>
          <w:rFonts w:ascii="Arial" w:cs="Arial" w:eastAsia="Arial" w:hAnsi="Arial"/>
          <w:sz w:val="19"/>
          <w:szCs w:val="19"/>
          <w:color w:val="auto"/>
        </w:rPr>
        <w:t>. The Company will pay you the total gross amount of $49,104 representing the full COBRA cost for</w:t>
      </w:r>
      <w:r>
        <w:rPr>
          <w:rFonts w:ascii="Arial" w:cs="Arial" w:eastAsia="Arial" w:hAnsi="Arial"/>
          <w:sz w:val="19"/>
          <w:szCs w:val="19"/>
          <w:b w:val="1"/>
          <w:bCs w:val="1"/>
          <w:color w:val="auto"/>
        </w:rPr>
        <w:t xml:space="preserve"> </w:t>
      </w:r>
      <w:r>
        <w:rPr>
          <w:rFonts w:ascii="Arial" w:cs="Arial" w:eastAsia="Arial" w:hAnsi="Arial"/>
          <w:sz w:val="19"/>
          <w:szCs w:val="19"/>
          <w:color w:val="auto"/>
        </w:rPr>
        <w:t>continuing your current medical benefits for 18 months. Such payment will be made in one lump sum within 10 business days following the Effective Date. Based on your Separation Date of September 5, 2025, your benefit coverage as an active employee will continue through September 30, 2025.</w:t>
      </w:r>
    </w:p>
    <w:p>
      <w:pPr>
        <w:spacing w:after="0" w:line="151" w:lineRule="exact"/>
        <w:rPr>
          <w:rFonts w:ascii="Arial" w:cs="Arial" w:eastAsia="Arial" w:hAnsi="Arial"/>
          <w:sz w:val="19"/>
          <w:szCs w:val="19"/>
          <w:color w:val="auto"/>
        </w:rPr>
      </w:pPr>
    </w:p>
    <w:p>
      <w:pPr>
        <w:jc w:val="both"/>
        <w:ind w:left="627" w:hanging="318"/>
        <w:spacing w:after="0" w:line="259" w:lineRule="auto"/>
        <w:tabs>
          <w:tab w:leader="none" w:pos="619" w:val="left"/>
        </w:tabs>
        <w:numPr>
          <w:ilvl w:val="0"/>
          <w:numId w:val="54"/>
        </w:numPr>
        <w:rPr>
          <w:rFonts w:ascii="Arial" w:cs="Arial" w:eastAsia="Arial" w:hAnsi="Arial"/>
          <w:sz w:val="19"/>
          <w:szCs w:val="19"/>
          <w:color w:val="auto"/>
        </w:rPr>
      </w:pPr>
      <w:r>
        <w:rPr>
          <w:rFonts w:ascii="Arial" w:cs="Arial" w:eastAsia="Arial" w:hAnsi="Arial"/>
          <w:sz w:val="19"/>
          <w:szCs w:val="19"/>
          <w:b w:val="1"/>
          <w:bCs w:val="1"/>
          <w:color w:val="auto"/>
        </w:rPr>
        <w:t xml:space="preserve">FY2025 Bonus. </w:t>
      </w:r>
      <w:r>
        <w:rPr>
          <w:rFonts w:ascii="Arial" w:cs="Arial" w:eastAsia="Arial" w:hAnsi="Arial"/>
          <w:sz w:val="19"/>
          <w:szCs w:val="19"/>
          <w:color w:val="auto"/>
        </w:rPr>
        <w:t>You will be eligible for a prorated portion of your fiscal year 2025 bonus (i.e., eleven-twelfths), if earned, as</w:t>
      </w:r>
      <w:r>
        <w:rPr>
          <w:rFonts w:ascii="Arial" w:cs="Arial" w:eastAsia="Arial" w:hAnsi="Arial"/>
          <w:sz w:val="19"/>
          <w:szCs w:val="19"/>
          <w:b w:val="1"/>
          <w:bCs w:val="1"/>
          <w:color w:val="auto"/>
        </w:rPr>
        <w:t xml:space="preserve"> </w:t>
      </w:r>
      <w:r>
        <w:rPr>
          <w:rFonts w:ascii="Arial" w:cs="Arial" w:eastAsia="Arial" w:hAnsi="Arial"/>
          <w:sz w:val="19"/>
          <w:szCs w:val="19"/>
          <w:color w:val="auto"/>
        </w:rPr>
        <w:t>determined by the Compensation Committee based on the Company’s actual performance against the applicable goals for fiscal year 2025 with Individual Goals being deemed earned at Target performance. The prorated fiscal year 2025 bonus shall be paid at such time as bonuses for fiscal year 2025 are paid to employees generally, but in no event later than March 15, 2026.</w:t>
      </w:r>
    </w:p>
    <w:p>
      <w:pPr>
        <w:spacing w:after="0" w:line="161" w:lineRule="exact"/>
        <w:rPr>
          <w:rFonts w:ascii="Arial" w:cs="Arial" w:eastAsia="Arial" w:hAnsi="Arial"/>
          <w:sz w:val="19"/>
          <w:szCs w:val="19"/>
          <w:color w:val="auto"/>
        </w:rPr>
      </w:pPr>
    </w:p>
    <w:p>
      <w:pPr>
        <w:jc w:val="both"/>
        <w:ind w:left="627" w:hanging="318"/>
        <w:spacing w:after="0" w:line="261" w:lineRule="auto"/>
        <w:tabs>
          <w:tab w:leader="none" w:pos="617" w:val="left"/>
        </w:tabs>
        <w:numPr>
          <w:ilvl w:val="0"/>
          <w:numId w:val="54"/>
        </w:numPr>
        <w:rPr>
          <w:rFonts w:ascii="Arial" w:cs="Arial" w:eastAsia="Arial" w:hAnsi="Arial"/>
          <w:sz w:val="19"/>
          <w:szCs w:val="19"/>
          <w:color w:val="auto"/>
        </w:rPr>
      </w:pPr>
      <w:r>
        <w:rPr>
          <w:rFonts w:ascii="Arial" w:cs="Arial" w:eastAsia="Arial" w:hAnsi="Arial"/>
          <w:sz w:val="19"/>
          <w:szCs w:val="19"/>
          <w:b w:val="1"/>
          <w:bCs w:val="1"/>
          <w:color w:val="auto"/>
        </w:rPr>
        <w:t xml:space="preserve">Restricted Stock Units. </w:t>
      </w:r>
      <w:r>
        <w:rPr>
          <w:rFonts w:ascii="Arial" w:cs="Arial" w:eastAsia="Arial" w:hAnsi="Arial"/>
          <w:sz w:val="19"/>
          <w:szCs w:val="19"/>
          <w:color w:val="auto"/>
        </w:rPr>
        <w:t>Pursuant to the termination provisions of the applicable equity award documents, you will continue</w:t>
      </w:r>
      <w:r>
        <w:rPr>
          <w:rFonts w:ascii="Arial" w:cs="Arial" w:eastAsia="Arial" w:hAnsi="Arial"/>
          <w:sz w:val="19"/>
          <w:szCs w:val="19"/>
          <w:b w:val="1"/>
          <w:bCs w:val="1"/>
          <w:color w:val="auto"/>
        </w:rPr>
        <w:t xml:space="preserve"> </w:t>
      </w:r>
      <w:r>
        <w:rPr>
          <w:rFonts w:ascii="Arial" w:cs="Arial" w:eastAsia="Arial" w:hAnsi="Arial"/>
          <w:sz w:val="19"/>
          <w:szCs w:val="19"/>
          <w:color w:val="auto"/>
        </w:rPr>
        <w:t>to vest in your outstanding ABM time-based Restricted Stock Units until your Separation Date, at which time such equity awards will cease to vest and any such equity awards which are then unvested will be forfeited. The shares relating to the applicable Restricted Stock Units will be paid in accordance with the applicable equity award documents.</w:t>
      </w:r>
    </w:p>
    <w:p>
      <w:pPr>
        <w:spacing w:after="0" w:line="171" w:lineRule="exact"/>
        <w:rPr>
          <w:rFonts w:ascii="Arial" w:cs="Arial" w:eastAsia="Arial" w:hAnsi="Arial"/>
          <w:sz w:val="19"/>
          <w:szCs w:val="19"/>
          <w:color w:val="auto"/>
        </w:rPr>
      </w:pPr>
    </w:p>
    <w:p>
      <w:pPr>
        <w:jc w:val="both"/>
        <w:ind w:left="627" w:hanging="318"/>
        <w:spacing w:after="0" w:line="253" w:lineRule="auto"/>
        <w:tabs>
          <w:tab w:leader="none" w:pos="617" w:val="left"/>
        </w:tabs>
        <w:numPr>
          <w:ilvl w:val="0"/>
          <w:numId w:val="54"/>
        </w:numPr>
        <w:rPr>
          <w:rFonts w:ascii="Arial" w:cs="Arial" w:eastAsia="Arial" w:hAnsi="Arial"/>
          <w:sz w:val="19"/>
          <w:szCs w:val="19"/>
          <w:color w:val="auto"/>
        </w:rPr>
      </w:pPr>
      <w:r>
        <w:rPr>
          <w:rFonts w:ascii="Arial" w:cs="Arial" w:eastAsia="Arial" w:hAnsi="Arial"/>
          <w:sz w:val="19"/>
          <w:szCs w:val="19"/>
          <w:b w:val="1"/>
          <w:bCs w:val="1"/>
          <w:color w:val="auto"/>
        </w:rPr>
        <w:t xml:space="preserve">Performance Shares. </w:t>
      </w:r>
      <w:r>
        <w:rPr>
          <w:rFonts w:ascii="Arial" w:cs="Arial" w:eastAsia="Arial" w:hAnsi="Arial"/>
          <w:sz w:val="19"/>
          <w:szCs w:val="19"/>
          <w:color w:val="auto"/>
        </w:rPr>
        <w:t>Pursuant to the termination provisions of the applicable equity award documents, you will continue</w:t>
      </w:r>
      <w:r>
        <w:rPr>
          <w:rFonts w:ascii="Arial" w:cs="Arial" w:eastAsia="Arial" w:hAnsi="Arial"/>
          <w:sz w:val="19"/>
          <w:szCs w:val="19"/>
          <w:b w:val="1"/>
          <w:bCs w:val="1"/>
          <w:color w:val="auto"/>
        </w:rPr>
        <w:t xml:space="preserve"> </w:t>
      </w:r>
      <w:r>
        <w:rPr>
          <w:rFonts w:ascii="Arial" w:cs="Arial" w:eastAsia="Arial" w:hAnsi="Arial"/>
          <w:sz w:val="19"/>
          <w:szCs w:val="19"/>
          <w:color w:val="auto"/>
        </w:rPr>
        <w:t>to vest in your outstanding ABM Performance Share awards until your Separation Date. In the case of the Performance Share awards granted on January 9, 2024 and January 10, 2023, such awards will vest pro-rata, if earned, subject to the terms and conditions of such awards, including the Statement of Terms and Conditions to such awards, as determined by the Compensation Committee after the end of the applicable performance period. The Performance Shares to which you will be entitled are set forth in Addendum A attached hereto and incorporated by reference herein. The shares relating to the applicable Performance Shares will be paid, if earned, in accordance with the terms of the applicable equity award documents.</w:t>
      </w:r>
    </w:p>
    <w:p>
      <w:pPr>
        <w:spacing w:after="0" w:line="169" w:lineRule="exact"/>
        <w:rPr>
          <w:sz w:val="20"/>
          <w:szCs w:val="20"/>
          <w:color w:val="auto"/>
        </w:rPr>
      </w:pPr>
    </w:p>
    <w:p>
      <w:pPr>
        <w:jc w:val="both"/>
        <w:ind w:left="7"/>
        <w:spacing w:after="0" w:line="259" w:lineRule="auto"/>
        <w:rPr>
          <w:sz w:val="20"/>
          <w:szCs w:val="20"/>
          <w:color w:val="auto"/>
        </w:rPr>
      </w:pPr>
      <w:r>
        <w:rPr>
          <w:rFonts w:ascii="Arial" w:cs="Arial" w:eastAsia="Arial" w:hAnsi="Arial"/>
          <w:sz w:val="19"/>
          <w:szCs w:val="19"/>
          <w:color w:val="auto"/>
        </w:rPr>
        <w:t>No Separation Benefits will be paid or provided until after the Effective Date. You acknowledge (a) receipt of all compensation and benefits due through the date you sign this Separation Agreement as a result of services performed for the Company; (b) you have reported to the Company any and all work-related injuries incurred during employment; and (c) the Company properly provided any leave of absence because of your or a family member’s health condition and you have not been subjected to any improper treatment, conduct or actions due to a request for or taking such leave.</w:t>
      </w:r>
    </w:p>
    <w:p>
      <w:pPr>
        <w:spacing w:after="0" w:line="149" w:lineRule="exact"/>
        <w:rPr>
          <w:sz w:val="20"/>
          <w:szCs w:val="20"/>
          <w:color w:val="auto"/>
        </w:rPr>
      </w:pPr>
    </w:p>
    <w:p>
      <w:pPr>
        <w:jc w:val="both"/>
        <w:ind w:left="7" w:hanging="7"/>
        <w:spacing w:after="0" w:line="212" w:lineRule="auto"/>
        <w:tabs>
          <w:tab w:leader="none" w:pos="307" w:val="left"/>
        </w:tabs>
        <w:numPr>
          <w:ilvl w:val="0"/>
          <w:numId w:val="55"/>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Section 409 Tax Considerations</w:t>
      </w:r>
      <w:r>
        <w:rPr>
          <w:rFonts w:ascii="Arial" w:cs="Arial" w:eastAsia="Arial" w:hAnsi="Arial"/>
          <w:sz w:val="19"/>
          <w:szCs w:val="19"/>
          <w:b w:val="1"/>
          <w:bCs w:val="1"/>
          <w:color w:val="auto"/>
        </w:rPr>
        <w:t xml:space="preserve">. </w:t>
      </w:r>
      <w:r>
        <w:rPr>
          <w:rFonts w:ascii="Arial" w:cs="Arial" w:eastAsia="Arial" w:hAnsi="Arial"/>
          <w:sz w:val="19"/>
          <w:szCs w:val="19"/>
          <w:color w:val="auto"/>
        </w:rPr>
        <w:t>Notwithstanding the above, you shall not be considered to have terminated employment</w:t>
      </w:r>
      <w:r>
        <w:rPr>
          <w:rFonts w:ascii="Arial" w:cs="Arial" w:eastAsia="Arial" w:hAnsi="Arial"/>
          <w:sz w:val="19"/>
          <w:szCs w:val="19"/>
          <w:b w:val="1"/>
          <w:bCs w:val="1"/>
          <w:color w:val="auto"/>
        </w:rPr>
        <w:t xml:space="preserve"> </w:t>
      </w:r>
      <w:r>
        <w:rPr>
          <w:rFonts w:ascii="Arial" w:cs="Arial" w:eastAsia="Arial" w:hAnsi="Arial"/>
          <w:sz w:val="19"/>
          <w:szCs w:val="19"/>
          <w:color w:val="auto"/>
        </w:rPr>
        <w:t>with the Company for purposes of this Paragraph 4, and no Separation Benefits (or other payments or benefits that would be considered deferred compensation) shall be due to you, unless you would be considered to have incurred a “separation from service” from the Company within the meaning of Section 409A of the Internal Revenue Code (“Section 409A”). Each amount to be paid or benefit to be provided hereunder shall be construed as a separate identified payment for purposes of Section 409A, and any Separation Benefits that are due within the “short term deferral period” as defined in Section 409A shall not be treated as deferred compensation unless applicable law requires otherwise. In the event that it would be possible for any Separation Benefits to be paid in either of two calendar years, depending on when you sign the Separation Agreement, then to the extent required to avoid being subject to Section 409A, any such Separation Benefits will not be paid until the calendar year following the calendar year in which your separation from service occurs. To the extent required in order to avoid accelerated taxation and/or tax penalties under Section 409A, Separation Benefits (and other payments or benefits that would be considered deferred compensation) that would otherwise be payable or provided during the six-month period immediately following your “separation from service” within the meaning of Section 409A shall instead be paid on the first business day after the date that is six months following such “separation from service” (or upon your death, if earlier). To the extent any expense reimbursement or the provision of</w:t>
      </w:r>
    </w:p>
    <w:p>
      <w:pPr>
        <w:spacing w:after="0" w:line="392" w:lineRule="exact"/>
        <w:rPr>
          <w:sz w:val="20"/>
          <w:szCs w:val="20"/>
          <w:color w:val="auto"/>
        </w:rPr>
      </w:pPr>
    </w:p>
    <w:p>
      <w:pPr>
        <w:ind w:left="10407"/>
        <w:spacing w:after="0"/>
        <w:rPr>
          <w:sz w:val="20"/>
          <w:szCs w:val="20"/>
          <w:color w:val="auto"/>
        </w:rPr>
      </w:pPr>
      <w:r>
        <w:rPr>
          <w:rFonts w:ascii="Arial" w:cs="Arial" w:eastAsia="Arial" w:hAnsi="Arial"/>
          <w:sz w:val="18"/>
          <w:szCs w:val="18"/>
          <w:color w:val="auto"/>
        </w:rPr>
        <w:t>_____</w:t>
      </w:r>
    </w:p>
    <w:p>
      <w:pPr>
        <w:spacing w:after="0" w:line="4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Initials</w:t>
      </w:r>
    </w:p>
    <w:p>
      <w:pPr>
        <w:sectPr>
          <w:pgSz w:w="11900" w:h="16838" w:orient="portrait"/>
          <w:cols w:equalWidth="0" w:num="1">
            <w:col w:w="10927"/>
          </w:cols>
          <w:pgMar w:left="633" w:top="121" w:right="339" w:bottom="1440" w:gutter="0" w:footer="0" w:header="0"/>
        </w:sectPr>
      </w:pPr>
    </w:p>
    <w:bookmarkStart w:id="107" w:name="page108"/>
    <w:bookmarkEnd w:id="107"/>
    <w:p>
      <w:pPr>
        <w:jc w:val="right"/>
        <w:spacing w:after="0"/>
        <w:rPr>
          <w:sz w:val="20"/>
          <w:szCs w:val="20"/>
          <w:color w:val="auto"/>
        </w:rPr>
      </w:pPr>
      <w:r>
        <w:rPr>
          <w:rFonts w:ascii="Arial" w:cs="Arial" w:eastAsia="Arial" w:hAnsi="Arial"/>
          <w:sz w:val="17"/>
          <w:szCs w:val="17"/>
          <w:color w:val="auto"/>
        </w:rPr>
        <w:t>Page3</w:t>
      </w:r>
    </w:p>
    <w:p>
      <w:pPr>
        <w:spacing w:after="0" w:line="400" w:lineRule="exact"/>
        <w:rPr>
          <w:sz w:val="20"/>
          <w:szCs w:val="20"/>
          <w:color w:val="auto"/>
        </w:rPr>
      </w:pPr>
    </w:p>
    <w:p>
      <w:pPr>
        <w:ind w:left="7"/>
        <w:spacing w:after="0"/>
        <w:rPr>
          <w:sz w:val="20"/>
          <w:szCs w:val="20"/>
          <w:color w:val="auto"/>
        </w:rPr>
      </w:pPr>
      <w:r>
        <w:rPr>
          <w:rFonts w:ascii="Arial" w:cs="Arial" w:eastAsia="Arial" w:hAnsi="Arial"/>
          <w:sz w:val="19"/>
          <w:szCs w:val="19"/>
          <w:color w:val="auto"/>
        </w:rPr>
        <w:t>any in-kind benefit under this Separation Agreement is determined to be subject to Section 409A and to the extent necessary to</w:t>
      </w:r>
    </w:p>
    <w:p>
      <w:pPr>
        <w:ind w:left="7"/>
        <w:spacing w:after="0" w:line="205" w:lineRule="auto"/>
        <w:rPr>
          <w:sz w:val="20"/>
          <w:szCs w:val="20"/>
          <w:color w:val="auto"/>
        </w:rPr>
      </w:pPr>
      <w:r>
        <w:rPr>
          <w:rFonts w:ascii="Arial" w:cs="Arial" w:eastAsia="Arial" w:hAnsi="Arial"/>
          <w:sz w:val="19"/>
          <w:szCs w:val="19"/>
          <w:color w:val="auto"/>
        </w:rPr>
        <w:t>comply with Section 409A, the amount of any such expenses eligible for reimbursement, or the provision of any in-kind benefit, in one calendar year shall not affect the expenses eligible for reimbursement in any other taxable year (except for any lifetime or</w:t>
      </w:r>
    </w:p>
    <w:p>
      <w:pPr>
        <w:ind w:left="7"/>
        <w:spacing w:after="0" w:line="213" w:lineRule="auto"/>
        <w:rPr>
          <w:sz w:val="20"/>
          <w:szCs w:val="20"/>
          <w:color w:val="auto"/>
        </w:rPr>
      </w:pPr>
      <w:r>
        <w:rPr>
          <w:rFonts w:ascii="Arial" w:cs="Arial" w:eastAsia="Arial" w:hAnsi="Arial"/>
          <w:sz w:val="19"/>
          <w:szCs w:val="19"/>
          <w:color w:val="auto"/>
        </w:rPr>
        <w:t>other aggregate limitation applicable to medical expenses), in no event shall any expenses be reimbursed after the last day of the</w:t>
      </w:r>
    </w:p>
    <w:p>
      <w:pPr>
        <w:ind w:left="7"/>
        <w:spacing w:after="0" w:line="226" w:lineRule="auto"/>
        <w:rPr>
          <w:sz w:val="20"/>
          <w:szCs w:val="20"/>
          <w:color w:val="auto"/>
        </w:rPr>
      </w:pPr>
      <w:r>
        <w:rPr>
          <w:rFonts w:ascii="Arial" w:cs="Arial" w:eastAsia="Arial" w:hAnsi="Arial"/>
          <w:sz w:val="19"/>
          <w:szCs w:val="19"/>
          <w:color w:val="auto"/>
        </w:rPr>
        <w:t>calendar year following the calendar year in which you incurred such expenses, and in no event shall any right to reimbursement or the provision of any in-kind benefit be subject to liquidation or exchange for another benefit.</w:t>
      </w:r>
    </w:p>
    <w:p>
      <w:pPr>
        <w:spacing w:after="0" w:line="151" w:lineRule="exact"/>
        <w:rPr>
          <w:sz w:val="20"/>
          <w:szCs w:val="20"/>
          <w:color w:val="auto"/>
        </w:rPr>
      </w:pPr>
    </w:p>
    <w:p>
      <w:pPr>
        <w:jc w:val="both"/>
        <w:ind w:left="7" w:hanging="7"/>
        <w:spacing w:after="0" w:line="228" w:lineRule="auto"/>
        <w:tabs>
          <w:tab w:leader="none" w:pos="307" w:val="left"/>
        </w:tabs>
        <w:numPr>
          <w:ilvl w:val="0"/>
          <w:numId w:val="56"/>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Restrictive Covenants</w:t>
      </w:r>
      <w:r>
        <w:rPr>
          <w:rFonts w:ascii="Arial" w:cs="Arial" w:eastAsia="Arial" w:hAnsi="Arial"/>
          <w:sz w:val="19"/>
          <w:szCs w:val="19"/>
          <w:color w:val="auto"/>
        </w:rPr>
        <w:t>. By signing this Separation Agreement, you reaffirm that you will continue to abide by the Restrictive</w:t>
      </w:r>
      <w:r>
        <w:rPr>
          <w:rFonts w:ascii="Arial" w:cs="Arial" w:eastAsia="Arial" w:hAnsi="Arial"/>
          <w:sz w:val="19"/>
          <w:szCs w:val="19"/>
          <w:b w:val="1"/>
          <w:bCs w:val="1"/>
          <w:color w:val="auto"/>
        </w:rPr>
        <w:t xml:space="preserve"> </w:t>
      </w:r>
      <w:r>
        <w:rPr>
          <w:rFonts w:ascii="Arial" w:cs="Arial" w:eastAsia="Arial" w:hAnsi="Arial"/>
          <w:sz w:val="19"/>
          <w:szCs w:val="19"/>
          <w:color w:val="auto"/>
        </w:rPr>
        <w:t>Covenants (including without limitation Non-Disclosure obligations) set forth in Section 5 of your Employment Agreement, which expressly survive the termination of your employment</w:t>
      </w:r>
    </w:p>
    <w:p>
      <w:pPr>
        <w:spacing w:after="0" w:line="150" w:lineRule="exact"/>
        <w:rPr>
          <w:rFonts w:ascii="Arial" w:cs="Arial" w:eastAsia="Arial" w:hAnsi="Arial"/>
          <w:sz w:val="19"/>
          <w:szCs w:val="19"/>
          <w:b w:val="1"/>
          <w:bCs w:val="1"/>
          <w:color w:val="auto"/>
        </w:rPr>
      </w:pPr>
    </w:p>
    <w:p>
      <w:pPr>
        <w:jc w:val="both"/>
        <w:ind w:left="7" w:hanging="7"/>
        <w:spacing w:after="0" w:line="216" w:lineRule="auto"/>
        <w:tabs>
          <w:tab w:leader="none" w:pos="307" w:val="left"/>
        </w:tabs>
        <w:numPr>
          <w:ilvl w:val="0"/>
          <w:numId w:val="56"/>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Trade Secrets.</w:t>
      </w:r>
      <w:r>
        <w:rPr>
          <w:rFonts w:ascii="Arial" w:cs="Arial" w:eastAsia="Arial" w:hAnsi="Arial"/>
          <w:sz w:val="19"/>
          <w:szCs w:val="19"/>
          <w:b w:val="1"/>
          <w:bCs w:val="1"/>
          <w:color w:val="auto"/>
        </w:rPr>
        <w:t xml:space="preserve"> </w:t>
      </w:r>
      <w:r>
        <w:rPr>
          <w:rFonts w:ascii="Arial" w:cs="Arial" w:eastAsia="Arial" w:hAnsi="Arial"/>
          <w:sz w:val="19"/>
          <w:szCs w:val="19"/>
          <w:color w:val="auto"/>
        </w:rPr>
        <w:t>Pursuant to the Defend Trade Secrets Act of 2016, the parties hereto acknowledge and agree that you shall</w:t>
      </w:r>
      <w:r>
        <w:rPr>
          <w:rFonts w:ascii="Arial" w:cs="Arial" w:eastAsia="Arial" w:hAnsi="Arial"/>
          <w:sz w:val="19"/>
          <w:szCs w:val="19"/>
          <w:b w:val="1"/>
          <w:bCs w:val="1"/>
          <w:color w:val="auto"/>
        </w:rPr>
        <w:t xml:space="preserve"> </w:t>
      </w:r>
      <w:r>
        <w:rPr>
          <w:rFonts w:ascii="Arial" w:cs="Arial" w:eastAsia="Arial" w:hAnsi="Arial"/>
          <w:sz w:val="19"/>
          <w:szCs w:val="19"/>
          <w:color w:val="auto"/>
        </w:rPr>
        <w:t>not have criminal or civil liability under any Federal or State trade secret law for the disclosure of a trade secret that (A)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In addition and without limiting the preceding sentence, if you file a lawsuit for retaliation by the Company for reporting a suspected violation of law, you may disclose the trade secret to your attorney and may use the trade secret information in the court proceeding, if you (X) file any document containing the trade secret under seal and (Y) do not disclose the trade secret, except pursuant to court order.</w:t>
      </w:r>
    </w:p>
    <w:p>
      <w:pPr>
        <w:spacing w:after="0" w:line="154" w:lineRule="exact"/>
        <w:rPr>
          <w:sz w:val="20"/>
          <w:szCs w:val="20"/>
          <w:color w:val="auto"/>
        </w:rPr>
      </w:pPr>
    </w:p>
    <w:p>
      <w:pPr>
        <w:jc w:val="both"/>
        <w:ind w:left="7"/>
        <w:spacing w:after="0" w:line="255" w:lineRule="auto"/>
        <w:rPr>
          <w:sz w:val="20"/>
          <w:szCs w:val="20"/>
          <w:color w:val="auto"/>
        </w:rPr>
      </w:pPr>
      <w:r>
        <w:rPr>
          <w:rFonts w:ascii="Arial" w:cs="Arial" w:eastAsia="Arial" w:hAnsi="Arial"/>
          <w:sz w:val="19"/>
          <w:szCs w:val="19"/>
          <w:color w:val="auto"/>
        </w:rPr>
        <w:t>Further, nothing in this Agreement or otherwise limits your ability to communicate directly with and provide information, including documents, not otherwise protected from disclosure by any applicable law or privilege to the Securities and Exchange Commission (the “SEC”) or any other federal, state or local governmental agency or commission (“Government Agency”) regarding possible legal violations, without disclosure to the Company. The Company may not retaliate against you for any of these activities, and nothing in this Agreement or otherwise requires you to waive any monetary award or other payment that you might become entitled to from the SEC or any other Government Agency.</w:t>
      </w:r>
    </w:p>
    <w:p>
      <w:pPr>
        <w:spacing w:after="0" w:line="399" w:lineRule="exact"/>
        <w:rPr>
          <w:sz w:val="20"/>
          <w:szCs w:val="20"/>
          <w:color w:val="auto"/>
        </w:rPr>
      </w:pPr>
    </w:p>
    <w:p>
      <w:pPr>
        <w:ind w:left="307" w:hanging="307"/>
        <w:spacing w:after="0"/>
        <w:tabs>
          <w:tab w:leader="none" w:pos="307" w:val="left"/>
        </w:tabs>
        <w:numPr>
          <w:ilvl w:val="0"/>
          <w:numId w:val="57"/>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Waiver and Release</w:t>
      </w:r>
    </w:p>
    <w:p>
      <w:pPr>
        <w:spacing w:after="0" w:line="181" w:lineRule="exact"/>
        <w:rPr>
          <w:sz w:val="20"/>
          <w:szCs w:val="20"/>
          <w:color w:val="auto"/>
        </w:rPr>
      </w:pPr>
    </w:p>
    <w:p>
      <w:pPr>
        <w:jc w:val="both"/>
        <w:ind w:left="7"/>
        <w:spacing w:after="0" w:line="266" w:lineRule="auto"/>
        <w:rPr>
          <w:sz w:val="20"/>
          <w:szCs w:val="20"/>
          <w:color w:val="auto"/>
        </w:rPr>
      </w:pPr>
      <w:r>
        <w:rPr>
          <w:rFonts w:ascii="Arial" w:cs="Arial" w:eastAsia="Arial" w:hAnsi="Arial"/>
          <w:sz w:val="18"/>
          <w:szCs w:val="18"/>
          <w:color w:val="auto"/>
        </w:rPr>
        <w:t>In exchange for the Separation Benefits the Company will provide you under this Separation Agreement, you release and forever discharge ABM Industries Incorporated, ABM Industry Groups, LLC, GCA Services Group, Inc., and all of their respective past, present or future subsidiaries, affiliates, related persons or entities, including but not limited to its officers, directors, managers, employees, shareholders, agents, attorneys, successors and assigns (collectively the “Released Parties”), from any and all actions, claims, demands and damages, whether actual or potential, known or unknown, and specifically but not exclusively, which you may have or claim to have against the Company as of the date you sign this Separation Agreement including, without limitation, any and all claims related or in any manner incidental to your employment with the Company or termination of that employment relationship which you or your heirs, successors, executors, or other representatives may have (“Claims”). All such Claims are forever barred by this Separation Agreement regardless of the forum in which such Claims might be brought, including, but not limited to, Claims (a) under any federal, state or local law governing the employment relationship or its termination (including, but not limited to, Title VII of the Civil Rights Acts of 1964; the Civil Rights Act of 1991; the Age Discrimination in Employment Act of 1967 (ADEA); the Older Worker Benefit Protection Act (OWBPA); the Americans with Disabilities Act; the Family Medical Leave Act; the Employee Retirement Income Security Act of 1974 (ERISA): the Rehabilitation Act; the Worker Adjustment and Retraining Notification Act; the Minnesota Human Rights Act, chapter 363A, any state, local, and other federal employment laws, and any amendments to any of the foregoing; (b) claims related to status (perceived or actual) as a whistleblower; and/or (c) under the common law for breach of contract, wrongful discharge, promissory estoppel, personal injuries</w:t>
      </w:r>
    </w:p>
    <w:p>
      <w:pPr>
        <w:spacing w:after="0" w:line="211" w:lineRule="exact"/>
        <w:rPr>
          <w:sz w:val="20"/>
          <w:szCs w:val="20"/>
          <w:color w:val="auto"/>
        </w:rPr>
      </w:pPr>
    </w:p>
    <w:p>
      <w:pPr>
        <w:ind w:left="7"/>
        <w:spacing w:after="0"/>
        <w:rPr>
          <w:sz w:val="20"/>
          <w:szCs w:val="20"/>
          <w:color w:val="auto"/>
        </w:rPr>
      </w:pPr>
      <w:r>
        <w:rPr>
          <w:rFonts w:ascii="Arial" w:cs="Arial" w:eastAsia="Arial" w:hAnsi="Arial"/>
          <w:sz w:val="19"/>
          <w:szCs w:val="19"/>
          <w:color w:val="auto"/>
        </w:rPr>
        <w:t xml:space="preserve">and/or torts. </w:t>
      </w:r>
      <w:r>
        <w:rPr>
          <w:rFonts w:ascii="Arial" w:cs="Arial" w:eastAsia="Arial" w:hAnsi="Arial"/>
          <w:sz w:val="19"/>
          <w:szCs w:val="19"/>
          <w:b w:val="1"/>
          <w:bCs w:val="1"/>
          <w:color w:val="auto"/>
        </w:rPr>
        <w:t>You understand that this is a general waiver and release of all claims, known or unknown, that you</w:t>
      </w:r>
    </w:p>
    <w:p>
      <w:pPr>
        <w:spacing w:after="0" w:line="200" w:lineRule="exact"/>
        <w:rPr>
          <w:sz w:val="20"/>
          <w:szCs w:val="20"/>
          <w:color w:val="auto"/>
        </w:rPr>
      </w:pPr>
    </w:p>
    <w:p>
      <w:pPr>
        <w:spacing w:after="0" w:line="235" w:lineRule="exact"/>
        <w:rPr>
          <w:sz w:val="20"/>
          <w:szCs w:val="20"/>
          <w:color w:val="auto"/>
        </w:rPr>
      </w:pPr>
    </w:p>
    <w:p>
      <w:pPr>
        <w:ind w:left="10407"/>
        <w:spacing w:after="0"/>
        <w:rPr>
          <w:sz w:val="20"/>
          <w:szCs w:val="20"/>
          <w:color w:val="auto"/>
        </w:rPr>
      </w:pPr>
      <w:r>
        <w:rPr>
          <w:rFonts w:ascii="Arial" w:cs="Arial" w:eastAsia="Arial" w:hAnsi="Arial"/>
          <w:sz w:val="18"/>
          <w:szCs w:val="18"/>
          <w:color w:val="auto"/>
        </w:rPr>
        <w:t>_____</w:t>
      </w:r>
    </w:p>
    <w:p>
      <w:pPr>
        <w:spacing w:after="0" w:line="33" w:lineRule="exact"/>
        <w:rPr>
          <w:sz w:val="20"/>
          <w:szCs w:val="20"/>
          <w:color w:val="auto"/>
        </w:rPr>
      </w:pPr>
    </w:p>
    <w:p>
      <w:pPr>
        <w:jc w:val="right"/>
        <w:spacing w:after="0"/>
        <w:rPr>
          <w:sz w:val="20"/>
          <w:szCs w:val="20"/>
          <w:color w:val="auto"/>
        </w:rPr>
      </w:pPr>
      <w:r>
        <w:rPr>
          <w:rFonts w:ascii="Arial" w:cs="Arial" w:eastAsia="Arial" w:hAnsi="Arial"/>
          <w:sz w:val="17"/>
          <w:szCs w:val="17"/>
          <w:color w:val="auto"/>
        </w:rPr>
        <w:t>Initials</w:t>
      </w:r>
    </w:p>
    <w:p>
      <w:pPr>
        <w:sectPr>
          <w:pgSz w:w="11900" w:h="16838" w:orient="portrait"/>
          <w:cols w:equalWidth="0" w:num="1">
            <w:col w:w="10927"/>
          </w:cols>
          <w:pgMar w:left="633" w:top="121" w:right="339" w:bottom="1440" w:gutter="0" w:footer="0" w:header="0"/>
        </w:sectPr>
      </w:pPr>
    </w:p>
    <w:bookmarkStart w:id="108" w:name="page109"/>
    <w:bookmarkEnd w:id="108"/>
    <w:p>
      <w:pPr>
        <w:jc w:val="right"/>
        <w:spacing w:after="0"/>
        <w:rPr>
          <w:sz w:val="20"/>
          <w:szCs w:val="20"/>
          <w:color w:val="auto"/>
        </w:rPr>
      </w:pPr>
      <w:r>
        <w:rPr>
          <w:rFonts w:ascii="Arial" w:cs="Arial" w:eastAsia="Arial" w:hAnsi="Arial"/>
          <w:sz w:val="17"/>
          <w:szCs w:val="17"/>
          <w:color w:val="auto"/>
        </w:rPr>
        <w:t>Page4</w:t>
      </w:r>
    </w:p>
    <w:p>
      <w:pPr>
        <w:spacing w:after="0" w:line="200" w:lineRule="exact"/>
        <w:rPr>
          <w:sz w:val="20"/>
          <w:szCs w:val="20"/>
          <w:color w:val="auto"/>
        </w:rPr>
      </w:pPr>
    </w:p>
    <w:p>
      <w:pPr>
        <w:spacing w:after="0" w:line="220" w:lineRule="exact"/>
        <w:rPr>
          <w:sz w:val="20"/>
          <w:szCs w:val="20"/>
          <w:color w:val="auto"/>
        </w:rPr>
      </w:pPr>
    </w:p>
    <w:p>
      <w:pPr>
        <w:jc w:val="both"/>
        <w:ind w:left="7"/>
        <w:spacing w:after="0" w:line="299" w:lineRule="auto"/>
        <w:rPr>
          <w:sz w:val="20"/>
          <w:szCs w:val="20"/>
          <w:color w:val="auto"/>
        </w:rPr>
      </w:pPr>
      <w:r>
        <w:rPr>
          <w:rFonts w:ascii="Arial" w:cs="Arial" w:eastAsia="Arial" w:hAnsi="Arial"/>
          <w:sz w:val="19"/>
          <w:szCs w:val="19"/>
          <w:b w:val="1"/>
          <w:bCs w:val="1"/>
          <w:color w:val="auto"/>
        </w:rPr>
        <w:t>may have against the Released Parties based on any act, omission, matter, cause or thing that occurred through the date of your execution of this Separation Agreement.</w:t>
      </w:r>
    </w:p>
    <w:p>
      <w:pPr>
        <w:spacing w:after="0" w:line="113" w:lineRule="exact"/>
        <w:rPr>
          <w:sz w:val="20"/>
          <w:szCs w:val="20"/>
          <w:color w:val="auto"/>
        </w:rPr>
      </w:pPr>
    </w:p>
    <w:p>
      <w:pPr>
        <w:jc w:val="both"/>
        <w:ind w:left="7"/>
        <w:spacing w:after="0" w:line="261" w:lineRule="auto"/>
        <w:rPr>
          <w:sz w:val="20"/>
          <w:szCs w:val="20"/>
          <w:color w:val="auto"/>
        </w:rPr>
      </w:pPr>
      <w:r>
        <w:rPr>
          <w:rFonts w:ascii="Arial" w:cs="Arial" w:eastAsia="Arial" w:hAnsi="Arial"/>
          <w:sz w:val="19"/>
          <w:szCs w:val="19"/>
          <w:color w:val="auto"/>
        </w:rPr>
        <w:t>In addition, by signing this Separation Agreement you acknowledge and agree that you are not aware of any actions or inactions by the Company or any of the Released Parties that you believe may constitute bank fraud, wire fraud, securities fraud, any violation of a rule or regulation of the Securities and Exchange Commission (the “SEC”), any violation of federal law, or any violation of the Company’s Code of Business Conduct.</w:t>
      </w:r>
    </w:p>
    <w:p>
      <w:pPr>
        <w:spacing w:after="0" w:line="171" w:lineRule="exact"/>
        <w:rPr>
          <w:sz w:val="20"/>
          <w:szCs w:val="20"/>
          <w:color w:val="auto"/>
        </w:rPr>
      </w:pPr>
    </w:p>
    <w:p>
      <w:pPr>
        <w:jc w:val="both"/>
        <w:ind w:left="7"/>
        <w:spacing w:after="0" w:line="264" w:lineRule="auto"/>
        <w:rPr>
          <w:sz w:val="20"/>
          <w:szCs w:val="20"/>
          <w:color w:val="auto"/>
        </w:rPr>
      </w:pPr>
      <w:r>
        <w:rPr>
          <w:rFonts w:ascii="Arial" w:cs="Arial" w:eastAsia="Arial" w:hAnsi="Arial"/>
          <w:sz w:val="19"/>
          <w:szCs w:val="19"/>
          <w:color w:val="auto"/>
        </w:rPr>
        <w:t>The above release does not waive claims (i) for vested rights under ERISA-covered employee benefit plans as applicable on the date you sign this Separation Agreement, (ii) that may arise after you sign this Separation Agreement, (iii) which cannot be released by private agreement, or (iv) alleging breach of this Separation Agreement.</w:t>
      </w:r>
    </w:p>
    <w:p>
      <w:pPr>
        <w:spacing w:after="0" w:line="143" w:lineRule="exact"/>
        <w:rPr>
          <w:sz w:val="20"/>
          <w:szCs w:val="20"/>
          <w:color w:val="auto"/>
        </w:rPr>
      </w:pPr>
    </w:p>
    <w:p>
      <w:pPr>
        <w:ind w:left="307" w:hanging="307"/>
        <w:spacing w:after="0"/>
        <w:tabs>
          <w:tab w:leader="none" w:pos="307" w:val="left"/>
        </w:tabs>
        <w:numPr>
          <w:ilvl w:val="0"/>
          <w:numId w:val="58"/>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Covenant Not To Sue</w:t>
      </w:r>
    </w:p>
    <w:p>
      <w:pPr>
        <w:spacing w:after="0" w:line="194" w:lineRule="exact"/>
        <w:rPr>
          <w:sz w:val="20"/>
          <w:szCs w:val="20"/>
          <w:color w:val="auto"/>
        </w:rPr>
      </w:pPr>
    </w:p>
    <w:p>
      <w:pPr>
        <w:jc w:val="both"/>
        <w:ind w:left="7"/>
        <w:spacing w:after="0" w:line="261" w:lineRule="auto"/>
        <w:rPr>
          <w:sz w:val="20"/>
          <w:szCs w:val="20"/>
          <w:color w:val="auto"/>
        </w:rPr>
      </w:pPr>
      <w:r>
        <w:rPr>
          <w:rFonts w:ascii="Arial" w:cs="Arial" w:eastAsia="Arial" w:hAnsi="Arial"/>
          <w:sz w:val="19"/>
          <w:szCs w:val="19"/>
          <w:color w:val="auto"/>
        </w:rPr>
        <w:t>You understand that following the Effective Date, the Release will be final and binding. You promise that you will not pursue any claim that you have settled by the Release. If you break this promise, you agree to pay all of the Company’s costs and expenses (including reasonable attorneys’ fees) related to the defense of any claims except this promise not to sue stated in this paragraph does not apply to claims that you may have under the OWBPA and the ADEA.</w:t>
      </w:r>
    </w:p>
    <w:p>
      <w:pPr>
        <w:spacing w:after="0" w:line="158" w:lineRule="exact"/>
        <w:rPr>
          <w:sz w:val="20"/>
          <w:szCs w:val="20"/>
          <w:color w:val="auto"/>
        </w:rPr>
      </w:pPr>
    </w:p>
    <w:p>
      <w:pPr>
        <w:jc w:val="both"/>
        <w:ind w:left="7"/>
        <w:spacing w:after="0" w:line="261" w:lineRule="auto"/>
        <w:rPr>
          <w:sz w:val="20"/>
          <w:szCs w:val="20"/>
          <w:color w:val="auto"/>
        </w:rPr>
      </w:pPr>
      <w:r>
        <w:rPr>
          <w:rFonts w:ascii="Arial" w:cs="Arial" w:eastAsia="Arial" w:hAnsi="Arial"/>
          <w:sz w:val="19"/>
          <w:szCs w:val="19"/>
          <w:color w:val="auto"/>
        </w:rPr>
        <w:t>Nothing in this Agreement or otherwise precludes you from filing a charge of discrimination with the Equal Employment Opportunity Commission or a like charge or complaint with a state or local fair employment practice agency. However, once this Agreement becomes effective, you may not receive a monetary award or any other form of personal relief from the Company in connection with any such charge or complaint that you filed or is filed on your behalf.</w:t>
      </w:r>
    </w:p>
    <w:p>
      <w:pPr>
        <w:spacing w:after="0" w:line="158" w:lineRule="exact"/>
        <w:rPr>
          <w:sz w:val="20"/>
          <w:szCs w:val="20"/>
          <w:color w:val="auto"/>
        </w:rPr>
      </w:pPr>
    </w:p>
    <w:p>
      <w:pPr>
        <w:ind w:left="307" w:hanging="307"/>
        <w:spacing w:after="0"/>
        <w:tabs>
          <w:tab w:leader="none" w:pos="307" w:val="left"/>
        </w:tabs>
        <w:numPr>
          <w:ilvl w:val="0"/>
          <w:numId w:val="59"/>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Material Breach</w:t>
      </w:r>
    </w:p>
    <w:p>
      <w:pPr>
        <w:spacing w:after="0" w:line="181" w:lineRule="exact"/>
        <w:rPr>
          <w:sz w:val="20"/>
          <w:szCs w:val="20"/>
          <w:color w:val="auto"/>
        </w:rPr>
      </w:pPr>
    </w:p>
    <w:p>
      <w:pPr>
        <w:jc w:val="both"/>
        <w:ind w:left="7"/>
        <w:spacing w:after="0" w:line="255" w:lineRule="auto"/>
        <w:rPr>
          <w:sz w:val="20"/>
          <w:szCs w:val="20"/>
          <w:color w:val="auto"/>
        </w:rPr>
      </w:pPr>
      <w:r>
        <w:rPr>
          <w:rFonts w:ascii="Arial" w:cs="Arial" w:eastAsia="Arial" w:hAnsi="Arial"/>
          <w:sz w:val="19"/>
          <w:szCs w:val="19"/>
          <w:color w:val="auto"/>
        </w:rPr>
        <w:t>You agree that in the event of any breach or threatened breach of any provision of this Separation Agreement or of the restrictive covenants in your Employment Agreement, the Company will have no further obligation to pay or provide any unpaid Separation Benefits and will be entitled to equitable and/or injunctive relief and, because the damages for such a breach or threatened breach will be impossible or impractical to determine and will not therefore provide a full and adequate remedy, the Company or ABM-affiliated companies will also be entitled to specific performance by you. Nothing in this Separation Agreement shall limit or prevent the Company from also pursuing any other or additional remedies it may have for breach of any other agreement you may have signed. Despite any breaches, your other obligations under this Separation Agreement will remain in full force and effect.</w:t>
      </w:r>
    </w:p>
    <w:p>
      <w:pPr>
        <w:spacing w:after="0" w:line="167" w:lineRule="exact"/>
        <w:rPr>
          <w:sz w:val="20"/>
          <w:szCs w:val="20"/>
          <w:color w:val="auto"/>
        </w:rPr>
      </w:pPr>
    </w:p>
    <w:p>
      <w:pPr>
        <w:ind w:left="307" w:hanging="307"/>
        <w:spacing w:after="0"/>
        <w:tabs>
          <w:tab w:leader="none" w:pos="307" w:val="left"/>
        </w:tabs>
        <w:numPr>
          <w:ilvl w:val="0"/>
          <w:numId w:val="60"/>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Re-Employment</w:t>
      </w:r>
    </w:p>
    <w:p>
      <w:pPr>
        <w:spacing w:after="0" w:line="181" w:lineRule="exact"/>
        <w:rPr>
          <w:sz w:val="20"/>
          <w:szCs w:val="20"/>
          <w:color w:val="auto"/>
        </w:rPr>
      </w:pPr>
    </w:p>
    <w:p>
      <w:pPr>
        <w:ind w:left="7"/>
        <w:spacing w:after="0" w:line="288" w:lineRule="auto"/>
        <w:rPr>
          <w:sz w:val="20"/>
          <w:szCs w:val="20"/>
          <w:color w:val="auto"/>
        </w:rPr>
      </w:pPr>
      <w:r>
        <w:rPr>
          <w:rFonts w:ascii="Arial" w:cs="Arial" w:eastAsia="Arial" w:hAnsi="Arial"/>
          <w:sz w:val="19"/>
          <w:szCs w:val="19"/>
          <w:color w:val="auto"/>
        </w:rPr>
        <w:t>If you are offered and accept re-employment with the Company or ABM-affiliated companies, any remaining Separation Benefits will cease upon such re-employment with the Company or ABM-affiliated companies.</w:t>
      </w:r>
    </w:p>
    <w:p>
      <w:pPr>
        <w:spacing w:after="0" w:line="120" w:lineRule="exact"/>
        <w:rPr>
          <w:sz w:val="20"/>
          <w:szCs w:val="20"/>
          <w:color w:val="auto"/>
        </w:rPr>
      </w:pPr>
    </w:p>
    <w:p>
      <w:pPr>
        <w:ind w:left="287" w:hanging="287"/>
        <w:spacing w:after="0"/>
        <w:tabs>
          <w:tab w:leader="none" w:pos="287" w:val="left"/>
        </w:tabs>
        <w:numPr>
          <w:ilvl w:val="0"/>
          <w:numId w:val="61"/>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Notice and Revocation Periods</w:t>
      </w:r>
    </w:p>
    <w:p>
      <w:pPr>
        <w:spacing w:after="0" w:line="194" w:lineRule="exact"/>
        <w:rPr>
          <w:sz w:val="20"/>
          <w:szCs w:val="20"/>
          <w:color w:val="auto"/>
        </w:rPr>
      </w:pPr>
    </w:p>
    <w:p>
      <w:pPr>
        <w:jc w:val="both"/>
        <w:ind w:left="7"/>
        <w:spacing w:after="0" w:line="255" w:lineRule="auto"/>
        <w:rPr>
          <w:sz w:val="20"/>
          <w:szCs w:val="20"/>
          <w:color w:val="auto"/>
        </w:rPr>
      </w:pPr>
      <w:r>
        <w:rPr>
          <w:rFonts w:ascii="Arial" w:cs="Arial" w:eastAsia="Arial" w:hAnsi="Arial"/>
          <w:sz w:val="19"/>
          <w:szCs w:val="19"/>
          <w:color w:val="auto"/>
        </w:rPr>
        <w:t>This Separation Agreement is important. You are advised to review it carefully and consult an attorney before signing it, as well as any other professional whose advice you value, such as an accountant or financial advisor. If you agree to the terms of this Separation Agreement, sign in the space below where your agreement is indicated. The payments and benefits specified in this Separation Agreement are contingent on your signing this Separation Agreement on or after the Separation Date and not revoking this Separation Agreement. You will have 21 calendar days from the Separation Date to consider this Separation Agreement. If you choose to sign the Separation</w:t>
      </w:r>
    </w:p>
    <w:p>
      <w:pPr>
        <w:spacing w:after="0" w:line="200" w:lineRule="exact"/>
        <w:rPr>
          <w:sz w:val="20"/>
          <w:szCs w:val="20"/>
          <w:color w:val="auto"/>
        </w:rPr>
      </w:pPr>
    </w:p>
    <w:p>
      <w:pPr>
        <w:spacing w:after="0" w:line="212" w:lineRule="exact"/>
        <w:rPr>
          <w:sz w:val="20"/>
          <w:szCs w:val="20"/>
          <w:color w:val="auto"/>
        </w:rPr>
      </w:pPr>
    </w:p>
    <w:p>
      <w:pPr>
        <w:ind w:left="10407"/>
        <w:spacing w:after="0"/>
        <w:rPr>
          <w:sz w:val="20"/>
          <w:szCs w:val="20"/>
          <w:color w:val="auto"/>
        </w:rPr>
      </w:pPr>
      <w:r>
        <w:rPr>
          <w:rFonts w:ascii="Arial" w:cs="Arial" w:eastAsia="Arial" w:hAnsi="Arial"/>
          <w:sz w:val="18"/>
          <w:szCs w:val="18"/>
          <w:color w:val="auto"/>
        </w:rPr>
        <w:t>_____</w:t>
      </w:r>
    </w:p>
    <w:p>
      <w:pPr>
        <w:spacing w:after="0" w:line="33" w:lineRule="exact"/>
        <w:rPr>
          <w:sz w:val="20"/>
          <w:szCs w:val="20"/>
          <w:color w:val="auto"/>
        </w:rPr>
      </w:pPr>
    </w:p>
    <w:p>
      <w:pPr>
        <w:jc w:val="right"/>
        <w:spacing w:after="0"/>
        <w:rPr>
          <w:sz w:val="20"/>
          <w:szCs w:val="20"/>
          <w:color w:val="auto"/>
        </w:rPr>
      </w:pPr>
      <w:r>
        <w:rPr>
          <w:rFonts w:ascii="Arial" w:cs="Arial" w:eastAsia="Arial" w:hAnsi="Arial"/>
          <w:sz w:val="17"/>
          <w:szCs w:val="17"/>
          <w:color w:val="auto"/>
        </w:rPr>
        <w:t>Initials</w:t>
      </w:r>
    </w:p>
    <w:p>
      <w:pPr>
        <w:sectPr>
          <w:pgSz w:w="11900" w:h="16838" w:orient="portrait"/>
          <w:cols w:equalWidth="0" w:num="1">
            <w:col w:w="10927"/>
          </w:cols>
          <w:pgMar w:left="633" w:top="121" w:right="339" w:bottom="1440" w:gutter="0" w:footer="0" w:header="0"/>
        </w:sectPr>
      </w:pPr>
    </w:p>
    <w:bookmarkStart w:id="109" w:name="page110"/>
    <w:bookmarkEnd w:id="109"/>
    <w:p>
      <w:pPr>
        <w:jc w:val="right"/>
        <w:spacing w:after="0"/>
        <w:rPr>
          <w:sz w:val="20"/>
          <w:szCs w:val="20"/>
          <w:color w:val="auto"/>
        </w:rPr>
      </w:pPr>
      <w:r>
        <w:rPr>
          <w:rFonts w:ascii="Arial" w:cs="Arial" w:eastAsia="Arial" w:hAnsi="Arial"/>
          <w:sz w:val="17"/>
          <w:szCs w:val="17"/>
          <w:color w:val="auto"/>
        </w:rPr>
        <w:t>Page5</w:t>
      </w:r>
    </w:p>
    <w:p>
      <w:pPr>
        <w:spacing w:after="0" w:line="200" w:lineRule="exact"/>
        <w:rPr>
          <w:sz w:val="20"/>
          <w:szCs w:val="20"/>
          <w:color w:val="auto"/>
        </w:rPr>
      </w:pPr>
    </w:p>
    <w:p>
      <w:pPr>
        <w:spacing w:after="0" w:line="220" w:lineRule="exact"/>
        <w:rPr>
          <w:sz w:val="20"/>
          <w:szCs w:val="20"/>
          <w:color w:val="auto"/>
        </w:rPr>
      </w:pPr>
    </w:p>
    <w:p>
      <w:pPr>
        <w:jc w:val="both"/>
        <w:ind w:left="7"/>
        <w:spacing w:after="0" w:line="245" w:lineRule="auto"/>
        <w:rPr>
          <w:sz w:val="20"/>
          <w:szCs w:val="20"/>
          <w:color w:val="auto"/>
        </w:rPr>
      </w:pPr>
      <w:r>
        <w:rPr>
          <w:rFonts w:ascii="Arial" w:cs="Arial" w:eastAsia="Arial" w:hAnsi="Arial"/>
          <w:sz w:val="19"/>
          <w:szCs w:val="19"/>
          <w:color w:val="auto"/>
        </w:rPr>
        <w:t>Agreement before the end of that 21-day period, you certify that you did so voluntarily for your own benefit and waived the right to consider this Separation Agreement for the entire 21-day period. You agree that changes to this Separation Agreement, whether material or immaterial, do not restart the running of the 21-day period for you to consider the Separation Agreement. After you have signed this Separation Agreement, you may revoke your consent to it by delivering written notice signed by you to Raul Valentin, Executive Vice President, Chief Human Resources Officer, One Liberty Plaza, 7</w:t>
      </w:r>
      <w:r>
        <w:rPr>
          <w:rFonts w:ascii="Arial" w:cs="Arial" w:eastAsia="Arial" w:hAnsi="Arial"/>
          <w:sz w:val="24"/>
          <w:szCs w:val="24"/>
          <w:color w:val="auto"/>
          <w:vertAlign w:val="superscript"/>
        </w:rPr>
        <w:t>th</w:t>
      </w:r>
      <w:r>
        <w:rPr>
          <w:rFonts w:ascii="Arial" w:cs="Arial" w:eastAsia="Arial" w:hAnsi="Arial"/>
          <w:sz w:val="19"/>
          <w:szCs w:val="19"/>
          <w:color w:val="auto"/>
        </w:rPr>
        <w:t xml:space="preserve"> Floor, New York, New York 10006 by hand or by mail, or by email to him at Raul.Valentin@abm.com on or before the fifteenth calendar day after you sign it. If the revocation is sent by mail, it must be postmarked within the fifteen-day period and sent by certified mail, return receipt requested. If you do not revoke this Separation Agreement within fifteen calendar days after you sign it, it will be final, binding, and irrevocable (“Effective Date”).</w:t>
      </w:r>
    </w:p>
    <w:p>
      <w:pPr>
        <w:spacing w:after="0" w:line="177" w:lineRule="exact"/>
        <w:rPr>
          <w:sz w:val="20"/>
          <w:szCs w:val="20"/>
          <w:color w:val="auto"/>
        </w:rPr>
      </w:pPr>
    </w:p>
    <w:p>
      <w:pPr>
        <w:ind w:left="7"/>
        <w:spacing w:after="0"/>
        <w:rPr>
          <w:sz w:val="20"/>
          <w:szCs w:val="20"/>
          <w:color w:val="auto"/>
        </w:rPr>
      </w:pPr>
      <w:r>
        <w:rPr>
          <w:rFonts w:ascii="Arial" w:cs="Arial" w:eastAsia="Arial" w:hAnsi="Arial"/>
          <w:sz w:val="19"/>
          <w:szCs w:val="19"/>
          <w:color w:val="auto"/>
        </w:rPr>
        <w:t>Even if you revoke this Separation Agreement, Section 1 hereof will remain in effect.</w:t>
      </w:r>
    </w:p>
    <w:p>
      <w:pPr>
        <w:spacing w:after="0" w:line="207" w:lineRule="exact"/>
        <w:rPr>
          <w:sz w:val="20"/>
          <w:szCs w:val="20"/>
          <w:color w:val="auto"/>
        </w:rPr>
      </w:pPr>
    </w:p>
    <w:p>
      <w:pPr>
        <w:ind w:left="307" w:hanging="307"/>
        <w:spacing w:after="0"/>
        <w:tabs>
          <w:tab w:leader="none" w:pos="307" w:val="left"/>
        </w:tabs>
        <w:numPr>
          <w:ilvl w:val="0"/>
          <w:numId w:val="62"/>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Return of Property</w:t>
      </w:r>
    </w:p>
    <w:p>
      <w:pPr>
        <w:spacing w:after="0" w:line="194" w:lineRule="exact"/>
        <w:rPr>
          <w:sz w:val="20"/>
          <w:szCs w:val="20"/>
          <w:color w:val="auto"/>
        </w:rPr>
      </w:pPr>
    </w:p>
    <w:p>
      <w:pPr>
        <w:jc w:val="both"/>
        <w:ind w:left="7"/>
        <w:spacing w:after="0" w:line="269" w:lineRule="auto"/>
        <w:rPr>
          <w:sz w:val="20"/>
          <w:szCs w:val="20"/>
          <w:color w:val="auto"/>
        </w:rPr>
      </w:pPr>
      <w:r>
        <w:rPr>
          <w:rFonts w:ascii="Arial" w:cs="Arial" w:eastAsia="Arial" w:hAnsi="Arial"/>
          <w:sz w:val="18"/>
          <w:szCs w:val="18"/>
          <w:color w:val="auto"/>
        </w:rPr>
        <w:t>You affirm that you have returned, or will return, on or before the Separation Date to the Company all Company Property, as described more fully below, with the exception of documents relating to compensation or benefits to which you are entitled following the termination of your employment. Company Property includes company-owned motor vehicles, equipment, supplies and documents. Such documents may include but are not limited to customer lists, financial statements, cost data, price lists, invoices, forms, passwords, electronic files and media, mailing lists, contracts, reports, manuals, personnel files, correspondence, business cards, drawings, employee lists or directories, lists of vendors, photographs, maps, surveys, and the like, including copies, notes or compilations made there from, whether such documents are embodied on “hard copies” or contained on computer disk or any other medium You further agree that you will not retain any copies or duplicates of any such Company Property.</w:t>
      </w:r>
    </w:p>
    <w:p>
      <w:pPr>
        <w:spacing w:after="0" w:line="142" w:lineRule="exact"/>
        <w:rPr>
          <w:sz w:val="20"/>
          <w:szCs w:val="20"/>
          <w:color w:val="auto"/>
        </w:rPr>
      </w:pPr>
    </w:p>
    <w:p>
      <w:pPr>
        <w:ind w:left="307" w:hanging="307"/>
        <w:spacing w:after="0"/>
        <w:tabs>
          <w:tab w:leader="none" w:pos="307" w:val="left"/>
        </w:tabs>
        <w:numPr>
          <w:ilvl w:val="0"/>
          <w:numId w:val="63"/>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Positions Held As ABM Representative</w:t>
      </w:r>
    </w:p>
    <w:p>
      <w:pPr>
        <w:spacing w:after="0" w:line="194" w:lineRule="exact"/>
        <w:rPr>
          <w:sz w:val="20"/>
          <w:szCs w:val="20"/>
          <w:color w:val="auto"/>
        </w:rPr>
      </w:pPr>
    </w:p>
    <w:p>
      <w:pPr>
        <w:jc w:val="both"/>
        <w:ind w:left="7"/>
        <w:spacing w:after="0" w:line="255" w:lineRule="auto"/>
        <w:rPr>
          <w:sz w:val="20"/>
          <w:szCs w:val="20"/>
          <w:color w:val="auto"/>
        </w:rPr>
      </w:pPr>
      <w:r>
        <w:rPr>
          <w:rFonts w:ascii="Arial" w:cs="Arial" w:eastAsia="Arial" w:hAnsi="Arial"/>
          <w:sz w:val="19"/>
          <w:szCs w:val="19"/>
          <w:color w:val="auto"/>
        </w:rPr>
        <w:t>If during employment you held any membership or position as a representative of ABM Industries Incorporated, ABM Industry Groups, LLC, GCA Services Group, Inc., or any of their respective affiliated companies for any outside organization (such as BOMA, IR EM, IFMA or BSCIA), or as a trustee for a union trust fund (such as a Taft-Hartley or similar fund), you agree that you will resign from such membership or position, or trustee position effective on the date of the Separation Agreement set forth above, and you agree to cooperate fully with ABM in any process whereby ABM designates a new representative to replace the position vacated by you.</w:t>
      </w:r>
    </w:p>
    <w:p>
      <w:pPr>
        <w:spacing w:after="0" w:line="167" w:lineRule="exact"/>
        <w:rPr>
          <w:sz w:val="20"/>
          <w:szCs w:val="20"/>
          <w:color w:val="auto"/>
        </w:rPr>
      </w:pPr>
    </w:p>
    <w:p>
      <w:pPr>
        <w:ind w:left="307" w:hanging="307"/>
        <w:spacing w:after="0"/>
        <w:tabs>
          <w:tab w:leader="none" w:pos="307" w:val="left"/>
        </w:tabs>
        <w:numPr>
          <w:ilvl w:val="0"/>
          <w:numId w:val="64"/>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Nature of Agreement</w:t>
      </w:r>
    </w:p>
    <w:p>
      <w:pPr>
        <w:spacing w:after="0" w:line="181" w:lineRule="exact"/>
        <w:rPr>
          <w:sz w:val="20"/>
          <w:szCs w:val="20"/>
          <w:color w:val="auto"/>
        </w:rPr>
      </w:pPr>
    </w:p>
    <w:p>
      <w:pPr>
        <w:jc w:val="both"/>
        <w:ind w:left="7"/>
        <w:spacing w:after="0" w:line="252" w:lineRule="auto"/>
        <w:rPr>
          <w:sz w:val="20"/>
          <w:szCs w:val="20"/>
          <w:color w:val="auto"/>
        </w:rPr>
      </w:pPr>
      <w:r>
        <w:rPr>
          <w:rFonts w:ascii="Arial" w:cs="Arial" w:eastAsia="Arial" w:hAnsi="Arial"/>
          <w:sz w:val="19"/>
          <w:szCs w:val="19"/>
          <w:color w:val="auto"/>
        </w:rPr>
        <w:t>By signing this Separation Agreement, you acknowledge that you are doing so freely, knowingly and voluntarily. You acknowledge that in signing this Separation Agreement you have relied only on the promises written in this Separation Agreement, and not on any other promise made by the Company or the Released Parties. This Separation Agreement is not, and will not be considered, an admission of liability or of a violation of any applicable contract, law, rule, regulation, or order of any kind. This Separation Agreement contains the entire agreement between the Company (including the Released Parties) and you regarding your departure from the Company, except that all post-employment covenants contained in your Employment Agreement remain in full force and effect. The Separation Benefits are in full satisfaction of any severance benefits under the Employment Agreement, your Change in Control Agreement with ABM, and any Company severance policy or any other Company severance plan, policy, or agreement. This Separation Agreement may not be altered, modified, waived or amended except by a written document signed by a duly authorized representative of the Company and you. Except as otherwise provided, this Separation Agreement will be interpreted and enforced in accordance with the laws of the state of New York. The headings in this document are for reference only, and shall not in any way affect the meaning or interpretation of this Separation</w:t>
      </w:r>
    </w:p>
    <w:p>
      <w:pPr>
        <w:spacing w:after="0" w:line="200" w:lineRule="exact"/>
        <w:rPr>
          <w:sz w:val="20"/>
          <w:szCs w:val="20"/>
          <w:color w:val="auto"/>
        </w:rPr>
      </w:pPr>
    </w:p>
    <w:p>
      <w:pPr>
        <w:spacing w:after="0" w:line="218" w:lineRule="exact"/>
        <w:rPr>
          <w:sz w:val="20"/>
          <w:szCs w:val="20"/>
          <w:color w:val="auto"/>
        </w:rPr>
      </w:pPr>
    </w:p>
    <w:p>
      <w:pPr>
        <w:ind w:left="10407"/>
        <w:spacing w:after="0"/>
        <w:rPr>
          <w:sz w:val="20"/>
          <w:szCs w:val="20"/>
          <w:color w:val="auto"/>
        </w:rPr>
      </w:pPr>
      <w:r>
        <w:rPr>
          <w:rFonts w:ascii="Arial" w:cs="Arial" w:eastAsia="Arial" w:hAnsi="Arial"/>
          <w:sz w:val="18"/>
          <w:szCs w:val="18"/>
          <w:color w:val="auto"/>
        </w:rPr>
        <w:t>_____</w:t>
      </w:r>
    </w:p>
    <w:p>
      <w:pPr>
        <w:spacing w:after="0" w:line="33" w:lineRule="exact"/>
        <w:rPr>
          <w:sz w:val="20"/>
          <w:szCs w:val="20"/>
          <w:color w:val="auto"/>
        </w:rPr>
      </w:pPr>
    </w:p>
    <w:p>
      <w:pPr>
        <w:jc w:val="right"/>
        <w:spacing w:after="0"/>
        <w:rPr>
          <w:sz w:val="20"/>
          <w:szCs w:val="20"/>
          <w:color w:val="auto"/>
        </w:rPr>
      </w:pPr>
      <w:r>
        <w:rPr>
          <w:rFonts w:ascii="Arial" w:cs="Arial" w:eastAsia="Arial" w:hAnsi="Arial"/>
          <w:sz w:val="17"/>
          <w:szCs w:val="17"/>
          <w:color w:val="auto"/>
        </w:rPr>
        <w:t>Initials</w:t>
      </w:r>
    </w:p>
    <w:p>
      <w:pPr>
        <w:sectPr>
          <w:pgSz w:w="11900" w:h="16838" w:orient="portrait"/>
          <w:cols w:equalWidth="0" w:num="1">
            <w:col w:w="10927"/>
          </w:cols>
          <w:pgMar w:left="633" w:top="121" w:right="339" w:bottom="1440" w:gutter="0" w:footer="0" w:header="0"/>
        </w:sectPr>
      </w:pPr>
    </w:p>
    <w:bookmarkStart w:id="110" w:name="page111"/>
    <w:bookmarkEnd w:id="110"/>
    <w:p>
      <w:pPr>
        <w:jc w:val="right"/>
        <w:spacing w:after="0"/>
        <w:rPr>
          <w:sz w:val="20"/>
          <w:szCs w:val="20"/>
          <w:color w:val="auto"/>
        </w:rPr>
      </w:pPr>
      <w:r>
        <w:rPr>
          <w:rFonts w:ascii="Arial" w:cs="Arial" w:eastAsia="Arial" w:hAnsi="Arial"/>
          <w:sz w:val="17"/>
          <w:szCs w:val="17"/>
          <w:color w:val="auto"/>
        </w:rPr>
        <w:t>Page6</w:t>
      </w:r>
    </w:p>
    <w:p>
      <w:pPr>
        <w:spacing w:after="0" w:line="200" w:lineRule="exact"/>
        <w:rPr>
          <w:sz w:val="20"/>
          <w:szCs w:val="20"/>
          <w:color w:val="auto"/>
        </w:rPr>
      </w:pPr>
    </w:p>
    <w:p>
      <w:pPr>
        <w:spacing w:after="0" w:line="220" w:lineRule="exact"/>
        <w:rPr>
          <w:sz w:val="20"/>
          <w:szCs w:val="20"/>
          <w:color w:val="auto"/>
        </w:rPr>
      </w:pPr>
    </w:p>
    <w:p>
      <w:pPr>
        <w:jc w:val="both"/>
        <w:spacing w:after="0" w:line="264" w:lineRule="auto"/>
        <w:rPr>
          <w:sz w:val="20"/>
          <w:szCs w:val="20"/>
          <w:color w:val="auto"/>
        </w:rPr>
      </w:pPr>
      <w:r>
        <w:rPr>
          <w:rFonts w:ascii="Arial" w:cs="Arial" w:eastAsia="Arial" w:hAnsi="Arial"/>
          <w:sz w:val="19"/>
          <w:szCs w:val="19"/>
          <w:color w:val="auto"/>
        </w:rPr>
        <w:t>Agreement. Nothing in this Separation Agreement shall be binding on the parties to the extent it is void or unenforceable. The provisions of this Separation Agreement are severable. If any provision of this Separation Agreement is ruled unenforceable or invalid, such ruling shall not affect the enforceability or validity of other provisions of this Separation Agreement.</w:t>
      </w:r>
    </w:p>
    <w:p>
      <w:pPr>
        <w:spacing w:after="0" w:line="169" w:lineRule="exact"/>
        <w:rPr>
          <w:sz w:val="20"/>
          <w:szCs w:val="20"/>
          <w:color w:val="auto"/>
        </w:rPr>
      </w:pPr>
    </w:p>
    <w:p>
      <w:pPr>
        <w:spacing w:after="0"/>
        <w:rPr>
          <w:sz w:val="20"/>
          <w:szCs w:val="20"/>
          <w:color w:val="auto"/>
        </w:rPr>
      </w:pPr>
      <w:r>
        <w:rPr>
          <w:rFonts w:ascii="Arial" w:cs="Arial" w:eastAsia="Arial" w:hAnsi="Arial"/>
          <w:sz w:val="19"/>
          <w:szCs w:val="19"/>
          <w:color w:val="auto"/>
        </w:rPr>
        <w:t>Sincerely,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1440" w:type="dxa"/>
            <w:vAlign w:val="bottom"/>
            <w:tcBorders>
              <w:bottom w:val="single" w:sz="8" w:color="auto"/>
            </w:tcBorders>
          </w:tcPr>
          <w:p>
            <w:pPr>
              <w:spacing w:after="0"/>
              <w:rPr>
                <w:sz w:val="20"/>
                <w:szCs w:val="20"/>
                <w:color w:val="auto"/>
              </w:rPr>
            </w:pPr>
            <w:r>
              <w:rPr>
                <w:rFonts w:ascii="Arial" w:cs="Arial" w:eastAsia="Arial" w:hAnsi="Arial"/>
                <w:sz w:val="19"/>
                <w:szCs w:val="19"/>
                <w:color w:val="auto"/>
              </w:rPr>
              <w:t>/s/ Raul Valentin</w:t>
            </w:r>
          </w:p>
        </w:tc>
        <w:tc>
          <w:tcPr>
            <w:tcW w:w="12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620" w:type="dxa"/>
            <w:vAlign w:val="bottom"/>
            <w:tcBorders>
              <w:bottom w:val="single" w:sz="8" w:color="auto"/>
            </w:tcBorders>
          </w:tcPr>
          <w:p>
            <w:pPr>
              <w:spacing w:after="0"/>
              <w:rPr>
                <w:sz w:val="20"/>
                <w:szCs w:val="20"/>
                <w:color w:val="auto"/>
              </w:rPr>
            </w:pPr>
            <w:r>
              <w:rPr>
                <w:rFonts w:ascii="Arial" w:cs="Arial" w:eastAsia="Arial" w:hAnsi="Arial"/>
                <w:sz w:val="19"/>
                <w:szCs w:val="19"/>
                <w:color w:val="auto"/>
                <w:w w:val="98"/>
              </w:rPr>
              <w:t>September 5, 2025</w:t>
            </w:r>
          </w:p>
        </w:tc>
      </w:tr>
      <w:tr>
        <w:trPr>
          <w:trHeight w:val="242"/>
        </w:trPr>
        <w:tc>
          <w:tcPr>
            <w:tcW w:w="3440" w:type="dxa"/>
            <w:vAlign w:val="bottom"/>
            <w:gridSpan w:val="4"/>
          </w:tcPr>
          <w:p>
            <w:pPr>
              <w:spacing w:after="0"/>
              <w:rPr>
                <w:sz w:val="20"/>
                <w:szCs w:val="20"/>
                <w:color w:val="auto"/>
              </w:rPr>
            </w:pPr>
            <w:r>
              <w:rPr>
                <w:rFonts w:ascii="Arial" w:cs="Arial" w:eastAsia="Arial" w:hAnsi="Arial"/>
                <w:sz w:val="19"/>
                <w:szCs w:val="19"/>
                <w:color w:val="auto"/>
              </w:rPr>
              <w:t>On behalf of the Company,</w:t>
            </w:r>
          </w:p>
        </w:tc>
      </w:tr>
      <w:tr>
        <w:trPr>
          <w:trHeight w:val="237"/>
        </w:trPr>
        <w:tc>
          <w:tcPr>
            <w:tcW w:w="1440" w:type="dxa"/>
            <w:vAlign w:val="bottom"/>
          </w:tcPr>
          <w:p>
            <w:pPr>
              <w:spacing w:after="0"/>
              <w:rPr>
                <w:sz w:val="20"/>
                <w:szCs w:val="20"/>
                <w:color w:val="auto"/>
              </w:rPr>
            </w:pPr>
            <w:r>
              <w:rPr>
                <w:rFonts w:ascii="Arial" w:cs="Arial" w:eastAsia="Arial" w:hAnsi="Arial"/>
                <w:sz w:val="19"/>
                <w:szCs w:val="19"/>
                <w:color w:val="auto"/>
              </w:rPr>
              <w:t>Raύl Valentin</w:t>
            </w:r>
          </w:p>
        </w:tc>
        <w:tc>
          <w:tcPr>
            <w:tcW w:w="2000" w:type="dxa"/>
            <w:vAlign w:val="bottom"/>
            <w:gridSpan w:val="3"/>
          </w:tcPr>
          <w:p>
            <w:pPr>
              <w:ind w:left="80"/>
              <w:spacing w:after="0"/>
              <w:rPr>
                <w:sz w:val="20"/>
                <w:szCs w:val="20"/>
                <w:color w:val="auto"/>
              </w:rPr>
            </w:pPr>
            <w:r>
              <w:rPr>
                <w:rFonts w:ascii="Arial" w:cs="Arial" w:eastAsia="Arial" w:hAnsi="Arial"/>
                <w:sz w:val="19"/>
                <w:szCs w:val="19"/>
                <w:color w:val="auto"/>
              </w:rPr>
              <w:t>Date</w:t>
            </w:r>
          </w:p>
        </w:tc>
      </w:tr>
    </w:tbl>
    <w:p>
      <w:pPr>
        <w:spacing w:after="0"/>
        <w:rPr>
          <w:sz w:val="20"/>
          <w:szCs w:val="20"/>
          <w:color w:val="auto"/>
        </w:rPr>
      </w:pPr>
      <w:r>
        <w:rPr>
          <w:rFonts w:ascii="Arial" w:cs="Arial" w:eastAsia="Arial" w:hAnsi="Arial"/>
          <w:sz w:val="19"/>
          <w:szCs w:val="19"/>
          <w:color w:val="auto"/>
        </w:rPr>
        <w:t>Executive Vice President, Chief Human Resources Officer</w:t>
      </w:r>
    </w:p>
    <w:p>
      <w:pPr>
        <w:spacing w:after="0" w:line="22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 do hereby acknowledge and accept the terms of, and agree to, this Separation and Release Agreement.</w:t>
      </w:r>
    </w:p>
    <w:p>
      <w:pPr>
        <w:spacing w:after="0" w:line="233" w:lineRule="exact"/>
        <w:rPr>
          <w:sz w:val="20"/>
          <w:szCs w:val="20"/>
          <w:color w:val="auto"/>
        </w:rPr>
      </w:pPr>
    </w:p>
    <w:p>
      <w:pPr>
        <w:spacing w:after="0"/>
        <w:rPr>
          <w:sz w:val="20"/>
          <w:szCs w:val="20"/>
          <w:color w:val="auto"/>
        </w:rPr>
      </w:pPr>
      <w:r>
        <w:rPr>
          <w:rFonts w:ascii="Arial" w:cs="Arial" w:eastAsia="Arial" w:hAnsi="Arial"/>
          <w:sz w:val="19"/>
          <w:szCs w:val="19"/>
          <w:color w:val="auto"/>
        </w:rPr>
        <w:t>/s/ Earl Ellis</w:t>
      </w:r>
    </w:p>
    <w:p>
      <w:pPr>
        <w:spacing w:after="0" w:line="31" w:lineRule="exact"/>
        <w:rPr>
          <w:sz w:val="20"/>
          <w:szCs w:val="20"/>
          <w:color w:val="auto"/>
        </w:rPr>
      </w:pPr>
    </w:p>
    <w:p>
      <w:pPr>
        <w:ind w:left="460"/>
        <w:spacing w:after="0"/>
        <w:rPr>
          <w:sz w:val="20"/>
          <w:szCs w:val="20"/>
          <w:color w:val="auto"/>
        </w:rPr>
      </w:pPr>
      <w:r>
        <w:rPr>
          <w:rFonts w:ascii="Arial" w:cs="Arial" w:eastAsia="Arial" w:hAnsi="Arial"/>
          <w:sz w:val="19"/>
          <w:szCs w:val="19"/>
          <w:u w:val="single" w:color="auto"/>
          <w:color w:val="auto"/>
        </w:rPr>
        <w:t>September 5,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-20955</wp:posOffset>
            </wp:positionV>
            <wp:extent cx="13335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35">
                      <a:extLst>
                        <a:ext uri="{28A0092B-C50C-407E-A947-70E740481C1C}"/>
                      </a:extLst>
                    </a:blip>
                    <a:srcRect/>
                    <a:stretch>
                      <a:fillRect/>
                    </a:stretch>
                  </pic:blipFill>
                  <pic:spPr bwMode="auto">
                    <a:xfrm>
                      <a:off x="0" y="0"/>
                      <a:ext cx="133350" cy="8255"/>
                    </a:xfrm>
                    <a:prstGeom prst="rect">
                      <a:avLst/>
                    </a:prstGeom>
                    <a:noFill/>
                  </pic:spPr>
                </pic:pic>
              </a:graphicData>
            </a:graphic>
          </wp:anchor>
        </w:drawing>
      </w:r>
    </w:p>
    <w:p>
      <w:pPr>
        <w:spacing w:after="0"/>
        <w:tabs>
          <w:tab w:leader="none" w:pos="1120" w:val="left"/>
        </w:tabs>
        <w:rPr>
          <w:sz w:val="20"/>
          <w:szCs w:val="20"/>
          <w:color w:val="auto"/>
        </w:rPr>
      </w:pPr>
      <w:r>
        <w:rPr>
          <w:rFonts w:ascii="Arial" w:cs="Arial" w:eastAsia="Arial" w:hAnsi="Arial"/>
          <w:sz w:val="19"/>
          <w:szCs w:val="19"/>
          <w:color w:val="auto"/>
        </w:rPr>
        <w:t>Earl Ellis</w:t>
      </w:r>
      <w:r>
        <w:rPr>
          <w:sz w:val="20"/>
          <w:szCs w:val="20"/>
          <w:color w:val="auto"/>
        </w:rPr>
        <w:tab/>
      </w:r>
      <w:r>
        <w:rPr>
          <w:rFonts w:ascii="Arial" w:cs="Arial" w:eastAsia="Arial" w:hAnsi="Arial"/>
          <w:sz w:val="18"/>
          <w:szCs w:val="18"/>
          <w:color w:val="auto"/>
        </w:rPr>
        <w:t>Date</w:t>
      </w:r>
    </w:p>
    <w:p>
      <w:pPr>
        <w:spacing w:after="0" w:line="216" w:lineRule="exact"/>
        <w:rPr>
          <w:sz w:val="20"/>
          <w:szCs w:val="20"/>
          <w:color w:val="auto"/>
        </w:rPr>
      </w:pPr>
    </w:p>
    <w:p>
      <w:pPr>
        <w:ind w:left="10400"/>
        <w:spacing w:after="0"/>
        <w:rPr>
          <w:sz w:val="20"/>
          <w:szCs w:val="20"/>
          <w:color w:val="auto"/>
        </w:rPr>
      </w:pPr>
      <w:r>
        <w:rPr>
          <w:rFonts w:ascii="Arial" w:cs="Arial" w:eastAsia="Arial" w:hAnsi="Arial"/>
          <w:sz w:val="18"/>
          <w:szCs w:val="18"/>
          <w:color w:val="auto"/>
        </w:rPr>
        <w:t>_____</w:t>
      </w:r>
    </w:p>
    <w:p>
      <w:pPr>
        <w:spacing w:after="0" w:line="4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Initials</w:t>
      </w:r>
    </w:p>
    <w:p>
      <w:pPr>
        <w:sectPr>
          <w:pgSz w:w="11900" w:h="16838" w:orient="portrait"/>
          <w:cols w:equalWidth="0" w:num="1">
            <w:col w:w="10920"/>
          </w:cols>
          <w:pgMar w:left="640" w:top="121" w:right="339" w:bottom="1440" w:gutter="0" w:footer="0" w:header="0"/>
        </w:sectPr>
      </w:pPr>
    </w:p>
    <w:bookmarkStart w:id="111" w:name="page112"/>
    <w:bookmarkEnd w:id="111"/>
    <w:p>
      <w:pPr>
        <w:jc w:val="right"/>
        <w:spacing w:after="0"/>
        <w:rPr>
          <w:sz w:val="20"/>
          <w:szCs w:val="20"/>
          <w:color w:val="auto"/>
        </w:rPr>
      </w:pPr>
      <w:r>
        <w:rPr>
          <w:rFonts w:ascii="Times New Roman" w:cs="Times New Roman" w:eastAsia="Times New Roman" w:hAnsi="Times New Roman"/>
          <w:sz w:val="21"/>
          <w:szCs w:val="21"/>
          <w:b w:val="1"/>
          <w:bCs w:val="1"/>
          <w:color w:val="auto"/>
        </w:rPr>
        <w:t>Exhibit 21.1</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SUBSIDIARIES OF ABM INDUSTRIES INCORPORATED</w:t>
      </w:r>
    </w:p>
    <w:p>
      <w:pPr>
        <w:spacing w:after="0" w:line="247" w:lineRule="exact"/>
        <w:rPr>
          <w:sz w:val="20"/>
          <w:szCs w:val="20"/>
          <w:color w:val="auto"/>
        </w:rPr>
      </w:pPr>
    </w:p>
    <w:p>
      <w:pPr>
        <w:ind w:right="400"/>
        <w:spacing w:after="0" w:line="255" w:lineRule="auto"/>
        <w:rPr>
          <w:sz w:val="20"/>
          <w:szCs w:val="20"/>
          <w:color w:val="auto"/>
        </w:rPr>
      </w:pPr>
      <w:r>
        <w:rPr>
          <w:rFonts w:ascii="Times New Roman" w:cs="Times New Roman" w:eastAsia="Times New Roman" w:hAnsi="Times New Roman"/>
          <w:sz w:val="17"/>
          <w:szCs w:val="17"/>
          <w:color w:val="auto"/>
        </w:rPr>
        <w:t>The following is a list of subsidiaries of the company as of October 31, 2025, omitting subsidiaries which, considered in the aggregate, would not constitute a significant subsidiary.</w:t>
      </w:r>
    </w:p>
    <w:p>
      <w:pPr>
        <w:spacing w:after="0" w:line="313" w:lineRule="exact"/>
        <w:rPr>
          <w:sz w:val="20"/>
          <w:szCs w:val="20"/>
          <w:color w:val="auto"/>
        </w:rPr>
      </w:pPr>
    </w:p>
    <w:tbl>
      <w:tblPr>
        <w:tblLayout w:type="fixed"/>
        <w:tblInd w:w="340" w:type="dxa"/>
        <w:tblCellMar>
          <w:top w:w="0" w:type="dxa"/>
          <w:left w:w="0" w:type="dxa"/>
          <w:bottom w:w="0" w:type="dxa"/>
          <w:right w:w="0" w:type="dxa"/>
        </w:tblCellMar>
      </w:tblPr>
      <w:tr>
        <w:trPr>
          <w:trHeight w:val="195"/>
        </w:trPr>
        <w:tc>
          <w:tcPr>
            <w:tcW w:w="624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Company</w:t>
            </w:r>
          </w:p>
        </w:tc>
        <w:tc>
          <w:tcPr>
            <w:tcW w:w="3800" w:type="dxa"/>
            <w:vAlign w:val="bottom"/>
          </w:tcPr>
          <w:p>
            <w:pPr>
              <w:ind w:left="2100"/>
              <w:spacing w:after="0"/>
              <w:rPr>
                <w:sz w:val="20"/>
                <w:szCs w:val="20"/>
                <w:color w:val="auto"/>
              </w:rPr>
            </w:pPr>
            <w:r>
              <w:rPr>
                <w:rFonts w:ascii="Times New Roman" w:cs="Times New Roman" w:eastAsia="Times New Roman" w:hAnsi="Times New Roman"/>
                <w:sz w:val="17"/>
                <w:szCs w:val="17"/>
                <w:b w:val="1"/>
                <w:bCs w:val="1"/>
                <w:color w:val="auto"/>
              </w:rPr>
              <w:t>Where Incorporated</w:t>
            </w:r>
          </w:p>
        </w:tc>
        <w:tc>
          <w:tcPr>
            <w:tcW w:w="0" w:type="dxa"/>
            <w:vAlign w:val="bottom"/>
          </w:tcPr>
          <w:p>
            <w:pPr>
              <w:spacing w:after="0"/>
              <w:rPr>
                <w:sz w:val="1"/>
                <w:szCs w:val="1"/>
                <w:color w:val="auto"/>
              </w:rPr>
            </w:pPr>
          </w:p>
        </w:tc>
      </w:tr>
      <w:tr>
        <w:trPr>
          <w:trHeight w:val="227"/>
        </w:trPr>
        <w:tc>
          <w:tcPr>
            <w:tcW w:w="6240" w:type="dxa"/>
            <w:vAlign w:val="bottom"/>
            <w:tcBorders>
              <w:bottom w:val="single" w:sz="8" w:color="auto"/>
            </w:tcBorders>
            <w:vMerge w:val="continue"/>
          </w:tcPr>
          <w:p>
            <w:pPr>
              <w:spacing w:after="0"/>
              <w:rPr>
                <w:sz w:val="19"/>
                <w:szCs w:val="19"/>
                <w:color w:val="auto"/>
              </w:rPr>
            </w:pPr>
          </w:p>
        </w:tc>
        <w:tc>
          <w:tcPr>
            <w:tcW w:w="3800" w:type="dxa"/>
            <w:vAlign w:val="bottom"/>
            <w:tcBorders>
              <w:bottom w:val="single" w:sz="8" w:color="auto"/>
            </w:tcBorders>
          </w:tcPr>
          <w:p>
            <w:pPr>
              <w:ind w:left="2100"/>
              <w:spacing w:after="0"/>
              <w:rPr>
                <w:sz w:val="20"/>
                <w:szCs w:val="20"/>
                <w:color w:val="auto"/>
              </w:rPr>
            </w:pPr>
            <w:r>
              <w:rPr>
                <w:rFonts w:ascii="Times New Roman" w:cs="Times New Roman" w:eastAsia="Times New Roman" w:hAnsi="Times New Roman"/>
                <w:sz w:val="17"/>
                <w:szCs w:val="17"/>
                <w:b w:val="1"/>
                <w:bCs w:val="1"/>
                <w:color w:val="auto"/>
              </w:rPr>
              <w:t>or Organized</w:t>
            </w:r>
          </w:p>
        </w:tc>
        <w:tc>
          <w:tcPr>
            <w:tcW w:w="0" w:type="dxa"/>
            <w:vAlign w:val="bottom"/>
          </w:tcPr>
          <w:p>
            <w:pPr>
              <w:spacing w:after="0"/>
              <w:rPr>
                <w:sz w:val="1"/>
                <w:szCs w:val="1"/>
                <w:color w:val="auto"/>
              </w:rPr>
            </w:pPr>
          </w:p>
        </w:tc>
      </w:tr>
      <w:tr>
        <w:trPr>
          <w:trHeight w:val="209"/>
        </w:trPr>
        <w:tc>
          <w:tcPr>
            <w:tcW w:w="62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ABM INDUSTRIES INCORPORATED</w:t>
            </w:r>
          </w:p>
        </w:tc>
        <w:tc>
          <w:tcPr>
            <w:tcW w:w="3800" w:type="dxa"/>
            <w:vAlign w:val="bottom"/>
          </w:tcPr>
          <w:p>
            <w:pPr>
              <w:ind w:left="210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19"/>
        </w:trPr>
        <w:tc>
          <w:tcPr>
            <w:tcW w:w="6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   ABM Aviation, Inc.</w:t>
            </w:r>
          </w:p>
        </w:tc>
        <w:tc>
          <w:tcPr>
            <w:tcW w:w="3800" w:type="dxa"/>
            <w:vAlign w:val="bottom"/>
          </w:tcPr>
          <w:p>
            <w:pPr>
              <w:ind w:left="2100"/>
              <w:spacing w:after="0"/>
              <w:rPr>
                <w:sz w:val="20"/>
                <w:szCs w:val="20"/>
                <w:color w:val="auto"/>
              </w:rPr>
            </w:pPr>
            <w:r>
              <w:rPr>
                <w:rFonts w:ascii="Times New Roman" w:cs="Times New Roman" w:eastAsia="Times New Roman" w:hAnsi="Times New Roman"/>
                <w:sz w:val="17"/>
                <w:szCs w:val="17"/>
                <w:color w:val="auto"/>
              </w:rPr>
              <w:t>Georgia</w:t>
            </w:r>
          </w:p>
        </w:tc>
        <w:tc>
          <w:tcPr>
            <w:tcW w:w="0" w:type="dxa"/>
            <w:vAlign w:val="bottom"/>
          </w:tcPr>
          <w:p>
            <w:pPr>
              <w:spacing w:after="0"/>
              <w:rPr>
                <w:sz w:val="1"/>
                <w:szCs w:val="1"/>
                <w:color w:val="auto"/>
              </w:rPr>
            </w:pPr>
          </w:p>
        </w:tc>
      </w:tr>
      <w:tr>
        <w:trPr>
          <w:trHeight w:val="219"/>
        </w:trPr>
        <w:tc>
          <w:tcPr>
            <w:tcW w:w="6240" w:type="dxa"/>
            <w:vAlign w:val="bottom"/>
          </w:tcPr>
          <w:p>
            <w:pPr>
              <w:ind w:left="720"/>
              <w:spacing w:after="0"/>
              <w:rPr>
                <w:sz w:val="20"/>
                <w:szCs w:val="20"/>
                <w:color w:val="auto"/>
              </w:rPr>
            </w:pPr>
            <w:r>
              <w:rPr>
                <w:rFonts w:ascii="Times New Roman" w:cs="Times New Roman" w:eastAsia="Times New Roman" w:hAnsi="Times New Roman"/>
                <w:sz w:val="17"/>
                <w:szCs w:val="17"/>
                <w:color w:val="auto"/>
              </w:rPr>
              <w:t>ABM International Limited</w:t>
            </w:r>
          </w:p>
        </w:tc>
        <w:tc>
          <w:tcPr>
            <w:tcW w:w="3800" w:type="dxa"/>
            <w:vAlign w:val="bottom"/>
          </w:tcPr>
          <w:p>
            <w:pPr>
              <w:ind w:left="2100"/>
              <w:spacing w:after="0"/>
              <w:rPr>
                <w:sz w:val="20"/>
                <w:szCs w:val="20"/>
                <w:color w:val="auto"/>
              </w:rPr>
            </w:pPr>
            <w:r>
              <w:rPr>
                <w:rFonts w:ascii="Times New Roman" w:cs="Times New Roman" w:eastAsia="Times New Roman" w:hAnsi="Times New Roman"/>
                <w:sz w:val="17"/>
                <w:szCs w:val="17"/>
                <w:color w:val="auto"/>
              </w:rPr>
              <w:t>Bermuda</w:t>
            </w:r>
          </w:p>
        </w:tc>
        <w:tc>
          <w:tcPr>
            <w:tcW w:w="0" w:type="dxa"/>
            <w:vAlign w:val="bottom"/>
          </w:tcPr>
          <w:p>
            <w:pPr>
              <w:spacing w:after="0"/>
              <w:rPr>
                <w:sz w:val="1"/>
                <w:szCs w:val="1"/>
                <w:color w:val="auto"/>
              </w:rPr>
            </w:pPr>
          </w:p>
        </w:tc>
      </w:tr>
      <w:tr>
        <w:trPr>
          <w:trHeight w:val="219"/>
        </w:trPr>
        <w:tc>
          <w:tcPr>
            <w:tcW w:w="6240" w:type="dxa"/>
            <w:vAlign w:val="bottom"/>
          </w:tcPr>
          <w:p>
            <w:pPr>
              <w:ind w:left="980"/>
              <w:spacing w:after="0"/>
              <w:rPr>
                <w:sz w:val="20"/>
                <w:szCs w:val="20"/>
                <w:color w:val="auto"/>
              </w:rPr>
            </w:pPr>
            <w:r>
              <w:rPr>
                <w:rFonts w:ascii="Times New Roman" w:cs="Times New Roman" w:eastAsia="Times New Roman" w:hAnsi="Times New Roman"/>
                <w:sz w:val="17"/>
                <w:szCs w:val="17"/>
                <w:color w:val="auto"/>
              </w:rPr>
              <w:t>ABM International (Holdings) Ltd</w:t>
            </w:r>
          </w:p>
        </w:tc>
        <w:tc>
          <w:tcPr>
            <w:tcW w:w="3800" w:type="dxa"/>
            <w:vAlign w:val="bottom"/>
          </w:tcPr>
          <w:p>
            <w:pPr>
              <w:ind w:left="2100"/>
              <w:spacing w:after="0"/>
              <w:rPr>
                <w:sz w:val="20"/>
                <w:szCs w:val="20"/>
                <w:color w:val="auto"/>
              </w:rPr>
            </w:pPr>
            <w:r>
              <w:rPr>
                <w:rFonts w:ascii="Times New Roman" w:cs="Times New Roman" w:eastAsia="Times New Roman" w:hAnsi="Times New Roman"/>
                <w:sz w:val="17"/>
                <w:szCs w:val="17"/>
                <w:color w:val="auto"/>
              </w:rPr>
              <w:t>England</w:t>
            </w:r>
          </w:p>
        </w:tc>
        <w:tc>
          <w:tcPr>
            <w:tcW w:w="0" w:type="dxa"/>
            <w:vAlign w:val="bottom"/>
          </w:tcPr>
          <w:p>
            <w:pPr>
              <w:spacing w:after="0"/>
              <w:rPr>
                <w:sz w:val="1"/>
                <w:szCs w:val="1"/>
                <w:color w:val="auto"/>
              </w:rPr>
            </w:pPr>
          </w:p>
        </w:tc>
      </w:tr>
      <w:tr>
        <w:trPr>
          <w:trHeight w:val="219"/>
        </w:trPr>
        <w:tc>
          <w:tcPr>
            <w:tcW w:w="6240" w:type="dxa"/>
            <w:vAlign w:val="bottom"/>
          </w:tcPr>
          <w:p>
            <w:pPr>
              <w:ind w:left="1140"/>
              <w:spacing w:after="0"/>
              <w:rPr>
                <w:sz w:val="20"/>
                <w:szCs w:val="20"/>
                <w:color w:val="auto"/>
              </w:rPr>
            </w:pPr>
            <w:r>
              <w:rPr>
                <w:rFonts w:ascii="Times New Roman" w:cs="Times New Roman" w:eastAsia="Times New Roman" w:hAnsi="Times New Roman"/>
                <w:sz w:val="17"/>
                <w:szCs w:val="17"/>
                <w:color w:val="auto"/>
              </w:rPr>
              <w:t>ABM Aviation UK Limited</w:t>
            </w:r>
          </w:p>
        </w:tc>
        <w:tc>
          <w:tcPr>
            <w:tcW w:w="3800" w:type="dxa"/>
            <w:vAlign w:val="bottom"/>
          </w:tcPr>
          <w:p>
            <w:pPr>
              <w:ind w:left="2100"/>
              <w:spacing w:after="0"/>
              <w:rPr>
                <w:sz w:val="20"/>
                <w:szCs w:val="20"/>
                <w:color w:val="auto"/>
              </w:rPr>
            </w:pPr>
            <w:r>
              <w:rPr>
                <w:rFonts w:ascii="Times New Roman" w:cs="Times New Roman" w:eastAsia="Times New Roman" w:hAnsi="Times New Roman"/>
                <w:sz w:val="17"/>
                <w:szCs w:val="17"/>
                <w:color w:val="auto"/>
              </w:rPr>
              <w:t>England</w:t>
            </w:r>
          </w:p>
        </w:tc>
        <w:tc>
          <w:tcPr>
            <w:tcW w:w="0" w:type="dxa"/>
            <w:vAlign w:val="bottom"/>
          </w:tcPr>
          <w:p>
            <w:pPr>
              <w:spacing w:after="0"/>
              <w:rPr>
                <w:sz w:val="1"/>
                <w:szCs w:val="1"/>
                <w:color w:val="auto"/>
              </w:rPr>
            </w:pPr>
          </w:p>
        </w:tc>
      </w:tr>
      <w:tr>
        <w:trPr>
          <w:trHeight w:val="219"/>
        </w:trPr>
        <w:tc>
          <w:tcPr>
            <w:tcW w:w="6240" w:type="dxa"/>
            <w:vAlign w:val="bottom"/>
          </w:tcPr>
          <w:p>
            <w:pPr>
              <w:ind w:left="1280"/>
              <w:spacing w:after="0"/>
              <w:rPr>
                <w:sz w:val="20"/>
                <w:szCs w:val="20"/>
                <w:color w:val="auto"/>
              </w:rPr>
            </w:pPr>
            <w:r>
              <w:rPr>
                <w:rFonts w:ascii="Times New Roman" w:cs="Times New Roman" w:eastAsia="Times New Roman" w:hAnsi="Times New Roman"/>
                <w:sz w:val="17"/>
                <w:szCs w:val="17"/>
                <w:color w:val="auto"/>
              </w:rPr>
              <w:t>ABM Group UK Limited</w:t>
            </w:r>
          </w:p>
        </w:tc>
        <w:tc>
          <w:tcPr>
            <w:tcW w:w="3800" w:type="dxa"/>
            <w:vAlign w:val="bottom"/>
          </w:tcPr>
          <w:p>
            <w:pPr>
              <w:ind w:left="2100"/>
              <w:spacing w:after="0"/>
              <w:rPr>
                <w:sz w:val="20"/>
                <w:szCs w:val="20"/>
                <w:color w:val="auto"/>
              </w:rPr>
            </w:pPr>
            <w:r>
              <w:rPr>
                <w:rFonts w:ascii="Times New Roman" w:cs="Times New Roman" w:eastAsia="Times New Roman" w:hAnsi="Times New Roman"/>
                <w:sz w:val="17"/>
                <w:szCs w:val="17"/>
                <w:color w:val="auto"/>
              </w:rPr>
              <w:t>England</w:t>
            </w:r>
          </w:p>
        </w:tc>
        <w:tc>
          <w:tcPr>
            <w:tcW w:w="0" w:type="dxa"/>
            <w:vAlign w:val="bottom"/>
          </w:tcPr>
          <w:p>
            <w:pPr>
              <w:spacing w:after="0"/>
              <w:rPr>
                <w:sz w:val="1"/>
                <w:szCs w:val="1"/>
                <w:color w:val="auto"/>
              </w:rPr>
            </w:pPr>
          </w:p>
        </w:tc>
      </w:tr>
      <w:tr>
        <w:trPr>
          <w:trHeight w:val="219"/>
        </w:trPr>
        <w:tc>
          <w:tcPr>
            <w:tcW w:w="6240" w:type="dxa"/>
            <w:vAlign w:val="bottom"/>
          </w:tcPr>
          <w:p>
            <w:pPr>
              <w:ind w:left="1140"/>
              <w:spacing w:after="0"/>
              <w:rPr>
                <w:sz w:val="20"/>
                <w:szCs w:val="20"/>
                <w:color w:val="auto"/>
              </w:rPr>
            </w:pPr>
            <w:r>
              <w:rPr>
                <w:rFonts w:ascii="Times New Roman" w:cs="Times New Roman" w:eastAsia="Times New Roman" w:hAnsi="Times New Roman"/>
                <w:sz w:val="17"/>
                <w:szCs w:val="17"/>
                <w:color w:val="auto"/>
              </w:rPr>
              <w:t>ABM Facility Services UK Limited</w:t>
            </w:r>
          </w:p>
        </w:tc>
        <w:tc>
          <w:tcPr>
            <w:tcW w:w="3800" w:type="dxa"/>
            <w:vAlign w:val="bottom"/>
          </w:tcPr>
          <w:p>
            <w:pPr>
              <w:ind w:left="2100"/>
              <w:spacing w:after="0"/>
              <w:rPr>
                <w:sz w:val="20"/>
                <w:szCs w:val="20"/>
                <w:color w:val="auto"/>
              </w:rPr>
            </w:pPr>
            <w:r>
              <w:rPr>
                <w:rFonts w:ascii="Times New Roman" w:cs="Times New Roman" w:eastAsia="Times New Roman" w:hAnsi="Times New Roman"/>
                <w:sz w:val="17"/>
                <w:szCs w:val="17"/>
                <w:color w:val="auto"/>
              </w:rPr>
              <w:t>England</w:t>
            </w:r>
          </w:p>
        </w:tc>
        <w:tc>
          <w:tcPr>
            <w:tcW w:w="0" w:type="dxa"/>
            <w:vAlign w:val="bottom"/>
          </w:tcPr>
          <w:p>
            <w:pPr>
              <w:spacing w:after="0"/>
              <w:rPr>
                <w:sz w:val="1"/>
                <w:szCs w:val="1"/>
                <w:color w:val="auto"/>
              </w:rPr>
            </w:pPr>
          </w:p>
        </w:tc>
      </w:tr>
      <w:tr>
        <w:trPr>
          <w:trHeight w:val="219"/>
        </w:trPr>
        <w:tc>
          <w:tcPr>
            <w:tcW w:w="6240" w:type="dxa"/>
            <w:vAlign w:val="bottom"/>
          </w:tcPr>
          <w:p>
            <w:pPr>
              <w:ind w:left="1280"/>
              <w:spacing w:after="0"/>
              <w:rPr>
                <w:sz w:val="20"/>
                <w:szCs w:val="20"/>
                <w:color w:val="auto"/>
              </w:rPr>
            </w:pPr>
            <w:r>
              <w:rPr>
                <w:rFonts w:ascii="Times New Roman" w:cs="Times New Roman" w:eastAsia="Times New Roman" w:hAnsi="Times New Roman"/>
                <w:sz w:val="17"/>
                <w:szCs w:val="17"/>
                <w:color w:val="auto"/>
              </w:rPr>
              <w:t>BRBIBR Limited</w:t>
            </w:r>
          </w:p>
        </w:tc>
        <w:tc>
          <w:tcPr>
            <w:tcW w:w="3800" w:type="dxa"/>
            <w:vAlign w:val="bottom"/>
          </w:tcPr>
          <w:p>
            <w:pPr>
              <w:ind w:left="2100"/>
              <w:spacing w:after="0"/>
              <w:rPr>
                <w:sz w:val="20"/>
                <w:szCs w:val="20"/>
                <w:color w:val="auto"/>
              </w:rPr>
            </w:pPr>
            <w:r>
              <w:rPr>
                <w:rFonts w:ascii="Times New Roman" w:cs="Times New Roman" w:eastAsia="Times New Roman" w:hAnsi="Times New Roman"/>
                <w:sz w:val="17"/>
                <w:szCs w:val="17"/>
                <w:color w:val="auto"/>
              </w:rPr>
              <w:t>England</w:t>
            </w:r>
          </w:p>
        </w:tc>
        <w:tc>
          <w:tcPr>
            <w:tcW w:w="0" w:type="dxa"/>
            <w:vAlign w:val="bottom"/>
          </w:tcPr>
          <w:p>
            <w:pPr>
              <w:spacing w:after="0"/>
              <w:rPr>
                <w:sz w:val="1"/>
                <w:szCs w:val="1"/>
                <w:color w:val="auto"/>
              </w:rPr>
            </w:pPr>
          </w:p>
        </w:tc>
      </w:tr>
      <w:tr>
        <w:trPr>
          <w:trHeight w:val="219"/>
        </w:trPr>
        <w:tc>
          <w:tcPr>
            <w:tcW w:w="6240" w:type="dxa"/>
            <w:vAlign w:val="bottom"/>
          </w:tcPr>
          <w:p>
            <w:pPr>
              <w:ind w:left="1280"/>
              <w:spacing w:after="0"/>
              <w:rPr>
                <w:sz w:val="20"/>
                <w:szCs w:val="20"/>
                <w:color w:val="auto"/>
              </w:rPr>
            </w:pPr>
            <w:r>
              <w:rPr>
                <w:rFonts w:ascii="Times New Roman" w:cs="Times New Roman" w:eastAsia="Times New Roman" w:hAnsi="Times New Roman"/>
                <w:sz w:val="17"/>
                <w:szCs w:val="17"/>
                <w:color w:val="auto"/>
              </w:rPr>
              <w:t>ABM Critical Solutions Limited</w:t>
            </w:r>
          </w:p>
        </w:tc>
        <w:tc>
          <w:tcPr>
            <w:tcW w:w="3800" w:type="dxa"/>
            <w:vAlign w:val="bottom"/>
          </w:tcPr>
          <w:p>
            <w:pPr>
              <w:ind w:left="2100"/>
              <w:spacing w:after="0"/>
              <w:rPr>
                <w:sz w:val="20"/>
                <w:szCs w:val="20"/>
                <w:color w:val="auto"/>
              </w:rPr>
            </w:pPr>
            <w:r>
              <w:rPr>
                <w:rFonts w:ascii="Times New Roman" w:cs="Times New Roman" w:eastAsia="Times New Roman" w:hAnsi="Times New Roman"/>
                <w:sz w:val="17"/>
                <w:szCs w:val="17"/>
                <w:color w:val="auto"/>
              </w:rPr>
              <w:t>England</w:t>
            </w:r>
          </w:p>
        </w:tc>
        <w:tc>
          <w:tcPr>
            <w:tcW w:w="0" w:type="dxa"/>
            <w:vAlign w:val="bottom"/>
          </w:tcPr>
          <w:p>
            <w:pPr>
              <w:spacing w:after="0"/>
              <w:rPr>
                <w:sz w:val="1"/>
                <w:szCs w:val="1"/>
                <w:color w:val="auto"/>
              </w:rPr>
            </w:pPr>
          </w:p>
        </w:tc>
      </w:tr>
      <w:tr>
        <w:trPr>
          <w:trHeight w:val="219"/>
        </w:trPr>
        <w:tc>
          <w:tcPr>
            <w:tcW w:w="6240" w:type="dxa"/>
            <w:vAlign w:val="bottom"/>
          </w:tcPr>
          <w:p>
            <w:pPr>
              <w:ind w:left="1140"/>
              <w:spacing w:after="0"/>
              <w:rPr>
                <w:sz w:val="20"/>
                <w:szCs w:val="20"/>
                <w:color w:val="auto"/>
              </w:rPr>
            </w:pPr>
            <w:r>
              <w:rPr>
                <w:rFonts w:ascii="Times New Roman" w:cs="Times New Roman" w:eastAsia="Times New Roman" w:hAnsi="Times New Roman"/>
                <w:sz w:val="17"/>
                <w:szCs w:val="17"/>
                <w:color w:val="auto"/>
              </w:rPr>
              <w:t>ABM International (Holdings) B.V.</w:t>
            </w:r>
          </w:p>
        </w:tc>
        <w:tc>
          <w:tcPr>
            <w:tcW w:w="3800" w:type="dxa"/>
            <w:vAlign w:val="bottom"/>
          </w:tcPr>
          <w:p>
            <w:pPr>
              <w:ind w:left="2100"/>
              <w:spacing w:after="0"/>
              <w:rPr>
                <w:sz w:val="20"/>
                <w:szCs w:val="20"/>
                <w:color w:val="auto"/>
              </w:rPr>
            </w:pPr>
            <w:r>
              <w:rPr>
                <w:rFonts w:ascii="Times New Roman" w:cs="Times New Roman" w:eastAsia="Times New Roman" w:hAnsi="Times New Roman"/>
                <w:sz w:val="17"/>
                <w:szCs w:val="17"/>
                <w:color w:val="auto"/>
              </w:rPr>
              <w:t>Holland</w:t>
            </w:r>
          </w:p>
        </w:tc>
        <w:tc>
          <w:tcPr>
            <w:tcW w:w="0" w:type="dxa"/>
            <w:vAlign w:val="bottom"/>
          </w:tcPr>
          <w:p>
            <w:pPr>
              <w:spacing w:after="0"/>
              <w:rPr>
                <w:sz w:val="1"/>
                <w:szCs w:val="1"/>
                <w:color w:val="auto"/>
              </w:rPr>
            </w:pPr>
          </w:p>
        </w:tc>
      </w:tr>
      <w:tr>
        <w:trPr>
          <w:trHeight w:val="219"/>
        </w:trPr>
        <w:tc>
          <w:tcPr>
            <w:tcW w:w="6240" w:type="dxa"/>
            <w:vAlign w:val="bottom"/>
          </w:tcPr>
          <w:p>
            <w:pPr>
              <w:ind w:left="1140"/>
              <w:spacing w:after="0"/>
              <w:rPr>
                <w:sz w:val="20"/>
                <w:szCs w:val="20"/>
                <w:color w:val="auto"/>
              </w:rPr>
            </w:pPr>
            <w:r>
              <w:rPr>
                <w:rFonts w:ascii="Times New Roman" w:cs="Times New Roman" w:eastAsia="Times New Roman" w:hAnsi="Times New Roman"/>
                <w:sz w:val="17"/>
                <w:szCs w:val="17"/>
                <w:color w:val="auto"/>
              </w:rPr>
              <w:t>ABM Onsite Services - Canada ULC</w:t>
            </w:r>
          </w:p>
        </w:tc>
        <w:tc>
          <w:tcPr>
            <w:tcW w:w="3800" w:type="dxa"/>
            <w:vAlign w:val="bottom"/>
          </w:tcPr>
          <w:p>
            <w:pPr>
              <w:ind w:left="2100"/>
              <w:spacing w:after="0"/>
              <w:rPr>
                <w:sz w:val="20"/>
                <w:szCs w:val="20"/>
                <w:color w:val="auto"/>
              </w:rPr>
            </w:pPr>
            <w:r>
              <w:rPr>
                <w:rFonts w:ascii="Times New Roman" w:cs="Times New Roman" w:eastAsia="Times New Roman" w:hAnsi="Times New Roman"/>
                <w:sz w:val="17"/>
                <w:szCs w:val="17"/>
                <w:color w:val="auto"/>
              </w:rPr>
              <w:t>Canada</w:t>
            </w:r>
          </w:p>
        </w:tc>
        <w:tc>
          <w:tcPr>
            <w:tcW w:w="0" w:type="dxa"/>
            <w:vAlign w:val="bottom"/>
          </w:tcPr>
          <w:p>
            <w:pPr>
              <w:spacing w:after="0"/>
              <w:rPr>
                <w:sz w:val="1"/>
                <w:szCs w:val="1"/>
                <w:color w:val="auto"/>
              </w:rPr>
            </w:pPr>
          </w:p>
        </w:tc>
      </w:tr>
      <w:tr>
        <w:trPr>
          <w:trHeight w:val="219"/>
        </w:trPr>
        <w:tc>
          <w:tcPr>
            <w:tcW w:w="6240" w:type="dxa"/>
            <w:vAlign w:val="bottom"/>
          </w:tcPr>
          <w:p>
            <w:pPr>
              <w:ind w:left="1140"/>
              <w:spacing w:after="0"/>
              <w:rPr>
                <w:sz w:val="20"/>
                <w:szCs w:val="20"/>
                <w:color w:val="auto"/>
              </w:rPr>
            </w:pPr>
            <w:r>
              <w:rPr>
                <w:rFonts w:ascii="Times New Roman" w:cs="Times New Roman" w:eastAsia="Times New Roman" w:hAnsi="Times New Roman"/>
                <w:sz w:val="17"/>
                <w:szCs w:val="17"/>
                <w:color w:val="auto"/>
              </w:rPr>
              <w:t>Westway Services Holdings (2014) Ltd.</w:t>
            </w:r>
          </w:p>
        </w:tc>
        <w:tc>
          <w:tcPr>
            <w:tcW w:w="3800" w:type="dxa"/>
            <w:vAlign w:val="bottom"/>
          </w:tcPr>
          <w:p>
            <w:pPr>
              <w:ind w:left="2100"/>
              <w:spacing w:after="0"/>
              <w:rPr>
                <w:sz w:val="20"/>
                <w:szCs w:val="20"/>
                <w:color w:val="auto"/>
              </w:rPr>
            </w:pPr>
            <w:r>
              <w:rPr>
                <w:rFonts w:ascii="Times New Roman" w:cs="Times New Roman" w:eastAsia="Times New Roman" w:hAnsi="Times New Roman"/>
                <w:sz w:val="17"/>
                <w:szCs w:val="17"/>
                <w:color w:val="auto"/>
              </w:rPr>
              <w:t>England</w:t>
            </w:r>
          </w:p>
        </w:tc>
        <w:tc>
          <w:tcPr>
            <w:tcW w:w="0" w:type="dxa"/>
            <w:vAlign w:val="bottom"/>
          </w:tcPr>
          <w:p>
            <w:pPr>
              <w:spacing w:after="0"/>
              <w:rPr>
                <w:sz w:val="1"/>
                <w:szCs w:val="1"/>
                <w:color w:val="auto"/>
              </w:rPr>
            </w:pPr>
          </w:p>
        </w:tc>
      </w:tr>
      <w:tr>
        <w:trPr>
          <w:trHeight w:val="219"/>
        </w:trPr>
        <w:tc>
          <w:tcPr>
            <w:tcW w:w="6240" w:type="dxa"/>
            <w:vAlign w:val="bottom"/>
          </w:tcPr>
          <w:p>
            <w:pPr>
              <w:ind w:left="1140"/>
              <w:spacing w:after="0"/>
              <w:rPr>
                <w:sz w:val="20"/>
                <w:szCs w:val="20"/>
                <w:color w:val="auto"/>
              </w:rPr>
            </w:pPr>
            <w:r>
              <w:rPr>
                <w:rFonts w:ascii="Times New Roman" w:cs="Times New Roman" w:eastAsia="Times New Roman" w:hAnsi="Times New Roman"/>
                <w:sz w:val="17"/>
                <w:szCs w:val="17"/>
                <w:color w:val="auto"/>
              </w:rPr>
              <w:t>Westway Services Holdings (2010) Ltd.</w:t>
            </w:r>
          </w:p>
        </w:tc>
        <w:tc>
          <w:tcPr>
            <w:tcW w:w="3800" w:type="dxa"/>
            <w:vAlign w:val="bottom"/>
          </w:tcPr>
          <w:p>
            <w:pPr>
              <w:ind w:left="2100"/>
              <w:spacing w:after="0"/>
              <w:rPr>
                <w:sz w:val="20"/>
                <w:szCs w:val="20"/>
                <w:color w:val="auto"/>
              </w:rPr>
            </w:pPr>
            <w:r>
              <w:rPr>
                <w:rFonts w:ascii="Times New Roman" w:cs="Times New Roman" w:eastAsia="Times New Roman" w:hAnsi="Times New Roman"/>
                <w:sz w:val="17"/>
                <w:szCs w:val="17"/>
                <w:color w:val="auto"/>
              </w:rPr>
              <w:t>England</w:t>
            </w:r>
          </w:p>
        </w:tc>
        <w:tc>
          <w:tcPr>
            <w:tcW w:w="0" w:type="dxa"/>
            <w:vAlign w:val="bottom"/>
          </w:tcPr>
          <w:p>
            <w:pPr>
              <w:spacing w:after="0"/>
              <w:rPr>
                <w:sz w:val="1"/>
                <w:szCs w:val="1"/>
                <w:color w:val="auto"/>
              </w:rPr>
            </w:pPr>
          </w:p>
        </w:tc>
      </w:tr>
      <w:tr>
        <w:trPr>
          <w:trHeight w:val="219"/>
        </w:trPr>
        <w:tc>
          <w:tcPr>
            <w:tcW w:w="6240" w:type="dxa"/>
            <w:vAlign w:val="bottom"/>
          </w:tcPr>
          <w:p>
            <w:pPr>
              <w:ind w:left="1280"/>
              <w:spacing w:after="0"/>
              <w:rPr>
                <w:sz w:val="20"/>
                <w:szCs w:val="20"/>
                <w:color w:val="auto"/>
              </w:rPr>
            </w:pPr>
            <w:r>
              <w:rPr>
                <w:rFonts w:ascii="Times New Roman" w:cs="Times New Roman" w:eastAsia="Times New Roman" w:hAnsi="Times New Roman"/>
                <w:sz w:val="17"/>
                <w:szCs w:val="17"/>
                <w:color w:val="auto"/>
              </w:rPr>
              <w:t>ABM Technical Solutions Limited</w:t>
            </w:r>
          </w:p>
        </w:tc>
        <w:tc>
          <w:tcPr>
            <w:tcW w:w="3800" w:type="dxa"/>
            <w:vAlign w:val="bottom"/>
          </w:tcPr>
          <w:p>
            <w:pPr>
              <w:ind w:left="2100"/>
              <w:spacing w:after="0"/>
              <w:rPr>
                <w:sz w:val="20"/>
                <w:szCs w:val="20"/>
                <w:color w:val="auto"/>
              </w:rPr>
            </w:pPr>
            <w:r>
              <w:rPr>
                <w:rFonts w:ascii="Times New Roman" w:cs="Times New Roman" w:eastAsia="Times New Roman" w:hAnsi="Times New Roman"/>
                <w:sz w:val="17"/>
                <w:szCs w:val="17"/>
                <w:color w:val="auto"/>
              </w:rPr>
              <w:t>England</w:t>
            </w:r>
          </w:p>
        </w:tc>
        <w:tc>
          <w:tcPr>
            <w:tcW w:w="0" w:type="dxa"/>
            <w:vAlign w:val="bottom"/>
          </w:tcPr>
          <w:p>
            <w:pPr>
              <w:spacing w:after="0"/>
              <w:rPr>
                <w:sz w:val="1"/>
                <w:szCs w:val="1"/>
                <w:color w:val="auto"/>
              </w:rPr>
            </w:pPr>
          </w:p>
        </w:tc>
      </w:tr>
      <w:tr>
        <w:trPr>
          <w:trHeight w:val="219"/>
        </w:trPr>
        <w:tc>
          <w:tcPr>
            <w:tcW w:w="6240" w:type="dxa"/>
            <w:vAlign w:val="bottom"/>
          </w:tcPr>
          <w:p>
            <w:pPr>
              <w:ind w:left="1140"/>
              <w:spacing w:after="0"/>
              <w:rPr>
                <w:sz w:val="20"/>
                <w:szCs w:val="20"/>
                <w:color w:val="auto"/>
              </w:rPr>
            </w:pPr>
            <w:r>
              <w:rPr>
                <w:rFonts w:ascii="Times New Roman" w:cs="Times New Roman" w:eastAsia="Times New Roman" w:hAnsi="Times New Roman"/>
                <w:sz w:val="17"/>
                <w:szCs w:val="17"/>
                <w:color w:val="auto"/>
              </w:rPr>
              <w:t>Maybin Support Services (Ireland) Limited</w:t>
            </w:r>
          </w:p>
        </w:tc>
        <w:tc>
          <w:tcPr>
            <w:tcW w:w="3800" w:type="dxa"/>
            <w:vAlign w:val="bottom"/>
          </w:tcPr>
          <w:p>
            <w:pPr>
              <w:ind w:left="2100"/>
              <w:spacing w:after="0"/>
              <w:rPr>
                <w:sz w:val="20"/>
                <w:szCs w:val="20"/>
                <w:color w:val="auto"/>
              </w:rPr>
            </w:pPr>
            <w:r>
              <w:rPr>
                <w:rFonts w:ascii="Times New Roman" w:cs="Times New Roman" w:eastAsia="Times New Roman" w:hAnsi="Times New Roman"/>
                <w:sz w:val="17"/>
                <w:szCs w:val="17"/>
                <w:color w:val="auto"/>
              </w:rPr>
              <w:t>N. Ireland</w:t>
            </w:r>
          </w:p>
        </w:tc>
        <w:tc>
          <w:tcPr>
            <w:tcW w:w="0" w:type="dxa"/>
            <w:vAlign w:val="bottom"/>
          </w:tcPr>
          <w:p>
            <w:pPr>
              <w:spacing w:after="0"/>
              <w:rPr>
                <w:sz w:val="1"/>
                <w:szCs w:val="1"/>
                <w:color w:val="auto"/>
              </w:rPr>
            </w:pPr>
          </w:p>
        </w:tc>
      </w:tr>
      <w:tr>
        <w:trPr>
          <w:trHeight w:val="219"/>
        </w:trPr>
        <w:tc>
          <w:tcPr>
            <w:tcW w:w="6240" w:type="dxa"/>
            <w:vAlign w:val="bottom"/>
          </w:tcPr>
          <w:p>
            <w:pPr>
              <w:ind w:left="1140"/>
              <w:spacing w:after="0"/>
              <w:rPr>
                <w:sz w:val="20"/>
                <w:szCs w:val="20"/>
                <w:color w:val="auto"/>
              </w:rPr>
            </w:pPr>
            <w:r>
              <w:rPr>
                <w:rFonts w:ascii="Times New Roman" w:cs="Times New Roman" w:eastAsia="Times New Roman" w:hAnsi="Times New Roman"/>
                <w:sz w:val="17"/>
                <w:szCs w:val="17"/>
                <w:color w:val="auto"/>
              </w:rPr>
              <w:t>Momentum Support Limited</w:t>
            </w:r>
          </w:p>
        </w:tc>
        <w:tc>
          <w:tcPr>
            <w:tcW w:w="3800" w:type="dxa"/>
            <w:vAlign w:val="bottom"/>
          </w:tcPr>
          <w:p>
            <w:pPr>
              <w:ind w:left="2100"/>
              <w:spacing w:after="0"/>
              <w:rPr>
                <w:sz w:val="20"/>
                <w:szCs w:val="20"/>
                <w:color w:val="auto"/>
              </w:rPr>
            </w:pPr>
            <w:r>
              <w:rPr>
                <w:rFonts w:ascii="Times New Roman" w:cs="Times New Roman" w:eastAsia="Times New Roman" w:hAnsi="Times New Roman"/>
                <w:sz w:val="17"/>
                <w:szCs w:val="17"/>
                <w:color w:val="auto"/>
              </w:rPr>
              <w:t>Ireland</w:t>
            </w:r>
          </w:p>
        </w:tc>
        <w:tc>
          <w:tcPr>
            <w:tcW w:w="0" w:type="dxa"/>
            <w:vAlign w:val="bottom"/>
          </w:tcPr>
          <w:p>
            <w:pPr>
              <w:spacing w:after="0"/>
              <w:rPr>
                <w:sz w:val="1"/>
                <w:szCs w:val="1"/>
                <w:color w:val="auto"/>
              </w:rPr>
            </w:pPr>
          </w:p>
        </w:tc>
      </w:tr>
      <w:tr>
        <w:trPr>
          <w:trHeight w:val="219"/>
        </w:trPr>
        <w:tc>
          <w:tcPr>
            <w:tcW w:w="6240" w:type="dxa"/>
            <w:vAlign w:val="bottom"/>
          </w:tcPr>
          <w:p>
            <w:pPr>
              <w:ind w:left="1140"/>
              <w:spacing w:after="0"/>
              <w:rPr>
                <w:sz w:val="20"/>
                <w:szCs w:val="20"/>
                <w:color w:val="auto"/>
              </w:rPr>
            </w:pPr>
            <w:r>
              <w:rPr>
                <w:rFonts w:ascii="Times New Roman" w:cs="Times New Roman" w:eastAsia="Times New Roman" w:hAnsi="Times New Roman"/>
                <w:sz w:val="17"/>
                <w:szCs w:val="17"/>
                <w:color w:val="auto"/>
              </w:rPr>
              <w:t>Momentum Property Support Services Ltd.</w:t>
            </w:r>
          </w:p>
        </w:tc>
        <w:tc>
          <w:tcPr>
            <w:tcW w:w="3800" w:type="dxa"/>
            <w:vAlign w:val="bottom"/>
          </w:tcPr>
          <w:p>
            <w:pPr>
              <w:ind w:left="2100"/>
              <w:spacing w:after="0"/>
              <w:rPr>
                <w:sz w:val="20"/>
                <w:szCs w:val="20"/>
                <w:color w:val="auto"/>
              </w:rPr>
            </w:pPr>
            <w:r>
              <w:rPr>
                <w:rFonts w:ascii="Times New Roman" w:cs="Times New Roman" w:eastAsia="Times New Roman" w:hAnsi="Times New Roman"/>
                <w:sz w:val="17"/>
                <w:szCs w:val="17"/>
                <w:color w:val="auto"/>
              </w:rPr>
              <w:t>N. Ireland</w:t>
            </w:r>
          </w:p>
        </w:tc>
        <w:tc>
          <w:tcPr>
            <w:tcW w:w="0" w:type="dxa"/>
            <w:vAlign w:val="bottom"/>
          </w:tcPr>
          <w:p>
            <w:pPr>
              <w:spacing w:after="0"/>
              <w:rPr>
                <w:sz w:val="1"/>
                <w:szCs w:val="1"/>
                <w:color w:val="auto"/>
              </w:rPr>
            </w:pPr>
          </w:p>
        </w:tc>
      </w:tr>
      <w:tr>
        <w:trPr>
          <w:trHeight w:val="219"/>
        </w:trPr>
        <w:tc>
          <w:tcPr>
            <w:tcW w:w="624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ABM Building &amp; Energy Services, LLC</w:t>
            </w:r>
          </w:p>
        </w:tc>
        <w:tc>
          <w:tcPr>
            <w:tcW w:w="3800" w:type="dxa"/>
            <w:vAlign w:val="bottom"/>
          </w:tcPr>
          <w:p>
            <w:pPr>
              <w:ind w:left="210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19"/>
        </w:trPr>
        <w:tc>
          <w:tcPr>
            <w:tcW w:w="6240" w:type="dxa"/>
            <w:vAlign w:val="bottom"/>
          </w:tcPr>
          <w:p>
            <w:pPr>
              <w:ind w:left="720"/>
              <w:spacing w:after="0"/>
              <w:rPr>
                <w:sz w:val="20"/>
                <w:szCs w:val="20"/>
                <w:color w:val="auto"/>
              </w:rPr>
            </w:pPr>
            <w:r>
              <w:rPr>
                <w:rFonts w:ascii="Times New Roman" w:cs="Times New Roman" w:eastAsia="Times New Roman" w:hAnsi="Times New Roman"/>
                <w:sz w:val="17"/>
                <w:szCs w:val="17"/>
                <w:color w:val="auto"/>
              </w:rPr>
              <w:t>ABM Building Services, LLC</w:t>
            </w:r>
          </w:p>
        </w:tc>
        <w:tc>
          <w:tcPr>
            <w:tcW w:w="3800" w:type="dxa"/>
            <w:vAlign w:val="bottom"/>
          </w:tcPr>
          <w:p>
            <w:pPr>
              <w:ind w:left="210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19"/>
        </w:trPr>
        <w:tc>
          <w:tcPr>
            <w:tcW w:w="6240" w:type="dxa"/>
            <w:vAlign w:val="bottom"/>
          </w:tcPr>
          <w:p>
            <w:pPr>
              <w:ind w:left="680"/>
              <w:spacing w:after="0"/>
              <w:rPr>
                <w:sz w:val="20"/>
                <w:szCs w:val="20"/>
                <w:color w:val="auto"/>
              </w:rPr>
            </w:pPr>
            <w:r>
              <w:rPr>
                <w:rFonts w:ascii="Times New Roman" w:cs="Times New Roman" w:eastAsia="Times New Roman" w:hAnsi="Times New Roman"/>
                <w:sz w:val="17"/>
                <w:szCs w:val="17"/>
                <w:color w:val="auto"/>
              </w:rPr>
              <w:t>ABM Electrical Power Services, LLC</w:t>
            </w:r>
          </w:p>
        </w:tc>
        <w:tc>
          <w:tcPr>
            <w:tcW w:w="3800" w:type="dxa"/>
            <w:vAlign w:val="bottom"/>
          </w:tcPr>
          <w:p>
            <w:pPr>
              <w:ind w:left="210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19"/>
        </w:trPr>
        <w:tc>
          <w:tcPr>
            <w:tcW w:w="6240" w:type="dxa"/>
            <w:vAlign w:val="bottom"/>
          </w:tcPr>
          <w:p>
            <w:pPr>
              <w:ind w:left="680"/>
              <w:spacing w:after="0"/>
              <w:rPr>
                <w:sz w:val="20"/>
                <w:szCs w:val="20"/>
                <w:color w:val="auto"/>
              </w:rPr>
            </w:pPr>
            <w:r>
              <w:rPr>
                <w:rFonts w:ascii="Times New Roman" w:cs="Times New Roman" w:eastAsia="Times New Roman" w:hAnsi="Times New Roman"/>
                <w:sz w:val="17"/>
                <w:szCs w:val="17"/>
                <w:color w:val="auto"/>
              </w:rPr>
              <w:t>ABM Electrical &amp; Lighting Solutions, Inc.</w:t>
            </w:r>
          </w:p>
        </w:tc>
        <w:tc>
          <w:tcPr>
            <w:tcW w:w="3800" w:type="dxa"/>
            <w:vAlign w:val="bottom"/>
          </w:tcPr>
          <w:p>
            <w:pPr>
              <w:ind w:left="210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19"/>
        </w:trPr>
        <w:tc>
          <w:tcPr>
            <w:tcW w:w="6240" w:type="dxa"/>
            <w:vAlign w:val="bottom"/>
          </w:tcPr>
          <w:p>
            <w:pPr>
              <w:ind w:left="680"/>
              <w:spacing w:after="0"/>
              <w:rPr>
                <w:sz w:val="20"/>
                <w:szCs w:val="20"/>
                <w:color w:val="auto"/>
              </w:rPr>
            </w:pPr>
            <w:r>
              <w:rPr>
                <w:rFonts w:ascii="Times New Roman" w:cs="Times New Roman" w:eastAsia="Times New Roman" w:hAnsi="Times New Roman"/>
                <w:sz w:val="17"/>
                <w:szCs w:val="17"/>
                <w:color w:val="auto"/>
              </w:rPr>
              <w:t>ABM Facility Support Services, LLC</w:t>
            </w:r>
          </w:p>
        </w:tc>
        <w:tc>
          <w:tcPr>
            <w:tcW w:w="3800" w:type="dxa"/>
            <w:vAlign w:val="bottom"/>
          </w:tcPr>
          <w:p>
            <w:pPr>
              <w:ind w:left="210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19"/>
        </w:trPr>
        <w:tc>
          <w:tcPr>
            <w:tcW w:w="624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ABM Building &amp; Energy Solutions, LLC</w:t>
            </w:r>
          </w:p>
        </w:tc>
        <w:tc>
          <w:tcPr>
            <w:tcW w:w="3800" w:type="dxa"/>
            <w:vAlign w:val="bottom"/>
          </w:tcPr>
          <w:p>
            <w:pPr>
              <w:ind w:left="210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19"/>
        </w:trPr>
        <w:tc>
          <w:tcPr>
            <w:tcW w:w="6240" w:type="dxa"/>
            <w:vAlign w:val="bottom"/>
          </w:tcPr>
          <w:p>
            <w:pPr>
              <w:ind w:left="720"/>
              <w:spacing w:after="0"/>
              <w:rPr>
                <w:sz w:val="20"/>
                <w:szCs w:val="20"/>
                <w:color w:val="auto"/>
              </w:rPr>
            </w:pPr>
            <w:r>
              <w:rPr>
                <w:rFonts w:ascii="Times New Roman" w:cs="Times New Roman" w:eastAsia="Times New Roman" w:hAnsi="Times New Roman"/>
                <w:sz w:val="17"/>
                <w:szCs w:val="17"/>
                <w:color w:val="auto"/>
              </w:rPr>
              <w:t>ABM Building Solutions, LLC</w:t>
            </w:r>
          </w:p>
        </w:tc>
        <w:tc>
          <w:tcPr>
            <w:tcW w:w="3800" w:type="dxa"/>
            <w:vAlign w:val="bottom"/>
          </w:tcPr>
          <w:p>
            <w:pPr>
              <w:ind w:left="210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19"/>
        </w:trPr>
        <w:tc>
          <w:tcPr>
            <w:tcW w:w="6240" w:type="dxa"/>
            <w:vAlign w:val="bottom"/>
          </w:tcPr>
          <w:p>
            <w:pPr>
              <w:ind w:left="720"/>
              <w:spacing w:after="0"/>
              <w:rPr>
                <w:sz w:val="20"/>
                <w:szCs w:val="20"/>
                <w:color w:val="auto"/>
              </w:rPr>
            </w:pPr>
            <w:r>
              <w:rPr>
                <w:rFonts w:ascii="Times New Roman" w:cs="Times New Roman" w:eastAsia="Times New Roman" w:hAnsi="Times New Roman"/>
                <w:sz w:val="17"/>
                <w:szCs w:val="17"/>
                <w:color w:val="auto"/>
              </w:rPr>
              <w:t>ABM Electrical Power Solutions, LLC</w:t>
            </w:r>
          </w:p>
        </w:tc>
        <w:tc>
          <w:tcPr>
            <w:tcW w:w="3800" w:type="dxa"/>
            <w:vAlign w:val="bottom"/>
          </w:tcPr>
          <w:p>
            <w:pPr>
              <w:ind w:left="210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19"/>
        </w:trPr>
        <w:tc>
          <w:tcPr>
            <w:tcW w:w="6240" w:type="dxa"/>
            <w:vAlign w:val="bottom"/>
          </w:tcPr>
          <w:p>
            <w:pPr>
              <w:ind w:left="720"/>
              <w:spacing w:after="0"/>
              <w:rPr>
                <w:sz w:val="20"/>
                <w:szCs w:val="20"/>
                <w:color w:val="auto"/>
              </w:rPr>
            </w:pPr>
            <w:r>
              <w:rPr>
                <w:rFonts w:ascii="Times New Roman" w:cs="Times New Roman" w:eastAsia="Times New Roman" w:hAnsi="Times New Roman"/>
                <w:sz w:val="17"/>
                <w:szCs w:val="17"/>
                <w:color w:val="auto"/>
              </w:rPr>
              <w:t>ABM Electrical &amp; Lighting Services, LLC</w:t>
            </w:r>
          </w:p>
        </w:tc>
        <w:tc>
          <w:tcPr>
            <w:tcW w:w="3800" w:type="dxa"/>
            <w:vAlign w:val="bottom"/>
          </w:tcPr>
          <w:p>
            <w:pPr>
              <w:ind w:left="210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19"/>
        </w:trPr>
        <w:tc>
          <w:tcPr>
            <w:tcW w:w="624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ABM eMobility, LLC</w:t>
            </w:r>
          </w:p>
        </w:tc>
        <w:tc>
          <w:tcPr>
            <w:tcW w:w="3800" w:type="dxa"/>
            <w:vAlign w:val="bottom"/>
          </w:tcPr>
          <w:p>
            <w:pPr>
              <w:ind w:left="210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19"/>
        </w:trPr>
        <w:tc>
          <w:tcPr>
            <w:tcW w:w="6240" w:type="dxa"/>
            <w:vAlign w:val="bottom"/>
          </w:tcPr>
          <w:p>
            <w:pPr>
              <w:ind w:left="720"/>
              <w:spacing w:after="0"/>
              <w:rPr>
                <w:sz w:val="20"/>
                <w:szCs w:val="20"/>
                <w:color w:val="auto"/>
              </w:rPr>
            </w:pPr>
            <w:r>
              <w:rPr>
                <w:rFonts w:ascii="Times New Roman" w:cs="Times New Roman" w:eastAsia="Times New Roman" w:hAnsi="Times New Roman"/>
                <w:sz w:val="17"/>
                <w:szCs w:val="17"/>
                <w:color w:val="auto"/>
              </w:rPr>
              <w:t>ABM eMobility USA, LLC</w:t>
            </w:r>
          </w:p>
        </w:tc>
        <w:tc>
          <w:tcPr>
            <w:tcW w:w="3800" w:type="dxa"/>
            <w:vAlign w:val="bottom"/>
          </w:tcPr>
          <w:p>
            <w:pPr>
              <w:ind w:left="210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19"/>
        </w:trPr>
        <w:tc>
          <w:tcPr>
            <w:tcW w:w="624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ABM Canada Power Services LTD</w:t>
            </w:r>
          </w:p>
        </w:tc>
        <w:tc>
          <w:tcPr>
            <w:tcW w:w="3800" w:type="dxa"/>
            <w:vAlign w:val="bottom"/>
          </w:tcPr>
          <w:p>
            <w:pPr>
              <w:ind w:left="2100"/>
              <w:spacing w:after="0"/>
              <w:rPr>
                <w:sz w:val="20"/>
                <w:szCs w:val="20"/>
                <w:color w:val="auto"/>
              </w:rPr>
            </w:pPr>
            <w:r>
              <w:rPr>
                <w:rFonts w:ascii="Times New Roman" w:cs="Times New Roman" w:eastAsia="Times New Roman" w:hAnsi="Times New Roman"/>
                <w:sz w:val="17"/>
                <w:szCs w:val="17"/>
                <w:color w:val="auto"/>
              </w:rPr>
              <w:t>Canada</w:t>
            </w:r>
          </w:p>
        </w:tc>
        <w:tc>
          <w:tcPr>
            <w:tcW w:w="0" w:type="dxa"/>
            <w:vAlign w:val="bottom"/>
          </w:tcPr>
          <w:p>
            <w:pPr>
              <w:spacing w:after="0"/>
              <w:rPr>
                <w:sz w:val="1"/>
                <w:szCs w:val="1"/>
                <w:color w:val="auto"/>
              </w:rPr>
            </w:pPr>
          </w:p>
        </w:tc>
      </w:tr>
      <w:tr>
        <w:trPr>
          <w:trHeight w:val="219"/>
        </w:trPr>
        <w:tc>
          <w:tcPr>
            <w:tcW w:w="624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ABM Franchising Group, LLC</w:t>
            </w:r>
          </w:p>
        </w:tc>
        <w:tc>
          <w:tcPr>
            <w:tcW w:w="3800" w:type="dxa"/>
            <w:vAlign w:val="bottom"/>
          </w:tcPr>
          <w:p>
            <w:pPr>
              <w:ind w:left="210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19"/>
        </w:trPr>
        <w:tc>
          <w:tcPr>
            <w:tcW w:w="624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ABM General Services, Inc.</w:t>
            </w:r>
          </w:p>
        </w:tc>
        <w:tc>
          <w:tcPr>
            <w:tcW w:w="3800" w:type="dxa"/>
            <w:vAlign w:val="bottom"/>
          </w:tcPr>
          <w:p>
            <w:pPr>
              <w:ind w:left="210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19"/>
        </w:trPr>
        <w:tc>
          <w:tcPr>
            <w:tcW w:w="624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ABM Healthcare Support Services, Inc.</w:t>
            </w:r>
          </w:p>
        </w:tc>
        <w:tc>
          <w:tcPr>
            <w:tcW w:w="3800" w:type="dxa"/>
            <w:vAlign w:val="bottom"/>
          </w:tcPr>
          <w:p>
            <w:pPr>
              <w:ind w:left="2100"/>
              <w:spacing w:after="0"/>
              <w:rPr>
                <w:sz w:val="20"/>
                <w:szCs w:val="20"/>
                <w:color w:val="auto"/>
              </w:rPr>
            </w:pPr>
            <w:r>
              <w:rPr>
                <w:rFonts w:ascii="Times New Roman" w:cs="Times New Roman" w:eastAsia="Times New Roman" w:hAnsi="Times New Roman"/>
                <w:sz w:val="17"/>
                <w:szCs w:val="17"/>
                <w:color w:val="auto"/>
              </w:rPr>
              <w:t>Michigan</w:t>
            </w:r>
          </w:p>
        </w:tc>
        <w:tc>
          <w:tcPr>
            <w:tcW w:w="0" w:type="dxa"/>
            <w:vAlign w:val="bottom"/>
          </w:tcPr>
          <w:p>
            <w:pPr>
              <w:spacing w:after="0"/>
              <w:rPr>
                <w:sz w:val="1"/>
                <w:szCs w:val="1"/>
                <w:color w:val="auto"/>
              </w:rPr>
            </w:pPr>
          </w:p>
        </w:tc>
      </w:tr>
      <w:tr>
        <w:trPr>
          <w:trHeight w:val="219"/>
        </w:trPr>
        <w:tc>
          <w:tcPr>
            <w:tcW w:w="624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ABM Industrial Services, Inc.</w:t>
            </w:r>
          </w:p>
        </w:tc>
        <w:tc>
          <w:tcPr>
            <w:tcW w:w="3800" w:type="dxa"/>
            <w:vAlign w:val="bottom"/>
          </w:tcPr>
          <w:p>
            <w:pPr>
              <w:ind w:left="210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19"/>
        </w:trPr>
        <w:tc>
          <w:tcPr>
            <w:tcW w:w="624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ABM Industry Groups, LLC</w:t>
            </w:r>
          </w:p>
        </w:tc>
        <w:tc>
          <w:tcPr>
            <w:tcW w:w="3800" w:type="dxa"/>
            <w:vAlign w:val="bottom"/>
          </w:tcPr>
          <w:p>
            <w:pPr>
              <w:ind w:left="210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19"/>
        </w:trPr>
        <w:tc>
          <w:tcPr>
            <w:tcW w:w="624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ABM Texas General Services, Inc.</w:t>
            </w:r>
          </w:p>
        </w:tc>
        <w:tc>
          <w:tcPr>
            <w:tcW w:w="3800" w:type="dxa"/>
            <w:vAlign w:val="bottom"/>
          </w:tcPr>
          <w:p>
            <w:pPr>
              <w:ind w:left="210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19"/>
        </w:trPr>
        <w:tc>
          <w:tcPr>
            <w:tcW w:w="624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Crown Building Maintenance Co.</w:t>
            </w:r>
          </w:p>
        </w:tc>
        <w:tc>
          <w:tcPr>
            <w:tcW w:w="3800" w:type="dxa"/>
            <w:vAlign w:val="bottom"/>
          </w:tcPr>
          <w:p>
            <w:pPr>
              <w:ind w:left="210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19"/>
        </w:trPr>
        <w:tc>
          <w:tcPr>
            <w:tcW w:w="6240" w:type="dxa"/>
            <w:vAlign w:val="bottom"/>
          </w:tcPr>
          <w:p>
            <w:pPr>
              <w:ind w:left="720"/>
              <w:spacing w:after="0"/>
              <w:rPr>
                <w:sz w:val="20"/>
                <w:szCs w:val="20"/>
                <w:color w:val="auto"/>
              </w:rPr>
            </w:pPr>
            <w:r>
              <w:rPr>
                <w:rFonts w:ascii="Times New Roman" w:cs="Times New Roman" w:eastAsia="Times New Roman" w:hAnsi="Times New Roman"/>
                <w:sz w:val="17"/>
                <w:szCs w:val="17"/>
                <w:color w:val="auto"/>
              </w:rPr>
              <w:t>CBM MGMT LLC</w:t>
            </w:r>
          </w:p>
        </w:tc>
        <w:tc>
          <w:tcPr>
            <w:tcW w:w="3800" w:type="dxa"/>
            <w:vAlign w:val="bottom"/>
          </w:tcPr>
          <w:p>
            <w:pPr>
              <w:ind w:left="2100"/>
              <w:spacing w:after="0"/>
              <w:rPr>
                <w:sz w:val="20"/>
                <w:szCs w:val="20"/>
                <w:color w:val="auto"/>
              </w:rPr>
            </w:pPr>
            <w:r>
              <w:rPr>
                <w:rFonts w:ascii="Times New Roman" w:cs="Times New Roman" w:eastAsia="Times New Roman" w:hAnsi="Times New Roman"/>
                <w:sz w:val="17"/>
                <w:szCs w:val="17"/>
                <w:color w:val="auto"/>
              </w:rPr>
              <w:t>California</w:t>
            </w:r>
          </w:p>
        </w:tc>
        <w:tc>
          <w:tcPr>
            <w:tcW w:w="0" w:type="dxa"/>
            <w:vAlign w:val="bottom"/>
          </w:tcPr>
          <w:p>
            <w:pPr>
              <w:spacing w:after="0"/>
              <w:rPr>
                <w:sz w:val="1"/>
                <w:szCs w:val="1"/>
                <w:color w:val="auto"/>
              </w:rPr>
            </w:pPr>
          </w:p>
        </w:tc>
      </w:tr>
      <w:tr>
        <w:trPr>
          <w:trHeight w:val="223"/>
        </w:trPr>
        <w:tc>
          <w:tcPr>
            <w:tcW w:w="624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Crown Energy Services, Inc.</w:t>
            </w:r>
          </w:p>
        </w:tc>
        <w:tc>
          <w:tcPr>
            <w:tcW w:w="3800" w:type="dxa"/>
            <w:vAlign w:val="bottom"/>
          </w:tcPr>
          <w:p>
            <w:pPr>
              <w:ind w:left="210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bl>
    <w:p>
      <w:pPr>
        <w:sectPr>
          <w:pgSz w:w="11900" w:h="16838" w:orient="portrait"/>
          <w:cols w:equalWidth="0" w:num="1">
            <w:col w:w="11240"/>
          </w:cols>
          <w:pgMar w:left="320" w:top="1116" w:right="339" w:bottom="1440" w:gutter="0" w:footer="0" w:header="0"/>
        </w:sectPr>
      </w:pPr>
    </w:p>
    <w:bookmarkStart w:id="112" w:name="page113"/>
    <w:bookmarkEnd w:id="112"/>
    <w:p>
      <w:pPr>
        <w:ind w:left="1060"/>
        <w:spacing w:after="0"/>
        <w:rPr>
          <w:sz w:val="20"/>
          <w:szCs w:val="20"/>
          <w:color w:val="auto"/>
        </w:rPr>
      </w:pPr>
      <w:r>
        <w:rPr>
          <w:rFonts w:ascii="Times New Roman" w:cs="Times New Roman" w:eastAsia="Times New Roman" w:hAnsi="Times New Roman"/>
          <w:sz w:val="17"/>
          <w:szCs w:val="17"/>
          <w:color w:val="auto"/>
        </w:rPr>
        <w:t>Able Advantage Acquisition, Inc.</w:t>
      </w:r>
    </w:p>
    <w:p>
      <w:pPr>
        <w:spacing w:after="0" w:line="28"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7"/>
          <w:szCs w:val="17"/>
          <w:color w:val="auto"/>
        </w:rPr>
        <w:t>AES MGMT, LLC</w:t>
      </w:r>
    </w:p>
    <w:p>
      <w:pPr>
        <w:spacing w:after="0" w:line="24"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7"/>
          <w:szCs w:val="17"/>
          <w:color w:val="auto"/>
        </w:rPr>
        <w:t>AbleServe Management Company</w:t>
      </w:r>
    </w:p>
    <w:p>
      <w:pPr>
        <w:spacing w:after="0" w:line="24"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7"/>
          <w:szCs w:val="17"/>
          <w:color w:val="auto"/>
        </w:rPr>
        <w:t>Grade Sub Two, LLC</w:t>
      </w:r>
    </w:p>
    <w:p>
      <w:pPr>
        <w:spacing w:after="0" w:line="24"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7"/>
          <w:szCs w:val="17"/>
          <w:color w:val="auto"/>
        </w:rPr>
        <w:t>GCA Services Group, Inc.</w:t>
      </w:r>
    </w:p>
    <w:p>
      <w:pPr>
        <w:spacing w:after="0" w:line="24"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7"/>
          <w:szCs w:val="17"/>
          <w:color w:val="auto"/>
        </w:rPr>
        <w:t>Associated Facility Management, LLC</w:t>
      </w:r>
    </w:p>
    <w:p>
      <w:pPr>
        <w:spacing w:after="0" w:line="2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GCA Cleaning Specialties, LP</w:t>
      </w:r>
    </w:p>
    <w:p>
      <w:pPr>
        <w:spacing w:after="0" w:line="2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7"/>
          <w:szCs w:val="17"/>
          <w:color w:val="auto"/>
        </w:rPr>
        <w:t>GCA Services Group Mountain States, LP</w:t>
      </w:r>
    </w:p>
    <w:p>
      <w:pPr>
        <w:spacing w:after="0" w:line="2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7"/>
          <w:szCs w:val="17"/>
          <w:color w:val="auto"/>
        </w:rPr>
        <w:t>GCA Services Group of Texas, LP</w:t>
      </w:r>
    </w:p>
    <w:p>
      <w:pPr>
        <w:spacing w:after="0" w:line="24"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7"/>
          <w:szCs w:val="17"/>
          <w:color w:val="auto"/>
        </w:rPr>
        <w:t>Associated Facility Ventures, LLC</w:t>
      </w:r>
    </w:p>
    <w:p>
      <w:pPr>
        <w:spacing w:after="0" w:line="24"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7"/>
          <w:szCs w:val="17"/>
          <w:color w:val="auto"/>
        </w:rPr>
        <w:t>ABM Education Services, Inc.</w:t>
      </w:r>
    </w:p>
    <w:p>
      <w:pPr>
        <w:spacing w:after="0" w:line="24"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7"/>
          <w:szCs w:val="17"/>
          <w:color w:val="auto"/>
        </w:rPr>
        <w:t>GCA Education Services Central States, Inc.</w:t>
      </w:r>
    </w:p>
    <w:p>
      <w:pPr>
        <w:spacing w:after="0" w:line="24"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7"/>
          <w:szCs w:val="17"/>
          <w:color w:val="auto"/>
        </w:rPr>
        <w:t>GCA Education Services of New England, Inc.</w:t>
      </w:r>
    </w:p>
    <w:p>
      <w:pPr>
        <w:spacing w:after="0" w:line="24"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7"/>
          <w:szCs w:val="17"/>
          <w:color w:val="auto"/>
        </w:rPr>
        <w:t>GCA K12 Education Services, Inc.</w:t>
      </w:r>
    </w:p>
    <w:p>
      <w:pPr>
        <w:spacing w:after="0" w:line="24"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7"/>
          <w:szCs w:val="17"/>
          <w:color w:val="auto"/>
        </w:rPr>
        <w:t>GCA Nuclear Facility Services, Inc.</w:t>
      </w:r>
    </w:p>
    <w:p>
      <w:pPr>
        <w:spacing w:after="0" w:line="24"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7"/>
          <w:szCs w:val="17"/>
          <w:color w:val="auto"/>
        </w:rPr>
        <w:t>GCA Production Services, Inc.</w:t>
      </w:r>
    </w:p>
    <w:p>
      <w:pPr>
        <w:spacing w:after="0" w:line="24"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7"/>
          <w:szCs w:val="17"/>
          <w:color w:val="auto"/>
        </w:rPr>
        <w:t>GCA Services Group of California, Inc.</w:t>
      </w:r>
    </w:p>
    <w:p>
      <w:pPr>
        <w:spacing w:after="0" w:line="24"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7"/>
          <w:szCs w:val="17"/>
          <w:color w:val="auto"/>
        </w:rPr>
        <w:t>GCA Services Group of Colorado, Inc.</w:t>
      </w:r>
    </w:p>
    <w:p>
      <w:pPr>
        <w:spacing w:after="0" w:line="24"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7"/>
          <w:szCs w:val="17"/>
          <w:color w:val="auto"/>
        </w:rPr>
        <w:t>GCA Services Group of North Carolina, Inc.</w:t>
      </w:r>
    </w:p>
    <w:p>
      <w:pPr>
        <w:spacing w:after="0" w:line="24"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7"/>
          <w:szCs w:val="17"/>
          <w:color w:val="auto"/>
        </w:rPr>
        <w:t>GCA Services Group of Northwestern States, Inc.</w:t>
      </w:r>
    </w:p>
    <w:p>
      <w:pPr>
        <w:spacing w:after="0" w:line="24"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7"/>
          <w:szCs w:val="17"/>
          <w:color w:val="auto"/>
        </w:rPr>
        <w:t>GCA Staffing Services, Inc.</w:t>
      </w:r>
    </w:p>
    <w:p>
      <w:pPr>
        <w:spacing w:after="0" w:line="24"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7"/>
          <w:szCs w:val="17"/>
          <w:color w:val="auto"/>
        </w:rPr>
        <w:t>National Building Maintenance Corp.</w:t>
      </w:r>
    </w:p>
    <w:p>
      <w:pPr>
        <w:spacing w:after="0" w:line="24"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IFM Assurance Company</w:t>
      </w:r>
    </w:p>
    <w:p>
      <w:pPr>
        <w:spacing w:after="0" w:line="24"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7"/>
          <w:szCs w:val="17"/>
          <w:color w:val="auto"/>
        </w:rPr>
        <w:t>Linc International, Inc.</w:t>
      </w:r>
    </w:p>
    <w:p>
      <w:pPr>
        <w:spacing w:after="0" w:line="24"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7"/>
          <w:szCs w:val="17"/>
          <w:color w:val="auto"/>
        </w:rPr>
        <w:t>Linc Facility Services Iraq LLC</w:t>
      </w:r>
    </w:p>
    <w:p>
      <w:pPr>
        <w:spacing w:after="0" w:line="2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Wassl Al-Iraq Project Services &amp; General Contracting LLPC</w:t>
      </w:r>
    </w:p>
    <w:p>
      <w:pPr>
        <w:spacing w:after="0" w:line="24"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7"/>
          <w:szCs w:val="17"/>
          <w:color w:val="auto"/>
        </w:rPr>
        <w:t>Linc Facility Services ME, LLC</w:t>
      </w:r>
    </w:p>
    <w:p>
      <w:pPr>
        <w:spacing w:after="0" w:line="2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Linc Facility Services Saudi Arabia, LLC</w:t>
      </w:r>
    </w:p>
    <w:p>
      <w:pPr>
        <w:spacing w:after="0" w:line="24"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7"/>
          <w:szCs w:val="17"/>
          <w:color w:val="auto"/>
        </w:rPr>
        <w:t>Mission Critical Holdings, LLC</w:t>
      </w:r>
    </w:p>
    <w:p>
      <w:pPr>
        <w:spacing w:after="0" w:line="24"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7"/>
          <w:szCs w:val="17"/>
          <w:color w:val="auto"/>
        </w:rPr>
        <w:t>MCS Opco, LLC</w:t>
      </w:r>
    </w:p>
    <w:p>
      <w:pPr>
        <w:spacing w:after="0" w:line="24"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7"/>
          <w:szCs w:val="17"/>
          <w:color w:val="auto"/>
        </w:rPr>
        <w:t>RavenVolt,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Delaware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California</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California</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Delaware</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Delaware</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Nevada</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Texas</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Texas</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Texas</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Nevada</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Tennessee</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Illinois</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Delaware</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Texas</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Texas</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Delaware</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California</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Colorado</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North Carolina</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Washington</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Delaware</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Delaware</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New York</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Delaware</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Delaware</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Iraq</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Delaware</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Saudi Arabia</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Delaware</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Delaware</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Delaware</w:t>
      </w:r>
    </w:p>
    <w:p>
      <w:pPr>
        <w:spacing w:after="0" w:line="200" w:lineRule="exact"/>
        <w:rPr>
          <w:sz w:val="20"/>
          <w:szCs w:val="20"/>
          <w:color w:val="auto"/>
        </w:rPr>
      </w:pPr>
    </w:p>
    <w:p>
      <w:pPr>
        <w:sectPr>
          <w:pgSz w:w="11900" w:h="16838" w:orient="portrait"/>
          <w:cols w:equalWidth="0" w:num="2">
            <w:col w:w="7960" w:space="720"/>
            <w:col w:w="1459"/>
          </w:cols>
          <w:pgMar w:left="320" w:top="909" w:right="1440" w:bottom="1440" w:gutter="0" w:footer="0" w:header="0"/>
        </w:sect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*Subsidiary relationship to Company or to subsidiary parents shown by progressive indentation.</w:t>
      </w:r>
    </w:p>
    <w:p>
      <w:pPr>
        <w:sectPr>
          <w:pgSz w:w="11900" w:h="16838" w:orient="portrait"/>
          <w:cols w:equalWidth="0" w:num="1">
            <w:col w:w="10139"/>
          </w:cols>
          <w:pgMar w:left="320" w:top="909" w:right="1440" w:bottom="1440" w:gutter="0" w:footer="0" w:header="0"/>
          <w:type w:val="continuous"/>
        </w:sectPr>
      </w:pPr>
    </w:p>
    <w:bookmarkStart w:id="113" w:name="page114"/>
    <w:bookmarkEnd w:id="113"/>
    <w:p>
      <w:pPr>
        <w:jc w:val="right"/>
        <w:spacing w:after="0"/>
        <w:rPr>
          <w:sz w:val="20"/>
          <w:szCs w:val="20"/>
          <w:color w:val="auto"/>
        </w:rPr>
      </w:pPr>
      <w:r>
        <w:rPr>
          <w:rFonts w:ascii="Arial" w:cs="Arial" w:eastAsia="Arial" w:hAnsi="Arial"/>
          <w:sz w:val="17"/>
          <w:szCs w:val="17"/>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Consent of Independent Registered Public Accounting Firm</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auto"/>
        </w:rPr>
        <w:t>The Board of Directors</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ABM Industries Incorporated:</w:t>
      </w:r>
    </w:p>
    <w:p>
      <w:pPr>
        <w:spacing w:after="0" w:line="230" w:lineRule="exact"/>
        <w:rPr>
          <w:sz w:val="20"/>
          <w:szCs w:val="20"/>
          <w:color w:val="auto"/>
        </w:rPr>
      </w:pPr>
    </w:p>
    <w:p>
      <w:pPr>
        <w:ind w:right="120"/>
        <w:spacing w:after="0" w:line="249" w:lineRule="auto"/>
        <w:rPr>
          <w:sz w:val="20"/>
          <w:szCs w:val="20"/>
          <w:color w:val="auto"/>
        </w:rPr>
      </w:pPr>
      <w:r>
        <w:rPr>
          <w:rFonts w:ascii="Arial" w:cs="Arial" w:eastAsia="Arial" w:hAnsi="Arial"/>
          <w:sz w:val="17"/>
          <w:szCs w:val="17"/>
          <w:color w:val="auto"/>
        </w:rPr>
        <w:t>We consent to the incorporation by reference in the registration statements (No. 333-78423, 333-78421, 333-48857, 333-85390, 333-116487, 333-137241, 333-159770, 333-167464, 333-179991, 333-202521, 333-211991, 333-224183, 333-254769, 333-286163, 333-286164) on Form S-8 and (No. 333-223233) on Form S-3 of our reports dated December 19, 2025, with respect to the consolidated financial statements of ABM Industries Incorporated and the effectiveness of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color w:val="auto"/>
        </w:rPr>
        <w:t>/s/ KPMG LLP</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color w:val="auto"/>
        </w:rPr>
        <w:t>New York, New York</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December 19, 2025</w:t>
      </w:r>
    </w:p>
    <w:p>
      <w:pPr>
        <w:sectPr>
          <w:pgSz w:w="11900" w:h="16838" w:orient="portrait"/>
          <w:cols w:equalWidth="0" w:num="1">
            <w:col w:w="11240"/>
          </w:cols>
          <w:pgMar w:left="320" w:top="121" w:right="339" w:bottom="1440" w:gutter="0" w:footer="0" w:header="0"/>
        </w:sectPr>
      </w:pPr>
    </w:p>
    <w:bookmarkStart w:id="114" w:name="page115"/>
    <w:bookmarkEnd w:id="114"/>
    <w:p>
      <w:pPr>
        <w:jc w:val="right"/>
        <w:spacing w:after="0"/>
        <w:rPr>
          <w:sz w:val="20"/>
          <w:szCs w:val="20"/>
          <w:color w:val="auto"/>
        </w:rPr>
      </w:pPr>
      <w:r>
        <w:rPr>
          <w:rFonts w:ascii="Arial" w:cs="Arial" w:eastAsia="Arial" w:hAnsi="Arial"/>
          <w:sz w:val="17"/>
          <w:szCs w:val="17"/>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OF CHIEF EXECUTIVE OFFICER</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PURSUANT TO SECURITIES EXCHANGE ACT OF 1934</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RULE 13a-14(a) OR 15d-14(a)</w:t>
      </w:r>
    </w:p>
    <w:p>
      <w:pPr>
        <w:spacing w:after="0" w:line="278" w:lineRule="exact"/>
        <w:rPr>
          <w:sz w:val="20"/>
          <w:szCs w:val="20"/>
          <w:color w:val="auto"/>
        </w:rPr>
      </w:pPr>
    </w:p>
    <w:p>
      <w:pPr>
        <w:spacing w:after="0"/>
        <w:rPr>
          <w:sz w:val="20"/>
          <w:szCs w:val="20"/>
          <w:color w:val="auto"/>
        </w:rPr>
      </w:pPr>
      <w:r>
        <w:rPr>
          <w:rFonts w:ascii="Arial" w:cs="Arial" w:eastAsia="Arial" w:hAnsi="Arial"/>
          <w:sz w:val="17"/>
          <w:szCs w:val="17"/>
          <w:color w:val="auto"/>
        </w:rPr>
        <w:t>I, Scott Salmirs, certify that:</w:t>
      </w:r>
    </w:p>
    <w:p>
      <w:pPr>
        <w:spacing w:after="0" w:line="178" w:lineRule="exact"/>
        <w:rPr>
          <w:sz w:val="20"/>
          <w:szCs w:val="20"/>
          <w:color w:val="auto"/>
        </w:rPr>
      </w:pPr>
    </w:p>
    <w:p>
      <w:pPr>
        <w:ind w:left="340" w:hanging="337"/>
        <w:spacing w:after="0"/>
        <w:tabs>
          <w:tab w:leader="none" w:pos="340" w:val="left"/>
        </w:tabs>
        <w:numPr>
          <w:ilvl w:val="0"/>
          <w:numId w:val="65"/>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ABM Industries Incorporated;</w:t>
      </w:r>
    </w:p>
    <w:p>
      <w:pPr>
        <w:spacing w:after="0" w:line="191" w:lineRule="exact"/>
        <w:rPr>
          <w:rFonts w:ascii="Arial" w:cs="Arial" w:eastAsia="Arial" w:hAnsi="Arial"/>
          <w:sz w:val="17"/>
          <w:szCs w:val="17"/>
          <w:color w:val="auto"/>
        </w:rPr>
      </w:pPr>
    </w:p>
    <w:p>
      <w:pPr>
        <w:jc w:val="both"/>
        <w:ind w:left="320" w:right="80" w:hanging="317"/>
        <w:spacing w:after="0" w:line="271" w:lineRule="auto"/>
        <w:tabs>
          <w:tab w:leader="none" w:pos="345" w:val="left"/>
        </w:tabs>
        <w:numPr>
          <w:ilvl w:val="0"/>
          <w:numId w:val="65"/>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4" w:lineRule="exact"/>
        <w:rPr>
          <w:rFonts w:ascii="Arial" w:cs="Arial" w:eastAsia="Arial" w:hAnsi="Arial"/>
          <w:sz w:val="17"/>
          <w:szCs w:val="17"/>
          <w:color w:val="auto"/>
        </w:rPr>
      </w:pPr>
    </w:p>
    <w:p>
      <w:pPr>
        <w:ind w:left="320" w:right="220" w:hanging="317"/>
        <w:spacing w:after="0" w:line="290" w:lineRule="auto"/>
        <w:tabs>
          <w:tab w:leader="none" w:pos="345" w:val="left"/>
        </w:tabs>
        <w:numPr>
          <w:ilvl w:val="0"/>
          <w:numId w:val="6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Arial" w:cs="Arial" w:eastAsia="Arial" w:hAnsi="Arial"/>
          <w:sz w:val="17"/>
          <w:szCs w:val="17"/>
          <w:color w:val="auto"/>
        </w:rPr>
      </w:pPr>
    </w:p>
    <w:p>
      <w:pPr>
        <w:ind w:left="320" w:right="100" w:hanging="317"/>
        <w:spacing w:after="0" w:line="263" w:lineRule="auto"/>
        <w:tabs>
          <w:tab w:leader="none" w:pos="342" w:val="left"/>
        </w:tabs>
        <w:numPr>
          <w:ilvl w:val="0"/>
          <w:numId w:val="65"/>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320"/>
        <w:spacing w:after="0"/>
        <w:rPr>
          <w:rFonts w:ascii="Arial" w:cs="Arial" w:eastAsia="Arial" w:hAnsi="Arial"/>
          <w:sz w:val="17"/>
          <w:szCs w:val="17"/>
          <w:color w:val="auto"/>
        </w:rPr>
      </w:pPr>
      <w:r>
        <w:rPr>
          <w:rFonts w:ascii="Arial" w:cs="Arial" w:eastAsia="Arial" w:hAnsi="Arial"/>
          <w:sz w:val="17"/>
          <w:szCs w:val="17"/>
          <w:color w:val="auto"/>
        </w:rPr>
        <w:t>15d-15(f)) for the registrant and have:</w:t>
      </w:r>
    </w:p>
    <w:p>
      <w:pPr>
        <w:spacing w:after="0" w:line="175" w:lineRule="exact"/>
        <w:rPr>
          <w:rFonts w:ascii="Arial" w:cs="Arial" w:eastAsia="Arial" w:hAnsi="Arial"/>
          <w:sz w:val="17"/>
          <w:szCs w:val="17"/>
          <w:color w:val="auto"/>
        </w:rPr>
      </w:pPr>
    </w:p>
    <w:p>
      <w:pPr>
        <w:ind w:left="620" w:right="340" w:hanging="307"/>
        <w:spacing w:after="0" w:line="271" w:lineRule="auto"/>
        <w:tabs>
          <w:tab w:leader="none" w:pos="654" w:val="left"/>
        </w:tabs>
        <w:numPr>
          <w:ilvl w:val="1"/>
          <w:numId w:val="65"/>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4" w:lineRule="exact"/>
        <w:rPr>
          <w:rFonts w:ascii="Arial" w:cs="Arial" w:eastAsia="Arial" w:hAnsi="Arial"/>
          <w:sz w:val="17"/>
          <w:szCs w:val="17"/>
          <w:color w:val="auto"/>
        </w:rPr>
      </w:pPr>
    </w:p>
    <w:p>
      <w:pPr>
        <w:jc w:val="both"/>
        <w:ind w:left="620" w:right="240" w:hanging="307"/>
        <w:spacing w:after="0" w:line="271" w:lineRule="auto"/>
        <w:tabs>
          <w:tab w:leader="none" w:pos="654" w:val="left"/>
        </w:tabs>
        <w:numPr>
          <w:ilvl w:val="1"/>
          <w:numId w:val="65"/>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4" w:lineRule="exact"/>
        <w:rPr>
          <w:rFonts w:ascii="Arial" w:cs="Arial" w:eastAsia="Arial" w:hAnsi="Arial"/>
          <w:sz w:val="17"/>
          <w:szCs w:val="17"/>
          <w:color w:val="auto"/>
        </w:rPr>
      </w:pPr>
    </w:p>
    <w:p>
      <w:pPr>
        <w:jc w:val="both"/>
        <w:ind w:left="620" w:right="260" w:hanging="307"/>
        <w:spacing w:after="0" w:line="290" w:lineRule="auto"/>
        <w:tabs>
          <w:tab w:leader="none" w:pos="645" w:val="left"/>
        </w:tabs>
        <w:numPr>
          <w:ilvl w:val="1"/>
          <w:numId w:val="6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0" w:lineRule="exact"/>
        <w:rPr>
          <w:rFonts w:ascii="Arial" w:cs="Arial" w:eastAsia="Arial" w:hAnsi="Arial"/>
          <w:sz w:val="17"/>
          <w:szCs w:val="17"/>
          <w:color w:val="auto"/>
        </w:rPr>
      </w:pPr>
    </w:p>
    <w:p>
      <w:pPr>
        <w:ind w:left="620" w:right="100" w:hanging="307"/>
        <w:spacing w:after="0" w:line="271" w:lineRule="auto"/>
        <w:tabs>
          <w:tab w:leader="none" w:pos="654" w:val="left"/>
        </w:tabs>
        <w:numPr>
          <w:ilvl w:val="1"/>
          <w:numId w:val="65"/>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4" w:lineRule="exact"/>
        <w:rPr>
          <w:rFonts w:ascii="Arial" w:cs="Arial" w:eastAsia="Arial" w:hAnsi="Arial"/>
          <w:sz w:val="17"/>
          <w:szCs w:val="17"/>
          <w:color w:val="auto"/>
        </w:rPr>
      </w:pPr>
    </w:p>
    <w:p>
      <w:pPr>
        <w:ind w:left="320" w:right="140" w:hanging="317"/>
        <w:spacing w:after="0" w:line="290" w:lineRule="auto"/>
        <w:tabs>
          <w:tab w:leader="none" w:pos="342" w:val="left"/>
        </w:tabs>
        <w:numPr>
          <w:ilvl w:val="0"/>
          <w:numId w:val="6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Arial" w:cs="Arial" w:eastAsia="Arial" w:hAnsi="Arial"/>
          <w:sz w:val="17"/>
          <w:szCs w:val="17"/>
          <w:color w:val="auto"/>
        </w:rPr>
      </w:pPr>
    </w:p>
    <w:p>
      <w:pPr>
        <w:ind w:left="620" w:right="740" w:hanging="307"/>
        <w:spacing w:after="0" w:line="290" w:lineRule="auto"/>
        <w:tabs>
          <w:tab w:leader="none" w:pos="645" w:val="left"/>
        </w:tabs>
        <w:numPr>
          <w:ilvl w:val="1"/>
          <w:numId w:val="6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0" w:lineRule="exact"/>
        <w:rPr>
          <w:rFonts w:ascii="Arial" w:cs="Arial" w:eastAsia="Arial" w:hAnsi="Arial"/>
          <w:sz w:val="17"/>
          <w:szCs w:val="17"/>
          <w:color w:val="auto"/>
        </w:rPr>
      </w:pPr>
    </w:p>
    <w:p>
      <w:pPr>
        <w:ind w:left="620" w:right="340" w:hanging="307"/>
        <w:spacing w:after="0" w:line="276" w:lineRule="auto"/>
        <w:tabs>
          <w:tab w:leader="none" w:pos="645" w:val="left"/>
        </w:tabs>
        <w:numPr>
          <w:ilvl w:val="1"/>
          <w:numId w:val="65"/>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tbl>
      <w:tblPr>
        <w:tblLayout w:type="fixed"/>
        <w:tblInd w:w="1240" w:type="dxa"/>
        <w:tblCellMar>
          <w:top w:w="0" w:type="dxa"/>
          <w:left w:w="0" w:type="dxa"/>
          <w:bottom w:w="0" w:type="dxa"/>
          <w:right w:w="0" w:type="dxa"/>
        </w:tblCellMar>
      </w:tblPr>
      <w:tr>
        <w:trPr>
          <w:trHeight w:val="186"/>
        </w:trPr>
        <w:tc>
          <w:tcPr>
            <w:tcW w:w="2140" w:type="dxa"/>
            <w:vAlign w:val="bottom"/>
          </w:tcPr>
          <w:p>
            <w:pPr>
              <w:spacing w:after="0" w:line="186" w:lineRule="exact"/>
              <w:rPr>
                <w:sz w:val="20"/>
                <w:szCs w:val="20"/>
                <w:color w:val="auto"/>
              </w:rPr>
            </w:pPr>
            <w:r>
              <w:rPr>
                <w:rFonts w:ascii="Arial" w:cs="Arial" w:eastAsia="Arial" w:hAnsi="Arial"/>
                <w:sz w:val="17"/>
                <w:szCs w:val="17"/>
                <w:color w:val="auto"/>
              </w:rPr>
              <w:t>December 19, 2025</w:t>
            </w:r>
          </w:p>
        </w:tc>
        <w:tc>
          <w:tcPr>
            <w:tcW w:w="2120" w:type="dxa"/>
            <w:vAlign w:val="bottom"/>
            <w:gridSpan w:val="2"/>
          </w:tcPr>
          <w:p>
            <w:pPr>
              <w:spacing w:after="0" w:line="186" w:lineRule="exact"/>
              <w:rPr>
                <w:sz w:val="20"/>
                <w:szCs w:val="20"/>
                <w:color w:val="auto"/>
              </w:rPr>
            </w:pPr>
            <w:r>
              <w:rPr>
                <w:rFonts w:ascii="Arial" w:cs="Arial" w:eastAsia="Arial" w:hAnsi="Arial"/>
                <w:sz w:val="17"/>
                <w:szCs w:val="17"/>
                <w:color w:val="auto"/>
              </w:rPr>
              <w:t>/s/ Scott Salmirs</w:t>
            </w:r>
          </w:p>
        </w:tc>
      </w:tr>
      <w:tr>
        <w:trPr>
          <w:trHeight w:val="234"/>
        </w:trPr>
        <w:tc>
          <w:tcPr>
            <w:tcW w:w="2140" w:type="dxa"/>
            <w:vAlign w:val="bottom"/>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Scott Salmirs</w:t>
            </w:r>
          </w:p>
        </w:tc>
        <w:tc>
          <w:tcPr>
            <w:tcW w:w="880" w:type="dxa"/>
            <w:vAlign w:val="bottom"/>
          </w:tcPr>
          <w:p>
            <w:pPr>
              <w:spacing w:after="0"/>
              <w:rPr>
                <w:sz w:val="20"/>
                <w:szCs w:val="20"/>
                <w:color w:val="auto"/>
              </w:rPr>
            </w:pPr>
          </w:p>
        </w:tc>
      </w:tr>
      <w:tr>
        <w:trPr>
          <w:trHeight w:val="219"/>
        </w:trPr>
        <w:tc>
          <w:tcPr>
            <w:tcW w:w="2140" w:type="dxa"/>
            <w:vAlign w:val="bottom"/>
          </w:tcPr>
          <w:p>
            <w:pPr>
              <w:spacing w:after="0"/>
              <w:rPr>
                <w:sz w:val="19"/>
                <w:szCs w:val="19"/>
                <w:color w:val="auto"/>
              </w:rPr>
            </w:pPr>
          </w:p>
        </w:tc>
        <w:tc>
          <w:tcPr>
            <w:tcW w:w="2120" w:type="dxa"/>
            <w:vAlign w:val="bottom"/>
            <w:gridSpan w:val="2"/>
          </w:tcPr>
          <w:p>
            <w:pPr>
              <w:spacing w:after="0"/>
              <w:rPr>
                <w:sz w:val="20"/>
                <w:szCs w:val="20"/>
                <w:color w:val="auto"/>
              </w:rPr>
            </w:pPr>
            <w:r>
              <w:rPr>
                <w:rFonts w:ascii="Arial" w:cs="Arial" w:eastAsia="Arial" w:hAnsi="Arial"/>
                <w:sz w:val="17"/>
                <w:szCs w:val="17"/>
                <w:color w:val="auto"/>
              </w:rPr>
              <w:t>Chief Executive Officer</w:t>
            </w:r>
          </w:p>
        </w:tc>
      </w:tr>
      <w:tr>
        <w:trPr>
          <w:trHeight w:val="226"/>
        </w:trPr>
        <w:tc>
          <w:tcPr>
            <w:tcW w:w="2140" w:type="dxa"/>
            <w:vAlign w:val="bottom"/>
          </w:tcPr>
          <w:p>
            <w:pPr>
              <w:spacing w:after="0"/>
              <w:rPr>
                <w:sz w:val="19"/>
                <w:szCs w:val="19"/>
                <w:color w:val="auto"/>
              </w:rPr>
            </w:pPr>
          </w:p>
        </w:tc>
        <w:tc>
          <w:tcPr>
            <w:tcW w:w="2120" w:type="dxa"/>
            <w:vAlign w:val="bottom"/>
            <w:gridSpan w:val="2"/>
          </w:tcPr>
          <w:p>
            <w:pPr>
              <w:spacing w:after="0"/>
              <w:rPr>
                <w:sz w:val="20"/>
                <w:szCs w:val="20"/>
                <w:color w:val="auto"/>
              </w:rPr>
            </w:pPr>
            <w:r>
              <w:rPr>
                <w:rFonts w:ascii="Arial" w:cs="Arial" w:eastAsia="Arial" w:hAnsi="Arial"/>
                <w:sz w:val="17"/>
                <w:szCs w:val="17"/>
                <w:color w:val="auto"/>
              </w:rPr>
              <w:t>(Principal Executive Officer)</w:t>
            </w:r>
          </w:p>
        </w:tc>
      </w:tr>
    </w:tbl>
    <w:p>
      <w:pPr>
        <w:sectPr>
          <w:pgSz w:w="11900" w:h="16838" w:orient="portrait"/>
          <w:cols w:equalWidth="0" w:num="1">
            <w:col w:w="11240"/>
          </w:cols>
          <w:pgMar w:left="320" w:top="121" w:right="339" w:bottom="1440" w:gutter="0" w:footer="0" w:header="0"/>
        </w:sectPr>
      </w:pPr>
    </w:p>
    <w:bookmarkStart w:id="115" w:name="page116"/>
    <w:bookmarkEnd w:id="115"/>
    <w:p>
      <w:pPr>
        <w:jc w:val="right"/>
        <w:spacing w:after="0"/>
        <w:rPr>
          <w:sz w:val="20"/>
          <w:szCs w:val="20"/>
          <w:color w:val="auto"/>
        </w:rPr>
      </w:pPr>
      <w:r>
        <w:rPr>
          <w:rFonts w:ascii="Arial" w:cs="Arial" w:eastAsia="Arial" w:hAnsi="Arial"/>
          <w:sz w:val="17"/>
          <w:szCs w:val="17"/>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OF CHIEF FINANCIAL OFFICER</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PURSUANT TO SECURITIES EXCHANGE ACT OF 1934</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RULE 13a-14(a) OR 15d-14(a)</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color w:val="auto"/>
        </w:rPr>
        <w:t>I, David M. Orr, certify that:</w:t>
      </w:r>
    </w:p>
    <w:p>
      <w:pPr>
        <w:spacing w:after="0" w:line="178" w:lineRule="exact"/>
        <w:rPr>
          <w:sz w:val="20"/>
          <w:szCs w:val="20"/>
          <w:color w:val="auto"/>
        </w:rPr>
      </w:pPr>
    </w:p>
    <w:p>
      <w:pPr>
        <w:ind w:left="200" w:hanging="197"/>
        <w:spacing w:after="0"/>
        <w:tabs>
          <w:tab w:leader="none" w:pos="200" w:val="left"/>
        </w:tabs>
        <w:numPr>
          <w:ilvl w:val="0"/>
          <w:numId w:val="66"/>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ABM Industries Incorporated;</w:t>
      </w:r>
    </w:p>
    <w:p>
      <w:pPr>
        <w:spacing w:after="0" w:line="191" w:lineRule="exact"/>
        <w:rPr>
          <w:rFonts w:ascii="Arial" w:cs="Arial" w:eastAsia="Arial" w:hAnsi="Arial"/>
          <w:sz w:val="17"/>
          <w:szCs w:val="17"/>
          <w:color w:val="auto"/>
        </w:rPr>
      </w:pPr>
    </w:p>
    <w:p>
      <w:pPr>
        <w:jc w:val="both"/>
        <w:ind w:left="320" w:right="80" w:hanging="317"/>
        <w:spacing w:after="0" w:line="271" w:lineRule="auto"/>
        <w:tabs>
          <w:tab w:leader="none" w:pos="345" w:val="left"/>
        </w:tabs>
        <w:numPr>
          <w:ilvl w:val="0"/>
          <w:numId w:val="66"/>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4" w:lineRule="exact"/>
        <w:rPr>
          <w:rFonts w:ascii="Arial" w:cs="Arial" w:eastAsia="Arial" w:hAnsi="Arial"/>
          <w:sz w:val="17"/>
          <w:szCs w:val="17"/>
          <w:color w:val="auto"/>
        </w:rPr>
      </w:pPr>
    </w:p>
    <w:p>
      <w:pPr>
        <w:ind w:left="320" w:right="220" w:hanging="317"/>
        <w:spacing w:after="0" w:line="290" w:lineRule="auto"/>
        <w:tabs>
          <w:tab w:leader="none" w:pos="345" w:val="left"/>
        </w:tabs>
        <w:numPr>
          <w:ilvl w:val="0"/>
          <w:numId w:val="6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Arial" w:cs="Arial" w:eastAsia="Arial" w:hAnsi="Arial"/>
          <w:sz w:val="17"/>
          <w:szCs w:val="17"/>
          <w:color w:val="auto"/>
        </w:rPr>
      </w:pPr>
    </w:p>
    <w:p>
      <w:pPr>
        <w:ind w:left="320" w:right="100" w:hanging="317"/>
        <w:spacing w:after="0" w:line="263" w:lineRule="auto"/>
        <w:tabs>
          <w:tab w:leader="none" w:pos="342" w:val="left"/>
        </w:tabs>
        <w:numPr>
          <w:ilvl w:val="0"/>
          <w:numId w:val="66"/>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320"/>
        <w:spacing w:after="0"/>
        <w:rPr>
          <w:rFonts w:ascii="Arial" w:cs="Arial" w:eastAsia="Arial" w:hAnsi="Arial"/>
          <w:sz w:val="17"/>
          <w:szCs w:val="17"/>
          <w:color w:val="auto"/>
        </w:rPr>
      </w:pPr>
      <w:r>
        <w:rPr>
          <w:rFonts w:ascii="Arial" w:cs="Arial" w:eastAsia="Arial" w:hAnsi="Arial"/>
          <w:sz w:val="17"/>
          <w:szCs w:val="17"/>
          <w:color w:val="auto"/>
        </w:rPr>
        <w:t>15d-15(f)) for the registrant and have:</w:t>
      </w:r>
    </w:p>
    <w:p>
      <w:pPr>
        <w:spacing w:after="0" w:line="175" w:lineRule="exact"/>
        <w:rPr>
          <w:rFonts w:ascii="Arial" w:cs="Arial" w:eastAsia="Arial" w:hAnsi="Arial"/>
          <w:sz w:val="17"/>
          <w:szCs w:val="17"/>
          <w:color w:val="auto"/>
        </w:rPr>
      </w:pPr>
    </w:p>
    <w:p>
      <w:pPr>
        <w:ind w:left="620" w:right="340" w:hanging="307"/>
        <w:spacing w:after="0" w:line="271" w:lineRule="auto"/>
        <w:tabs>
          <w:tab w:leader="none" w:pos="654" w:val="left"/>
        </w:tabs>
        <w:numPr>
          <w:ilvl w:val="1"/>
          <w:numId w:val="66"/>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4" w:lineRule="exact"/>
        <w:rPr>
          <w:rFonts w:ascii="Arial" w:cs="Arial" w:eastAsia="Arial" w:hAnsi="Arial"/>
          <w:sz w:val="17"/>
          <w:szCs w:val="17"/>
          <w:color w:val="auto"/>
        </w:rPr>
      </w:pPr>
    </w:p>
    <w:p>
      <w:pPr>
        <w:jc w:val="both"/>
        <w:ind w:left="620" w:right="240" w:hanging="307"/>
        <w:spacing w:after="0" w:line="271" w:lineRule="auto"/>
        <w:tabs>
          <w:tab w:leader="none" w:pos="654" w:val="left"/>
        </w:tabs>
        <w:numPr>
          <w:ilvl w:val="1"/>
          <w:numId w:val="66"/>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4" w:lineRule="exact"/>
        <w:rPr>
          <w:rFonts w:ascii="Arial" w:cs="Arial" w:eastAsia="Arial" w:hAnsi="Arial"/>
          <w:sz w:val="17"/>
          <w:szCs w:val="17"/>
          <w:color w:val="auto"/>
        </w:rPr>
      </w:pPr>
    </w:p>
    <w:p>
      <w:pPr>
        <w:jc w:val="both"/>
        <w:ind w:left="620" w:right="260" w:hanging="307"/>
        <w:spacing w:after="0" w:line="290" w:lineRule="auto"/>
        <w:tabs>
          <w:tab w:leader="none" w:pos="645" w:val="left"/>
        </w:tabs>
        <w:numPr>
          <w:ilvl w:val="1"/>
          <w:numId w:val="6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0" w:lineRule="exact"/>
        <w:rPr>
          <w:rFonts w:ascii="Arial" w:cs="Arial" w:eastAsia="Arial" w:hAnsi="Arial"/>
          <w:sz w:val="17"/>
          <w:szCs w:val="17"/>
          <w:color w:val="auto"/>
        </w:rPr>
      </w:pPr>
    </w:p>
    <w:p>
      <w:pPr>
        <w:ind w:left="620" w:right="100" w:hanging="307"/>
        <w:spacing w:after="0" w:line="271" w:lineRule="auto"/>
        <w:tabs>
          <w:tab w:leader="none" w:pos="654" w:val="left"/>
        </w:tabs>
        <w:numPr>
          <w:ilvl w:val="1"/>
          <w:numId w:val="66"/>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4" w:lineRule="exact"/>
        <w:rPr>
          <w:rFonts w:ascii="Arial" w:cs="Arial" w:eastAsia="Arial" w:hAnsi="Arial"/>
          <w:sz w:val="17"/>
          <w:szCs w:val="17"/>
          <w:color w:val="auto"/>
        </w:rPr>
      </w:pPr>
    </w:p>
    <w:p>
      <w:pPr>
        <w:ind w:left="320" w:right="140" w:hanging="317"/>
        <w:spacing w:after="0" w:line="290" w:lineRule="auto"/>
        <w:tabs>
          <w:tab w:leader="none" w:pos="342" w:val="left"/>
        </w:tabs>
        <w:numPr>
          <w:ilvl w:val="0"/>
          <w:numId w:val="6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Arial" w:cs="Arial" w:eastAsia="Arial" w:hAnsi="Arial"/>
          <w:sz w:val="17"/>
          <w:szCs w:val="17"/>
          <w:color w:val="auto"/>
        </w:rPr>
      </w:pPr>
    </w:p>
    <w:p>
      <w:pPr>
        <w:ind w:left="620" w:right="740" w:hanging="307"/>
        <w:spacing w:after="0" w:line="290" w:lineRule="auto"/>
        <w:tabs>
          <w:tab w:leader="none" w:pos="645" w:val="left"/>
        </w:tabs>
        <w:numPr>
          <w:ilvl w:val="1"/>
          <w:numId w:val="6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0" w:lineRule="exact"/>
        <w:rPr>
          <w:rFonts w:ascii="Arial" w:cs="Arial" w:eastAsia="Arial" w:hAnsi="Arial"/>
          <w:sz w:val="17"/>
          <w:szCs w:val="17"/>
          <w:color w:val="auto"/>
        </w:rPr>
      </w:pPr>
    </w:p>
    <w:p>
      <w:pPr>
        <w:ind w:left="620" w:right="340" w:hanging="307"/>
        <w:spacing w:after="0" w:line="276" w:lineRule="auto"/>
        <w:tabs>
          <w:tab w:leader="none" w:pos="645" w:val="left"/>
        </w:tabs>
        <w:numPr>
          <w:ilvl w:val="1"/>
          <w:numId w:val="66"/>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tbl>
      <w:tblPr>
        <w:tblLayout w:type="fixed"/>
        <w:tblInd w:w="1260" w:type="dxa"/>
        <w:tblCellMar>
          <w:top w:w="0" w:type="dxa"/>
          <w:left w:w="0" w:type="dxa"/>
          <w:bottom w:w="0" w:type="dxa"/>
          <w:right w:w="0" w:type="dxa"/>
        </w:tblCellMar>
      </w:tblPr>
      <w:tr>
        <w:trPr>
          <w:trHeight w:val="186"/>
        </w:trPr>
        <w:tc>
          <w:tcPr>
            <w:tcW w:w="2140" w:type="dxa"/>
            <w:vAlign w:val="bottom"/>
          </w:tcPr>
          <w:p>
            <w:pPr>
              <w:spacing w:after="0" w:line="186" w:lineRule="exact"/>
              <w:rPr>
                <w:sz w:val="20"/>
                <w:szCs w:val="20"/>
                <w:color w:val="auto"/>
              </w:rPr>
            </w:pPr>
            <w:r>
              <w:rPr>
                <w:rFonts w:ascii="Arial" w:cs="Arial" w:eastAsia="Arial" w:hAnsi="Arial"/>
                <w:sz w:val="17"/>
                <w:szCs w:val="17"/>
                <w:color w:val="auto"/>
              </w:rPr>
              <w:t>December 19, 2025</w:t>
            </w:r>
          </w:p>
        </w:tc>
        <w:tc>
          <w:tcPr>
            <w:tcW w:w="2060" w:type="dxa"/>
            <w:vAlign w:val="bottom"/>
            <w:gridSpan w:val="2"/>
          </w:tcPr>
          <w:p>
            <w:pPr>
              <w:spacing w:after="0" w:line="186" w:lineRule="exact"/>
              <w:rPr>
                <w:sz w:val="20"/>
                <w:szCs w:val="20"/>
                <w:color w:val="auto"/>
              </w:rPr>
            </w:pPr>
            <w:r>
              <w:rPr>
                <w:rFonts w:ascii="Arial" w:cs="Arial" w:eastAsia="Arial" w:hAnsi="Arial"/>
                <w:sz w:val="17"/>
                <w:szCs w:val="17"/>
                <w:color w:val="auto"/>
              </w:rPr>
              <w:t>/s/ David M. Orr</w:t>
            </w:r>
          </w:p>
        </w:tc>
      </w:tr>
      <w:tr>
        <w:trPr>
          <w:trHeight w:val="234"/>
        </w:trPr>
        <w:tc>
          <w:tcPr>
            <w:tcW w:w="2140" w:type="dxa"/>
            <w:vAlign w:val="bottom"/>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David M. Orr</w:t>
            </w:r>
          </w:p>
        </w:tc>
        <w:tc>
          <w:tcPr>
            <w:tcW w:w="860" w:type="dxa"/>
            <w:vAlign w:val="bottom"/>
          </w:tcPr>
          <w:p>
            <w:pPr>
              <w:spacing w:after="0"/>
              <w:rPr>
                <w:sz w:val="20"/>
                <w:szCs w:val="20"/>
                <w:color w:val="auto"/>
              </w:rPr>
            </w:pPr>
          </w:p>
        </w:tc>
      </w:tr>
      <w:tr>
        <w:trPr>
          <w:trHeight w:val="219"/>
        </w:trPr>
        <w:tc>
          <w:tcPr>
            <w:tcW w:w="2140" w:type="dxa"/>
            <w:vAlign w:val="bottom"/>
          </w:tcPr>
          <w:p>
            <w:pPr>
              <w:spacing w:after="0"/>
              <w:rPr>
                <w:sz w:val="19"/>
                <w:szCs w:val="19"/>
                <w:color w:val="auto"/>
              </w:rPr>
            </w:pPr>
          </w:p>
        </w:tc>
        <w:tc>
          <w:tcPr>
            <w:tcW w:w="2060" w:type="dxa"/>
            <w:vAlign w:val="bottom"/>
            <w:gridSpan w:val="2"/>
          </w:tcPr>
          <w:p>
            <w:pPr>
              <w:spacing w:after="0"/>
              <w:rPr>
                <w:sz w:val="20"/>
                <w:szCs w:val="20"/>
                <w:color w:val="auto"/>
              </w:rPr>
            </w:pPr>
            <w:r>
              <w:rPr>
                <w:rFonts w:ascii="Arial" w:cs="Arial" w:eastAsia="Arial" w:hAnsi="Arial"/>
                <w:sz w:val="17"/>
                <w:szCs w:val="17"/>
                <w:color w:val="auto"/>
              </w:rPr>
              <w:t>Chief Financial Officer</w:t>
            </w:r>
          </w:p>
        </w:tc>
      </w:tr>
      <w:tr>
        <w:trPr>
          <w:trHeight w:val="226"/>
        </w:trPr>
        <w:tc>
          <w:tcPr>
            <w:tcW w:w="2140" w:type="dxa"/>
            <w:vAlign w:val="bottom"/>
          </w:tcPr>
          <w:p>
            <w:pPr>
              <w:spacing w:after="0"/>
              <w:rPr>
                <w:sz w:val="19"/>
                <w:szCs w:val="19"/>
                <w:color w:val="auto"/>
              </w:rPr>
            </w:pPr>
          </w:p>
        </w:tc>
        <w:tc>
          <w:tcPr>
            <w:tcW w:w="2060" w:type="dxa"/>
            <w:vAlign w:val="bottom"/>
            <w:gridSpan w:val="2"/>
          </w:tcPr>
          <w:p>
            <w:pPr>
              <w:spacing w:after="0"/>
              <w:rPr>
                <w:sz w:val="20"/>
                <w:szCs w:val="20"/>
                <w:color w:val="auto"/>
              </w:rPr>
            </w:pPr>
            <w:r>
              <w:rPr>
                <w:rFonts w:ascii="Arial" w:cs="Arial" w:eastAsia="Arial" w:hAnsi="Arial"/>
                <w:sz w:val="17"/>
                <w:szCs w:val="17"/>
                <w:color w:val="auto"/>
                <w:w w:val="99"/>
              </w:rPr>
              <w:t>(Principal Financial Officer)</w:t>
            </w:r>
          </w:p>
        </w:tc>
      </w:tr>
    </w:tbl>
    <w:p>
      <w:pPr>
        <w:sectPr>
          <w:pgSz w:w="11900" w:h="16838" w:orient="portrait"/>
          <w:cols w:equalWidth="0" w:num="1">
            <w:col w:w="11240"/>
          </w:cols>
          <w:pgMar w:left="320" w:top="121" w:right="339" w:bottom="1440" w:gutter="0" w:footer="0" w:header="0"/>
        </w:sectPr>
      </w:pPr>
    </w:p>
    <w:bookmarkStart w:id="116" w:name="page117"/>
    <w:bookmarkEnd w:id="116"/>
    <w:p>
      <w:pPr>
        <w:jc w:val="right"/>
        <w:spacing w:after="0"/>
        <w:rPr>
          <w:sz w:val="20"/>
          <w:szCs w:val="20"/>
          <w:color w:val="auto"/>
        </w:rPr>
      </w:pPr>
      <w:r>
        <w:rPr>
          <w:rFonts w:ascii="Arial" w:cs="Arial" w:eastAsia="Arial" w:hAnsi="Arial"/>
          <w:sz w:val="17"/>
          <w:szCs w:val="17"/>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CERTIFICATIONS PURSUANT TO SECURITIES EXCHANGE ACT OF 1934</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RULE 13a-14(b) OR 15d-14(b) AND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18 U.S.C. SECTION 1350,</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200" w:lineRule="exact"/>
        <w:rPr>
          <w:sz w:val="20"/>
          <w:szCs w:val="20"/>
          <w:color w:val="auto"/>
        </w:rPr>
      </w:pPr>
    </w:p>
    <w:p>
      <w:pPr>
        <w:spacing w:after="0" w:line="259" w:lineRule="exact"/>
        <w:rPr>
          <w:sz w:val="20"/>
          <w:szCs w:val="20"/>
          <w:color w:val="auto"/>
        </w:rPr>
      </w:pPr>
    </w:p>
    <w:p>
      <w:pPr>
        <w:ind w:right="180" w:firstLine="309"/>
        <w:spacing w:after="0" w:line="265" w:lineRule="auto"/>
        <w:rPr>
          <w:sz w:val="20"/>
          <w:szCs w:val="20"/>
          <w:color w:val="auto"/>
        </w:rPr>
      </w:pPr>
      <w:r>
        <w:rPr>
          <w:rFonts w:ascii="Arial" w:cs="Arial" w:eastAsia="Arial" w:hAnsi="Arial"/>
          <w:sz w:val="17"/>
          <w:szCs w:val="17"/>
          <w:color w:val="auto"/>
        </w:rPr>
        <w:t>In connection with the Annual Report of ABM Industries Incorporated (the “Company”) for the year ended October 31, 2025, as filed with the Securities and Exchange Commission on the date hereof (the “Report”), Scott Salmirs, Chief Executive Officer of the Company, and David M. Orr, Chief Financial Officer of the Company, each certifies for the purpose of complying with Rule 13a-14(b) or Rule 15d-14(b) of the Securities Exchange Act of 1934, as amended (the “Exchange Act”) and Section 1350 of Chapter 63 of Title 18 of the United States Code, that:</w:t>
      </w:r>
    </w:p>
    <w:p>
      <w:pPr>
        <w:spacing w:after="0" w:line="194" w:lineRule="exact"/>
        <w:rPr>
          <w:sz w:val="20"/>
          <w:szCs w:val="20"/>
          <w:color w:val="auto"/>
        </w:rPr>
      </w:pPr>
    </w:p>
    <w:p>
      <w:pPr>
        <w:ind w:left="920" w:hanging="607"/>
        <w:spacing w:after="0"/>
        <w:tabs>
          <w:tab w:leader="none" w:pos="920" w:val="left"/>
        </w:tabs>
        <w:numPr>
          <w:ilvl w:val="0"/>
          <w:numId w:val="67"/>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Exchange Act; and</w:t>
      </w:r>
    </w:p>
    <w:p>
      <w:pPr>
        <w:spacing w:after="0" w:line="26" w:lineRule="exact"/>
        <w:rPr>
          <w:rFonts w:ascii="Arial" w:cs="Arial" w:eastAsia="Arial" w:hAnsi="Arial"/>
          <w:sz w:val="17"/>
          <w:szCs w:val="17"/>
          <w:color w:val="auto"/>
        </w:rPr>
      </w:pPr>
    </w:p>
    <w:p>
      <w:pPr>
        <w:ind w:left="940" w:right="280" w:hanging="627"/>
        <w:spacing w:after="0" w:line="270" w:lineRule="auto"/>
        <w:tabs>
          <w:tab w:leader="none" w:pos="931" w:val="left"/>
        </w:tabs>
        <w:numPr>
          <w:ilvl w:val="0"/>
          <w:numId w:val="67"/>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16" w:lineRule="exact"/>
        <w:rPr>
          <w:sz w:val="20"/>
          <w:szCs w:val="20"/>
          <w:color w:val="auto"/>
        </w:rPr>
      </w:pPr>
    </w:p>
    <w:tbl>
      <w:tblPr>
        <w:tblLayout w:type="fixed"/>
        <w:tblInd w:w="4480" w:type="dxa"/>
        <w:tblCellMar>
          <w:top w:w="0" w:type="dxa"/>
          <w:left w:w="0" w:type="dxa"/>
          <w:bottom w:w="0" w:type="dxa"/>
          <w:right w:w="0" w:type="dxa"/>
        </w:tblCellMar>
      </w:tblPr>
      <w:tr>
        <w:trPr>
          <w:trHeight w:val="195"/>
        </w:trPr>
        <w:tc>
          <w:tcPr>
            <w:tcW w:w="2020" w:type="dxa"/>
            <w:vAlign w:val="bottom"/>
          </w:tcPr>
          <w:p>
            <w:pPr>
              <w:ind w:left="20"/>
              <w:spacing w:after="0"/>
              <w:rPr>
                <w:sz w:val="20"/>
                <w:szCs w:val="20"/>
                <w:color w:val="auto"/>
              </w:rPr>
            </w:pPr>
            <w:r>
              <w:rPr>
                <w:rFonts w:ascii="Arial" w:cs="Arial" w:eastAsia="Arial" w:hAnsi="Arial"/>
                <w:sz w:val="17"/>
                <w:szCs w:val="17"/>
                <w:color w:val="auto"/>
              </w:rPr>
              <w:t>December 19, 2025</w:t>
            </w:r>
          </w:p>
        </w:tc>
        <w:tc>
          <w:tcPr>
            <w:tcW w:w="2120" w:type="dxa"/>
            <w:vAlign w:val="bottom"/>
            <w:gridSpan w:val="3"/>
          </w:tcPr>
          <w:p>
            <w:pPr>
              <w:spacing w:after="0"/>
              <w:rPr>
                <w:sz w:val="20"/>
                <w:szCs w:val="20"/>
                <w:color w:val="auto"/>
              </w:rPr>
            </w:pPr>
            <w:r>
              <w:rPr>
                <w:rFonts w:ascii="Arial" w:cs="Arial" w:eastAsia="Arial" w:hAnsi="Arial"/>
                <w:sz w:val="17"/>
                <w:szCs w:val="17"/>
                <w:color w:val="auto"/>
              </w:rPr>
              <w:t>/s/ Scott Salmirs</w:t>
            </w:r>
          </w:p>
        </w:tc>
      </w:tr>
      <w:tr>
        <w:trPr>
          <w:trHeight w:val="234"/>
        </w:trPr>
        <w:tc>
          <w:tcPr>
            <w:tcW w:w="2020" w:type="dxa"/>
            <w:vAlign w:val="bottom"/>
          </w:tcPr>
          <w:p>
            <w:pPr>
              <w:spacing w:after="0"/>
              <w:rPr>
                <w:sz w:val="20"/>
                <w:szCs w:val="20"/>
                <w:color w:val="auto"/>
              </w:rPr>
            </w:pPr>
          </w:p>
        </w:tc>
        <w:tc>
          <w:tcPr>
            <w:tcW w:w="1240" w:type="dxa"/>
            <w:vAlign w:val="bottom"/>
            <w:tcBorders>
              <w:top w:val="single" w:sz="8" w:color="auto"/>
            </w:tcBorders>
            <w:gridSpan w:val="2"/>
          </w:tcPr>
          <w:p>
            <w:pPr>
              <w:spacing w:after="0"/>
              <w:rPr>
                <w:sz w:val="20"/>
                <w:szCs w:val="20"/>
                <w:color w:val="auto"/>
              </w:rPr>
            </w:pPr>
            <w:r>
              <w:rPr>
                <w:rFonts w:ascii="Arial" w:cs="Arial" w:eastAsia="Arial" w:hAnsi="Arial"/>
                <w:sz w:val="17"/>
                <w:szCs w:val="17"/>
                <w:color w:val="auto"/>
              </w:rPr>
              <w:t>Scott Salmirs</w:t>
            </w:r>
          </w:p>
        </w:tc>
        <w:tc>
          <w:tcPr>
            <w:tcW w:w="880" w:type="dxa"/>
            <w:vAlign w:val="bottom"/>
          </w:tcPr>
          <w:p>
            <w:pPr>
              <w:spacing w:after="0"/>
              <w:rPr>
                <w:sz w:val="20"/>
                <w:szCs w:val="20"/>
                <w:color w:val="auto"/>
              </w:rPr>
            </w:pPr>
          </w:p>
        </w:tc>
      </w:tr>
      <w:tr>
        <w:trPr>
          <w:trHeight w:val="219"/>
        </w:trPr>
        <w:tc>
          <w:tcPr>
            <w:tcW w:w="2020" w:type="dxa"/>
            <w:vAlign w:val="bottom"/>
          </w:tcPr>
          <w:p>
            <w:pPr>
              <w:spacing w:after="0"/>
              <w:rPr>
                <w:sz w:val="19"/>
                <w:szCs w:val="19"/>
                <w:color w:val="auto"/>
              </w:rPr>
            </w:pPr>
          </w:p>
        </w:tc>
        <w:tc>
          <w:tcPr>
            <w:tcW w:w="2120" w:type="dxa"/>
            <w:vAlign w:val="bottom"/>
            <w:gridSpan w:val="3"/>
          </w:tcPr>
          <w:p>
            <w:pPr>
              <w:spacing w:after="0"/>
              <w:rPr>
                <w:sz w:val="20"/>
                <w:szCs w:val="20"/>
                <w:color w:val="auto"/>
              </w:rPr>
            </w:pPr>
            <w:r>
              <w:rPr>
                <w:rFonts w:ascii="Arial" w:cs="Arial" w:eastAsia="Arial" w:hAnsi="Arial"/>
                <w:sz w:val="17"/>
                <w:szCs w:val="17"/>
                <w:color w:val="auto"/>
              </w:rPr>
              <w:t>Chief Executive Officer</w:t>
            </w:r>
          </w:p>
        </w:tc>
      </w:tr>
      <w:tr>
        <w:trPr>
          <w:trHeight w:val="226"/>
        </w:trPr>
        <w:tc>
          <w:tcPr>
            <w:tcW w:w="2020" w:type="dxa"/>
            <w:vAlign w:val="bottom"/>
          </w:tcPr>
          <w:p>
            <w:pPr>
              <w:spacing w:after="0"/>
              <w:rPr>
                <w:sz w:val="19"/>
                <w:szCs w:val="19"/>
                <w:color w:val="auto"/>
              </w:rPr>
            </w:pPr>
          </w:p>
        </w:tc>
        <w:tc>
          <w:tcPr>
            <w:tcW w:w="2120" w:type="dxa"/>
            <w:vAlign w:val="bottom"/>
            <w:gridSpan w:val="3"/>
          </w:tcPr>
          <w:p>
            <w:pPr>
              <w:spacing w:after="0"/>
              <w:rPr>
                <w:sz w:val="20"/>
                <w:szCs w:val="20"/>
                <w:color w:val="auto"/>
              </w:rPr>
            </w:pPr>
            <w:r>
              <w:rPr>
                <w:rFonts w:ascii="Arial" w:cs="Arial" w:eastAsia="Arial" w:hAnsi="Arial"/>
                <w:sz w:val="17"/>
                <w:szCs w:val="17"/>
                <w:color w:val="auto"/>
              </w:rPr>
              <w:t>(Principal Executive Officer)</w:t>
            </w:r>
          </w:p>
        </w:tc>
      </w:tr>
      <w:tr>
        <w:trPr>
          <w:trHeight w:val="539"/>
        </w:trPr>
        <w:tc>
          <w:tcPr>
            <w:tcW w:w="2020" w:type="dxa"/>
            <w:vAlign w:val="bottom"/>
          </w:tcPr>
          <w:p>
            <w:pPr>
              <w:spacing w:after="0"/>
              <w:rPr>
                <w:sz w:val="20"/>
                <w:szCs w:val="20"/>
                <w:color w:val="auto"/>
              </w:rPr>
            </w:pPr>
            <w:r>
              <w:rPr>
                <w:rFonts w:ascii="Arial" w:cs="Arial" w:eastAsia="Arial" w:hAnsi="Arial"/>
                <w:sz w:val="17"/>
                <w:szCs w:val="17"/>
                <w:color w:val="auto"/>
              </w:rPr>
              <w:t>December 19, 2025</w:t>
            </w:r>
          </w:p>
        </w:tc>
        <w:tc>
          <w:tcPr>
            <w:tcW w:w="1200" w:type="dxa"/>
            <w:vAlign w:val="bottom"/>
            <w:tcBorders>
              <w:bottom w:val="single" w:sz="8" w:color="auto"/>
            </w:tcBorders>
          </w:tcPr>
          <w:p>
            <w:pPr>
              <w:spacing w:after="0"/>
              <w:rPr>
                <w:sz w:val="20"/>
                <w:szCs w:val="20"/>
                <w:color w:val="auto"/>
              </w:rPr>
            </w:pPr>
            <w:r>
              <w:rPr>
                <w:rFonts w:ascii="Arial" w:cs="Arial" w:eastAsia="Arial" w:hAnsi="Arial"/>
                <w:sz w:val="17"/>
                <w:szCs w:val="17"/>
                <w:color w:val="auto"/>
                <w:w w:val="99"/>
              </w:rPr>
              <w:t>/s/ David M. Orr</w:t>
            </w:r>
          </w:p>
        </w:tc>
        <w:tc>
          <w:tcPr>
            <w:tcW w:w="920" w:type="dxa"/>
            <w:vAlign w:val="bottom"/>
            <w:gridSpan w:val="2"/>
          </w:tcPr>
          <w:p>
            <w:pPr>
              <w:spacing w:after="0"/>
              <w:rPr>
                <w:sz w:val="24"/>
                <w:szCs w:val="24"/>
                <w:color w:val="auto"/>
              </w:rPr>
            </w:pPr>
          </w:p>
        </w:tc>
      </w:tr>
      <w:tr>
        <w:trPr>
          <w:trHeight w:val="234"/>
        </w:trPr>
        <w:tc>
          <w:tcPr>
            <w:tcW w:w="2020" w:type="dxa"/>
            <w:vAlign w:val="bottom"/>
          </w:tcPr>
          <w:p>
            <w:pPr>
              <w:spacing w:after="0"/>
              <w:rPr>
                <w:sz w:val="20"/>
                <w:szCs w:val="20"/>
                <w:color w:val="auto"/>
              </w:rPr>
            </w:pPr>
          </w:p>
        </w:tc>
        <w:tc>
          <w:tcPr>
            <w:tcW w:w="2120" w:type="dxa"/>
            <w:vAlign w:val="bottom"/>
            <w:gridSpan w:val="3"/>
          </w:tcPr>
          <w:p>
            <w:pPr>
              <w:spacing w:after="0"/>
              <w:rPr>
                <w:sz w:val="20"/>
                <w:szCs w:val="20"/>
                <w:color w:val="auto"/>
              </w:rPr>
            </w:pPr>
            <w:r>
              <w:rPr>
                <w:rFonts w:ascii="Arial" w:cs="Arial" w:eastAsia="Arial" w:hAnsi="Arial"/>
                <w:sz w:val="17"/>
                <w:szCs w:val="17"/>
                <w:color w:val="auto"/>
              </w:rPr>
              <w:t>David M. Orr</w:t>
            </w:r>
          </w:p>
        </w:tc>
      </w:tr>
      <w:tr>
        <w:trPr>
          <w:trHeight w:val="219"/>
        </w:trPr>
        <w:tc>
          <w:tcPr>
            <w:tcW w:w="2020" w:type="dxa"/>
            <w:vAlign w:val="bottom"/>
          </w:tcPr>
          <w:p>
            <w:pPr>
              <w:spacing w:after="0"/>
              <w:rPr>
                <w:sz w:val="19"/>
                <w:szCs w:val="19"/>
                <w:color w:val="auto"/>
              </w:rPr>
            </w:pPr>
          </w:p>
        </w:tc>
        <w:tc>
          <w:tcPr>
            <w:tcW w:w="2120" w:type="dxa"/>
            <w:vAlign w:val="bottom"/>
            <w:gridSpan w:val="3"/>
          </w:tcPr>
          <w:p>
            <w:pPr>
              <w:spacing w:after="0"/>
              <w:rPr>
                <w:sz w:val="20"/>
                <w:szCs w:val="20"/>
                <w:color w:val="auto"/>
              </w:rPr>
            </w:pPr>
            <w:r>
              <w:rPr>
                <w:rFonts w:ascii="Arial" w:cs="Arial" w:eastAsia="Arial" w:hAnsi="Arial"/>
                <w:sz w:val="17"/>
                <w:szCs w:val="17"/>
                <w:color w:val="auto"/>
              </w:rPr>
              <w:t>Chief Financial Officer</w:t>
            </w:r>
          </w:p>
        </w:tc>
      </w:tr>
      <w:tr>
        <w:trPr>
          <w:trHeight w:val="226"/>
        </w:trPr>
        <w:tc>
          <w:tcPr>
            <w:tcW w:w="2020" w:type="dxa"/>
            <w:vAlign w:val="bottom"/>
          </w:tcPr>
          <w:p>
            <w:pPr>
              <w:spacing w:after="0"/>
              <w:rPr>
                <w:sz w:val="19"/>
                <w:szCs w:val="19"/>
                <w:color w:val="auto"/>
              </w:rPr>
            </w:pPr>
          </w:p>
        </w:tc>
        <w:tc>
          <w:tcPr>
            <w:tcW w:w="2120" w:type="dxa"/>
            <w:vAlign w:val="bottom"/>
            <w:gridSpan w:val="3"/>
          </w:tcPr>
          <w:p>
            <w:pPr>
              <w:spacing w:after="0"/>
              <w:rPr>
                <w:sz w:val="20"/>
                <w:szCs w:val="20"/>
                <w:color w:val="auto"/>
              </w:rPr>
            </w:pPr>
            <w:r>
              <w:rPr>
                <w:rFonts w:ascii="Arial" w:cs="Arial" w:eastAsia="Arial" w:hAnsi="Arial"/>
                <w:sz w:val="17"/>
                <w:szCs w:val="17"/>
                <w:color w:val="auto"/>
              </w:rPr>
              <w:t>(Principal Financial Officer)</w:t>
            </w:r>
          </w:p>
        </w:tc>
      </w:tr>
    </w:tbl>
    <w:p>
      <w:pPr>
        <w:spacing w:after="0" w:line="1" w:lineRule="exact"/>
        <w:rPr>
          <w:sz w:val="20"/>
          <w:szCs w:val="20"/>
          <w:color w:val="auto"/>
        </w:rPr>
      </w:pP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14FD4A1"/>
    <w:multiLevelType w:val="hybridMultilevel"/>
    <w:lvl w:ilvl="0">
      <w:lvlJc w:val="left"/>
      <w:lvlText w:val="☑"/>
      <w:numFmt w:val="bullet"/>
      <w:start w:val="1"/>
    </w:lvl>
  </w:abstractNum>
  <w:abstractNum w:abstractNumId="1">
    <w:nsid w:val="419AC241"/>
    <w:multiLevelType w:val="hybridMultilevel"/>
    <w:lvl w:ilvl="0">
      <w:lvlJc w:val="left"/>
      <w:lvlText w:val="☐"/>
      <w:numFmt w:val="bullet"/>
      <w:start w:val="1"/>
    </w:lvl>
  </w:abstractNum>
  <w:abstractNum w:abstractNumId="2">
    <w:nsid w:val="5577F8E1"/>
    <w:multiLevelType w:val="hybridMultilevel"/>
    <w:lvl w:ilvl="0">
      <w:lvlJc w:val="left"/>
      <w:lvlText w:val="•"/>
      <w:numFmt w:val="bullet"/>
      <w:start w:val="1"/>
    </w:lvl>
  </w:abstractNum>
  <w:abstractNum w:abstractNumId="3">
    <w:nsid w:val="440BADFC"/>
    <w:multiLevelType w:val="hybridMultilevel"/>
    <w:lvl w:ilvl="0">
      <w:lvlJc w:val="left"/>
      <w:lvlText w:val="•"/>
      <w:numFmt w:val="bullet"/>
      <w:start w:val="1"/>
    </w:lvl>
  </w:abstractNum>
  <w:abstractNum w:abstractNumId="4">
    <w:nsid w:val="5072367"/>
    <w:multiLevelType w:val="hybridMultilevel"/>
    <w:lvl w:ilvl="0">
      <w:lvlJc w:val="left"/>
      <w:lvlText w:val="•"/>
      <w:numFmt w:val="bullet"/>
      <w:start w:val="1"/>
    </w:lvl>
  </w:abstractNum>
  <w:abstractNum w:abstractNumId="5">
    <w:nsid w:val="3804823E"/>
    <w:multiLevelType w:val="hybridMultilevel"/>
    <w:lvl w:ilvl="0">
      <w:lvlJc w:val="left"/>
      <w:lvlText w:val="(%1)"/>
      <w:numFmt w:val="decimal"/>
      <w:start w:val="1"/>
    </w:lvl>
  </w:abstractNum>
  <w:abstractNum w:abstractNumId="6">
    <w:nsid w:val="77465F01"/>
    <w:multiLevelType w:val="hybridMultilevel"/>
    <w:lvl w:ilvl="0">
      <w:lvlJc w:val="left"/>
      <w:lvlText w:val="•"/>
      <w:numFmt w:val="bullet"/>
      <w:start w:val="1"/>
    </w:lvl>
  </w:abstractNum>
  <w:abstractNum w:abstractNumId="7">
    <w:nsid w:val="7724C67E"/>
    <w:multiLevelType w:val="hybridMultilevel"/>
    <w:lvl w:ilvl="0">
      <w:lvlJc w:val="left"/>
      <w:lvlText w:val="•"/>
      <w:numFmt w:val="bullet"/>
      <w:start w:val="1"/>
    </w:lvl>
    <w:lvl w:ilvl="1">
      <w:lvlJc w:val="left"/>
      <w:lvlText w:val="•"/>
      <w:numFmt w:val="bullet"/>
      <w:start w:val="1"/>
    </w:lvl>
  </w:abstractNum>
  <w:abstractNum w:abstractNumId="8">
    <w:nsid w:val="5C482A97"/>
    <w:multiLevelType w:val="hybridMultilevel"/>
    <w:lvl w:ilvl="0">
      <w:lvlJc w:val="left"/>
      <w:lvlText w:val="•"/>
      <w:numFmt w:val="bullet"/>
      <w:start w:val="1"/>
    </w:lvl>
    <w:lvl w:ilvl="1">
      <w:lvlJc w:val="left"/>
      <w:lvlText w:val="•"/>
      <w:numFmt w:val="bullet"/>
      <w:start w:val="1"/>
    </w:lvl>
  </w:abstractNum>
  <w:abstractNum w:abstractNumId="9">
    <w:nsid w:val="2463B9EA"/>
    <w:multiLevelType w:val="hybridMultilevel"/>
    <w:lvl w:ilvl="0">
      <w:lvlJc w:val="left"/>
      <w:lvlText w:val="•"/>
      <w:numFmt w:val="bullet"/>
      <w:start w:val="1"/>
    </w:lvl>
  </w:abstractNum>
  <w:abstractNum w:abstractNumId="10">
    <w:nsid w:val="5E884ADC"/>
    <w:multiLevelType w:val="hybridMultilevel"/>
    <w:lvl w:ilvl="0">
      <w:lvlJc w:val="left"/>
      <w:lvlText w:val="•"/>
      <w:numFmt w:val="bullet"/>
      <w:start w:val="1"/>
    </w:lvl>
  </w:abstractNum>
  <w:abstractNum w:abstractNumId="11">
    <w:nsid w:val="51EAD36B"/>
    <w:multiLevelType w:val="hybridMultilevel"/>
    <w:lvl w:ilvl="0">
      <w:lvlJc w:val="left"/>
      <w:lvlText w:val="•"/>
      <w:numFmt w:val="bullet"/>
      <w:start w:val="1"/>
    </w:lvl>
  </w:abstractNum>
  <w:abstractNum w:abstractNumId="12">
    <w:nsid w:val="2D517796"/>
    <w:multiLevelType w:val="hybridMultilevel"/>
    <w:lvl w:ilvl="0">
      <w:lvlJc w:val="left"/>
      <w:lvlText w:val="%1."/>
      <w:numFmt w:val="decimal"/>
      <w:start w:val="7"/>
    </w:lvl>
  </w:abstractNum>
  <w:abstractNum w:abstractNumId="13">
    <w:nsid w:val="580BD78F"/>
    <w:multiLevelType w:val="hybridMultilevel"/>
    <w:lvl w:ilvl="0">
      <w:lvlJc w:val="left"/>
      <w:lvlText w:val="•"/>
      <w:numFmt w:val="bullet"/>
      <w:start w:val="1"/>
    </w:lvl>
  </w:abstractNum>
  <w:abstractNum w:abstractNumId="14">
    <w:nsid w:val="153EA438"/>
    <w:multiLevelType w:val="hybridMultilevel"/>
    <w:lvl w:ilvl="0">
      <w:lvlJc w:val="left"/>
      <w:lvlText w:val="•"/>
      <w:numFmt w:val="bullet"/>
      <w:start w:val="1"/>
    </w:lvl>
  </w:abstractNum>
  <w:abstractNum w:abstractNumId="15">
    <w:nsid w:val="3855585C"/>
    <w:multiLevelType w:val="hybridMultilevel"/>
    <w:lvl w:ilvl="0">
      <w:lvlJc w:val="left"/>
      <w:lvlText w:val="%1."/>
      <w:numFmt w:val="decimal"/>
      <w:start w:val="7"/>
    </w:lvl>
  </w:abstractNum>
  <w:abstractNum w:abstractNumId="16">
    <w:nsid w:val="70A64E2A"/>
    <w:multiLevelType w:val="hybridMultilevel"/>
    <w:lvl w:ilvl="0">
      <w:lvlJc w:val="left"/>
      <w:lvlText w:val="(%1)"/>
      <w:numFmt w:val="decimal"/>
      <w:start w:val="1"/>
    </w:lvl>
  </w:abstractNum>
  <w:abstractNum w:abstractNumId="17">
    <w:nsid w:val="6A2342EC"/>
    <w:multiLevelType w:val="hybridMultilevel"/>
    <w:lvl w:ilvl="0">
      <w:lvlJc w:val="left"/>
      <w:lvlText w:val="•"/>
      <w:numFmt w:val="bullet"/>
      <w:start w:val="1"/>
    </w:lvl>
  </w:abstractNum>
  <w:abstractNum w:abstractNumId="18">
    <w:nsid w:val="2A487CB0"/>
    <w:multiLevelType w:val="hybridMultilevel"/>
    <w:lvl w:ilvl="0">
      <w:lvlJc w:val="left"/>
      <w:lvlText w:val="•"/>
      <w:numFmt w:val="bullet"/>
      <w:start w:val="1"/>
    </w:lvl>
  </w:abstractNum>
  <w:abstractNum w:abstractNumId="19">
    <w:nsid w:val="1D4ED43B"/>
    <w:multiLevelType w:val="hybridMultilevel"/>
    <w:lvl w:ilvl="0">
      <w:lvlJc w:val="left"/>
      <w:lvlText w:val="•"/>
      <w:numFmt w:val="bullet"/>
      <w:start w:val="1"/>
    </w:lvl>
  </w:abstractNum>
  <w:abstractNum w:abstractNumId="20">
    <w:nsid w:val="725A06FB"/>
    <w:multiLevelType w:val="hybridMultilevel"/>
    <w:lvl w:ilvl="0">
      <w:lvlJc w:val="left"/>
      <w:lvlText w:val="•"/>
      <w:numFmt w:val="bullet"/>
      <w:start w:val="1"/>
    </w:lvl>
  </w:abstractNum>
  <w:abstractNum w:abstractNumId="21">
    <w:nsid w:val="2CD89A32"/>
    <w:multiLevelType w:val="hybridMultilevel"/>
    <w:lvl w:ilvl="0">
      <w:lvlJc w:val="left"/>
      <w:lvlText w:val="(%1)"/>
      <w:numFmt w:val="decimal"/>
      <w:start w:val="1"/>
    </w:lvl>
  </w:abstractNum>
  <w:abstractNum w:abstractNumId="22">
    <w:nsid w:val="57E4CCAF"/>
    <w:multiLevelType w:val="hybridMultilevel"/>
    <w:lvl w:ilvl="0">
      <w:lvlJc w:val="left"/>
      <w:lvlText w:val="(%1)"/>
      <w:numFmt w:val="decimal"/>
      <w:start w:val="4"/>
    </w:lvl>
  </w:abstractNum>
  <w:abstractNum w:abstractNumId="23">
    <w:nsid w:val="7A6D8D3C"/>
    <w:multiLevelType w:val="hybridMultilevel"/>
    <w:lvl w:ilvl="0">
      <w:lvlJc w:val="left"/>
      <w:lvlText w:val="(%1)"/>
      <w:numFmt w:val="decimal"/>
      <w:start w:val="1"/>
    </w:lvl>
  </w:abstractNum>
  <w:abstractNum w:abstractNumId="24">
    <w:nsid w:val="4B588F54"/>
    <w:multiLevelType w:val="hybridMultilevel"/>
    <w:lvl w:ilvl="0">
      <w:lvlJc w:val="left"/>
      <w:lvlText w:val="(%1)"/>
      <w:numFmt w:val="decimal"/>
      <w:start w:val="1"/>
    </w:lvl>
  </w:abstractNum>
  <w:abstractNum w:abstractNumId="25">
    <w:nsid w:val="542289EC"/>
    <w:multiLevelType w:val="hybridMultilevel"/>
    <w:lvl w:ilvl="0">
      <w:lvlJc w:val="left"/>
      <w:lvlText w:val="(%1)"/>
      <w:numFmt w:val="decimal"/>
      <w:start w:val="1"/>
    </w:lvl>
  </w:abstractNum>
  <w:abstractNum w:abstractNumId="26">
    <w:nsid w:val="6DE91B18"/>
    <w:multiLevelType w:val="hybridMultilevel"/>
    <w:lvl w:ilvl="0">
      <w:lvlJc w:val="left"/>
      <w:lvlText w:val="(%1)"/>
      <w:numFmt w:val="decimal"/>
      <w:start w:val="1"/>
    </w:lvl>
  </w:abstractNum>
  <w:abstractNum w:abstractNumId="27">
    <w:nsid w:val="38437FDB"/>
    <w:multiLevelType w:val="hybridMultilevel"/>
    <w:lvl w:ilvl="0">
      <w:lvlJc w:val="left"/>
      <w:lvlText w:val="(%1)"/>
      <w:numFmt w:val="decimal"/>
      <w:start w:val="1"/>
    </w:lvl>
  </w:abstractNum>
  <w:abstractNum w:abstractNumId="28">
    <w:nsid w:val="7644A45C"/>
    <w:multiLevelType w:val="hybridMultilevel"/>
    <w:lvl w:ilvl="0">
      <w:lvlJc w:val="left"/>
      <w:lvlText w:val="(%1)"/>
      <w:numFmt w:val="decimal"/>
      <w:start w:val="1"/>
    </w:lvl>
  </w:abstractNum>
  <w:abstractNum w:abstractNumId="29">
    <w:nsid w:val="32FFF902"/>
    <w:multiLevelType w:val="hybridMultilevel"/>
    <w:lvl w:ilvl="0">
      <w:lvlJc w:val="left"/>
      <w:lvlText w:val="%1."/>
      <w:numFmt w:val="decimal"/>
      <w:start w:val="9"/>
    </w:lvl>
  </w:abstractNum>
  <w:abstractNum w:abstractNumId="30">
    <w:nsid w:val="684A481A"/>
    <w:multiLevelType w:val="hybridMultilevel"/>
    <w:lvl w:ilvl="0">
      <w:lvlJc w:val="left"/>
      <w:lvlText w:val="(%1)"/>
      <w:numFmt w:val="decimal"/>
      <w:start w:val="1"/>
    </w:lvl>
  </w:abstractNum>
  <w:abstractNum w:abstractNumId="31">
    <w:nsid w:val="579478FE"/>
    <w:multiLevelType w:val="hybridMultilevel"/>
    <w:lvl w:ilvl="0">
      <w:lvlJc w:val="left"/>
      <w:lvlText w:val="(%1)"/>
      <w:numFmt w:val="decimal"/>
      <w:start w:val="1"/>
    </w:lvl>
  </w:abstractNum>
  <w:abstractNum w:abstractNumId="32">
    <w:nsid w:val="749ABB43"/>
    <w:multiLevelType w:val="hybridMultilevel"/>
    <w:lvl w:ilvl="0">
      <w:lvlJc w:val="left"/>
      <w:lvlText w:val="(%1)"/>
      <w:numFmt w:val="decimal"/>
      <w:start w:val="1"/>
    </w:lvl>
  </w:abstractNum>
  <w:abstractNum w:abstractNumId="33">
    <w:nsid w:val="3DC240FB"/>
    <w:multiLevelType w:val="hybridMultilevel"/>
    <w:lvl w:ilvl="0">
      <w:lvlJc w:val="left"/>
      <w:lvlText w:val="(%1)"/>
      <w:numFmt w:val="decimal"/>
      <w:start w:val="1"/>
    </w:lvl>
  </w:abstractNum>
  <w:abstractNum w:abstractNumId="34">
    <w:nsid w:val="1BA026FA"/>
    <w:multiLevelType w:val="hybridMultilevel"/>
    <w:lvl w:ilvl="0">
      <w:lvlJc w:val="left"/>
      <w:lvlText w:val="(%1)"/>
      <w:numFmt w:val="decimal"/>
      <w:start w:val="1"/>
    </w:lvl>
  </w:abstractNum>
  <w:abstractNum w:abstractNumId="35">
    <w:nsid w:val="79A1DEAA"/>
    <w:multiLevelType w:val="hybridMultilevel"/>
    <w:lvl w:ilvl="0">
      <w:lvlJc w:val="left"/>
      <w:lvlText w:val="(%1)"/>
      <w:numFmt w:val="decimal"/>
      <w:start w:val="1"/>
    </w:lvl>
  </w:abstractNum>
  <w:abstractNum w:abstractNumId="36">
    <w:nsid w:val="75C6C33A"/>
    <w:multiLevelType w:val="hybridMultilevel"/>
    <w:lvl w:ilvl="0">
      <w:lvlJc w:val="left"/>
      <w:lvlText w:val="(%1)"/>
      <w:numFmt w:val="decimal"/>
      <w:start w:val="1"/>
    </w:lvl>
  </w:abstractNum>
  <w:abstractNum w:abstractNumId="37">
    <w:nsid w:val="12E685FB"/>
    <w:multiLevelType w:val="hybridMultilevel"/>
    <w:lvl w:ilvl="0">
      <w:lvlJc w:val="left"/>
      <w:lvlText w:val="(%1)"/>
      <w:numFmt w:val="decimal"/>
      <w:start w:val="1"/>
    </w:lvl>
  </w:abstractNum>
  <w:abstractNum w:abstractNumId="38">
    <w:nsid w:val="70C6A529"/>
    <w:multiLevelType w:val="hybridMultilevel"/>
    <w:lvl w:ilvl="0">
      <w:lvlJc w:val="left"/>
      <w:lvlText w:val="(%1)"/>
      <w:numFmt w:val="decimal"/>
      <w:start w:val="1"/>
    </w:lvl>
  </w:abstractNum>
  <w:abstractNum w:abstractNumId="39">
    <w:nsid w:val="520EEDD1"/>
    <w:multiLevelType w:val="hybridMultilevel"/>
    <w:lvl w:ilvl="0">
      <w:lvlJc w:val="left"/>
      <w:lvlText w:val="(%1)"/>
      <w:numFmt w:val="decimal"/>
      <w:start w:val="1"/>
    </w:lvl>
  </w:abstractNum>
  <w:abstractNum w:abstractNumId="40">
    <w:nsid w:val="374A3FE6"/>
    <w:multiLevelType w:val="hybridMultilevel"/>
    <w:lvl w:ilvl="0">
      <w:lvlJc w:val="left"/>
      <w:lvlText w:val="(%1)"/>
      <w:numFmt w:val="decimal"/>
      <w:start w:val="2"/>
    </w:lvl>
  </w:abstractNum>
  <w:abstractNum w:abstractNumId="41">
    <w:nsid w:val="4F4EF005"/>
    <w:multiLevelType w:val="hybridMultilevel"/>
    <w:lvl w:ilvl="0">
      <w:lvlJc w:val="left"/>
      <w:lvlText w:val="(%1)"/>
      <w:numFmt w:val="decimal"/>
      <w:start w:val="1"/>
    </w:lvl>
  </w:abstractNum>
  <w:abstractNum w:abstractNumId="42">
    <w:nsid w:val="23F9C13C"/>
    <w:multiLevelType w:val="hybridMultilevel"/>
    <w:lvl w:ilvl="0">
      <w:lvlJc w:val="left"/>
      <w:lvlText w:val="(%1)"/>
      <w:numFmt w:val="decimal"/>
      <w:start w:val="1"/>
    </w:lvl>
  </w:abstractNum>
  <w:abstractNum w:abstractNumId="43">
    <w:nsid w:val="649BB77C"/>
    <w:multiLevelType w:val="hybridMultilevel"/>
    <w:lvl w:ilvl="0">
      <w:lvlJc w:val="left"/>
      <w:lvlText w:val="(%1)"/>
      <w:numFmt w:val="decimal"/>
      <w:start w:val="1"/>
    </w:lvl>
  </w:abstractNum>
  <w:abstractNum w:abstractNumId="44">
    <w:nsid w:val="275AC794"/>
    <w:multiLevelType w:val="hybridMultilevel"/>
    <w:lvl w:ilvl="0">
      <w:lvlJc w:val="left"/>
      <w:lvlText w:val="%1."/>
      <w:numFmt w:val="decimal"/>
      <w:start w:val="2"/>
    </w:lvl>
  </w:abstractNum>
  <w:abstractNum w:abstractNumId="45">
    <w:nsid w:val="39386575"/>
    <w:multiLevelType w:val="hybridMultilevel"/>
    <w:lvl w:ilvl="0">
      <w:lvlJc w:val="left"/>
      <w:lvlText w:val="%1."/>
      <w:numFmt w:val="decimal"/>
      <w:start w:val="3"/>
    </w:lvl>
  </w:abstractNum>
  <w:abstractNum w:abstractNumId="46">
    <w:nsid w:val="1CF10FD8"/>
    <w:multiLevelType w:val="hybridMultilevel"/>
    <w:lvl w:ilvl="0">
      <w:lvlJc w:val="left"/>
      <w:lvlText w:val="(%1)"/>
      <w:numFmt w:val="decimal"/>
      <w:start w:val="1"/>
    </w:lvl>
  </w:abstractNum>
  <w:abstractNum w:abstractNumId="47">
    <w:nsid w:val="180115BE"/>
    <w:multiLevelType w:val="hybridMultilevel"/>
    <w:lvl w:ilvl="0">
      <w:lvlJc w:val="left"/>
      <w:lvlText w:val="*"/>
      <w:numFmt w:val="bullet"/>
      <w:start w:val="1"/>
    </w:lvl>
  </w:abstractNum>
  <w:abstractNum w:abstractNumId="48">
    <w:nsid w:val="235BA861"/>
    <w:multiLevelType w:val="hybridMultilevel"/>
    <w:lvl w:ilvl="0">
      <w:lvlJc w:val="left"/>
      <w:lvlText w:val="%1."/>
      <w:numFmt w:val="decimal"/>
      <w:start w:val="1"/>
    </w:lvl>
  </w:abstractNum>
  <w:abstractNum w:abstractNumId="49">
    <w:nsid w:val="47398C89"/>
    <w:multiLevelType w:val="hybridMultilevel"/>
    <w:lvl w:ilvl="0">
      <w:lvlJc w:val="left"/>
      <w:lvlText w:val="%1."/>
      <w:numFmt w:val="decimal"/>
      <w:start w:val="2"/>
    </w:lvl>
  </w:abstractNum>
  <w:abstractNum w:abstractNumId="50">
    <w:nsid w:val="354FE9F9"/>
    <w:multiLevelType w:val="hybridMultilevel"/>
    <w:lvl w:ilvl="0">
      <w:lvlJc w:val="left"/>
      <w:lvlText w:val="%1."/>
      <w:numFmt w:val="lowerLetter"/>
      <w:start w:val="1"/>
    </w:lvl>
  </w:abstractNum>
  <w:abstractNum w:abstractNumId="51">
    <w:nsid w:val="15B5AF5C"/>
    <w:multiLevelType w:val="hybridMultilevel"/>
    <w:lvl w:ilvl="0">
      <w:lvlJc w:val="left"/>
      <w:lvlText w:val="%1."/>
      <w:numFmt w:val="decimal"/>
      <w:start w:val="3"/>
    </w:lvl>
  </w:abstractNum>
  <w:abstractNum w:abstractNumId="52">
    <w:nsid w:val="741226BB"/>
    <w:multiLevelType w:val="hybridMultilevel"/>
    <w:lvl w:ilvl="0">
      <w:lvlJc w:val="left"/>
      <w:lvlText w:val="%1."/>
      <w:numFmt w:val="lowerLetter"/>
      <w:start w:val="1"/>
    </w:lvl>
  </w:abstractNum>
  <w:abstractNum w:abstractNumId="53">
    <w:nsid w:val="D34B6A8"/>
    <w:multiLevelType w:val="hybridMultilevel"/>
    <w:lvl w:ilvl="0">
      <w:lvlJc w:val="left"/>
      <w:lvlText w:val="%1."/>
      <w:numFmt w:val="lowerLetter"/>
      <w:start w:val="2"/>
    </w:lvl>
  </w:abstractNum>
  <w:abstractNum w:abstractNumId="54">
    <w:nsid w:val="10233C99"/>
    <w:multiLevelType w:val="hybridMultilevel"/>
    <w:lvl w:ilvl="0">
      <w:lvlJc w:val="left"/>
      <w:lvlText w:val="%1."/>
      <w:numFmt w:val="decimal"/>
      <w:start w:val="4"/>
    </w:lvl>
  </w:abstractNum>
  <w:abstractNum w:abstractNumId="55">
    <w:nsid w:val="3F6AB60F"/>
    <w:multiLevelType w:val="hybridMultilevel"/>
    <w:lvl w:ilvl="0">
      <w:lvlJc w:val="left"/>
      <w:lvlText w:val="%1."/>
      <w:numFmt w:val="decimal"/>
      <w:start w:val="5"/>
    </w:lvl>
  </w:abstractNum>
  <w:abstractNum w:abstractNumId="56">
    <w:nsid w:val="61574095"/>
    <w:multiLevelType w:val="hybridMultilevel"/>
    <w:lvl w:ilvl="0">
      <w:lvlJc w:val="left"/>
      <w:lvlText w:val="%1."/>
      <w:numFmt w:val="decimal"/>
      <w:start w:val="7"/>
    </w:lvl>
  </w:abstractNum>
  <w:abstractNum w:abstractNumId="57">
    <w:nsid w:val="7E0C57B1"/>
    <w:multiLevelType w:val="hybridMultilevel"/>
    <w:lvl w:ilvl="0">
      <w:lvlJc w:val="left"/>
      <w:lvlText w:val="%1."/>
      <w:numFmt w:val="decimal"/>
      <w:start w:val="8"/>
    </w:lvl>
  </w:abstractNum>
  <w:abstractNum w:abstractNumId="58">
    <w:nsid w:val="77AE35EB"/>
    <w:multiLevelType w:val="hybridMultilevel"/>
    <w:lvl w:ilvl="0">
      <w:lvlJc w:val="left"/>
      <w:lvlText w:val="%1."/>
      <w:numFmt w:val="decimal"/>
      <w:start w:val="9"/>
    </w:lvl>
  </w:abstractNum>
  <w:abstractNum w:abstractNumId="59">
    <w:nsid w:val="579BE4F1"/>
    <w:multiLevelType w:val="hybridMultilevel"/>
    <w:lvl w:ilvl="0">
      <w:lvlJc w:val="left"/>
      <w:lvlText w:val="%1."/>
      <w:numFmt w:val="decimal"/>
      <w:start w:val="10"/>
    </w:lvl>
  </w:abstractNum>
  <w:abstractNum w:abstractNumId="60">
    <w:nsid w:val="310C50B3"/>
    <w:multiLevelType w:val="hybridMultilevel"/>
    <w:lvl w:ilvl="0">
      <w:lvlJc w:val="left"/>
      <w:lvlText w:val="%1."/>
      <w:numFmt w:val="decimal"/>
      <w:start w:val="11"/>
    </w:lvl>
  </w:abstractNum>
  <w:abstractNum w:abstractNumId="61">
    <w:nsid w:val="5FF87E05"/>
    <w:multiLevelType w:val="hybridMultilevel"/>
    <w:lvl w:ilvl="0">
      <w:lvlJc w:val="left"/>
      <w:lvlText w:val="%1."/>
      <w:numFmt w:val="decimal"/>
      <w:start w:val="12"/>
    </w:lvl>
  </w:abstractNum>
  <w:abstractNum w:abstractNumId="62">
    <w:nsid w:val="2F305DEF"/>
    <w:multiLevelType w:val="hybridMultilevel"/>
    <w:lvl w:ilvl="0">
      <w:lvlJc w:val="left"/>
      <w:lvlText w:val="%1."/>
      <w:numFmt w:val="decimal"/>
      <w:start w:val="13"/>
    </w:lvl>
  </w:abstractNum>
  <w:abstractNum w:abstractNumId="63">
    <w:nsid w:val="25A70BF7"/>
    <w:multiLevelType w:val="hybridMultilevel"/>
    <w:lvl w:ilvl="0">
      <w:lvlJc w:val="left"/>
      <w:lvlText w:val="%1."/>
      <w:numFmt w:val="decimal"/>
      <w:start w:val="14"/>
    </w:lvl>
  </w:abstractNum>
  <w:abstractNum w:abstractNumId="64">
    <w:nsid w:val="1DBABF00"/>
    <w:multiLevelType w:val="hybridMultilevel"/>
    <w:lvl w:ilvl="0">
      <w:lvlJc w:val="left"/>
      <w:lvlText w:val="%1."/>
      <w:numFmt w:val="decimal"/>
      <w:start w:val="1"/>
    </w:lvl>
    <w:lvl w:ilvl="1">
      <w:lvlJc w:val="left"/>
      <w:lvlText w:val="%2)"/>
      <w:numFmt w:val="lowerLetter"/>
      <w:start w:val="1"/>
    </w:lvl>
  </w:abstractNum>
  <w:abstractNum w:abstractNumId="65">
    <w:nsid w:val="4AD084E9"/>
    <w:multiLevelType w:val="hybridMultilevel"/>
    <w:lvl w:ilvl="0">
      <w:lvlJc w:val="left"/>
      <w:lvlText w:val="%1."/>
      <w:numFmt w:val="decimal"/>
      <w:start w:val="1"/>
    </w:lvl>
    <w:lvl w:ilvl="1">
      <w:lvlJc w:val="left"/>
      <w:lvlText w:val="%2)"/>
      <w:numFmt w:val="lowerLetter"/>
      <w:start w:val="1"/>
    </w:lvl>
  </w:abstractNum>
  <w:abstractNum w:abstractNumId="66">
    <w:nsid w:val="1F48EAA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75" Type="http://schemas.openxmlformats.org/officeDocument/2006/relationships/image" Target="media/image158.png"/><Relationship Id="rId185" Type="http://schemas.openxmlformats.org/officeDocument/2006/relationships/image" Target="media/image159.png"/><Relationship Id="rId202" Type="http://schemas.openxmlformats.org/officeDocument/2006/relationships/image" Target="media/image160.png"/><Relationship Id="rId219" Type="http://schemas.openxmlformats.org/officeDocument/2006/relationships/image" Target="media/image161.png"/><Relationship Id="rId221" Type="http://schemas.openxmlformats.org/officeDocument/2006/relationships/image" Target="media/image162.png"/><Relationship Id="rId222" Type="http://schemas.openxmlformats.org/officeDocument/2006/relationships/image" Target="media/image163.png"/><Relationship Id="rId223" Type="http://schemas.openxmlformats.org/officeDocument/2006/relationships/image" Target="media/image164.png"/><Relationship Id="rId224" Type="http://schemas.openxmlformats.org/officeDocument/2006/relationships/image" Target="media/image165.png"/><Relationship Id="rId225" Type="http://schemas.openxmlformats.org/officeDocument/2006/relationships/image" Target="media/image166.png"/><Relationship Id="rId226" Type="http://schemas.openxmlformats.org/officeDocument/2006/relationships/image" Target="media/image167.png"/><Relationship Id="rId227" Type="http://schemas.openxmlformats.org/officeDocument/2006/relationships/image" Target="media/image168.png"/><Relationship Id="rId228" Type="http://schemas.openxmlformats.org/officeDocument/2006/relationships/image" Target="media/image169.png"/><Relationship Id="rId229" Type="http://schemas.openxmlformats.org/officeDocument/2006/relationships/image" Target="media/image170.png"/><Relationship Id="rId230" Type="http://schemas.openxmlformats.org/officeDocument/2006/relationships/image" Target="media/image171.png"/><Relationship Id="rId231" Type="http://schemas.openxmlformats.org/officeDocument/2006/relationships/image" Target="media/image172.png"/><Relationship Id="rId232" Type="http://schemas.openxmlformats.org/officeDocument/2006/relationships/image" Target="media/image173.png"/><Relationship Id="rId233" Type="http://schemas.openxmlformats.org/officeDocument/2006/relationships/image" Target="media/image174.png"/><Relationship Id="rId234" Type="http://schemas.openxmlformats.org/officeDocument/2006/relationships/image" Target="media/image175.png"/><Relationship Id="rId235" Type="http://schemas.openxmlformats.org/officeDocument/2006/relationships/image" Target="media/image176.png"/><Relationship Id="rId165" Type="http://schemas.openxmlformats.org/officeDocument/2006/relationships/hyperlink" Target="https://www.sec.gov/Archives/edgar/data/771497/000157104917006648/t1702122_ex2-1.htm" TargetMode="External"/><Relationship Id="rId166" Type="http://schemas.openxmlformats.org/officeDocument/2006/relationships/hyperlink" Target="https://www.sec.gov/Archives/edgar/data/771497/000110465921109342/tm2125912d1_ex2-1.htm" TargetMode="External"/><Relationship Id="rId167" Type="http://schemas.openxmlformats.org/officeDocument/2006/relationships/hyperlink" Target="https://www.sec.gov/Archives/edgar/data/771497/000110465922092386/tm2223741d1_ex2-1.htm" TargetMode="External"/><Relationship Id="rId168" Type="http://schemas.openxmlformats.org/officeDocument/2006/relationships/hyperlink" Target="https://www.sec.gov/Archives/edgar/data/771497/000110465920039488/tm2014024d1_ex3-1.htm" TargetMode="External"/><Relationship Id="rId169" Type="http://schemas.openxmlformats.org/officeDocument/2006/relationships/hyperlink" Target="https://www.sec.gov/Archives/edgar/data/771497/000095017024037283/abm-ex3_1.htm" TargetMode="External"/><Relationship Id="rId170" Type="http://schemas.openxmlformats.org/officeDocument/2006/relationships/hyperlink" Target="https://www.sec.gov/Archives/edgar/data/771497/000077149720000018/abm10312020ex41.htm" TargetMode="External"/><Relationship Id="rId171" Type="http://schemas.openxmlformats.org/officeDocument/2006/relationships/hyperlink" Target="https://www.sec.gov/Archives/edgar/data/771497/000157104917007803/t1702518_ex10-2.htm" TargetMode="External"/><Relationship Id="rId172" Type="http://schemas.openxmlformats.org/officeDocument/2006/relationships/hyperlink" Target="https://www.sec.gov/Archives/edgar/data/771497/000162828017012508/exhibit103103117.htm" TargetMode="External"/><Relationship Id="rId173" Type="http://schemas.openxmlformats.org/officeDocument/2006/relationships/hyperlink" Target="https://www.sec.gov/Archives/edgar/data/771497/000162828018011684/abm7312018ex101.htm" TargetMode="External"/><Relationship Id="rId174" Type="http://schemas.openxmlformats.org/officeDocument/2006/relationships/hyperlink" Target="https://www.sec.gov/Archives/edgar/data/771497/000162828018011684/abm7312018ex102.htm" TargetMode="External"/><Relationship Id="rId176" Type="http://schemas.openxmlformats.org/officeDocument/2006/relationships/hyperlink" Target="https://www.sec.gov/Archives/edgar/data/771497/000162828020009677/abm4302020ex101.htm" TargetMode="External"/><Relationship Id="rId177" Type="http://schemas.openxmlformats.org/officeDocument/2006/relationships/hyperlink" Target="https://www.sec.gov/Archives/edgar/data/771497/000077149721000026/abm73121ex101.htm" TargetMode="External"/><Relationship Id="rId178" Type="http://schemas.openxmlformats.org/officeDocument/2006/relationships/hyperlink" Target="https://www.sec.gov/Archives/edgar/data/771497/000077149722000028/abm10312022ex107.htm" TargetMode="External"/><Relationship Id="rId179" Type="http://schemas.openxmlformats.org/officeDocument/2006/relationships/hyperlink" Target="https://www.sec.gov/Archives/edgar/data/771497/000077149722000028/abm10312022ex108.htm" TargetMode="External"/><Relationship Id="rId180" Type="http://schemas.openxmlformats.org/officeDocument/2006/relationships/hyperlink" Target="https://www.sec.gov/Archives/edgar/data/771497/000095013405000777/f04468exv10w17.htm" TargetMode="External"/><Relationship Id="rId181" Type="http://schemas.openxmlformats.org/officeDocument/2006/relationships/hyperlink" Target="https://www.sec.gov/Archives/edgar/data/771497/000095012310116105/y87222exv10w7.htm" TargetMode="External"/><Relationship Id="rId182" Type="http://schemas.openxmlformats.org/officeDocument/2006/relationships/hyperlink" Target="https://www.sec.gov/Archives/edgar/data/771497/000162828018015372/abm10312018ex109.htm" TargetMode="External"/><Relationship Id="rId183" Type="http://schemas.openxmlformats.org/officeDocument/2006/relationships/hyperlink" Target="https://www.sec.gov/Archives/edgar/data/771497/000114420418013607/tv488007_ex10-1.htm" TargetMode="External"/><Relationship Id="rId184" Type="http://schemas.openxmlformats.org/officeDocument/2006/relationships/hyperlink" Target="https://www.sec.gov/Archives/edgar/data/771497/000077149723000025/abm10312023ex1013.htm" TargetMode="External"/><Relationship Id="rId186" Type="http://schemas.openxmlformats.org/officeDocument/2006/relationships/hyperlink" Target="https://www.sec.gov/Archives/edgar/data/771497/000162828015004719/abm4302015ex102.htm" TargetMode="External"/><Relationship Id="rId187" Type="http://schemas.openxmlformats.org/officeDocument/2006/relationships/hyperlink" Target="https://www.sec.gov/Archives/edgar/data/771497/000162828020003032/abm1312020ex101.htm" TargetMode="External"/><Relationship Id="rId188" Type="http://schemas.openxmlformats.org/officeDocument/2006/relationships/hyperlink" Target="https://www.sec.gov/Archives/edgar/data/771497/000077149721000016/abm4302021ex101.htm" TargetMode="External"/><Relationship Id="rId189" Type="http://schemas.openxmlformats.org/officeDocument/2006/relationships/hyperlink" Target="https://www.sec.gov/Archives/edgar/data/771497/000077149722000028/abm10312022ex1020.htm" TargetMode="External"/><Relationship Id="rId190" Type="http://schemas.openxmlformats.org/officeDocument/2006/relationships/hyperlink" Target="https://www.sec.gov/Archives/edgar/data/771497/000077149722000004/abm1312022ex101.htm" TargetMode="External"/><Relationship Id="rId191" Type="http://schemas.openxmlformats.org/officeDocument/2006/relationships/hyperlink" Target="https://www.sec.gov/Archives/edgar/data/771497/000077149723000025/abm10312023ex1019.htm" TargetMode="External"/><Relationship Id="rId192" Type="http://schemas.openxmlformats.org/officeDocument/2006/relationships/hyperlink" Target="https://www.sec.gov/Archives/edgar/data/771497/000162828015004719/abm4302015ex103.htm" TargetMode="External"/><Relationship Id="rId193" Type="http://schemas.openxmlformats.org/officeDocument/2006/relationships/hyperlink" Target="https://www.sec.gov/Archives/edgar/data/771497/000162828020003032/abm1312020ex102.htm" TargetMode="External"/><Relationship Id="rId194" Type="http://schemas.openxmlformats.org/officeDocument/2006/relationships/hyperlink" Target="https://www.sec.gov/Archives/edgar/data/771497/000077149721000016/abm4302021ex102.htm" TargetMode="External"/><Relationship Id="rId195" Type="http://schemas.openxmlformats.org/officeDocument/2006/relationships/hyperlink" Target="https://www.sec.gov/Archives/edgar/data/771497/000162828019015259/abm10312019ex1018.htm" TargetMode="External"/><Relationship Id="rId196" Type="http://schemas.openxmlformats.org/officeDocument/2006/relationships/hyperlink" Target="https://www.sec.gov/Archives/edgar/data/771497/000077149722000004/abm1312022ex102.htm" TargetMode="External"/><Relationship Id="rId197" Type="http://schemas.openxmlformats.org/officeDocument/2006/relationships/hyperlink" Target="https://www.sec.gov/Archives/edgar/data/771497/000077149722000004/abm1312022ex103.htm" TargetMode="External"/><Relationship Id="rId198" Type="http://schemas.openxmlformats.org/officeDocument/2006/relationships/hyperlink" Target="https://www.sec.gov/Archives/edgar/data/771497/000119312512382523/d383898dex101.htm" TargetMode="External"/><Relationship Id="rId199" Type="http://schemas.openxmlformats.org/officeDocument/2006/relationships/hyperlink" Target="https://www.sec.gov/Archives/edgar/data/771497/000095012310116105/y87222exv10w22.htm" TargetMode="External"/><Relationship Id="rId200" Type="http://schemas.openxmlformats.org/officeDocument/2006/relationships/hyperlink" Target="https://www.sec.gov/Archives/edgar/data/771497/000077149723000025/abm10312023ex1029.htm" TargetMode="External"/><Relationship Id="rId201" Type="http://schemas.openxmlformats.org/officeDocument/2006/relationships/hyperlink" Target="https://www.sec.gov/Archives/edgar/data/771497/000095012308010739/y71046exv10w4.htm" TargetMode="External"/><Relationship Id="rId203" Type="http://schemas.openxmlformats.org/officeDocument/2006/relationships/hyperlink" Target="https://www.sec.gov/Archives/edgar/data/771497/000095012308010739/y71046exv10w5.htm" TargetMode="External"/><Relationship Id="rId204" Type="http://schemas.openxmlformats.org/officeDocument/2006/relationships/hyperlink" Target="https://www.sec.gov/Archives/edgar/data/771497/000077149724000029/abm10312024ex1031.htm" TargetMode="External"/><Relationship Id="rId205" Type="http://schemas.openxmlformats.org/officeDocument/2006/relationships/hyperlink" Target="https://www.sec.gov/Archives/edgar/data/771497/000162828017012508/exhibit102810312017.htm" TargetMode="External"/><Relationship Id="rId206" Type="http://schemas.openxmlformats.org/officeDocument/2006/relationships/hyperlink" Target="https://www.sec.gov/Archives/edgar/data/771497/000162828017012508/exhibit102910312017.htm" TargetMode="External"/><Relationship Id="rId207" Type="http://schemas.openxmlformats.org/officeDocument/2006/relationships/hyperlink" Target="https://www.sec.gov/Archives/edgar/data/771497/000162828018002860/abm1312018ex103.htm" TargetMode="External"/><Relationship Id="rId208" Type="http://schemas.openxmlformats.org/officeDocument/2006/relationships/hyperlink" Target="https://www.sec.gov/Archives/edgar/data/771497/000162828018002860/abm1312018ex104.htm" TargetMode="External"/><Relationship Id="rId209" Type="http://schemas.openxmlformats.org/officeDocument/2006/relationships/hyperlink" Target="https://www.sec.gov/Archives/edgar/data/771497/000162828019002600/abm1312019ex101.htm" TargetMode="External"/><Relationship Id="rId210" Type="http://schemas.openxmlformats.org/officeDocument/2006/relationships/hyperlink" Target="https://www.sec.gov/Archives/edgar/data/771497/000162828019002600/abm1312019ex102.htm" TargetMode="External"/><Relationship Id="rId211" Type="http://schemas.openxmlformats.org/officeDocument/2006/relationships/hyperlink" Target="https://www.sec.gov/Archives/edgar/data/771497/000162828019015259/abm10312019ex1035.htm" TargetMode="External"/><Relationship Id="rId212" Type="http://schemas.openxmlformats.org/officeDocument/2006/relationships/hyperlink" Target="https://www.sec.gov/Archives/edgar/data/771497/000077149721000016/abm4302021ex104.htm" TargetMode="External"/><Relationship Id="rId213" Type="http://schemas.openxmlformats.org/officeDocument/2006/relationships/hyperlink" Target="https://www.sec.gov/Archives/edgar/data/771497/000077149724000029/abm10312024ex1040.htm" TargetMode="External"/><Relationship Id="rId214" Type="http://schemas.openxmlformats.org/officeDocument/2006/relationships/hyperlink" Target="https://www.sec.gov/Archives/edgar/data/771497/000077149721000016/abm4302021ex106.htm" TargetMode="External"/><Relationship Id="rId215" Type="http://schemas.openxmlformats.org/officeDocument/2006/relationships/hyperlink" Target="https://www.sec.gov/Archives/edgar/data/771497/000077149721000016/abm4302021ex107.htm" TargetMode="External"/><Relationship Id="rId216" Type="http://schemas.openxmlformats.org/officeDocument/2006/relationships/hyperlink" Target="https://www.sec.gov/Archives/edgar/data/771497/000077149725000005/abm01312025ex101.htm" TargetMode="External"/><Relationship Id="rId217" Type="http://schemas.openxmlformats.org/officeDocument/2006/relationships/hyperlink" Target="https://www.sec.gov/Archives/edgar/data/771497/000077149725000005/abm01312025ex102.htm" TargetMode="External"/><Relationship Id="rId218" Type="http://schemas.openxmlformats.org/officeDocument/2006/relationships/hyperlink" Target="https://www.sec.gov/Archives/edgar/data/771497/000077149724000029/abm10312024ex19.htm" TargetMode="External"/><Relationship Id="rId220" Type="http://schemas.openxmlformats.org/officeDocument/2006/relationships/hyperlink" Target="https://www.sec.gov/Archives/edgar/data/771497/000077149723000025/abm10312023ex9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2025-12-19T16:57:17Z</dcterms:created>
  <dcterms:modified xsi:type="dcterms:W3CDTF">2025-12-19T16:57:17Z</dcterms:modified>
</cp:coreProperties>
</file>