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MCCLURE JAMES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05/01/2017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40" w:type="dxa"/>
            <w:vAlign w:val="bottom"/>
            <w:gridSpan w:val="6"/>
          </w:tcPr>
          <w:p>
            <w:pPr>
              <w:jc w:val="right"/>
              <w:ind w:right="197"/>
              <w:spacing w:after="0" w:line="146" w:lineRule="exact"/>
              <w:rPr>
                <w:sz w:val="20"/>
                <w:szCs w:val="20"/>
                <w:color w:val="auto"/>
              </w:rPr>
            </w:pPr>
            <w:r>
              <w:rPr>
                <w:rFonts w:ascii="Arial" w:cs="Arial" w:eastAsia="Arial" w:hAnsi="Arial"/>
                <w:sz w:val="14"/>
                <w:szCs w:val="14"/>
                <w:color w:val="auto"/>
                <w:w w:val="99"/>
              </w:rPr>
              <w:t>4. If Amendment, Date of Original Filed (Month/Day/Year)</w:t>
            </w:r>
          </w:p>
        </w:tc>
        <w:tc>
          <w:tcPr>
            <w:tcW w:w="3660" w:type="dxa"/>
            <w:vAlign w:val="bottom"/>
            <w:gridSpan w:val="7"/>
          </w:tcPr>
          <w:p>
            <w:pPr>
              <w:ind w:left="30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3"/>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80" w:type="dxa"/>
            <w:vAlign w:val="bottom"/>
            <w:gridSpan w:val="3"/>
          </w:tcPr>
          <w:p>
            <w:pPr>
              <w:ind w:left="6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ind w:left="780"/>
              <w:spacing w:after="0"/>
              <w:rPr>
                <w:sz w:val="20"/>
                <w:szCs w:val="20"/>
                <w:color w:val="auto"/>
              </w:rPr>
            </w:pPr>
            <w:r>
              <w:rPr>
                <w:rFonts w:ascii="Arial" w:cs="Arial" w:eastAsia="Arial" w:hAnsi="Arial"/>
                <w:sz w:val="18"/>
                <w:szCs w:val="18"/>
                <w:color w:val="0000FF"/>
                <w:w w:val="97"/>
              </w:rPr>
              <w:t>05/01/2017</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453</w:t>
            </w:r>
            <w:r>
              <w:rPr>
                <w:rFonts w:ascii="Arial" w:cs="Arial" w:eastAsia="Arial" w:hAnsi="Arial"/>
                <w:sz w:val="22"/>
                <w:szCs w:val="22"/>
                <w:color w:val="008000"/>
                <w:vertAlign w:val="superscript"/>
              </w:rPr>
              <w:t>(1)</w:t>
            </w:r>
          </w:p>
        </w:tc>
        <w:tc>
          <w:tcPr>
            <w:tcW w:w="700" w:type="dxa"/>
            <w:vAlign w:val="bottom"/>
            <w:tcBorders>
              <w:bottom w:val="single" w:sz="8" w:color="2C2C2C"/>
            </w:tcBorders>
          </w:tcPr>
          <w:p>
            <w:pPr>
              <w:jc w:val="right"/>
              <w:ind w:right="197"/>
              <w:spacing w:after="0"/>
              <w:rPr>
                <w:sz w:val="20"/>
                <w:szCs w:val="20"/>
                <w:color w:val="auto"/>
              </w:rPr>
            </w:pPr>
            <w:r>
              <w:rPr>
                <w:rFonts w:ascii="Arial" w:cs="Arial" w:eastAsia="Arial" w:hAnsi="Arial"/>
                <w:sz w:val="18"/>
                <w:szCs w:val="18"/>
                <w:color w:val="0000FF"/>
              </w:rPr>
              <w:t>A</w:t>
            </w:r>
          </w:p>
        </w:tc>
        <w:tc>
          <w:tcPr>
            <w:tcW w:w="7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43.39</w:t>
            </w:r>
            <w:r>
              <w:rPr>
                <w:rFonts w:ascii="Arial" w:cs="Arial" w:eastAsia="Arial" w:hAnsi="Arial"/>
                <w:sz w:val="22"/>
                <w:szCs w:val="22"/>
                <w:color w:val="008000"/>
                <w:w w:val="93"/>
                <w:vertAlign w:val="superscript"/>
              </w:rPr>
              <w:t>(2)</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132,216</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2"/>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10"/>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21,324 unvested RSUs, 83,149 vested RSUs, the receipt of which has been deferred and DERs relating to the RSUs, adjusted to reflect the cumulative effect of fractional shares, 10,205 performance shares earned but not vested with respect to TSR performance shares granted on 9/8/2014, 1,560 performance shares earned but not vested with respect to performance shares granted on 1/15/2015, and DERs related thereto.</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05/02/2017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8682"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2019-12-23T21:49:04Z</dcterms:created>
  <dcterms:modified xsi:type="dcterms:W3CDTF">2019-12-23T21:49:04Z</dcterms:modified>
</cp:coreProperties>
</file>