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Pres - Business &amp; Industry</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2,527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4"/>
              <w:spacing w:after="0"/>
              <w:rPr>
                <w:sz w:val="20"/>
                <w:szCs w:val="20"/>
                <w:color w:val="auto"/>
              </w:rPr>
            </w:pPr>
            <w:r>
              <w:rPr>
                <w:rFonts w:ascii="Arial" w:cs="Arial" w:eastAsia="Arial" w:hAnsi="Arial"/>
                <w:sz w:val="18"/>
                <w:szCs w:val="18"/>
                <w:color w:val="0000FF"/>
                <w:w w:val="87"/>
              </w:rPr>
              <w:t>15,659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1,503</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4"/>
              <w:spacing w:after="0"/>
              <w:rPr>
                <w:sz w:val="20"/>
                <w:szCs w:val="20"/>
                <w:color w:val="auto"/>
              </w:rPr>
            </w:pPr>
            <w:r>
              <w:rPr>
                <w:rFonts w:ascii="Arial" w:cs="Arial" w:eastAsia="Arial" w:hAnsi="Arial"/>
                <w:sz w:val="18"/>
                <w:szCs w:val="18"/>
                <w:color w:val="0000FF"/>
                <w:w w:val="87"/>
              </w:rPr>
              <w:t>17,162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1,629</w:t>
            </w:r>
            <w:r>
              <w:rPr>
                <w:rFonts w:ascii="Arial" w:cs="Arial" w:eastAsia="Arial" w:hAnsi="Arial"/>
                <w:sz w:val="22"/>
                <w:szCs w:val="22"/>
                <w:color w:val="008000"/>
                <w:vertAlign w:val="superscript"/>
              </w:rPr>
              <w:t>(3)</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18,791</w:t>
            </w:r>
            <w:r>
              <w:rPr>
                <w:rFonts w:ascii="Arial" w:cs="Arial" w:eastAsia="Arial" w:hAnsi="Arial"/>
                <w:sz w:val="22"/>
                <w:szCs w:val="22"/>
                <w:color w:val="008000"/>
                <w:w w:val="84"/>
                <w:vertAlign w:val="superscript"/>
              </w:rPr>
              <w:t>(4)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earned in connection with the performance shares previously granted on 1/14/2014, based on achievement of certain targets in the period ending 10/31/2016. These performance shares vest on 1/14/2017.</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earned in connection with the TSR performance shares previously granted on 9/8/2014, based on TSR performance in the 3 year period ending 10/31/2016 as compared to the S&amp;P 600. These awards vest on 9/8/2017.</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11,625 RSUs and DERS relating to the RSUs, adjusted to reflect the cumulative effect of fractional shares, 2,922 performance shares earned but not vested with respect to performance shares granted on 1/14/2014, 1,629 performance shares earned but not vested with respect to TSR performance shares granted on 9/8/2014, 458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2019-12-23T21:40:50Z</dcterms:created>
  <dcterms:modified xsi:type="dcterms:W3CDTF">2019-12-23T21:40:50Z</dcterms:modified>
</cp:coreProperties>
</file>