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GIACOBBE SCOTT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60"/>
        <w:spacing w:after="0" w:line="402" w:lineRule="auto"/>
        <w:rPr>
          <w:sz w:val="20"/>
          <w:szCs w:val="20"/>
          <w:color w:val="auto"/>
        </w:rPr>
      </w:pPr>
      <w:r>
        <w:rPr>
          <w:rFonts w:ascii="Arial" w:cs="Arial" w:eastAsia="Arial" w:hAnsi="Arial"/>
          <w:sz w:val="16"/>
          <w:szCs w:val="16"/>
          <w:color w:val="0000FF"/>
        </w:rPr>
        <w:t>551 FIFTH AVENUE SUITE 300 ONE LIBERTY PLAZA 7TH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10006</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ABM INDUSTRIES INC /DE/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ABM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60" w:type="dxa"/>
            <w:vAlign w:val="bottom"/>
            <w:tcBorders>
              <w:bottom w:val="single" w:sz="8" w:color="0000EE"/>
            </w:tcBorders>
          </w:tcPr>
          <w:p>
            <w:pPr>
              <w:spacing w:after="0"/>
              <w:rPr>
                <w:sz w:val="3"/>
                <w:szCs w:val="3"/>
                <w:color w:val="auto"/>
              </w:rPr>
            </w:pPr>
          </w:p>
        </w:tc>
        <w:tc>
          <w:tcPr>
            <w:tcW w:w="1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560" w:type="dxa"/>
            <w:vAlign w:val="bottom"/>
            <w:tcBorders>
              <w:bottom w:val="single" w:sz="8" w:color="2C2C2C"/>
            </w:tcBorders>
          </w:tcPr>
          <w:p>
            <w:pPr>
              <w:spacing w:after="0"/>
              <w:rPr>
                <w:sz w:val="17"/>
                <w:szCs w:val="17"/>
                <w:color w:val="auto"/>
              </w:rPr>
            </w:pPr>
          </w:p>
        </w:tc>
        <w:tc>
          <w:tcPr>
            <w:tcW w:w="122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Pres - Building &amp; Energy</w:t>
            </w:r>
          </w:p>
        </w:tc>
        <w:tc>
          <w:tcPr>
            <w:tcW w:w="0" w:type="dxa"/>
            <w:vAlign w:val="bottom"/>
          </w:tcPr>
          <w:p>
            <w:pPr>
              <w:spacing w:after="0"/>
              <w:rPr>
                <w:sz w:val="1"/>
                <w:szCs w:val="1"/>
                <w:color w:val="auto"/>
              </w:rPr>
            </w:pPr>
          </w:p>
        </w:tc>
      </w:tr>
      <w:tr>
        <w:trPr>
          <w:trHeight w:val="222"/>
        </w:trPr>
        <w:tc>
          <w:tcPr>
            <w:tcW w:w="2760" w:type="dxa"/>
            <w:vAlign w:val="bottom"/>
            <w:gridSpan w:val="3"/>
          </w:tcPr>
          <w:p>
            <w:pPr>
              <w:ind w:left="80"/>
              <w:spacing w:after="0"/>
              <w:rPr>
                <w:sz w:val="20"/>
                <w:szCs w:val="20"/>
                <w:color w:val="auto"/>
              </w:rPr>
            </w:pPr>
            <w:r>
              <w:rPr>
                <w:rFonts w:ascii="Arial" w:cs="Arial" w:eastAsia="Arial" w:hAnsi="Arial"/>
                <w:sz w:val="18"/>
                <w:szCs w:val="18"/>
                <w:color w:val="0000FF"/>
              </w:rPr>
              <w:t>09/02/2016</w:t>
            </w: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jc w:val="right"/>
              <w:ind w:right="118"/>
              <w:spacing w:after="0"/>
              <w:rPr>
                <w:sz w:val="20"/>
                <w:szCs w:val="20"/>
                <w:color w:val="auto"/>
              </w:rPr>
            </w:pPr>
            <w:r>
              <w:rPr>
                <w:rFonts w:ascii="Arial" w:cs="Arial" w:eastAsia="Arial" w:hAnsi="Arial"/>
                <w:sz w:val="18"/>
                <w:szCs w:val="18"/>
                <w:color w:val="0000FF"/>
              </w:rPr>
              <w:t>09/02/2016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1,300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ind w:left="18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25.84</w:t>
            </w:r>
          </w:p>
        </w:tc>
        <w:tc>
          <w:tcPr>
            <w:tcW w:w="200" w:type="dxa"/>
            <w:vAlign w:val="bottom"/>
          </w:tcPr>
          <w:p>
            <w:pPr>
              <w:spacing w:after="0"/>
              <w:rPr>
                <w:sz w:val="23"/>
                <w:szCs w:val="23"/>
                <w:color w:val="auto"/>
              </w:rPr>
            </w:pPr>
          </w:p>
        </w:tc>
        <w:tc>
          <w:tcPr>
            <w:tcW w:w="1220" w:type="dxa"/>
            <w:vAlign w:val="bottom"/>
            <w:gridSpan w:val="2"/>
          </w:tcPr>
          <w:p>
            <w:pPr>
              <w:jc w:val="right"/>
              <w:ind w:right="319"/>
              <w:spacing w:after="0"/>
              <w:rPr>
                <w:sz w:val="20"/>
                <w:szCs w:val="20"/>
                <w:color w:val="auto"/>
              </w:rPr>
            </w:pPr>
            <w:r>
              <w:rPr>
                <w:rFonts w:ascii="Arial" w:cs="Arial" w:eastAsia="Arial" w:hAnsi="Arial"/>
                <w:sz w:val="18"/>
                <w:szCs w:val="18"/>
                <w:color w:val="0000FF"/>
              </w:rPr>
              <w:t>34,183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8"/>
                <w:szCs w:val="18"/>
                <w:color w:val="0000FF"/>
              </w:rPr>
              <w:t>09/02/2016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1,300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39.0239</w:t>
            </w:r>
            <w:r>
              <w:rPr>
                <w:rFonts w:ascii="Arial" w:cs="Arial" w:eastAsia="Arial" w:hAnsi="Arial"/>
                <w:sz w:val="22"/>
                <w:szCs w:val="22"/>
                <w:color w:val="008000"/>
                <w:w w:val="90"/>
                <w:vertAlign w:val="superscript"/>
              </w:rPr>
              <w:t>(1)</w:t>
            </w:r>
          </w:p>
        </w:tc>
        <w:tc>
          <w:tcPr>
            <w:tcW w:w="122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rPr>
              <w:t>32,883</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25.84</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09/02/2016</w:t>
            </w:r>
          </w:p>
        </w:tc>
        <w:tc>
          <w:tcPr>
            <w:tcW w:w="1140" w:type="dxa"/>
            <w:vAlign w:val="bottom"/>
          </w:tcPr>
          <w:p>
            <w:pPr>
              <w:spacing w:after="0"/>
              <w:rPr>
                <w:sz w:val="16"/>
                <w:szCs w:val="16"/>
                <w:color w:val="auto"/>
              </w:rPr>
            </w:pPr>
          </w:p>
        </w:tc>
        <w:tc>
          <w:tcPr>
            <w:tcW w:w="440" w:type="dxa"/>
            <w:vAlign w:val="bottom"/>
            <w:vMerge w:val="restart"/>
          </w:tcPr>
          <w:p>
            <w:pPr>
              <w:jc w:val="right"/>
              <w:ind w:right="98"/>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6"/>
                <w:szCs w:val="16"/>
                <w:color w:val="auto"/>
              </w:rPr>
            </w:pPr>
          </w:p>
        </w:tc>
        <w:tc>
          <w:tcPr>
            <w:tcW w:w="720" w:type="dxa"/>
            <w:vAlign w:val="bottom"/>
            <w:vMerge w:val="restart"/>
          </w:tcPr>
          <w:p>
            <w:pPr>
              <w:ind w:left="360"/>
              <w:spacing w:after="0"/>
              <w:rPr>
                <w:sz w:val="20"/>
                <w:szCs w:val="20"/>
                <w:color w:val="auto"/>
              </w:rPr>
            </w:pPr>
            <w:r>
              <w:rPr>
                <w:rFonts w:ascii="Arial" w:cs="Arial" w:eastAsia="Arial" w:hAnsi="Arial"/>
                <w:sz w:val="14"/>
                <w:szCs w:val="14"/>
                <w:color w:val="0000FF"/>
                <w:w w:val="96"/>
              </w:rPr>
              <w:t>1,300</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0000FF"/>
                <w:w w:val="85"/>
              </w:rPr>
              <w:t>01/10/2018</w:t>
            </w: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1,300</w:t>
            </w:r>
          </w:p>
        </w:tc>
        <w:tc>
          <w:tcPr>
            <w:tcW w:w="200" w:type="dxa"/>
            <w:vAlign w:val="bottom"/>
          </w:tcPr>
          <w:p>
            <w:pPr>
              <w:spacing w:after="0"/>
              <w:rPr>
                <w:sz w:val="16"/>
                <w:szCs w:val="16"/>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vMerge w:val="restart"/>
          </w:tcPr>
          <w:p>
            <w:pPr>
              <w:ind w:left="300"/>
              <w:spacing w:after="0"/>
              <w:rPr>
                <w:sz w:val="20"/>
                <w:szCs w:val="20"/>
                <w:color w:val="auto"/>
              </w:rPr>
            </w:pPr>
            <w:r>
              <w:rPr>
                <w:rFonts w:ascii="Arial" w:cs="Arial" w:eastAsia="Arial" w:hAnsi="Arial"/>
                <w:sz w:val="14"/>
                <w:szCs w:val="14"/>
                <w:color w:val="0000FF"/>
                <w:w w:val="88"/>
              </w:rPr>
              <w:t>24,794</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w w:val="96"/>
              </w:rPr>
              <w:t>Options</w:t>
            </w:r>
            <w:r>
              <w:rPr>
                <w:rFonts w:ascii="Arial" w:cs="Arial" w:eastAsia="Arial" w:hAnsi="Arial"/>
                <w:sz w:val="22"/>
                <w:szCs w:val="22"/>
                <w:color w:val="008000"/>
                <w:w w:val="96"/>
                <w:vertAlign w:val="superscript"/>
              </w:rPr>
              <w:t>(3)</w:t>
            </w:r>
          </w:p>
        </w:tc>
        <w:tc>
          <w:tcPr>
            <w:tcW w:w="8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$39.00 to $39.12, inclusive. The reporting person undertakes to provide to ABM Industries Incorporated, any security holder of ABM Industries Incorporated, or the staff of the Securities and Exchange Commission, upon request, full information regarding the number of shares sold at each separate price within the range set forth in footnote 1 to this Form 4.</w:t>
      </w:r>
    </w:p>
    <w:p>
      <w:pPr>
        <w:spacing w:after="0" w:line="30" w:lineRule="exact"/>
        <w:rPr>
          <w:rFonts w:ascii="Arial" w:cs="Arial" w:eastAsia="Arial" w:hAnsi="Arial"/>
          <w:sz w:val="14"/>
          <w:szCs w:val="14"/>
          <w:color w:val="008000"/>
        </w:rPr>
      </w:pPr>
    </w:p>
    <w:p>
      <w:pPr>
        <w:ind w:left="40" w:right="5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14,372 RSUs and DERS relating to the RSUs, adjusted to reflect the cumulative effect of fractional shares, 2,357 performance shares earned but not vested with respect to performance shares granted on 1/14/2014, 623 performance shares earned but not vested with respect to performance shares granted on 1/15/2015, and DERs related thereto..</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Stock options granted under the 2006 Equity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100% exercisable on the fifth anniversary of the grant date.</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09/06/2016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10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2019-12-23T21:42:47Z</dcterms:created>
  <dcterms:modified xsi:type="dcterms:W3CDTF">2019-12-23T21:42:47Z</dcterms:modified>
</cp:coreProperties>
</file>