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ZACCAGNINI STEVE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08/02/2010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40" w:type="dxa"/>
            <w:vAlign w:val="bottom"/>
            <w:gridSpan w:val="7"/>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10176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08/02/2010</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7"/>
              </w:rPr>
              <w:t>214</w:t>
            </w:r>
            <w:r>
              <w:rPr>
                <w:rFonts w:ascii="Arial" w:cs="Arial" w:eastAsia="Arial" w:hAnsi="Arial"/>
                <w:sz w:val="22"/>
                <w:szCs w:val="22"/>
                <w:color w:val="008000"/>
                <w:w w:val="87"/>
                <w:vertAlign w:val="superscript"/>
              </w:rPr>
              <w:t>(1)</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21.96</w:t>
            </w:r>
          </w:p>
        </w:tc>
        <w:tc>
          <w:tcPr>
            <w:tcW w:w="126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39,457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5"/>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3"/>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Dividend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77</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7"/>
              </w:rPr>
              <w:t>Equivalent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08/02/2010</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5"/>
                <w:szCs w:val="5"/>
                <w:color w:val="auto"/>
              </w:rPr>
            </w:pPr>
          </w:p>
        </w:tc>
        <w:tc>
          <w:tcPr>
            <w:tcW w:w="8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77</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rPr>
              <w:t>77</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(RSUs)granted under the 2006 Equity Incentive Plan. DERs vest in the same manner as the RSU's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28,345 RSUs and DERs relating to the RSUs, adjusted to reflect the cumulative effect of fractional shares, and 6,729 performance shares earned but not vested with respect to performance shares granted on 1/12/2009 and DERs related thereto.</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DERs accrued on performance shares granted on 1/8/2008 under the 2006 Equity Incentive Plan. DERs vest in the same manner as the performance shares to which they relate. Each DER is the economic equivalent to one share of ABM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08/03/2010</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2019-12-17T04:51:09Z</dcterms:created>
  <dcterms:modified xsi:type="dcterms:W3CDTF">2019-12-17T04:51:09Z</dcterms:modified>
</cp:coreProperties>
</file>