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FERNANDES ANTHONY G</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7"/>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00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ONE LIBERTY PLAZA</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01/10/2017</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gridSpan w:val="2"/>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122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80" w:type="dxa"/>
            <w:vAlign w:val="bottom"/>
          </w:tcPr>
          <w:p>
            <w:pPr>
              <w:spacing w:after="0"/>
              <w:rPr>
                <w:sz w:val="15"/>
                <w:szCs w:val="15"/>
                <w:color w:val="auto"/>
              </w:rPr>
            </w:pPr>
          </w:p>
        </w:tc>
        <w:tc>
          <w:tcPr>
            <w:tcW w:w="178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5"/>
                <w:szCs w:val="15"/>
                <w:color w:val="auto"/>
              </w:rPr>
            </w:pPr>
          </w:p>
        </w:tc>
        <w:tc>
          <w:tcPr>
            <w:tcW w:w="1960" w:type="dxa"/>
            <w:vAlign w:val="bottom"/>
            <w:gridSpan w:val="7"/>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gridSpan w:val="5"/>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100" w:type="dxa"/>
            <w:vAlign w:val="bottom"/>
          </w:tcPr>
          <w:p>
            <w:pPr>
              <w:spacing w:after="0"/>
              <w:rPr>
                <w:sz w:val="11"/>
                <w:szCs w:val="11"/>
                <w:color w:val="auto"/>
              </w:rPr>
            </w:pPr>
          </w:p>
        </w:tc>
        <w:tc>
          <w:tcPr>
            <w:tcW w:w="2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6"/>
          </w:tcPr>
          <w:p>
            <w:pPr>
              <w:jc w:val="right"/>
              <w:ind w:right="115"/>
              <w:spacing w:after="0"/>
              <w:rPr>
                <w:sz w:val="20"/>
                <w:szCs w:val="20"/>
                <w:color w:val="auto"/>
              </w:rPr>
            </w:pPr>
            <w:r>
              <w:rPr>
                <w:rFonts w:ascii="Arial" w:cs="Arial" w:eastAsia="Arial" w:hAnsi="Arial"/>
                <w:sz w:val="18"/>
                <w:szCs w:val="18"/>
                <w:color w:val="0000FF"/>
              </w:rPr>
              <w:t>01/10/2017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3"/>
          </w:tcPr>
          <w:p>
            <w:pPr>
              <w:ind w:left="140"/>
              <w:spacing w:after="0"/>
              <w:rPr>
                <w:sz w:val="20"/>
                <w:szCs w:val="20"/>
                <w:color w:val="auto"/>
              </w:rPr>
            </w:pPr>
            <w:r>
              <w:rPr>
                <w:rFonts w:ascii="Arial" w:cs="Arial" w:eastAsia="Arial" w:hAnsi="Arial"/>
                <w:sz w:val="18"/>
                <w:szCs w:val="18"/>
                <w:color w:val="0000FF"/>
              </w:rPr>
              <w:t>2,779</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43,465</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20"/>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700" w:type="dxa"/>
            <w:vAlign w:val="bottom"/>
            <w:gridSpan w:val="17"/>
          </w:tcPr>
          <w:p>
            <w:pPr>
              <w:jc w:val="center"/>
              <w:ind w:left="19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8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0" w:type="dxa"/>
            <w:vAlign w:val="bottom"/>
          </w:tcPr>
          <w:p>
            <w:pPr>
              <w:spacing w:after="0"/>
              <w:rPr>
                <w:sz w:val="11"/>
                <w:szCs w:val="11"/>
                <w:color w:val="auto"/>
              </w:rPr>
            </w:pP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Annual grant of restricted stock units (RSUs) to non-employee directors granted under the 2006 Equity Incentive Plan, representing a contingent right to receive shares of common stock. RSUs vest ratably over three years on each of the first, second and third anniversaries of the grant date. Dividend equivalent rights will accrue</w:t>
      </w:r>
    </w:p>
    <w:p>
      <w:pPr>
        <w:spacing w:after="0" w:line="30"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9323 unvested RSUs and 29,806 vested RSUs, the receipt of which has been deferred, and DERs relating to the unvested and vested RSUs, adjusted to reflect the cumulative effect of fractional shares.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01/12/2017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3585"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2019-12-23T21:40:44Z</dcterms:created>
  <dcterms:modified xsi:type="dcterms:W3CDTF">2019-12-23T21:40:44Z</dcterms:modified>
</cp:coreProperties>
</file>