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Date of Report</w:t>
      </w:r>
    </w:p>
    <w:p>
      <w:pPr>
        <w:ind w:left="2540"/>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17, 1998</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760"/>
          </w:cols>
          <w:pgMar w:left="240" w:top="244"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(State of incorporation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1-8929</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94-1369354</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 Identification</w:t>
      </w:r>
    </w:p>
    <w:p>
      <w:pPr>
        <w:spacing w:after="0" w:line="238" w:lineRule="auto"/>
        <w:rPr>
          <w:sz w:val="20"/>
          <w:szCs w:val="20"/>
          <w:color w:val="auto"/>
        </w:rPr>
      </w:pPr>
      <w:r>
        <w:rPr>
          <w:rFonts w:ascii="Courier New" w:cs="Courier New" w:eastAsia="Courier New" w:hAnsi="Courier New"/>
          <w:sz w:val="18"/>
          <w:szCs w:val="18"/>
          <w:color w:val="auto"/>
        </w:rPr>
        <w:t>No.)</w:t>
      </w:r>
    </w:p>
    <w:p>
      <w:pPr>
        <w:spacing w:after="0" w:line="200" w:lineRule="exact"/>
        <w:rPr>
          <w:sz w:val="24"/>
          <w:szCs w:val="24"/>
          <w:color w:val="auto"/>
        </w:rPr>
      </w:pPr>
    </w:p>
    <w:p>
      <w:pPr>
        <w:sectPr>
          <w:pgSz w:w="11900" w:h="16838" w:orient="portrait"/>
          <w:cols w:equalWidth="0" w:num="3">
            <w:col w:w="3800" w:space="220"/>
            <w:col w:w="3040" w:space="220"/>
            <w:col w:w="3480"/>
          </w:cols>
          <w:pgMar w:left="240" w:top="244" w:right="899" w:bottom="1440" w:gutter="0" w:footer="0" w:header="0"/>
          <w:type w:val="continuous"/>
        </w:sect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160 Pacific Avenue</w:t>
      </w:r>
    </w:p>
    <w:p>
      <w:pPr>
        <w:ind w:left="860"/>
        <w:spacing w:after="0" w:line="238" w:lineRule="auto"/>
        <w:rPr>
          <w:sz w:val="20"/>
          <w:szCs w:val="20"/>
          <w:color w:val="auto"/>
        </w:rPr>
      </w:pPr>
      <w:r>
        <w:rPr>
          <w:rFonts w:ascii="Courier New" w:cs="Courier New" w:eastAsia="Courier New" w:hAnsi="Courier New"/>
          <w:sz w:val="18"/>
          <w:szCs w:val="18"/>
          <w:color w:val="auto"/>
        </w:rPr>
        <w:t>Suite 222</w:t>
      </w:r>
    </w:p>
    <w:p>
      <w:pPr>
        <w:ind w:left="860"/>
        <w:spacing w:after="0"/>
        <w:rPr>
          <w:sz w:val="20"/>
          <w:szCs w:val="20"/>
          <w:color w:val="auto"/>
        </w:rPr>
      </w:pPr>
      <w:r>
        <w:rPr>
          <w:rFonts w:ascii="Courier New" w:cs="Courier New" w:eastAsia="Courier New" w:hAnsi="Courier New"/>
          <w:sz w:val="18"/>
          <w:szCs w:val="18"/>
          <w:color w:val="auto"/>
        </w:rPr>
        <w:t>San Francisco, CA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(Address of principal executive</w:t>
      </w:r>
    </w:p>
    <w:p>
      <w:pPr>
        <w:spacing w:after="0" w:line="238" w:lineRule="auto"/>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94111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402" w:lineRule="exact"/>
        <w:rPr>
          <w:sz w:val="24"/>
          <w:szCs w:val="24"/>
          <w:color w:val="auto"/>
        </w:rPr>
      </w:pPr>
    </w:p>
    <w:p>
      <w:pPr>
        <w:sectPr>
          <w:pgSz w:w="11900" w:h="16838" w:orient="portrait"/>
          <w:cols w:equalWidth="0" w:num="2">
            <w:col w:w="6560" w:space="720"/>
            <w:col w:w="3480"/>
          </w:cols>
          <w:pgMar w:left="240" w:top="244" w:right="899" w:bottom="1440" w:gutter="0" w:footer="0" w:header="0"/>
          <w:type w:val="continuous"/>
        </w:sectPr>
      </w:pPr>
    </w:p>
    <w:p>
      <w:pPr>
        <w:spacing w:after="0" w:line="204" w:lineRule="exact"/>
        <w:rPr>
          <w:sz w:val="24"/>
          <w:szCs w:val="24"/>
          <w:color w:val="auto"/>
        </w:rPr>
      </w:pPr>
    </w:p>
    <w:p>
      <w:pPr>
        <w:jc w:val="center"/>
        <w:ind w:right="2320"/>
        <w:spacing w:after="0"/>
        <w:rPr>
          <w:sz w:val="20"/>
          <w:szCs w:val="20"/>
          <w:color w:val="auto"/>
        </w:rPr>
      </w:pPr>
      <w:r>
        <w:rPr>
          <w:rFonts w:ascii="Courier New" w:cs="Courier New" w:eastAsia="Courier New" w:hAnsi="Courier New"/>
          <w:sz w:val="18"/>
          <w:szCs w:val="18"/>
          <w:color w:val="auto"/>
        </w:rPr>
        <w:t>(415) 733-4000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50 Fremont St., 26th Floor, San Francisco, CA 94105</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ectPr>
          <w:pgSz w:w="11900" w:h="16838" w:orient="portrait"/>
          <w:cols w:equalWidth="0" w:num="1">
            <w:col w:w="10760"/>
          </w:cols>
          <w:pgMar w:left="240" w:top="244" w:right="899"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The rights issued pursuant to the current stockholders rights plan adopted in 1988 by ABM Industries Incorporated, a Delaware corporation (the "Company"), will expire by their terms at the close of business on April 22, 1998. On March 17, 1998, the Board of Directors of the Company approved a replacement stockholders rights plan and, pursuant to which, declared a dividend of one right (a "Right") for each outstanding share of common stock, par value $.01 per share ("Common Stock"), of the Company held of record at the close of business on April 22, 1998, (the "Record Time"), or issued thereafter and prior to the Separation Time (as hereinafter defined) and thereafter pursuant to options and convertible or exchangeable securities outstanding at the Separation Time. The Rights will be issued pursuant to a Rights Agreement, dated as of March 17, 1998 (the "Rights Agreement"), between the Company and ChaseMellon Shareholder Services, L.L.C., as Rights Agent (the "Rights Agent"). Each Right entitles its registered holder to purchase from the Company, after the Separation Time, one one-thousandth of a share of Participating Preferred Stock, par value $.01 per share ("Preferred Stock"), for $175.00 (the "Exercise Price"), subject to adjustment. The Preferred Stock is designed so that each one one-thousandth of a share of Preferred Stock has economic and voting terms similar to those of one share of Common Stock.</w:t>
      </w:r>
    </w:p>
    <w:p>
      <w:pPr>
        <w:spacing w:after="0" w:line="210" w:lineRule="exact"/>
        <w:rPr>
          <w:sz w:val="20"/>
          <w:szCs w:val="20"/>
          <w:color w:val="auto"/>
        </w:rPr>
      </w:pPr>
    </w:p>
    <w:p>
      <w:pPr>
        <w:ind w:right="2099" w:firstLine="1580"/>
        <w:spacing w:after="0" w:line="268" w:lineRule="auto"/>
        <w:rPr>
          <w:sz w:val="20"/>
          <w:szCs w:val="20"/>
          <w:color w:val="auto"/>
        </w:rPr>
      </w:pPr>
      <w:r>
        <w:rPr>
          <w:rFonts w:ascii="Courier New" w:cs="Courier New" w:eastAsia="Courier New" w:hAnsi="Courier New"/>
          <w:sz w:val="16"/>
          <w:szCs w:val="16"/>
          <w:color w:val="auto"/>
        </w:rPr>
        <w:t>The Rights will be evidenced by the Common Stock certificates until the close of business on the earlier of (either, the "Separation Time")</w:t>
      </w:r>
    </w:p>
    <w:p>
      <w:pPr>
        <w:ind w:right="1879" w:firstLine="8"/>
        <w:spacing w:after="0" w:line="268"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tenth business day (or such later date as the Board of Directors of the Company may from time to time fix by resolution adopted prior to the Separation Time that would otherwise have occurred) after the date on which any Person (as defined in the Rights Agreement) commences a tender or exchange offer which, if consummated, would result in such Person's becoming an Acquiring Person, as defined below, and (ii) the first date (the "Flip-in Date") of public announcement by the Company or an Acquiring Person that a Person has become an Acquiring Person; provided that if the foregoing results in the Separation Time being prior to the Record Time, the Separation Time shall be the Record Time; and provided further that if a tender or exchange offer referred to in clause</w:t>
      </w:r>
    </w:p>
    <w:p>
      <w:pPr>
        <w:spacing w:after="0" w:line="1" w:lineRule="exact"/>
        <w:rPr>
          <w:rFonts w:ascii="Courier New" w:cs="Courier New" w:eastAsia="Courier New" w:hAnsi="Courier New"/>
          <w:sz w:val="16"/>
          <w:szCs w:val="16"/>
          <w:color w:val="auto"/>
        </w:rPr>
      </w:pPr>
    </w:p>
    <w:p>
      <w:pPr>
        <w:ind w:right="1779" w:firstLine="8"/>
        <w:spacing w:after="0" w:line="236"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cancelled, terminated or otherwise withdrawn prior to the Separation Time without the purchase of any shares of stock pursuant thereto, such offer shall be deemed never to have been made.</w:t>
      </w:r>
    </w:p>
    <w:p>
      <w:pPr>
        <w:spacing w:after="0" w:line="209" w:lineRule="exact"/>
        <w:rPr>
          <w:sz w:val="20"/>
          <w:szCs w:val="20"/>
          <w:color w:val="auto"/>
        </w:rPr>
      </w:pPr>
    </w:p>
    <w:p>
      <w:pPr>
        <w:ind w:right="1779" w:firstLine="1580"/>
        <w:spacing w:after="0" w:line="268" w:lineRule="auto"/>
        <w:rPr>
          <w:sz w:val="20"/>
          <w:szCs w:val="20"/>
          <w:color w:val="auto"/>
        </w:rPr>
      </w:pPr>
      <w:r>
        <w:rPr>
          <w:rFonts w:ascii="Courier New" w:cs="Courier New" w:eastAsia="Courier New" w:hAnsi="Courier New"/>
          <w:sz w:val="16"/>
          <w:szCs w:val="16"/>
          <w:color w:val="auto"/>
        </w:rPr>
        <w:t>An Acquiring Person is any Person having Beneficial Ownership (as defined in the Rights Agreement) of 20% or more of the outstanding shares of Voting Stock, which term shall not include (i) the Company, any wholly-owned subsidiary of the Company or any employee stock ownership or other employee benefit plan of the Company or any wholly-owned subsidiary of the Company, (ii) any person who is the Beneficial Owner of 20% or more of the outstanding Voting Stock as of the date of the Rights Agreement or who shall become the Beneficial Owner of 20% or more of the outstanding Voting Stock solely as a result of an acquisition of Voting Stock by the Company, until such time as such Person acquires additional Voting Stock, other than through a dividend or stock split,</w:t>
      </w:r>
    </w:p>
    <w:p>
      <w:pPr>
        <w:spacing w:after="0" w:line="2" w:lineRule="exact"/>
        <w:rPr>
          <w:sz w:val="20"/>
          <w:szCs w:val="20"/>
          <w:color w:val="auto"/>
        </w:rPr>
      </w:pPr>
    </w:p>
    <w:p>
      <w:pPr>
        <w:ind w:right="1779" w:firstLine="8"/>
        <w:spacing w:after="0" w:line="237"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who Beneficially Owns shares of Voting Stock consisting solely of (A) shares of Voting Stock acquired pursuant to the grant or exercise of an option granted by the Company in connection with an agreement to merge with, or acquire, the Company at a time at which there is no Acquiring Person, (B) shares of Voting Stock owned by such Person and its Affiliates and Associates at the time of such grant and (C) shares of Voting Stock, amounting to less than 1% of the outstanding Voting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acquired by Affiliates and Associates of such Person after the time of such grant, or (iv) Theodore Rosenberg and Sydney J. Rosenberg, individually and as members of a group, and any trust or foundation to which either Theodore Rosenberg or Sydney J. Rosenberg has transferred or may transfer shares of Common Stock, and any Person who acquires shares of Common Stock from Theodore Rosenberg, Sydney J. Rosenberg, or any such trust or foundation by gift, inheritance or in a transaction in which no consideration is exchanged. Notwithstanding the foregoing, if the Board of Directors of the Company determines in good faith that a Person who would otherwise be an "Acquiring Person," as defined pursuant to the foregoing, has become such inadvertently, and such Person divests as promptly as practicable a sufficient number of shares of Common Stock so that such Person would no longer be an "Acquiring Person," as defined pursuant to such foregoing, then such Person shall not be deemed to be an "Acquiring Person" for any purposes of the Rights Agreement. "Voting Stock" means shares of capital stock of the Company entitled to vote generally in the election of directors.</w:t>
      </w:r>
    </w:p>
    <w:p>
      <w:pPr>
        <w:spacing w:after="0" w:line="20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Rights Agreement provides that, until the Separation Time, the Rights will be transferred with and only with the Common Stock. Common Stock certificates issued after the Record Time but prior to the Separation Time shall evidence one Right for each share of Common Stock represented thereby and shall contain a legend incorporating by reference the terms of the Rights Agreement (as such may be amended from time to time). Notwithstanding the absence of the legend, certificates evidencing shares of Common Stock outstanding at the Record Time shall also evidence one Right for each share of Common Stock evidenced thereby. Promptly following the Separation Time, separate certificates evidencing the Rights ("Rights Certificates") will be mailed to holders of record of Common Stock at the Separation Time.</w:t>
      </w:r>
    </w:p>
    <w:p>
      <w:pPr>
        <w:spacing w:after="0" w:line="216"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Rights will not be exercisable until the Business Day (as defined in the Rights Agreement) following the Separation Time. The Rights will expire on the earliest of (i) the Exchange Time (as defined below), (ii) the close of business on April 22, 2008, (iii) the date on which the Rights are redeemed as described below and (iv) upon the merger of the Company into another corporation pursuant to an agreement entered into when there is no Acquiring Person (in any such case, the "Expiration Time").</w:t>
      </w:r>
    </w:p>
    <w:p>
      <w:pPr>
        <w:spacing w:after="0" w:line="211" w:lineRule="exact"/>
        <w:rPr>
          <w:sz w:val="20"/>
          <w:szCs w:val="20"/>
          <w:color w:val="auto"/>
        </w:rPr>
      </w:pPr>
    </w:p>
    <w:p>
      <w:pPr>
        <w:ind w:right="1879" w:firstLine="1580"/>
        <w:spacing w:after="0" w:line="272" w:lineRule="auto"/>
        <w:rPr>
          <w:sz w:val="20"/>
          <w:szCs w:val="20"/>
          <w:color w:val="auto"/>
        </w:rPr>
      </w:pPr>
      <w:r>
        <w:rPr>
          <w:rFonts w:ascii="Courier New" w:cs="Courier New" w:eastAsia="Courier New" w:hAnsi="Courier New"/>
          <w:sz w:val="16"/>
          <w:szCs w:val="16"/>
          <w:color w:val="auto"/>
        </w:rPr>
        <w:t>The Exercise Price and the number of Rights outstanding, or in certain circumstances the securities purchasable upon exercise of the Rights, are subject to adjustment from time to time to prevent dilution in the event of a Common Stock dividend on, or a subdivision or a combination into a smaller number of shares of, Common Stock, or the issuance or distribution of any securities or assets in respect of, in lieu of or in exchange for Common Stock.</w:t>
      </w:r>
    </w:p>
    <w:p>
      <w:pPr>
        <w:spacing w:after="0" w:line="186"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In the event that prior to the Expiration Time a Flip-in Date occurs, the Company shall take such action as shall be necessary to ensure and provide that each Right (other than Rights Beneficially Owned by the Acquiring Person or any affiliate or associate thereof, which Rights shall become void) shall constitute the right to purchase from the Company, upon the exercise thereof in accordance with the terms of the Rights Agreement, that number of shares of Common Stock or Preferred Stock of the Company having an aggregate Market Price (as defined in the Rights Agreement), on the date of the public announcement of an Acquiring Person's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becoming such (the "Stock Acquisition Date") that gave rise to the Flip-in Date, equal to twice the Exercise Price for an amount in cash equal to the then current Exercise Price.</w:t>
      </w:r>
    </w:p>
    <w:p>
      <w:pPr>
        <w:spacing w:after="0" w:line="209" w:lineRule="exact"/>
        <w:rPr>
          <w:sz w:val="20"/>
          <w:szCs w:val="20"/>
          <w:color w:val="auto"/>
        </w:rPr>
      </w:pPr>
    </w:p>
    <w:p>
      <w:pPr>
        <w:ind w:right="1779" w:firstLine="1580"/>
        <w:spacing w:after="0" w:line="270" w:lineRule="auto"/>
        <w:rPr>
          <w:sz w:val="20"/>
          <w:szCs w:val="20"/>
          <w:color w:val="auto"/>
        </w:rPr>
      </w:pPr>
      <w:r>
        <w:rPr>
          <w:rFonts w:ascii="Courier New" w:cs="Courier New" w:eastAsia="Courier New" w:hAnsi="Courier New"/>
          <w:sz w:val="16"/>
          <w:szCs w:val="16"/>
          <w:color w:val="auto"/>
        </w:rPr>
        <w:t>In addition, the Board of Directors of the Company may, at its option, at any time after a Flip-in Date and prior to the time that an Acquiring Person becomes the Beneficial Owner of more than 50% of the outstanding shares of Voting Stock, elect to exchange all or part of the then outstanding Rights (other than Rights Beneficially Owned by the Acquiring Person or any affiliate or associate thereof, which Rights become void) for shares of Common Stock at an exchange ratio of one share of Common Stock per Right, appropriately adjusted to reflect any stock split, stock dividend or similar transaction occurring after the date of the Separation Time (the "Exchange Ratio"). Immediately upon such action by the Board of Directors (the "Exchange Time"), the right to exercise the Rights will terminate and each Right will thereafter represent only the right to receive a number of shares of Common Stock equal to the Exchange Ratio.</w:t>
      </w:r>
    </w:p>
    <w:p>
      <w:pPr>
        <w:spacing w:after="0" w:line="18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Whenever the Company shall become obligated to issue shares of Common Stock upon exercise of or in exchange for Rights, the Company, at its option, may substitute therefor shares of Preferred Stock, at a ratio of one one-thousandth of a share of Preferred Stock for each share of Common Stock so issuable.</w:t>
      </w:r>
    </w:p>
    <w:p>
      <w:pPr>
        <w:spacing w:after="0" w:line="209"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In the event that prior to the Expiration Time the Company enters into, consummates or permits to occur a transaction or series of transactions after the time an Acquiring Person has become such in which, directly or indirectly, (i) the Company shall consolidate or merge or participate in a binding share exchange with any other Person if, at the time of the consolidation, merger or share exchange or at the time the Company enters into an agreement with respect to such consolidation, merger or share exchange, the Acquiring Person controls the Board of Directors of the Company, or (ii) the Company shall sell or otherwise transfer (or one or more of its subsidiaries shall sell or otherwise transfer) directly or by sale of stock, assets or control of assets (A) aggregating more than 50% of the assets (measured by either book value or fair market value) as of the end of the most recently completed fiscal year or (B) generating more than 50% of the operating income or cash flow during the most recently completed fiscal year, of the Company and its subsidiaries (taken as a whole) to any other Person (other than the Company or one or more of its wholly owned subsidiaries) or to two or more such Persons which are affiliated or otherwise acting in concert, if, at the time of such sale or transfer of assets or at the time the Company (or any such subsidiary) enters into an agreement with respect to such sale or transfer, the Acquiring Person controls the Board of Directors of the Company, then any such transactions or events shall constitute a "Flip-over Transaction or Event" under the Rights Agreement.</w:t>
      </w:r>
    </w:p>
    <w:p>
      <w:pPr>
        <w:spacing w:after="0" w:line="211"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Company shall take such action as shall be necessary to ensure, and shall not enter into, consummate or permit to occur , such Flip-over Transaction or Event until it shall have duly entered into a binding and enforceable supplemental agreement with the Person engaging in such Flip-over Transaction or Event or the parent corporation thereof (the "Flip-over Entity"), for the benefit of the holders of the Rights, providing, that upon consummation or occurrence of the Flip-over Transaction or Event (i) each Right shall thereafter constitute the right to purchase from the Flip-over Entity, upon exercise thereof in accordance with the terms of</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Rights Agreement, that number of shares of common stock of the Flip-over Entity having an aggregate Market Price on the date of consummation or occurrence of such Flip-over Transaction or Event equal to twice the Exercise Price for an amount in cash equal to the then current Exercise Price and (ii) the Flip-over Entity shall thereafter be liable for, and shall assume, by virtue of such Flip-over Transaction or Event and such supplemental agreement, all the obligations and duties of the Company pursuant to the Rights Agreement, but the Company's obligations under the Rights Agreement will not be discharged and will continue in full. For purposes of the foregoing description, the term "Acquiring Person" shall include any Acquiring Person and its Affiliates and Associates and others with whom it is acting in concert counted together as a single Person.</w:t>
      </w:r>
    </w:p>
    <w:p>
      <w:pPr>
        <w:spacing w:after="0" w:line="188"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Board of Directors of the Company may, at its option, at any time prior to the close of business on the Flip-in Date, redeem all (but not less than all) the then outstanding Rights at a price of $.01 per Right (the "Redemption Price"), as provided in the Rights Agreement. Immediately upon the action of the Board of Directors of the Company electing to redeem the Rights, without any further action and without any notice, the right to exercise the Rights will terminate and each Right will thereafter represent only the right to receive the Redemption Price in cash for each Right so held.</w:t>
      </w:r>
    </w:p>
    <w:p>
      <w:pPr>
        <w:spacing w:after="0" w:line="212"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The holders of Rights will, solely by reason of their ownership of Rights, have no rights as stockholders of the Company, including without limitation, the right to vote or to receive dividends.</w:t>
      </w:r>
    </w:p>
    <w:p>
      <w:pPr>
        <w:spacing w:after="0" w:line="209"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The Rights have certain anti-takeover effects and can cause substantial dilution to a person or group that acquires 20% of more of the Common Stock on terms not approved by the Board of Directors of the Company. The Rights should not, however, interfere with any merger or other business combination that the Board finds to be in the best interests of the Company and its stockholders because the Rights can be redeemed by the Board on or prior to the close of business on the Flip-in Date, before the consummation of such transaction.</w:t>
      </w:r>
    </w:p>
    <w:p>
      <w:pPr>
        <w:spacing w:after="0" w:line="212" w:lineRule="exact"/>
        <w:rPr>
          <w:sz w:val="20"/>
          <w:szCs w:val="20"/>
          <w:color w:val="auto"/>
        </w:rPr>
      </w:pPr>
    </w:p>
    <w:p>
      <w:pPr>
        <w:ind w:right="1779" w:firstLine="1580"/>
        <w:spacing w:after="0" w:line="237" w:lineRule="auto"/>
        <w:rPr>
          <w:sz w:val="20"/>
          <w:szCs w:val="20"/>
          <w:color w:val="auto"/>
        </w:rPr>
      </w:pPr>
      <w:r>
        <w:rPr>
          <w:rFonts w:ascii="Courier New" w:cs="Courier New" w:eastAsia="Courier New" w:hAnsi="Courier New"/>
          <w:sz w:val="18"/>
          <w:szCs w:val="18"/>
          <w:color w:val="auto"/>
        </w:rPr>
        <w:t>As of April 16, 1998, there were approximately 21,119,930 shares of Common Stock issued and outstanding. As long as the Rights are attached to the Common Stock, the Company will issue one Right with each new share of Common Stock so that all such shares will have Rights attached.</w:t>
      </w:r>
    </w:p>
    <w:p>
      <w:pPr>
        <w:spacing w:after="0" w:line="207" w:lineRule="exact"/>
        <w:rPr>
          <w:sz w:val="20"/>
          <w:szCs w:val="20"/>
          <w:color w:val="auto"/>
        </w:rPr>
      </w:pPr>
    </w:p>
    <w:p>
      <w:pPr>
        <w:ind w:right="2419" w:firstLine="1580"/>
        <w:spacing w:after="0" w:line="236" w:lineRule="auto"/>
        <w:rPr>
          <w:sz w:val="20"/>
          <w:szCs w:val="20"/>
          <w:color w:val="auto"/>
        </w:rPr>
      </w:pPr>
      <w:r>
        <w:rPr>
          <w:rFonts w:ascii="Courier New" w:cs="Courier New" w:eastAsia="Courier New" w:hAnsi="Courier New"/>
          <w:sz w:val="18"/>
          <w:szCs w:val="18"/>
          <w:color w:val="auto"/>
        </w:rPr>
        <w:t>The foregoing description of the Rights is qualified in its entirety by reference to the Rights Agreement and the other exhibits incorporated by reference below.</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700" w:right="1779" w:hanging="842"/>
        <w:spacing w:after="0" w:line="271" w:lineRule="auto"/>
        <w:tabs>
          <w:tab w:leader="none" w:pos="16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Rights Agreement, dated as of March 17, 1998 (the "Rights Agreement"), between ABM Industries Incorporated and ChaseMellon Shareholder Services, L.L.C., as Rights Agent, including the forms of Rights Certificate and of Election to Exercise, included in Exhibit A to the Rights Agreement and the form of Certificate of Designation and Terms of Participating Preferred Stock of the Company, included in Exhibit B to the Rights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80" w:right="1879"/>
        <w:spacing w:after="0" w:line="236" w:lineRule="auto"/>
        <w:rPr>
          <w:sz w:val="20"/>
          <w:szCs w:val="20"/>
          <w:color w:val="auto"/>
        </w:rPr>
      </w:pPr>
      <w:r>
        <w:rPr>
          <w:rFonts w:ascii="Courier New" w:cs="Courier New" w:eastAsia="Courier New" w:hAnsi="Courier New"/>
          <w:sz w:val="18"/>
          <w:szCs w:val="18"/>
          <w:color w:val="auto"/>
        </w:rPr>
        <w:t>Agreement (incorporated herein by reference to Exhibit (1) to the Registrant's Registration Statement on Form 8-A dated March 18, 1998).</w:t>
      </w:r>
    </w:p>
    <w:p>
      <w:pPr>
        <w:spacing w:after="0" w:line="203"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March 17, 1998, issued by the Company.</w:t>
      </w:r>
    </w:p>
    <w:p>
      <w:pPr>
        <w:spacing w:after="0" w:line="207" w:lineRule="exact"/>
        <w:rPr>
          <w:sz w:val="20"/>
          <w:szCs w:val="20"/>
          <w:color w:val="auto"/>
        </w:rPr>
      </w:pPr>
    </w:p>
    <w:p>
      <w:pPr>
        <w:ind w:left="1380" w:right="1879" w:hanging="842"/>
        <w:spacing w:after="0" w:line="235" w:lineRule="auto"/>
        <w:tabs>
          <w:tab w:leader="none" w:pos="1360" w:val="left"/>
        </w:tabs>
        <w:rPr>
          <w:sz w:val="20"/>
          <w:szCs w:val="20"/>
          <w:color w:val="auto"/>
        </w:rPr>
      </w:pPr>
      <w:r>
        <w:rPr>
          <w:rFonts w:ascii="Courier New" w:cs="Courier New" w:eastAsia="Courier New" w:hAnsi="Courier New"/>
          <w:sz w:val="18"/>
          <w:szCs w:val="18"/>
          <w:color w:val="auto"/>
        </w:rPr>
        <w:t>(99.2)</w:t>
        <w:tab/>
        <w:t>Form of Letter to Stockholders, together with Summary of Rights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312"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left="860" w:right="1879" w:firstLine="1475"/>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380"/>
        <w:spacing w:after="0"/>
        <w:tabs>
          <w:tab w:leader="none" w:pos="5880" w:val="left"/>
        </w:tabs>
        <w:rPr>
          <w:sz w:val="20"/>
          <w:szCs w:val="20"/>
          <w:color w:val="auto"/>
        </w:rPr>
      </w:pPr>
      <w:r>
        <w:rPr>
          <w:rFonts w:ascii="Courier New" w:cs="Courier New" w:eastAsia="Courier New" w:hAnsi="Courier New"/>
          <w:sz w:val="18"/>
          <w:szCs w:val="18"/>
          <w:color w:val="auto"/>
        </w:rPr>
        <w:t>By:</w:t>
        <w:tab/>
        <w:t>/s/ William W. Steele</w:t>
      </w:r>
    </w:p>
    <w:p>
      <w:pPr>
        <w:spacing w:after="0" w:line="4"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380"/>
        <w:spacing w:after="0"/>
        <w:tabs>
          <w:tab w:leader="none" w:pos="61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W. Steele</w:t>
      </w:r>
    </w:p>
    <w:p>
      <w:pPr>
        <w:ind w:left="5380"/>
        <w:spacing w:after="0" w:line="238" w:lineRule="auto"/>
        <w:tabs>
          <w:tab w:leader="none" w:pos="6200" w:val="left"/>
        </w:tabs>
        <w:rPr>
          <w:sz w:val="20"/>
          <w:szCs w:val="20"/>
          <w:color w:val="auto"/>
        </w:rPr>
      </w:pPr>
      <w:r>
        <w:rPr>
          <w:rFonts w:ascii="Courier New" w:cs="Courier New" w:eastAsia="Courier New" w:hAnsi="Courier New"/>
          <w:sz w:val="18"/>
          <w:szCs w:val="18"/>
          <w:color w:val="auto"/>
        </w:rPr>
        <w:t>Title:</w:t>
        <w:tab/>
        <w:t>President and Chief</w:t>
      </w:r>
    </w:p>
    <w:p>
      <w:pPr>
        <w:ind w:left="6220"/>
        <w:spacing w:after="0"/>
        <w:rPr>
          <w:sz w:val="20"/>
          <w:szCs w:val="20"/>
          <w:color w:val="auto"/>
        </w:rPr>
      </w:pPr>
      <w:r>
        <w:rPr>
          <w:rFonts w:ascii="Courier New" w:cs="Courier New" w:eastAsia="Courier New" w:hAnsi="Courier New"/>
          <w:sz w:val="18"/>
          <w:szCs w:val="18"/>
          <w:color w:val="auto"/>
        </w:rPr>
        <w:t>Executive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17,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640" w:type="dxa"/>
            <w:vAlign w:val="bottom"/>
          </w:tcPr>
          <w:p>
            <w:pPr>
              <w:ind w:left="32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6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00" w:type="dxa"/>
            <w:vAlign w:val="bottom"/>
          </w:tcPr>
          <w:p>
            <w:pPr>
              <w:ind w:left="860"/>
              <w:spacing w:after="0"/>
              <w:rPr>
                <w:sz w:val="20"/>
                <w:szCs w:val="20"/>
                <w:color w:val="auto"/>
              </w:rPr>
            </w:pPr>
            <w:r>
              <w:rPr>
                <w:rFonts w:ascii="Courier New" w:cs="Courier New" w:eastAsia="Courier New" w:hAnsi="Courier New"/>
                <w:sz w:val="18"/>
                <w:szCs w:val="18"/>
                <w:color w:val="auto"/>
              </w:rPr>
              <w:t>(4.1)</w:t>
            </w:r>
          </w:p>
        </w:tc>
        <w:tc>
          <w:tcPr>
            <w:tcW w:w="6640" w:type="dxa"/>
            <w:vAlign w:val="bottom"/>
          </w:tcPr>
          <w:p>
            <w:pPr>
              <w:ind w:left="320"/>
              <w:spacing w:after="0"/>
              <w:rPr>
                <w:sz w:val="20"/>
                <w:szCs w:val="20"/>
                <w:color w:val="auto"/>
              </w:rPr>
            </w:pPr>
            <w:r>
              <w:rPr>
                <w:rFonts w:ascii="Courier New" w:cs="Courier New" w:eastAsia="Courier New" w:hAnsi="Courier New"/>
                <w:sz w:val="18"/>
                <w:szCs w:val="18"/>
                <w:color w:val="auto"/>
              </w:rPr>
              <w:t>Rights Agreement, dated as of March 17, 1998 (the "Rights</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Agreement"), between ABM Industries Incorporated and</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ChaseMellon Shareholder Services, L.L.C., as Rights Agent,</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including the forms of Rights Certificate and of Election to</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Exercise, included in Exhibit A to the Rights Agreement and</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form of Certificate of Designation and Terms of</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Participating Preferred Stock of the Company, included in</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B to the Rights Agreement (incorporated herein by</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reference to Exhibit (1) to Registrant's Registration</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on Form 8-A dated March 18, 1998).</w:t>
            </w:r>
          </w:p>
        </w:tc>
      </w:tr>
      <w:tr>
        <w:trPr>
          <w:trHeight w:val="405"/>
        </w:trPr>
        <w:tc>
          <w:tcPr>
            <w:tcW w:w="1800" w:type="dxa"/>
            <w:vAlign w:val="bottom"/>
          </w:tcPr>
          <w:p>
            <w:pPr>
              <w:ind w:left="860"/>
              <w:spacing w:after="0"/>
              <w:rPr>
                <w:sz w:val="20"/>
                <w:szCs w:val="20"/>
                <w:color w:val="auto"/>
              </w:rPr>
            </w:pPr>
            <w:r>
              <w:rPr>
                <w:rFonts w:ascii="Courier New" w:cs="Courier New" w:eastAsia="Courier New" w:hAnsi="Courier New"/>
                <w:sz w:val="18"/>
                <w:szCs w:val="18"/>
                <w:color w:val="auto"/>
              </w:rPr>
              <w:t>(99.1)</w:t>
            </w:r>
          </w:p>
        </w:tc>
        <w:tc>
          <w:tcPr>
            <w:tcW w:w="6640" w:type="dxa"/>
            <w:vAlign w:val="bottom"/>
          </w:tcPr>
          <w:p>
            <w:pPr>
              <w:ind w:left="320"/>
              <w:spacing w:after="0"/>
              <w:rPr>
                <w:sz w:val="20"/>
                <w:szCs w:val="20"/>
                <w:color w:val="auto"/>
              </w:rPr>
            </w:pPr>
            <w:r>
              <w:rPr>
                <w:rFonts w:ascii="Courier New" w:cs="Courier New" w:eastAsia="Courier New" w:hAnsi="Courier New"/>
                <w:sz w:val="18"/>
                <w:szCs w:val="18"/>
                <w:color w:val="auto"/>
              </w:rPr>
              <w:t>Press Release, dated March 17, 1998, issued by the Company</w:t>
            </w:r>
          </w:p>
        </w:tc>
      </w:tr>
      <w:tr>
        <w:trPr>
          <w:trHeight w:val="405"/>
        </w:trPr>
        <w:tc>
          <w:tcPr>
            <w:tcW w:w="1800" w:type="dxa"/>
            <w:vAlign w:val="bottom"/>
          </w:tcPr>
          <w:p>
            <w:pPr>
              <w:ind w:left="860"/>
              <w:spacing w:after="0"/>
              <w:rPr>
                <w:sz w:val="20"/>
                <w:szCs w:val="20"/>
                <w:color w:val="auto"/>
              </w:rPr>
            </w:pPr>
            <w:r>
              <w:rPr>
                <w:rFonts w:ascii="Courier New" w:cs="Courier New" w:eastAsia="Courier New" w:hAnsi="Courier New"/>
                <w:sz w:val="18"/>
                <w:szCs w:val="18"/>
                <w:color w:val="auto"/>
              </w:rPr>
              <w:t>(99.2)</w:t>
            </w:r>
          </w:p>
        </w:tc>
        <w:tc>
          <w:tcPr>
            <w:tcW w:w="6640" w:type="dxa"/>
            <w:vAlign w:val="bottom"/>
          </w:tcPr>
          <w:p>
            <w:pPr>
              <w:ind w:left="320"/>
              <w:spacing w:after="0"/>
              <w:rPr>
                <w:sz w:val="20"/>
                <w:szCs w:val="20"/>
                <w:color w:val="auto"/>
              </w:rPr>
            </w:pPr>
            <w:r>
              <w:rPr>
                <w:rFonts w:ascii="Courier New" w:cs="Courier New" w:eastAsia="Courier New" w:hAnsi="Courier New"/>
                <w:sz w:val="18"/>
                <w:szCs w:val="18"/>
                <w:color w:val="auto"/>
              </w:rPr>
              <w:t>Form of Letter to Stockholders, together with Summary of</w:t>
            </w:r>
          </w:p>
        </w:tc>
      </w:tr>
      <w:tr>
        <w:trPr>
          <w:trHeight w:val="203"/>
        </w:trPr>
        <w:tc>
          <w:tcPr>
            <w:tcW w:w="1800" w:type="dxa"/>
            <w:vAlign w:val="bottom"/>
          </w:tcPr>
          <w:p>
            <w:pPr>
              <w:spacing w:after="0"/>
              <w:rPr>
                <w:sz w:val="17"/>
                <w:szCs w:val="17"/>
                <w:color w:val="auto"/>
              </w:rPr>
            </w:pPr>
          </w:p>
        </w:tc>
        <w:tc>
          <w:tcPr>
            <w:tcW w:w="6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Rights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 LOGO]</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both"/>
        <w:ind w:right="540"/>
        <w:spacing w:after="0" w:line="290" w:lineRule="auto"/>
        <w:rPr>
          <w:sz w:val="20"/>
          <w:szCs w:val="20"/>
          <w:color w:val="auto"/>
        </w:rPr>
      </w:pPr>
      <w:r>
        <w:rPr>
          <w:rFonts w:ascii="Courier New" w:cs="Courier New" w:eastAsia="Courier New" w:hAnsi="Courier New"/>
          <w:sz w:val="16"/>
          <w:szCs w:val="16"/>
          <w:color w:val="auto"/>
        </w:rPr>
        <w:t>For more information, please contact our Vice President &amp; General Counsel, Harry H. Kahn, Esq. At 415/597-4500.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w:t>
      </w:r>
    </w:p>
    <w:p>
      <w:pPr>
        <w:spacing w:after="0" w:line="456" w:lineRule="exact"/>
        <w:rPr>
          <w:sz w:val="20"/>
          <w:szCs w:val="20"/>
          <w:color w:val="auto"/>
        </w:rPr>
      </w:pPr>
    </w:p>
    <w:p>
      <w:pPr>
        <w:sectPr>
          <w:pgSz w:w="11900" w:h="16838" w:orient="portrait"/>
          <w:cols w:equalWidth="0" w:num="2">
            <w:col w:w="6340" w:space="720"/>
            <w:col w:w="3159"/>
          </w:cols>
          <w:pgMar w:left="240" w:top="136" w:right="1440" w:bottom="1440" w:gutter="0" w:footer="0" w:header="0"/>
          <w:type w:val="continuous"/>
        </w:sectPr>
      </w:pPr>
    </w:p>
    <w:p>
      <w:pPr>
        <w:spacing w:after="0" w:line="16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ABM INDUSTRIES INCORPORATED</w:t>
      </w:r>
    </w:p>
    <w:p>
      <w:pPr>
        <w:ind w:left="2640"/>
        <w:spacing w:after="0" w:line="238" w:lineRule="auto"/>
        <w:rPr>
          <w:sz w:val="20"/>
          <w:szCs w:val="20"/>
          <w:color w:val="auto"/>
        </w:rPr>
      </w:pPr>
      <w:r>
        <w:rPr>
          <w:rFonts w:ascii="Courier New" w:cs="Courier New" w:eastAsia="Courier New" w:hAnsi="Courier New"/>
          <w:sz w:val="18"/>
          <w:szCs w:val="18"/>
          <w:color w:val="auto"/>
        </w:rPr>
        <w:t>ADOPTS STOCKHOLDER RIGHTS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SAN FRANCISCO, March 17, 1998 - The board of directors of ABM Industries Incorporated (NYSE:ABM) today adopted a new Stockholder Rights Plan, and has declared a dividend of one right for each outstanding share of ABM common stock, payable to stockholders of record as of the close of business on April 22, 1998. The rights to be issued in this dividend are to replace the rights, currently attached to all shares of ABM common stock, which expire on April 22, 1998.</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rights plan is intended to protect ABM and its stockholders against unfair or coercive takeover tactics and offers which may not provide adequate value to the stockholders. The rights plan was not adopted in response to any known effort to acquire control of ABM, and is similar to stockholder protection plans adopted by many other companies.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will trade automatically with the common stock, and will not be exercisable until it is announced that a person or group (an "Acquiring Person") has acquired 20% or more of ABM's voting stock, or commences a tender offer will result in such person or group owning 20% or more of ABM's voting stock. Thereafter, separate rights certificates will be distributed, and each right will entitle its holder to purchase, for an exercise price of One Hundred and Seventy-Five Dollars ($175.00), participating preferred stock having economic and voting terms similar to one share of common stock.</w:t>
      </w:r>
    </w:p>
    <w:p>
      <w:pPr>
        <w:spacing w:after="0" w:line="212"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Upon the announcement that any person or group has become an Acquiring Person, each right will entitle all stockholders other than the Acquiring Person to purchase, at the exercise price, a number of ABM common shares having a market value of twice the exercise price. These stockholders would also be entitled to purchase an equivalent number of shares at the exercise price if the Acquiring Person were to control the ABM Board of directors and cause the Company to enter into certain mergers or other transactions. In addition, if any Acquiring Person acquires between 20% and 50% of ABM's voting stock, the ABM board of directors may, at its option, exchange one share of ABM's common stock for each right held by all stockholders other than the Acquiring Person.</w:t>
      </w:r>
    </w:p>
    <w:p>
      <w:pPr>
        <w:spacing w:after="0" w:line="1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present or future holdings of ABM common stock by Sydney Rosenberg, Theodore Rosenberg, their personal trusts and/or certain related persons, will not trigger the rights plan, or make the rights nonredeemable or exercisable and separately tradable.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should not interfere with a transaction that the board of directors determines is in the best interest of ABM and its stockholders, because the rights may be redeemed by the board for $0.01 per share at any time prior to a person or group becoming an Acquiring Person.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plan does not in any way weaken ABM's financial strength or interfere with its business in any other way. The issuance of the rights has no dilutive effect, will not affect reported earnings per share, is not taxable to ABM or its stockholders, and will not change the way in which ABM shares are traded. A letter from the Company summarizing the new rights plan is being mailed to ABM stockholders.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Stock Exchange Symbol: ABM</w:t>
      </w:r>
    </w:p>
    <w:p>
      <w:pPr>
        <w:sectPr>
          <w:pgSz w:w="11900" w:h="16838" w:orient="portrait"/>
          <w:cols w:equalWidth="0" w:num="1">
            <w:col w:w="10219"/>
          </w:cols>
          <w:pgMar w:left="240" w:top="136"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jc w:val="right"/>
        <w:ind w:right="1779"/>
        <w:spacing w:after="0" w:line="238" w:lineRule="auto"/>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[LETTERHEAD OF ABM INDUSTRIES INCORPORATED]</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April 22,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Stockholders:</w:t>
      </w:r>
    </w:p>
    <w:p>
      <w:pPr>
        <w:spacing w:after="0" w:line="207" w:lineRule="exact"/>
        <w:rPr>
          <w:sz w:val="20"/>
          <w:szCs w:val="20"/>
          <w:color w:val="auto"/>
        </w:rPr>
      </w:pPr>
    </w:p>
    <w:p>
      <w:pPr>
        <w:ind w:right="1999" w:firstLine="1580"/>
        <w:spacing w:after="0" w:line="237" w:lineRule="auto"/>
        <w:rPr>
          <w:sz w:val="20"/>
          <w:szCs w:val="20"/>
          <w:color w:val="auto"/>
        </w:rPr>
      </w:pPr>
      <w:r>
        <w:rPr>
          <w:rFonts w:ascii="Courier New" w:cs="Courier New" w:eastAsia="Courier New" w:hAnsi="Courier New"/>
          <w:sz w:val="18"/>
          <w:szCs w:val="18"/>
          <w:color w:val="auto"/>
        </w:rPr>
        <w:t>As previously announced, your Board of Directors has adopted a Stockholder Rights Plan. The Plan provides for a dividend distribution to stockholders of record on April 22, 1998 of Rights to purchase shares of a new series of Preferred Stock (or, in certain circumstances, Common Stock or other consideration), exercisable upon the occurrence of certain takeover events. We are enclosing a summary description outlining the principal terms of the Plan, which we urge you to read carefully. The Rights replace the rights attached to the Common Stock that were originally distributed pursuant to the Stockholder Rights Plan adopted by your Board of Directors on April 11, 1988 and that are expiring today.</w:t>
      </w:r>
    </w:p>
    <w:p>
      <w:pPr>
        <w:spacing w:after="0" w:line="215" w:lineRule="exact"/>
        <w:rPr>
          <w:sz w:val="20"/>
          <w:szCs w:val="20"/>
          <w:color w:val="auto"/>
        </w:rPr>
      </w:pPr>
    </w:p>
    <w:p>
      <w:pPr>
        <w:ind w:right="1779" w:firstLine="1580"/>
        <w:spacing w:after="0" w:line="238" w:lineRule="auto"/>
        <w:rPr>
          <w:sz w:val="20"/>
          <w:szCs w:val="20"/>
          <w:color w:val="auto"/>
        </w:rPr>
      </w:pPr>
      <w:r>
        <w:rPr>
          <w:rFonts w:ascii="Courier New" w:cs="Courier New" w:eastAsia="Courier New" w:hAnsi="Courier New"/>
          <w:sz w:val="18"/>
          <w:szCs w:val="18"/>
          <w:color w:val="auto"/>
        </w:rPr>
        <w:t>The Plan was not adopted in response to any specific effort to acquire control of ABM and we are not aware of any such effort. After careful consideration, however, your Board of Directors believes that the Plan is a reasonable and prudent response to the risks posed to stockholder interests in the event that you or the Company are confronted with coercive or unfair takeover tactics or a tender offer at an inadequate price. The Plan contains provisions to protect you in the event of an unsolicited offer to acquire ABM, including offers that do not treat all stockholders equally, the acquisition in the open market of shares constituting control without offering fair value to all stockholders, and other coercive or unfair takeover tactics that could impair the Board's ability to represent your interests fully and which the Board believes are not in the best interests of stockholders.</w:t>
      </w:r>
    </w:p>
    <w:p>
      <w:pPr>
        <w:spacing w:after="0" w:line="207" w:lineRule="exact"/>
        <w:rPr>
          <w:sz w:val="20"/>
          <w:szCs w:val="20"/>
          <w:color w:val="auto"/>
        </w:rPr>
      </w:pPr>
    </w:p>
    <w:p>
      <w:pPr>
        <w:ind w:right="1879" w:firstLine="1580"/>
        <w:spacing w:after="0" w:line="238" w:lineRule="auto"/>
        <w:rPr>
          <w:sz w:val="20"/>
          <w:szCs w:val="20"/>
          <w:color w:val="auto"/>
        </w:rPr>
      </w:pPr>
      <w:r>
        <w:rPr>
          <w:rFonts w:ascii="Courier New" w:cs="Courier New" w:eastAsia="Courier New" w:hAnsi="Courier New"/>
          <w:sz w:val="18"/>
          <w:szCs w:val="18"/>
          <w:color w:val="auto"/>
        </w:rPr>
        <w:t>More than 2,000 other U.S. corporations have considered it prudent to adopt stockholder protection plans similar to the Plan adopted by your Board. The Plan is not intended to prevent an acquisition of ABM on terms that are favorable and fair to all stockholders and will not be used for that purpose. The Plan is designed to deal with the very serious problem of unilateral actions by hostile acquirers that are calculated to deprive ABM's Board and its stockholders of their ability to determine the destiny of the Company. However, the mere declaration of the Rights dividend should not affect any prospective offeror willing to make an all cash offer at a full and fair price, or to negotiate with your Board of Directors, and certainly will not interfere with a merger or other business combination transaction that your Board of Directors approves as fair and as constituting a recognition of full value to the stockholders. The Rights Plan excludes from its operation Theodore Rosenberg, Sydney J. Rosenberg, their personal trusts, and certain related persons, who currently own in the aggregate approximately 22.3% of ABM's Common Stock. As a result, their present and future holdings of Common Stock will not trigger the Rights Plan or make the Rights nonredeemable or exercisable and separately tradable.</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Issuance of the Rights will not weaken ABM's financial strength, will not affect its reported earnings per share, is not taxable to you or the Company and will not change the way in which the Company's shares are traded. As described in the attached summary, the Rights will</w:t>
      </w:r>
    </w:p>
    <w:p>
      <w:pPr>
        <w:sectPr>
          <w:pgSz w:w="11900" w:h="16838" w:orient="portrait"/>
          <w:cols w:equalWidth="0" w:num="1">
            <w:col w:w="10219"/>
          </w:cols>
          <w:pgMar w:left="240" w:top="13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only become exercisable if and when an event arises which triggers their effectiveness. They will then operate to protect stockholders against being deprived of their right to share in the full measure of ABM's long-term potential.</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In declaring the Rights dividend, we have expressed our confidence in your Company's future and our determination that you, our stockholders, be given every opportunity to participate fully in that future.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Martinn H. Mandles</w:t>
      </w:r>
    </w:p>
    <w:p>
      <w:pPr>
        <w:ind w:left="4640"/>
        <w:spacing w:after="0" w:line="238" w:lineRule="auto"/>
        <w:rPr>
          <w:sz w:val="20"/>
          <w:szCs w:val="20"/>
          <w:color w:val="auto"/>
        </w:rPr>
      </w:pPr>
      <w:r>
        <w:rPr>
          <w:rFonts w:ascii="Courier New" w:cs="Courier New" w:eastAsia="Courier New" w:hAnsi="Courier New"/>
          <w:sz w:val="18"/>
          <w:szCs w:val="18"/>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SUMMARY OF RIGHTS PLAN</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following Summary is not complete and is qualified in its entirety by reference to the Rights Agreement, a copy of which may be obtained without charge from ABM Corporate Communications, P.O. Box 193224, San Francisco, California 94119.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ISSUANCE AND</w:t>
            </w:r>
          </w:p>
        </w:tc>
        <w:tc>
          <w:tcPr>
            <w:tcW w:w="186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 OF RIGHTS;</w:t>
            </w:r>
          </w:p>
        </w:tc>
        <w:tc>
          <w:tcPr>
            <w:tcW w:w="186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 CERTIFICATES:</w:t>
            </w: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The Board declares a dividend of one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Right for each share of Common Stock outstanding.</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Prior to the Separation Time referred to below, the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Rights are evidenced by and trade with the Common</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Stock and are not exercisable. After the Separation</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Time, the Company will mail Rights Certificates to</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stockholders, together with instructions regarding</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exercise of the Rights and other appropriate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information, and the Rights will become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transferable apart from the Common Stock.</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SEPARATION TIME:</w:t>
            </w:r>
          </w:p>
        </w:tc>
        <w:tc>
          <w:tcPr>
            <w:tcW w:w="586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Rights separate from the Common Stock and become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exercisable following the earlier of (i) the date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the Flip-in trigger referred to below or (ii)</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the tenth business day (or such later date as the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Board may decide) after any person (a broadly</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defined term) announces its intention to commence a</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tender or exchange offer that would result in such</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person acquiring beneficial ownership (a broadly</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defined term) of a total of 20% or more of the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Company's Common Stock.</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EXERCISE OF RIGHTS:</w:t>
            </w:r>
          </w:p>
        </w:tc>
        <w:tc>
          <w:tcPr>
            <w:tcW w:w="58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After the Separation Time, each Right entitles the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7"/>
              </w:rPr>
              <w:t>holder to purchase, for the exercise price referred</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to below, one one-thousandth of a share of</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Participating Preferred Stock. (The Participating</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Preferred Stock is designed so that each one</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one-thousandth of a share has economic and voting</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terms similar to those of one share of Common</w:t>
            </w:r>
          </w:p>
        </w:tc>
      </w:tr>
      <w:tr>
        <w:trPr>
          <w:trHeight w:val="203"/>
        </w:trPr>
        <w:tc>
          <w:tcPr>
            <w:tcW w:w="2580" w:type="dxa"/>
            <w:vAlign w:val="bottom"/>
          </w:tcPr>
          <w:p>
            <w:pPr>
              <w:spacing w:after="0"/>
              <w:rPr>
                <w:sz w:val="17"/>
                <w:szCs w:val="17"/>
                <w:color w:val="auto"/>
              </w:rPr>
            </w:pPr>
          </w:p>
        </w:tc>
        <w:tc>
          <w:tcPr>
            <w:tcW w:w="18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Stock.)</w:t>
            </w:r>
          </w:p>
        </w:tc>
        <w:tc>
          <w:tcPr>
            <w:tcW w:w="40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58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The exercise price is initially set at $175.00 and</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will be subject to certain customary antidilution</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provisions (the "Exercise Price").</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"FLIP-IN" TRIGGER:</w:t>
            </w:r>
          </w:p>
        </w:tc>
        <w:tc>
          <w:tcPr>
            <w:tcW w:w="586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If any person acquires beneficial ownership of 20%</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or more of the outstanding Common Stock (an</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"Acquiring Person"), then on that date (or such</w:t>
            </w:r>
          </w:p>
        </w:tc>
      </w:tr>
      <w:tr>
        <w:trPr>
          <w:trHeight w:val="203"/>
        </w:trPr>
        <w:tc>
          <w:tcPr>
            <w:tcW w:w="2580" w:type="dxa"/>
            <w:vAlign w:val="bottom"/>
          </w:tcPr>
          <w:p>
            <w:pPr>
              <w:spacing w:after="0"/>
              <w:rPr>
                <w:sz w:val="17"/>
                <w:szCs w:val="17"/>
                <w:color w:val="auto"/>
              </w:rPr>
            </w:pPr>
          </w:p>
        </w:tc>
        <w:tc>
          <w:tcPr>
            <w:tcW w:w="58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date other date as the Board may decide):</w:t>
            </w:r>
          </w:p>
        </w:tc>
      </w:tr>
      <w:tr>
        <w:trPr>
          <w:trHeight w:val="405"/>
        </w:trPr>
        <w:tc>
          <w:tcPr>
            <w:tcW w:w="2580" w:type="dxa"/>
            <w:vAlign w:val="bottom"/>
          </w:tcPr>
          <w:p>
            <w:pPr>
              <w:spacing w:after="0"/>
              <w:rPr>
                <w:sz w:val="24"/>
                <w:szCs w:val="24"/>
                <w:color w:val="auto"/>
              </w:rPr>
            </w:pPr>
          </w:p>
        </w:tc>
        <w:tc>
          <w:tcPr>
            <w:tcW w:w="186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4000" w:type="dxa"/>
            <w:vAlign w:val="bottom"/>
          </w:tcPr>
          <w:p>
            <w:pPr>
              <w:ind w:left="200"/>
              <w:spacing w:after="0"/>
              <w:rPr>
                <w:sz w:val="20"/>
                <w:szCs w:val="20"/>
                <w:color w:val="auto"/>
              </w:rPr>
            </w:pPr>
            <w:r>
              <w:rPr>
                <w:rFonts w:ascii="Courier New" w:cs="Courier New" w:eastAsia="Courier New" w:hAnsi="Courier New"/>
                <w:sz w:val="18"/>
                <w:szCs w:val="18"/>
                <w:color w:val="auto"/>
                <w:w w:val="97"/>
              </w:rPr>
              <w:t>Rights owned by the Acquiring Person</w:t>
            </w:r>
          </w:p>
        </w:tc>
      </w:tr>
      <w:tr>
        <w:trPr>
          <w:trHeight w:val="203"/>
        </w:trPr>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transferees thereof will</w:t>
            </w:r>
          </w:p>
        </w:tc>
      </w:tr>
      <w:tr>
        <w:trPr>
          <w:trHeight w:val="203"/>
        </w:trPr>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automatically be void; and</w:t>
            </w:r>
          </w:p>
        </w:tc>
      </w:tr>
      <w:tr>
        <w:trPr>
          <w:trHeight w:val="405"/>
        </w:trPr>
        <w:tc>
          <w:tcPr>
            <w:tcW w:w="2580" w:type="dxa"/>
            <w:vAlign w:val="bottom"/>
          </w:tcPr>
          <w:p>
            <w:pPr>
              <w:spacing w:after="0"/>
              <w:rPr>
                <w:sz w:val="24"/>
                <w:szCs w:val="24"/>
                <w:color w:val="auto"/>
              </w:rPr>
            </w:pPr>
          </w:p>
        </w:tc>
        <w:tc>
          <w:tcPr>
            <w:tcW w:w="18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4000" w:type="dxa"/>
            <w:vAlign w:val="bottom"/>
          </w:tcPr>
          <w:p>
            <w:pPr>
              <w:ind w:left="200"/>
              <w:spacing w:after="0"/>
              <w:rPr>
                <w:sz w:val="20"/>
                <w:szCs w:val="20"/>
                <w:color w:val="auto"/>
              </w:rPr>
            </w:pPr>
            <w:r>
              <w:rPr>
                <w:rFonts w:ascii="Courier New" w:cs="Courier New" w:eastAsia="Courier New" w:hAnsi="Courier New"/>
                <w:sz w:val="18"/>
                <w:szCs w:val="18"/>
                <w:color w:val="auto"/>
                <w:w w:val="99"/>
              </w:rPr>
              <w:t>each other Right will automatically</w:t>
            </w:r>
          </w:p>
        </w:tc>
      </w:tr>
      <w:tr>
        <w:trPr>
          <w:trHeight w:val="203"/>
        </w:trPr>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become a right (in addition to any</w:t>
            </w:r>
          </w:p>
        </w:tc>
      </w:tr>
      <w:tr>
        <w:trPr>
          <w:trHeight w:val="203"/>
        </w:trPr>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other rights provided for in the</w:t>
            </w:r>
          </w:p>
        </w:tc>
      </w:tr>
      <w:tr>
        <w:trPr>
          <w:trHeight w:val="203"/>
        </w:trPr>
        <w:tc>
          <w:tcPr>
            <w:tcW w:w="2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Rights</w:t>
            </w:r>
          </w:p>
        </w:tc>
      </w:tr>
      <w:tr>
        <w:trPr>
          <w:trHeight w:val="810"/>
        </w:trPr>
        <w:tc>
          <w:tcPr>
            <w:tcW w:w="2580" w:type="dxa"/>
            <w:vAlign w:val="bottom"/>
          </w:tcPr>
          <w:p>
            <w:pPr>
              <w:spacing w:after="0"/>
              <w:rPr>
                <w:sz w:val="24"/>
                <w:szCs w:val="24"/>
                <w:color w:val="auto"/>
              </w:rPr>
            </w:pPr>
          </w:p>
        </w:tc>
        <w:tc>
          <w:tcPr>
            <w:tcW w:w="1860" w:type="dxa"/>
            <w:vAlign w:val="bottom"/>
          </w:tcPr>
          <w:p>
            <w:pPr>
              <w:ind w:left="1540"/>
              <w:spacing w:after="0"/>
              <w:rPr>
                <w:sz w:val="20"/>
                <w:szCs w:val="20"/>
                <w:color w:val="auto"/>
              </w:rPr>
            </w:pPr>
            <w:r>
              <w:rPr>
                <w:rFonts w:ascii="Courier New" w:cs="Courier New" w:eastAsia="Courier New" w:hAnsi="Courier New"/>
                <w:sz w:val="18"/>
                <w:szCs w:val="18"/>
                <w:color w:val="auto"/>
              </w:rPr>
              <w:t>1</w:t>
            </w:r>
          </w:p>
        </w:tc>
        <w:tc>
          <w:tcPr>
            <w:tcW w:w="4000" w:type="dxa"/>
            <w:vAlign w:val="bottom"/>
          </w:tcPr>
          <w:p>
            <w:pPr>
              <w:spacing w:after="0"/>
              <w:rPr>
                <w:sz w:val="24"/>
                <w:szCs w:val="24"/>
                <w:color w:val="auto"/>
              </w:rPr>
            </w:pPr>
          </w:p>
        </w:tc>
      </w:tr>
    </w:tbl>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agreement) to buy, for the Exercise</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Price, that number of shares of</w:t>
      </w:r>
    </w:p>
    <w:p>
      <w:pPr>
        <w:ind w:left="4640"/>
        <w:spacing w:after="0" w:line="238" w:lineRule="auto"/>
        <w:rPr>
          <w:sz w:val="20"/>
          <w:szCs w:val="20"/>
          <w:color w:val="auto"/>
        </w:rPr>
      </w:pPr>
      <w:r>
        <w:rPr>
          <w:rFonts w:ascii="Courier New" w:cs="Courier New" w:eastAsia="Courier New" w:hAnsi="Courier New"/>
          <w:sz w:val="18"/>
          <w:szCs w:val="18"/>
          <w:color w:val="auto"/>
        </w:rPr>
        <w:t>Common Stock or Participating</w:t>
      </w:r>
    </w:p>
    <w:p>
      <w:pPr>
        <w:ind w:left="4640"/>
        <w:spacing w:after="0"/>
        <w:rPr>
          <w:sz w:val="20"/>
          <w:szCs w:val="20"/>
          <w:color w:val="auto"/>
        </w:rPr>
      </w:pPr>
      <w:r>
        <w:rPr>
          <w:rFonts w:ascii="Courier New" w:cs="Courier New" w:eastAsia="Courier New" w:hAnsi="Courier New"/>
          <w:sz w:val="18"/>
          <w:szCs w:val="18"/>
          <w:color w:val="auto"/>
        </w:rPr>
        <w:t>Preferred Stock having a market</w:t>
      </w:r>
    </w:p>
    <w:p>
      <w:pPr>
        <w:ind w:left="4640"/>
        <w:spacing w:after="0" w:line="237" w:lineRule="auto"/>
        <w:rPr>
          <w:sz w:val="20"/>
          <w:szCs w:val="20"/>
          <w:color w:val="auto"/>
        </w:rPr>
      </w:pPr>
      <w:r>
        <w:rPr>
          <w:rFonts w:ascii="Courier New" w:cs="Courier New" w:eastAsia="Courier New" w:hAnsi="Courier New"/>
          <w:sz w:val="18"/>
          <w:szCs w:val="18"/>
          <w:color w:val="auto"/>
        </w:rPr>
        <w:t>value of twice the Exercise Price.</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EXCLUDED PERSONS: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Excluded from the definition of Acquiring Person are the Company, any subsidiary, any of their employee plans and Theodore Rosenberg and Sydney J. Rosenberg, individually and jointly, and certain related persons. The Board also has the discretion to exclude a person who becomes an Acquiring Person inadvertently if such person promptly divests enough Common Stock to drop below the percentage threshold.</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OPTION:</w:t>
      </w:r>
    </w:p>
    <w:p>
      <w:pPr>
        <w:spacing w:after="0" w:line="20" w:lineRule="exact"/>
        <w:rPr>
          <w:sz w:val="20"/>
          <w:szCs w:val="20"/>
          <w:color w:val="auto"/>
        </w:rPr>
      </w:pPr>
      <w:r>
        <w:rPr>
          <w:sz w:val="20"/>
          <w:szCs w:val="20"/>
          <w:color w:val="auto"/>
        </w:rPr>
        <w:br w:type="column"/>
      </w:r>
    </w:p>
    <w:p>
      <w:pPr>
        <w:ind w:right="1779"/>
        <w:spacing w:after="0" w:line="272" w:lineRule="auto"/>
        <w:rPr>
          <w:sz w:val="20"/>
          <w:szCs w:val="20"/>
          <w:color w:val="auto"/>
        </w:rPr>
      </w:pPr>
      <w:r>
        <w:rPr>
          <w:rFonts w:ascii="Courier New" w:cs="Courier New" w:eastAsia="Courier New" w:hAnsi="Courier New"/>
          <w:sz w:val="16"/>
          <w:szCs w:val="16"/>
          <w:color w:val="auto"/>
        </w:rPr>
        <w:t>If an Acquiring Person acquires beneficial ownership of between 20% and 50% of the outstanding Common Stock, the Board may, at is option, require any outstanding Rights (other than those owned by the Acquiring Person) to be exchanged for one share of Common Stock or one one-thousandth of a share of Participating Preferred Stock in lieu of allowing such Rights to be exercised.</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"FLIP-OVER" TRIGGER: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After any person or group becomes an Acquiring Person, the Company may not consolidate or merge with, or sell or otherwise transfer 50% or more of its assets or earning power to any person if at the time the Acquiring Person controls the Board, unless provision is duly made so that each outstanding Right would thereafter become a right to buy, for the Exercise Price, that number of shares of common stock of such other person having a market value of twice the Exercise Price.</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Rights may be redeemed by the Board, at any time until a "Flip-in" trigger has occurred, at a Redemption Price of $0.01 per Right.</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TO AMEND:</w:t>
      </w:r>
    </w:p>
    <w:p>
      <w:pPr>
        <w:spacing w:after="0" w:line="20" w:lineRule="exact"/>
        <w:rPr>
          <w:sz w:val="20"/>
          <w:szCs w:val="20"/>
          <w:color w:val="auto"/>
        </w:rPr>
      </w:pPr>
      <w:r>
        <w:rPr>
          <w:sz w:val="20"/>
          <w:szCs w:val="20"/>
          <w:color w:val="auto"/>
        </w:rPr>
        <w:br w:type="column"/>
      </w:r>
    </w:p>
    <w:p>
      <w:pPr>
        <w:ind w:right="1779"/>
        <w:spacing w:after="0" w:line="237" w:lineRule="auto"/>
        <w:rPr>
          <w:sz w:val="20"/>
          <w:szCs w:val="20"/>
          <w:color w:val="auto"/>
        </w:rPr>
      </w:pPr>
      <w:r>
        <w:rPr>
          <w:rFonts w:ascii="Courier New" w:cs="Courier New" w:eastAsia="Courier New" w:hAnsi="Courier New"/>
          <w:sz w:val="18"/>
          <w:szCs w:val="18"/>
          <w:color w:val="auto"/>
        </w:rPr>
        <w:t>The Board may amend the Plan in any respect until a "Flip-in" trigger has occurred. Thereafter, the Board may amend the Plan in any respect not adversely affecting the interests of the Rights holders.</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VOTING RIGHTS: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Rights will not have any dividend, voting or other rights of stockholders.</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EXPIRATION:</w:t>
      </w:r>
    </w:p>
    <w:p>
      <w:pPr>
        <w:spacing w:after="0" w:line="20" w:lineRule="exact"/>
        <w:rPr>
          <w:sz w:val="20"/>
          <w:szCs w:val="20"/>
          <w:color w:val="auto"/>
        </w:rPr>
      </w:pPr>
      <w:r>
        <w:rPr>
          <w:sz w:val="20"/>
          <w:szCs w:val="20"/>
          <w:color w:val="auto"/>
        </w:rPr>
        <w:br w:type="column"/>
      </w:r>
    </w:p>
    <w:p>
      <w:pPr>
        <w:jc w:val="both"/>
        <w:ind w:right="1999"/>
        <w:spacing w:after="0" w:line="236" w:lineRule="auto"/>
        <w:rPr>
          <w:sz w:val="20"/>
          <w:szCs w:val="20"/>
          <w:color w:val="auto"/>
        </w:rPr>
      </w:pPr>
      <w:r>
        <w:rPr>
          <w:rFonts w:ascii="Courier New" w:cs="Courier New" w:eastAsia="Courier New" w:hAnsi="Courier New"/>
          <w:sz w:val="18"/>
          <w:szCs w:val="18"/>
          <w:color w:val="auto"/>
        </w:rPr>
        <w:t>The rights will expire ten years from the date of their issuance, unless sooner redeemed, exchanged or exercised.</w:t>
      </w:r>
    </w:p>
    <w:p>
      <w:pPr>
        <w:spacing w:after="0" w:line="200" w:lineRule="exact"/>
        <w:rPr>
          <w:sz w:val="20"/>
          <w:szCs w:val="20"/>
          <w:color w:val="auto"/>
        </w:rPr>
      </w:pPr>
    </w:p>
    <w:p>
      <w:pPr>
        <w:sectPr>
          <w:pgSz w:w="11900" w:h="16838" w:orient="portrait"/>
          <w:cols w:equalWidth="0" w:num="2">
            <w:col w:w="2340" w:space="720"/>
            <w:col w:w="71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2019-12-13T15:28:40Z</dcterms:created>
  <dcterms:modified xsi:type="dcterms:W3CDTF">2019-12-13T15:28:40Z</dcterms:modified>
</cp:coreProperties>
</file>