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26" w:lineRule="exact"/>
        <w:rPr>
          <w:sz w:val="24"/>
          <w:szCs w:val="24"/>
          <w:color w:val="auto"/>
        </w:rPr>
      </w:pPr>
    </w:p>
    <w:p>
      <w:pPr>
        <w:jc w:val="center"/>
        <w:ind w:right="-520"/>
        <w:spacing w:after="0"/>
        <w:rPr>
          <w:sz w:val="20"/>
          <w:szCs w:val="20"/>
          <w:color w:val="auto"/>
        </w:rPr>
      </w:pPr>
      <w:r>
        <w:rPr>
          <w:rFonts w:ascii="Arial" w:cs="Arial" w:eastAsia="Arial" w:hAnsi="Arial"/>
          <w:sz w:val="22"/>
          <w:szCs w:val="22"/>
          <w:b w:val="1"/>
          <w:bCs w:val="1"/>
          <w:color w:val="auto"/>
        </w:rPr>
        <w:t>UNITED STATES SECURITIES AND EXCHANGE COMMISSION</w:t>
      </w:r>
    </w:p>
    <w:p>
      <w:pPr>
        <w:jc w:val="center"/>
        <w:ind w:right="-520"/>
        <w:spacing w:after="0"/>
        <w:rPr>
          <w:sz w:val="20"/>
          <w:szCs w:val="20"/>
          <w:color w:val="auto"/>
        </w:rPr>
      </w:pPr>
      <w:r>
        <w:rPr>
          <w:rFonts w:ascii="Arial" w:cs="Arial" w:eastAsia="Arial" w:hAnsi="Arial"/>
          <w:sz w:val="22"/>
          <w:szCs w:val="22"/>
          <w:b w:val="1"/>
          <w:bCs w:val="1"/>
          <w:color w:val="auto"/>
        </w:rPr>
        <w:t>Washington, D.C. 20549</w:t>
      </w:r>
    </w:p>
    <w:p>
      <w:pPr>
        <w:spacing w:after="0" w:line="72"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SCHEDULE 14A</w:t>
      </w:r>
    </w:p>
    <w:p>
      <w:pPr>
        <w:spacing w:after="0" w:line="87"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520"/>
        <w:spacing w:after="0" w:line="205" w:lineRule="auto"/>
        <w:rPr>
          <w:sz w:val="20"/>
          <w:szCs w:val="20"/>
          <w:color w:val="auto"/>
        </w:rPr>
      </w:pPr>
      <w:r>
        <w:rPr>
          <w:rFonts w:ascii="Arial" w:cs="Arial" w:eastAsia="Arial" w:hAnsi="Arial"/>
          <w:sz w:val="22"/>
          <w:szCs w:val="22"/>
          <w:b w:val="1"/>
          <w:bCs w:val="1"/>
          <w:color w:val="auto"/>
        </w:rPr>
        <w:t>Securities Exchange Act of 1934</w:t>
      </w:r>
    </w:p>
    <w:p>
      <w:pPr>
        <w:jc w:val="center"/>
        <w:ind w:right="-520"/>
        <w:spacing w:after="0"/>
        <w:rPr>
          <w:sz w:val="20"/>
          <w:szCs w:val="20"/>
          <w:color w:val="auto"/>
        </w:rPr>
      </w:pPr>
      <w:r>
        <w:rPr>
          <w:rFonts w:ascii="Arial" w:cs="Arial" w:eastAsia="Arial" w:hAnsi="Arial"/>
          <w:sz w:val="22"/>
          <w:szCs w:val="22"/>
          <w:b w:val="1"/>
          <w:bCs w:val="1"/>
          <w:color w:val="auto"/>
        </w:rPr>
        <w:t>(Amendment No. ___)</w:t>
      </w:r>
    </w:p>
    <w:p>
      <w:pPr>
        <w:spacing w:after="0" w:line="200" w:lineRule="exact"/>
        <w:rPr>
          <w:sz w:val="24"/>
          <w:szCs w:val="24"/>
          <w:color w:val="auto"/>
        </w:rPr>
      </w:pPr>
    </w:p>
    <w:p>
      <w:pPr>
        <w:ind w:left="1260"/>
        <w:spacing w:after="0" w:line="184" w:lineRule="exact"/>
        <w:tabs>
          <w:tab w:leader="none" w:pos="3060" w:val="left"/>
          <w:tab w:leader="none" w:pos="5460" w:val="left"/>
          <w:tab w:leader="none" w:pos="860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344"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Check the appropriate box:</w:t>
      </w:r>
    </w:p>
    <w:p>
      <w:pPr>
        <w:spacing w:after="0" w:line="59" w:lineRule="exact"/>
        <w:rPr>
          <w:sz w:val="24"/>
          <w:szCs w:val="24"/>
          <w:color w:val="auto"/>
        </w:rPr>
      </w:pPr>
    </w:p>
    <w:p>
      <w:pPr>
        <w:ind w:left="1620" w:hanging="352"/>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9" w:lineRule="exact"/>
        <w:rPr>
          <w:rFonts w:ascii="MS PGothic" w:cs="MS PGothic" w:eastAsia="MS PGothic" w:hAnsi="MS PGothic"/>
          <w:sz w:val="16"/>
          <w:szCs w:val="16"/>
          <w:color w:val="auto"/>
        </w:rPr>
      </w:pPr>
    </w:p>
    <w:p>
      <w:pPr>
        <w:ind w:left="1620" w:hanging="352"/>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8" w:lineRule="exact"/>
        <w:rPr>
          <w:rFonts w:ascii="MS PGothic" w:cs="MS PGothic" w:eastAsia="MS PGothic" w:hAnsi="MS PGothic"/>
          <w:sz w:val="16"/>
          <w:szCs w:val="16"/>
          <w:color w:val="auto"/>
        </w:rPr>
      </w:pPr>
    </w:p>
    <w:p>
      <w:pPr>
        <w:ind w:left="126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76" w:lineRule="exact"/>
        <w:rPr>
          <w:rFonts w:ascii="MS PGothic" w:cs="MS PGothic" w:eastAsia="MS PGothic" w:hAnsi="MS PGothic"/>
          <w:sz w:val="16"/>
          <w:szCs w:val="16"/>
          <w:color w:val="auto"/>
        </w:rPr>
      </w:pPr>
    </w:p>
    <w:p>
      <w:pPr>
        <w:ind w:left="1620" w:hanging="352"/>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59" w:lineRule="exact"/>
        <w:rPr>
          <w:rFonts w:ascii="MS PGothic" w:cs="MS PGothic" w:eastAsia="MS PGothic" w:hAnsi="MS PGothic"/>
          <w:sz w:val="16"/>
          <w:szCs w:val="16"/>
          <w:color w:val="auto"/>
        </w:rPr>
      </w:pPr>
    </w:p>
    <w:p>
      <w:pPr>
        <w:ind w:left="1620" w:hanging="352"/>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94" w:lineRule="exact"/>
        <w:rPr>
          <w:sz w:val="24"/>
          <w:szCs w:val="24"/>
          <w:color w:val="auto"/>
        </w:rPr>
      </w:pPr>
    </w:p>
    <w:p>
      <w:pPr>
        <w:ind w:left="3640"/>
        <w:spacing w:after="0"/>
        <w:rPr>
          <w:sz w:val="20"/>
          <w:szCs w:val="20"/>
          <w:color w:val="auto"/>
        </w:rPr>
      </w:pPr>
      <w:r>
        <w:rPr>
          <w:rFonts w:ascii="Arial" w:cs="Arial" w:eastAsia="Arial" w:hAnsi="Arial"/>
          <w:sz w:val="25"/>
          <w:szCs w:val="25"/>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42545</wp:posOffset>
            </wp:positionV>
            <wp:extent cx="5213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327660</wp:posOffset>
            </wp:positionV>
            <wp:extent cx="5213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28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302"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Payment of Filing Fee (Check the appropriate box):</w:t>
      </w:r>
    </w:p>
    <w:p>
      <w:pPr>
        <w:spacing w:after="0" w:line="167" w:lineRule="exact"/>
        <w:rPr>
          <w:sz w:val="24"/>
          <w:szCs w:val="24"/>
          <w:color w:val="auto"/>
        </w:rPr>
      </w:pPr>
    </w:p>
    <w:p>
      <w:pPr>
        <w:ind w:left="1620" w:hanging="352"/>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54" w:lineRule="exact"/>
        <w:rPr>
          <w:sz w:val="24"/>
          <w:szCs w:val="24"/>
          <w:color w:val="auto"/>
        </w:rPr>
      </w:pPr>
    </w:p>
    <w:p>
      <w:pPr>
        <w:ind w:left="1620" w:hanging="352"/>
        <w:spacing w:after="0"/>
        <w:tabs>
          <w:tab w:leader="none" w:pos="16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67" w:lineRule="exact"/>
        <w:rPr>
          <w:rFonts w:ascii="MS PGothic" w:cs="MS PGothic" w:eastAsia="MS PGothic" w:hAnsi="MS PGothic"/>
          <w:sz w:val="16"/>
          <w:szCs w:val="16"/>
          <w:color w:val="auto"/>
        </w:rPr>
      </w:pPr>
    </w:p>
    <w:p>
      <w:pPr>
        <w:ind w:left="1980" w:hanging="352"/>
        <w:spacing w:after="0"/>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980" w:hanging="352"/>
        <w:spacing w:after="0"/>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980" w:right="759" w:hanging="352"/>
        <w:spacing w:after="0" w:line="260" w:lineRule="auto"/>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4" w:lineRule="exact"/>
        <w:rPr>
          <w:rFonts w:ascii="Arial" w:cs="Arial" w:eastAsia="Arial" w:hAnsi="Arial"/>
          <w:sz w:val="16"/>
          <w:szCs w:val="16"/>
          <w:color w:val="auto"/>
        </w:rPr>
      </w:pPr>
    </w:p>
    <w:p>
      <w:pPr>
        <w:ind w:left="1980" w:hanging="352"/>
        <w:spacing w:after="0"/>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980" w:hanging="352"/>
        <w:spacing w:after="0"/>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620" w:hanging="352"/>
        <w:spacing w:after="0"/>
        <w:tabs>
          <w:tab w:leader="none" w:pos="16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67" w:lineRule="exact"/>
        <w:rPr>
          <w:rFonts w:ascii="MS PGothic" w:cs="MS PGothic" w:eastAsia="MS PGothic" w:hAnsi="MS PGothic"/>
          <w:sz w:val="16"/>
          <w:szCs w:val="16"/>
          <w:color w:val="auto"/>
        </w:rPr>
      </w:pPr>
    </w:p>
    <w:p>
      <w:pPr>
        <w:jc w:val="both"/>
        <w:ind w:left="1620" w:right="759" w:hanging="352"/>
        <w:spacing w:after="0" w:line="253" w:lineRule="auto"/>
        <w:tabs>
          <w:tab w:leader="none" w:pos="16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rFonts w:ascii="MS PGothic" w:cs="MS PGothic" w:eastAsia="MS PGothic" w:hAnsi="MS PGothic"/>
          <w:sz w:val="16"/>
          <w:szCs w:val="16"/>
          <w:color w:val="auto"/>
        </w:rPr>
      </w:pPr>
    </w:p>
    <w:p>
      <w:pPr>
        <w:ind w:left="1980" w:hanging="352"/>
        <w:spacing w:after="0"/>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980" w:hanging="352"/>
        <w:spacing w:after="0"/>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980" w:hanging="352"/>
        <w:spacing w:after="0"/>
        <w:tabs>
          <w:tab w:leader="none" w:pos="1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1034415</wp:posOffset>
            </wp:positionH>
            <wp:positionV relativeFrom="paragraph">
              <wp:posOffset>-3376295</wp:posOffset>
            </wp:positionV>
            <wp:extent cx="4982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-2990215</wp:posOffset>
            </wp:positionV>
            <wp:extent cx="4982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-2484120</wp:posOffset>
            </wp:positionV>
            <wp:extent cx="4982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-2098675</wp:posOffset>
            </wp:positionV>
            <wp:extent cx="4982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-1712595</wp:posOffset>
            </wp:positionV>
            <wp:extent cx="4982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-640715</wp:posOffset>
            </wp:positionV>
            <wp:extent cx="4982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-245745</wp:posOffset>
            </wp:positionV>
            <wp:extent cx="4982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139065</wp:posOffset>
            </wp:positionV>
            <wp:extent cx="4982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620"/>
        <w:spacing w:after="0"/>
        <w:tabs>
          <w:tab w:leader="none" w:pos="1960" w:val="left"/>
        </w:tabs>
        <w:rPr>
          <w:sz w:val="20"/>
          <w:szCs w:val="20"/>
          <w:color w:val="auto"/>
        </w:rPr>
      </w:pPr>
      <w:r>
        <w:rPr>
          <w:rFonts w:ascii="Arial" w:cs="Arial" w:eastAsia="Arial" w:hAnsi="Arial"/>
          <w:sz w:val="16"/>
          <w:szCs w:val="16"/>
          <w:color w:val="auto"/>
        </w:rPr>
        <w:t>(4)</w:t>
        <w:tab/>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1034415</wp:posOffset>
            </wp:positionH>
            <wp:positionV relativeFrom="paragraph">
              <wp:posOffset>139065</wp:posOffset>
            </wp:positionV>
            <wp:extent cx="4982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383540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511810</wp:posOffset>
            </wp:positionV>
            <wp:extent cx="1800860" cy="977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86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ABM Industries Incorporated</w:t>
      </w:r>
    </w:p>
    <w:p>
      <w:pPr>
        <w:ind w:left="4160"/>
        <w:spacing w:after="0" w:line="197" w:lineRule="auto"/>
        <w:rPr>
          <w:sz w:val="20"/>
          <w:szCs w:val="20"/>
          <w:color w:val="auto"/>
        </w:rPr>
      </w:pPr>
      <w:r>
        <w:rPr>
          <w:rFonts w:ascii="Arial" w:cs="Arial" w:eastAsia="Arial" w:hAnsi="Arial"/>
          <w:sz w:val="20"/>
          <w:szCs w:val="20"/>
          <w:color w:val="auto"/>
        </w:rPr>
        <w:t>551 Fifth Avenue, Suite 300</w:t>
      </w:r>
    </w:p>
    <w:p>
      <w:pPr>
        <w:ind w:left="4180"/>
        <w:spacing w:after="0"/>
        <w:rPr>
          <w:sz w:val="20"/>
          <w:szCs w:val="20"/>
          <w:color w:val="auto"/>
        </w:rPr>
      </w:pPr>
      <w:r>
        <w:rPr>
          <w:rFonts w:ascii="Arial" w:cs="Arial" w:eastAsia="Arial" w:hAnsi="Arial"/>
          <w:sz w:val="20"/>
          <w:szCs w:val="20"/>
          <w:color w:val="auto"/>
        </w:rPr>
        <w:t>New York, New York 10176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February 4, 2015</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Dear Fellow Shareholders:</w:t>
      </w:r>
    </w:p>
    <w:p>
      <w:pPr>
        <w:spacing w:after="0" w:line="221" w:lineRule="exact"/>
        <w:rPr>
          <w:sz w:val="20"/>
          <w:szCs w:val="20"/>
          <w:color w:val="auto"/>
        </w:rPr>
      </w:pPr>
    </w:p>
    <w:p>
      <w:pPr>
        <w:jc w:val="both"/>
        <w:ind w:left="1260" w:right="1260"/>
        <w:spacing w:after="0" w:line="250" w:lineRule="auto"/>
        <w:rPr>
          <w:sz w:val="20"/>
          <w:szCs w:val="20"/>
          <w:color w:val="auto"/>
        </w:rPr>
      </w:pPr>
      <w:r>
        <w:rPr>
          <w:rFonts w:ascii="Arial" w:cs="Arial" w:eastAsia="Arial" w:hAnsi="Arial"/>
          <w:sz w:val="16"/>
          <w:szCs w:val="16"/>
          <w:color w:val="auto"/>
        </w:rPr>
        <w:t>Over the last 15 years, ABM has transformed itself. From a company with annual revenues of $1.8 billion and approximately 60,000 employees, ABM has become a leading provider of facility solutions, with revenues of more than $5.0 billion and approximately 118,000 employees in over 300 offices throughout the United States and various international locations. We now have the scope, scale and industry experience, as well as human capital, to deliver enterprise-wide solutions globally.</w:t>
      </w:r>
    </w:p>
    <w:p>
      <w:pPr>
        <w:spacing w:after="0" w:line="95" w:lineRule="exact"/>
        <w:rPr>
          <w:sz w:val="20"/>
          <w:szCs w:val="20"/>
          <w:color w:val="auto"/>
        </w:rPr>
      </w:pPr>
    </w:p>
    <w:p>
      <w:pPr>
        <w:jc w:val="both"/>
        <w:ind w:left="1260" w:right="1260"/>
        <w:spacing w:after="0" w:line="251" w:lineRule="auto"/>
        <w:rPr>
          <w:sz w:val="20"/>
          <w:szCs w:val="20"/>
          <w:color w:val="auto"/>
        </w:rPr>
      </w:pPr>
      <w:r>
        <w:rPr>
          <w:rFonts w:ascii="Arial" w:cs="Arial" w:eastAsia="Arial" w:hAnsi="Arial"/>
          <w:sz w:val="16"/>
          <w:szCs w:val="16"/>
          <w:color w:val="auto"/>
        </w:rPr>
        <w:t>With the company’s recent strong performance, its depth of talent, and the completion of its reorganization and re-branding, it is well-positioned to move to the next level. As we move into the future, together we — your Board of Directors and Henrik Slipsager, your President and Chief Executive Officer — jointly agreed that now, from this position of strength, is the appropriate time to effect a leadership transition.</w:t>
      </w:r>
    </w:p>
    <w:p>
      <w:pPr>
        <w:spacing w:after="0" w:line="95" w:lineRule="exact"/>
        <w:rPr>
          <w:sz w:val="20"/>
          <w:szCs w:val="20"/>
          <w:color w:val="auto"/>
        </w:rPr>
      </w:pPr>
    </w:p>
    <w:p>
      <w:pPr>
        <w:jc w:val="both"/>
        <w:ind w:left="1260" w:right="1260"/>
        <w:spacing w:after="0" w:line="250" w:lineRule="auto"/>
        <w:rPr>
          <w:sz w:val="20"/>
          <w:szCs w:val="20"/>
          <w:color w:val="auto"/>
        </w:rPr>
      </w:pPr>
      <w:r>
        <w:rPr>
          <w:rFonts w:ascii="Arial" w:cs="Arial" w:eastAsia="Arial" w:hAnsi="Arial"/>
          <w:sz w:val="16"/>
          <w:szCs w:val="16"/>
          <w:color w:val="auto"/>
        </w:rPr>
        <w:t>Scott Salmirs, a seasoned industry veteran, with more than 11 years’ experience with the Company, will succeed Mr. Slipsager as President and Chief Executive Officer on March 31, 2015. The entire Board extends enormous thanks to Henrik for all he has done to lead the successful transformation of our company. And we all look forward to having Scott serve as our next President and CEO, confident that he will contribute substantial value to the shareholders and other stakeholders of ABM.</w:t>
      </w:r>
    </w:p>
    <w:p>
      <w:pPr>
        <w:spacing w:after="0" w:line="9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look forward to seeing you at the 2015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165100</wp:posOffset>
            </wp:positionV>
            <wp:extent cx="373888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888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ind w:left="1260"/>
              <w:spacing w:after="0"/>
              <w:rPr>
                <w:sz w:val="20"/>
                <w:szCs w:val="20"/>
                <w:color w:val="auto"/>
              </w:rPr>
            </w:pPr>
            <w:r>
              <w:rPr>
                <w:rFonts w:ascii="Arial" w:cs="Arial" w:eastAsia="Arial" w:hAnsi="Arial"/>
                <w:sz w:val="16"/>
                <w:szCs w:val="16"/>
                <w:color w:val="auto"/>
              </w:rPr>
              <w:t>Maryellen Herringer</w:t>
            </w:r>
          </w:p>
        </w:tc>
        <w:tc>
          <w:tcPr>
            <w:tcW w:w="6120" w:type="dxa"/>
            <w:vAlign w:val="bottom"/>
          </w:tcPr>
          <w:p>
            <w:pPr>
              <w:ind w:left="860"/>
              <w:spacing w:after="0"/>
              <w:rPr>
                <w:sz w:val="20"/>
                <w:szCs w:val="20"/>
                <w:color w:val="auto"/>
              </w:rPr>
            </w:pPr>
            <w:r>
              <w:rPr>
                <w:rFonts w:ascii="Arial" w:cs="Arial" w:eastAsia="Arial" w:hAnsi="Arial"/>
                <w:sz w:val="16"/>
                <w:szCs w:val="16"/>
                <w:color w:val="auto"/>
              </w:rPr>
              <w:t>Henrik C. Slipsager</w:t>
            </w:r>
          </w:p>
        </w:tc>
      </w:tr>
      <w:tr>
        <w:trPr>
          <w:trHeight w:val="195"/>
        </w:trPr>
        <w:tc>
          <w:tcPr>
            <w:tcW w:w="4620" w:type="dxa"/>
            <w:vAlign w:val="bottom"/>
          </w:tcPr>
          <w:p>
            <w:pPr>
              <w:ind w:left="1260"/>
              <w:spacing w:after="0"/>
              <w:rPr>
                <w:sz w:val="20"/>
                <w:szCs w:val="20"/>
                <w:color w:val="auto"/>
              </w:rPr>
            </w:pPr>
            <w:r>
              <w:rPr>
                <w:rFonts w:ascii="Arial" w:cs="Arial" w:eastAsia="Arial" w:hAnsi="Arial"/>
                <w:sz w:val="16"/>
                <w:szCs w:val="16"/>
                <w:color w:val="auto"/>
              </w:rPr>
              <w:t>Chairman of the Board of Directors</w:t>
            </w:r>
          </w:p>
        </w:tc>
        <w:tc>
          <w:tcPr>
            <w:tcW w:w="6120" w:type="dxa"/>
            <w:vAlign w:val="bottom"/>
          </w:tcPr>
          <w:p>
            <w:pPr>
              <w:ind w:left="860"/>
              <w:spacing w:after="0"/>
              <w:rPr>
                <w:sz w:val="20"/>
                <w:szCs w:val="20"/>
                <w:color w:val="auto"/>
              </w:rPr>
            </w:pPr>
            <w:r>
              <w:rPr>
                <w:rFonts w:ascii="Arial" w:cs="Arial" w:eastAsia="Arial" w:hAnsi="Arial"/>
                <w:sz w:val="16"/>
                <w:szCs w:val="16"/>
                <w:color w:val="auto"/>
              </w:rPr>
              <w:t>President and Chief Executive Officer</w:t>
            </w:r>
          </w:p>
        </w:tc>
      </w:tr>
      <w:tr>
        <w:trPr>
          <w:trHeight w:val="1066"/>
        </w:trPr>
        <w:tc>
          <w:tcPr>
            <w:tcW w:w="46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511810</wp:posOffset>
            </wp:positionV>
            <wp:extent cx="1800860" cy="977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086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ABM Industries Incorporated</w:t>
      </w:r>
    </w:p>
    <w:p>
      <w:pPr>
        <w:ind w:left="4160"/>
        <w:spacing w:after="0" w:line="197" w:lineRule="auto"/>
        <w:rPr>
          <w:sz w:val="20"/>
          <w:szCs w:val="20"/>
          <w:color w:val="auto"/>
        </w:rPr>
      </w:pPr>
      <w:r>
        <w:rPr>
          <w:rFonts w:ascii="Arial" w:cs="Arial" w:eastAsia="Arial" w:hAnsi="Arial"/>
          <w:sz w:val="20"/>
          <w:szCs w:val="20"/>
          <w:color w:val="auto"/>
        </w:rPr>
        <w:t>551 Fifth Avenue, Suite 300</w:t>
      </w:r>
    </w:p>
    <w:p>
      <w:pPr>
        <w:ind w:left="4180"/>
        <w:spacing w:after="0"/>
        <w:rPr>
          <w:sz w:val="20"/>
          <w:szCs w:val="20"/>
          <w:color w:val="auto"/>
        </w:rPr>
      </w:pPr>
      <w:r>
        <w:rPr>
          <w:rFonts w:ascii="Arial" w:cs="Arial" w:eastAsia="Arial" w:hAnsi="Arial"/>
          <w:sz w:val="20"/>
          <w:szCs w:val="20"/>
          <w:color w:val="auto"/>
        </w:rPr>
        <w:t>New York, New York 10176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216535</wp:posOffset>
            </wp:positionV>
            <wp:extent cx="1577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2015 ANNUAL MEETING OF SHAREHOLDERS</w:t>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WEDNESDAY, MARCH 4, 2015</w:t>
      </w:r>
    </w:p>
    <w:p>
      <w:pPr>
        <w:jc w:val="center"/>
        <w:ind w:right="-520"/>
        <w:spacing w:after="0" w:line="229" w:lineRule="auto"/>
        <w:rPr>
          <w:sz w:val="20"/>
          <w:szCs w:val="20"/>
          <w:color w:val="auto"/>
        </w:rPr>
      </w:pPr>
      <w:r>
        <w:rPr>
          <w:rFonts w:ascii="Arial" w:cs="Arial" w:eastAsia="Arial" w:hAnsi="Arial"/>
          <w:sz w:val="16"/>
          <w:szCs w:val="16"/>
          <w:b w:val="1"/>
          <w:bCs w:val="1"/>
          <w:color w:val="004FF9"/>
        </w:rPr>
        <w:t>10:00 A.M.</w:t>
      </w:r>
    </w:p>
    <w:p>
      <w:pPr>
        <w:jc w:val="center"/>
        <w:ind w:right="-520"/>
        <w:spacing w:after="0"/>
        <w:rPr>
          <w:sz w:val="20"/>
          <w:szCs w:val="20"/>
          <w:color w:val="auto"/>
        </w:rPr>
      </w:pPr>
      <w:r>
        <w:rPr>
          <w:rFonts w:ascii="Arial" w:cs="Arial" w:eastAsia="Arial" w:hAnsi="Arial"/>
          <w:sz w:val="16"/>
          <w:szCs w:val="16"/>
          <w:b w:val="1"/>
          <w:bCs w:val="1"/>
          <w:color w:val="004FF9"/>
        </w:rPr>
        <w:t>NOTICE OF MEETING AND PROXY STATEMENT</w:t>
      </w:r>
    </w:p>
    <w:p>
      <w:pPr>
        <w:spacing w:after="0" w:line="18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YOUR VOTE IS IMPORTANT</w:t>
      </w:r>
    </w:p>
    <w:p>
      <w:pPr>
        <w:spacing w:after="0" w:line="133" w:lineRule="exact"/>
        <w:rPr>
          <w:sz w:val="20"/>
          <w:szCs w:val="20"/>
          <w:color w:val="auto"/>
        </w:rPr>
      </w:pPr>
    </w:p>
    <w:p>
      <w:pPr>
        <w:jc w:val="both"/>
        <w:ind w:left="1260" w:right="739"/>
        <w:spacing w:after="0" w:line="214" w:lineRule="auto"/>
        <w:rPr>
          <w:sz w:val="20"/>
          <w:szCs w:val="20"/>
          <w:color w:val="auto"/>
        </w:rPr>
      </w:pPr>
      <w:r>
        <w:rPr>
          <w:rFonts w:ascii="Arial" w:cs="Arial" w:eastAsia="Arial" w:hAnsi="Arial"/>
          <w:sz w:val="16"/>
          <w:szCs w:val="16"/>
          <w:color w:val="auto"/>
        </w:rPr>
        <w:t>ABM Industries Incorporated (ABM or the Company) will hold its 2015 Annual Meeting of Shareholders at Hotel Sofitel New York, 45 West 44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Street, New York, New York 10036, on Wednesday, March 4, 2015, at 10:00 a.m. The items of business at the Annual Meeting are:</w:t>
      </w:r>
    </w:p>
    <w:p>
      <w:pPr>
        <w:spacing w:after="0" w:line="84" w:lineRule="exact"/>
        <w:rPr>
          <w:sz w:val="20"/>
          <w:szCs w:val="20"/>
          <w:color w:val="auto"/>
        </w:rPr>
      </w:pPr>
    </w:p>
    <w:p>
      <w:pPr>
        <w:ind w:left="1620" w:right="759"/>
        <w:spacing w:after="0" w:line="286" w:lineRule="auto"/>
        <w:rPr>
          <w:sz w:val="20"/>
          <w:szCs w:val="20"/>
          <w:color w:val="auto"/>
        </w:rPr>
      </w:pPr>
      <w:r>
        <w:rPr>
          <w:rFonts w:ascii="Arial" w:cs="Arial" w:eastAsia="Arial" w:hAnsi="Arial"/>
          <w:sz w:val="16"/>
          <w:szCs w:val="16"/>
          <w:b w:val="1"/>
          <w:bCs w:val="1"/>
          <w:color w:val="auto"/>
        </w:rPr>
        <w:t xml:space="preserve">Item One: </w:t>
      </w:r>
      <w:r>
        <w:rPr>
          <w:rFonts w:ascii="Arial" w:cs="Arial" w:eastAsia="Arial" w:hAnsi="Arial"/>
          <w:sz w:val="16"/>
          <w:szCs w:val="16"/>
          <w:color w:val="auto"/>
        </w:rPr>
        <w:t>Election of three directors to serve three-year terms until the 2018 Annual Meeting and until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successors are duly elected and qualified. 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of the nominees.</w:t>
      </w:r>
    </w:p>
    <w:p>
      <w:pPr>
        <w:spacing w:after="0" w:line="48" w:lineRule="exact"/>
        <w:rPr>
          <w:sz w:val="20"/>
          <w:szCs w:val="20"/>
          <w:color w:val="auto"/>
        </w:rPr>
      </w:pPr>
    </w:p>
    <w:p>
      <w:pPr>
        <w:ind w:left="1620" w:right="739"/>
        <w:spacing w:after="0" w:line="286" w:lineRule="auto"/>
        <w:rPr>
          <w:sz w:val="20"/>
          <w:szCs w:val="20"/>
          <w:color w:val="auto"/>
        </w:rPr>
      </w:pPr>
      <w:r>
        <w:rPr>
          <w:rFonts w:ascii="Arial" w:cs="Arial" w:eastAsia="Arial" w:hAnsi="Arial"/>
          <w:sz w:val="16"/>
          <w:szCs w:val="16"/>
          <w:b w:val="1"/>
          <w:bCs w:val="1"/>
          <w:color w:val="auto"/>
        </w:rPr>
        <w:t xml:space="preserve">Item Two: </w:t>
      </w:r>
      <w:r>
        <w:rPr>
          <w:rFonts w:ascii="Arial" w:cs="Arial" w:eastAsia="Arial" w:hAnsi="Arial"/>
          <w:sz w:val="16"/>
          <w:szCs w:val="16"/>
          <w:color w:val="auto"/>
        </w:rPr>
        <w:t>Ratification of the selection of KPMG LLP as ABM’s independent registered public accounting firm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the current year. 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w:t>
      </w:r>
    </w:p>
    <w:p>
      <w:pPr>
        <w:spacing w:after="0" w:line="48" w:lineRule="exact"/>
        <w:rPr>
          <w:sz w:val="20"/>
          <w:szCs w:val="20"/>
          <w:color w:val="auto"/>
        </w:rPr>
      </w:pPr>
    </w:p>
    <w:p>
      <w:pPr>
        <w:ind w:left="1620" w:right="739"/>
        <w:spacing w:after="0" w:line="286" w:lineRule="auto"/>
        <w:rPr>
          <w:sz w:val="20"/>
          <w:szCs w:val="20"/>
          <w:color w:val="auto"/>
        </w:rPr>
      </w:pPr>
      <w:r>
        <w:rPr>
          <w:rFonts w:ascii="Arial" w:cs="Arial" w:eastAsia="Arial" w:hAnsi="Arial"/>
          <w:sz w:val="16"/>
          <w:szCs w:val="16"/>
          <w:b w:val="1"/>
          <w:bCs w:val="1"/>
          <w:color w:val="auto"/>
        </w:rPr>
        <w:t xml:space="preserve">Item Three: </w:t>
      </w:r>
      <w:r>
        <w:rPr>
          <w:rFonts w:ascii="Arial" w:cs="Arial" w:eastAsia="Arial" w:hAnsi="Arial"/>
          <w:sz w:val="16"/>
          <w:szCs w:val="16"/>
          <w:color w:val="auto"/>
        </w:rPr>
        <w:t>Advisory vote to approve executive compensation. The Board recommends a vote</w:t>
      </w:r>
      <w:r>
        <w:rPr>
          <w:rFonts w:ascii="Arial" w:cs="Arial" w:eastAsia="Arial" w:hAnsi="Arial"/>
          <w:sz w:val="16"/>
          <w:szCs w:val="16"/>
          <w:b w:val="1"/>
          <w:bCs w:val="1"/>
          <w:color w:val="auto"/>
        </w:rPr>
        <w:t xml:space="preserve"> FOR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w:t>
      </w:r>
    </w:p>
    <w:p>
      <w:pPr>
        <w:spacing w:after="0" w:line="48" w:lineRule="exact"/>
        <w:rPr>
          <w:sz w:val="20"/>
          <w:szCs w:val="20"/>
          <w:color w:val="auto"/>
        </w:rPr>
      </w:pPr>
    </w:p>
    <w:p>
      <w:pPr>
        <w:ind w:left="1620" w:right="739"/>
        <w:spacing w:after="0" w:line="286" w:lineRule="auto"/>
        <w:rPr>
          <w:sz w:val="20"/>
          <w:szCs w:val="20"/>
          <w:color w:val="auto"/>
        </w:rPr>
      </w:pPr>
      <w:r>
        <w:rPr>
          <w:rFonts w:ascii="Arial" w:cs="Arial" w:eastAsia="Arial" w:hAnsi="Arial"/>
          <w:sz w:val="16"/>
          <w:szCs w:val="16"/>
          <w:b w:val="1"/>
          <w:bCs w:val="1"/>
          <w:color w:val="auto"/>
        </w:rPr>
        <w:t xml:space="preserve">Item Four: </w:t>
      </w:r>
      <w:r>
        <w:rPr>
          <w:rFonts w:ascii="Arial" w:cs="Arial" w:eastAsia="Arial" w:hAnsi="Arial"/>
          <w:sz w:val="16"/>
          <w:szCs w:val="16"/>
          <w:color w:val="auto"/>
        </w:rPr>
        <w:t>Approval of the Amended and Restated 2006 Equity Incentive Plan. The Board recommends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w:t>
      </w:r>
    </w:p>
    <w:p>
      <w:pPr>
        <w:spacing w:after="0" w:line="48"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 xml:space="preserve">Item Five: </w:t>
      </w:r>
      <w:r>
        <w:rPr>
          <w:rFonts w:ascii="Arial" w:cs="Arial" w:eastAsia="Arial" w:hAnsi="Arial"/>
          <w:sz w:val="16"/>
          <w:szCs w:val="16"/>
          <w:color w:val="auto"/>
        </w:rPr>
        <w:t>Transact such other business as may properly come before the meeting.</w:t>
      </w:r>
    </w:p>
    <w:p>
      <w:pPr>
        <w:spacing w:after="0" w:line="133" w:lineRule="exact"/>
        <w:rPr>
          <w:sz w:val="20"/>
          <w:szCs w:val="20"/>
          <w:color w:val="auto"/>
        </w:rPr>
      </w:pPr>
    </w:p>
    <w:p>
      <w:pPr>
        <w:jc w:val="both"/>
        <w:ind w:left="1260" w:right="739"/>
        <w:spacing w:after="0" w:line="250" w:lineRule="auto"/>
        <w:rPr>
          <w:sz w:val="20"/>
          <w:szCs w:val="20"/>
          <w:color w:val="auto"/>
        </w:rPr>
      </w:pPr>
      <w:r>
        <w:rPr>
          <w:rFonts w:ascii="Arial" w:cs="Arial" w:eastAsia="Arial" w:hAnsi="Arial"/>
          <w:sz w:val="16"/>
          <w:szCs w:val="16"/>
          <w:color w:val="auto"/>
        </w:rPr>
        <w:t>If you are a shareholder of record, you may vote in any one of four ways: in person by attending the Annual Meeting, by Internet, by telephone or by mail using the enclosed proxy card. Specific voting information is included under the caption “Voting Procedures.” Only shareholders of record at the close of business on January 14, 2015, are entitled to vote. On that day 55,884,518 shares of ABM common stock were outstanding. Each share entitles the holder to one vote.</w:t>
      </w:r>
    </w:p>
    <w:p>
      <w:pPr>
        <w:spacing w:after="0" w:line="95" w:lineRule="exact"/>
        <w:rPr>
          <w:sz w:val="20"/>
          <w:szCs w:val="20"/>
          <w:color w:val="auto"/>
        </w:rPr>
      </w:pPr>
    </w:p>
    <w:p>
      <w:pPr>
        <w:jc w:val="both"/>
        <w:ind w:left="1260" w:right="739"/>
        <w:spacing w:after="0" w:line="248" w:lineRule="auto"/>
        <w:rPr>
          <w:sz w:val="20"/>
          <w:szCs w:val="20"/>
          <w:color w:val="auto"/>
        </w:rPr>
      </w:pPr>
      <w:r>
        <w:rPr>
          <w:rFonts w:ascii="Arial" w:cs="Arial" w:eastAsia="Arial" w:hAnsi="Arial"/>
          <w:sz w:val="16"/>
          <w:szCs w:val="16"/>
          <w:color w:val="auto"/>
        </w:rPr>
        <w:t xml:space="preserve">The ABM Board of Directors asks you to vote in favor of the director nominees, for the ratification of KPMG LLP as ABM’s independent registered public accounting firm, for the approval, on an advisory basis, of the compensation of our executive officers and for approval of the amended and restated 2006 Equity Incentive Plan. This Proxy Statement provides you with detailed information about each of these matters. We encourage you to read this Proxy Statement carefully. In addition, you may obtain information about ABM from our Annual Report on Form 10-K for the fiscal year ended October 31, 2014, and from the ABM 2014 Annual Report to Shareholders, as well as from additional documents that we have filed with the Securities and Exchange Commission that are available on ABM’s website at </w:t>
      </w:r>
      <w:r>
        <w:rPr>
          <w:rFonts w:ascii="Arial" w:cs="Arial" w:eastAsia="Arial" w:hAnsi="Arial"/>
          <w:sz w:val="16"/>
          <w:szCs w:val="16"/>
          <w:u w:val="single" w:color="auto"/>
          <w:color w:val="auto"/>
        </w:rPr>
        <w:t>www.abm.com</w:t>
      </w:r>
      <w:r>
        <w:rPr>
          <w:rFonts w:ascii="Arial" w:cs="Arial" w:eastAsia="Arial" w:hAnsi="Arial"/>
          <w:sz w:val="16"/>
          <w:szCs w:val="16"/>
          <w:color w:val="auto"/>
        </w:rPr>
        <w:t>.</w:t>
      </w:r>
    </w:p>
    <w:p>
      <w:pPr>
        <w:spacing w:after="0" w:line="100" w:lineRule="exact"/>
        <w:rPr>
          <w:sz w:val="20"/>
          <w:szCs w:val="20"/>
          <w:color w:val="auto"/>
        </w:rPr>
      </w:pPr>
    </w:p>
    <w:p>
      <w:pPr>
        <w:jc w:val="both"/>
        <w:ind w:left="1260" w:right="739"/>
        <w:spacing w:after="0" w:line="260" w:lineRule="auto"/>
        <w:rPr>
          <w:sz w:val="20"/>
          <w:szCs w:val="20"/>
          <w:color w:val="auto"/>
        </w:rPr>
      </w:pPr>
      <w:r>
        <w:rPr>
          <w:rFonts w:ascii="Arial" w:cs="Arial" w:eastAsia="Arial" w:hAnsi="Arial"/>
          <w:sz w:val="16"/>
          <w:szCs w:val="16"/>
          <w:color w:val="auto"/>
        </w:rPr>
        <w:t>This Notice and Proxy Statement are dated February 4, 2015, and were first mailed, together with a proxy card, to shareholders on or about February 4, 2015.</w:t>
      </w:r>
    </w:p>
    <w:p>
      <w:pPr>
        <w:spacing w:after="0" w:line="68"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6"/>
          <w:szCs w:val="16"/>
          <w:b w:val="1"/>
          <w:bCs w:val="1"/>
          <w:color w:val="auto"/>
        </w:rPr>
        <w:t xml:space="preserve">Shareholders may obtain free of charge a copy of our latest annual report (without exhibits) as filed with the SEC by writing to: Investor Relations, ABM Industries Incorporated, Corporate Headquarters, 551 Fifth Avenue, Suite 300, New York, New York 10176 or calling (212) 297-0200. </w:t>
      </w:r>
      <w:r>
        <w:rPr>
          <w:rFonts w:ascii="Arial" w:cs="Arial" w:eastAsia="Arial" w:hAnsi="Arial"/>
          <w:sz w:val="16"/>
          <w:szCs w:val="16"/>
          <w:color w:val="auto"/>
        </w:rPr>
        <w:t>In addition, all of our public filings,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our Annual Report on Form 10-K, can be found free of charge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Important Notice Regarding the Availability of Proxy Materials</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for the Shareholder Meeting to Be Held on March 4, 2015</w:t>
      </w:r>
    </w:p>
    <w:p>
      <w:pPr>
        <w:spacing w:after="0" w:line="113" w:lineRule="exact"/>
        <w:rPr>
          <w:sz w:val="20"/>
          <w:szCs w:val="20"/>
          <w:color w:val="auto"/>
        </w:rPr>
      </w:pPr>
    </w:p>
    <w:p>
      <w:pPr>
        <w:jc w:val="both"/>
        <w:ind w:left="1260" w:right="739"/>
        <w:spacing w:after="0" w:line="260" w:lineRule="auto"/>
        <w:rPr>
          <w:sz w:val="20"/>
          <w:szCs w:val="20"/>
          <w:color w:val="auto"/>
        </w:rPr>
      </w:pPr>
      <w:r>
        <w:rPr>
          <w:rFonts w:ascii="Arial" w:cs="Arial" w:eastAsia="Arial" w:hAnsi="Arial"/>
          <w:sz w:val="16"/>
          <w:szCs w:val="16"/>
          <w:color w:val="auto"/>
        </w:rPr>
        <w:t xml:space="preserve">The Proxy Statement, Annual Report on Form 10-K for the fiscal year ended October 31, 2014 and ABM 2014 Annual Report to Shareholders and the means to vote by Internet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88" w:lineRule="exact"/>
        <w:rPr>
          <w:sz w:val="20"/>
          <w:szCs w:val="20"/>
          <w:color w:val="auto"/>
        </w:rPr>
      </w:pPr>
    </w:p>
    <w:p>
      <w:pPr>
        <w:jc w:val="both"/>
        <w:ind w:left="1260" w:right="739"/>
        <w:spacing w:after="0" w:line="248" w:lineRule="auto"/>
        <w:rPr>
          <w:sz w:val="20"/>
          <w:szCs w:val="20"/>
          <w:color w:val="auto"/>
        </w:rPr>
      </w:pPr>
      <w:r>
        <w:rPr>
          <w:rFonts w:ascii="Arial" w:cs="Arial" w:eastAsia="Arial" w:hAnsi="Arial"/>
          <w:sz w:val="16"/>
          <w:szCs w:val="16"/>
          <w:color w:val="auto"/>
        </w:rPr>
        <w:t>Instead of receiving paper copies of future annual reports and proxy statements in the mail, you can elect to receive an e-mail that will provide an electronic link to these documents. Choosing to receive your proxy materials online will save us the cost of producing and mailing documents to you as well as conserve natural resources. With electronic delivery, we will notify you by e-mail as soon as the annual report and proxy statement are available on the Internet, and you can easily submit your shareholder vote online. If you are a shareholder of record, you may enroll in the electronic delivery service at the time you vote by marking the appropriate box on your proxy card, or by selecting electronic delivery if you vote on the Internet, and following the enrollment instructions. If you are a beneficial holder, you may also have the opportunity to receive annual meeting materials electronically. Please check the information provided in the proxy materials mailed to you by your brokerage firm, bank or trustee.</w:t>
      </w:r>
    </w:p>
    <w:p>
      <w:pPr>
        <w:spacing w:after="0" w:line="28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You may contact ABM at (212) 297-0200 to obtain directions to the site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12"/>
          </w:tcPr>
          <w:p>
            <w:pPr>
              <w:ind w:left="80"/>
              <w:spacing w:after="0"/>
              <w:rPr>
                <w:sz w:val="20"/>
                <w:szCs w:val="20"/>
                <w:color w:val="auto"/>
              </w:rPr>
            </w:pPr>
            <w:r>
              <w:rPr>
                <w:rFonts w:ascii="Arial" w:cs="Arial" w:eastAsia="Arial" w:hAnsi="Arial"/>
                <w:sz w:val="16"/>
                <w:szCs w:val="16"/>
                <w:b w:val="1"/>
                <w:bCs w:val="1"/>
                <w:color w:val="004FF9"/>
              </w:rPr>
              <w:t>Table of Contents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51"/>
        </w:trPr>
        <w:tc>
          <w:tcPr>
            <w:tcW w:w="1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Page</w:t>
            </w:r>
          </w:p>
        </w:tc>
      </w:tr>
      <w:tr>
        <w:trPr>
          <w:trHeight w:val="230"/>
        </w:trPr>
        <w:tc>
          <w:tcPr>
            <w:tcW w:w="2080" w:type="dxa"/>
            <w:vAlign w:val="bottom"/>
            <w:gridSpan w:val="12"/>
            <w:shd w:val="clear" w:color="auto" w:fill="CCEEFF"/>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Proxy Statement Summary</w:t>
              </w:r>
            </w:hyperlink>
          </w:p>
        </w:tc>
        <w:tc>
          <w:tcPr>
            <w:tcW w:w="5600" w:type="dxa"/>
            <w:vAlign w:val="bottom"/>
            <w:gridSpan w:val="19"/>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1</w:t>
              </w:r>
            </w:hyperlink>
          </w:p>
        </w:tc>
        <w:tc>
          <w:tcPr>
            <w:tcW w:w="180" w:type="dxa"/>
            <w:vAlign w:val="bottom"/>
            <w:shd w:val="clear" w:color="auto" w:fill="CCEEFF"/>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3"/>
        </w:trPr>
        <w:tc>
          <w:tcPr>
            <w:tcW w:w="7680" w:type="dxa"/>
            <w:vAlign w:val="bottom"/>
            <w:gridSpan w:val="31"/>
          </w:tcPr>
          <w:p>
            <w:pPr>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Voting Procedures and Annual Meeting Attendance</w:t>
              </w:r>
            </w:hyperlink>
          </w:p>
        </w:tc>
        <w:tc>
          <w:tcPr>
            <w:tcW w:w="360" w:type="dxa"/>
            <w:vAlign w:val="bottom"/>
            <w:gridSpan w:val="3"/>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2</w:t>
              </w:r>
            </w:hyperlink>
          </w:p>
        </w:tc>
        <w:tc>
          <w:tcPr>
            <w:tcW w:w="18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6340" w:type="dxa"/>
            <w:vAlign w:val="bottom"/>
            <w:gridSpan w:val="30"/>
            <w:shd w:val="clear" w:color="auto" w:fill="CCEEFF"/>
          </w:tcPr>
          <w:p>
            <w:pPr>
              <w:spacing w:after="0"/>
              <w:rPr>
                <w:rFonts w:ascii="Arial" w:cs="Arial" w:eastAsia="Arial" w:hAnsi="Arial"/>
                <w:sz w:val="16"/>
                <w:szCs w:val="16"/>
                <w:b w:val="1"/>
                <w:bCs w:val="1"/>
                <w:color w:val="0000EE"/>
              </w:rPr>
            </w:pPr>
            <w:hyperlink w:anchor="page9">
              <w:r>
                <w:rPr>
                  <w:rFonts w:ascii="Arial" w:cs="Arial" w:eastAsia="Arial" w:hAnsi="Arial"/>
                  <w:sz w:val="16"/>
                  <w:szCs w:val="16"/>
                  <w:b w:val="1"/>
                  <w:bCs w:val="1"/>
                  <w:color w:val="0000EE"/>
                </w:rPr>
                <w:t>Shareholder Proposals, Director Nominations and Communicating with Our Board</w:t>
              </w:r>
            </w:hyperlink>
          </w:p>
        </w:tc>
        <w:tc>
          <w:tcPr>
            <w:tcW w:w="13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4</w:t>
              </w:r>
            </w:hyperlink>
          </w:p>
        </w:tc>
        <w:tc>
          <w:tcPr>
            <w:tcW w:w="180" w:type="dxa"/>
            <w:vAlign w:val="bottom"/>
            <w:shd w:val="clear" w:color="auto" w:fill="CCEEFF"/>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3"/>
        </w:trPr>
        <w:tc>
          <w:tcPr>
            <w:tcW w:w="6340" w:type="dxa"/>
            <w:vAlign w:val="bottom"/>
            <w:gridSpan w:val="30"/>
          </w:tcPr>
          <w:p>
            <w:pPr>
              <w:spacing w:after="0"/>
              <w:rPr>
                <w:rFonts w:ascii="Arial" w:cs="Arial" w:eastAsia="Arial" w:hAnsi="Arial"/>
                <w:sz w:val="16"/>
                <w:szCs w:val="16"/>
                <w:b w:val="1"/>
                <w:bCs w:val="1"/>
                <w:color w:val="0000EE"/>
              </w:rPr>
            </w:pPr>
            <w:hyperlink w:anchor="page10">
              <w:r>
                <w:rPr>
                  <w:rFonts w:ascii="Arial" w:cs="Arial" w:eastAsia="Arial" w:hAnsi="Arial"/>
                  <w:sz w:val="16"/>
                  <w:szCs w:val="16"/>
                  <w:b w:val="1"/>
                  <w:bCs w:val="1"/>
                  <w:color w:val="0000EE"/>
                </w:rPr>
                <w:t>Our Board of Directors</w:t>
              </w:r>
            </w:hyperlink>
          </w:p>
        </w:tc>
        <w:tc>
          <w:tcPr>
            <w:tcW w:w="1340" w:type="dxa"/>
            <w:vAlign w:val="bottom"/>
          </w:tcPr>
          <w:p>
            <w:pPr>
              <w:spacing w:after="0"/>
              <w:rPr>
                <w:sz w:val="19"/>
                <w:szCs w:val="19"/>
                <w:color w:val="auto"/>
              </w:rPr>
            </w:pPr>
          </w:p>
        </w:tc>
        <w:tc>
          <w:tcPr>
            <w:tcW w:w="360" w:type="dxa"/>
            <w:vAlign w:val="bottom"/>
            <w:gridSpan w:val="3"/>
          </w:tcPr>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5</w:t>
              </w:r>
            </w:hyperlink>
          </w:p>
        </w:tc>
        <w:tc>
          <w:tcPr>
            <w:tcW w:w="18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1580" w:type="dxa"/>
            <w:vAlign w:val="bottom"/>
            <w:gridSpan w:val="5"/>
            <w:shd w:val="clear" w:color="auto" w:fill="CCEEFF"/>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General</w:t>
              </w:r>
            </w:hyperlink>
          </w:p>
        </w:tc>
        <w:tc>
          <w:tcPr>
            <w:tcW w:w="5920" w:type="dxa"/>
            <w:vAlign w:val="bottom"/>
            <w:gridSpan w:val="25"/>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5</w:t>
              </w:r>
            </w:hyperlink>
          </w:p>
        </w:tc>
        <w:tc>
          <w:tcPr>
            <w:tcW w:w="180" w:type="dxa"/>
            <w:vAlign w:val="bottom"/>
            <w:shd w:val="clear" w:color="auto" w:fill="CCEEFF"/>
          </w:tcPr>
          <w:p>
            <w:pPr>
              <w:spacing w:after="0"/>
              <w:rPr>
                <w:sz w:val="19"/>
                <w:szCs w:val="19"/>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720" w:type="dxa"/>
            <w:vAlign w:val="bottom"/>
            <w:gridSpan w:val="2"/>
          </w:tcPr>
          <w:p>
            <w:pPr>
              <w:spacing w:after="0"/>
              <w:rPr>
                <w:rFonts w:ascii="Arial" w:cs="Arial" w:eastAsia="Arial" w:hAnsi="Arial"/>
                <w:sz w:val="16"/>
                <w:szCs w:val="16"/>
                <w:color w:val="0000EE"/>
                <w:w w:val="97"/>
              </w:rPr>
            </w:pPr>
            <w:hyperlink w:anchor="page10">
              <w:r>
                <w:rPr>
                  <w:rFonts w:ascii="Arial" w:cs="Arial" w:eastAsia="Arial" w:hAnsi="Arial"/>
                  <w:sz w:val="16"/>
                  <w:szCs w:val="16"/>
                  <w:color w:val="0000EE"/>
                  <w:w w:val="97"/>
                </w:rPr>
                <w:t>Nominees</w:t>
              </w:r>
            </w:hyperlink>
          </w:p>
        </w:tc>
        <w:tc>
          <w:tcPr>
            <w:tcW w:w="6780" w:type="dxa"/>
            <w:vAlign w:val="bottom"/>
            <w:gridSpan w:val="28"/>
          </w:tcPr>
          <w:p>
            <w:pPr>
              <w:spacing w:after="0"/>
              <w:rPr>
                <w:sz w:val="19"/>
                <w:szCs w:val="19"/>
                <w:color w:val="auto"/>
              </w:rPr>
            </w:pPr>
          </w:p>
        </w:tc>
        <w:tc>
          <w:tcPr>
            <w:tcW w:w="360" w:type="dxa"/>
            <w:vAlign w:val="bottom"/>
            <w:gridSpan w:val="3"/>
          </w:tcPr>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5</w:t>
              </w:r>
            </w:hyperlink>
          </w:p>
        </w:tc>
        <w:tc>
          <w:tcPr>
            <w:tcW w:w="18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7500" w:type="dxa"/>
            <w:vAlign w:val="bottom"/>
            <w:gridSpan w:val="30"/>
            <w:shd w:val="clear" w:color="auto" w:fill="CCEEFF"/>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Board of Directors’ Skills Matrix</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6</w:t>
              </w:r>
            </w:hyperlink>
          </w:p>
        </w:tc>
        <w:tc>
          <w:tcPr>
            <w:tcW w:w="180" w:type="dxa"/>
            <w:vAlign w:val="bottom"/>
            <w:shd w:val="clear" w:color="auto" w:fill="CCEEFF"/>
          </w:tcPr>
          <w:p>
            <w:pPr>
              <w:spacing w:after="0"/>
              <w:rPr>
                <w:sz w:val="19"/>
                <w:szCs w:val="19"/>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3"/>
        </w:trPr>
        <w:tc>
          <w:tcPr>
            <w:tcW w:w="7680" w:type="dxa"/>
            <w:vAlign w:val="bottom"/>
            <w:gridSpan w:val="31"/>
          </w:tcPr>
          <w:p>
            <w:pPr>
              <w:spacing w:after="0"/>
              <w:rPr>
                <w:rFonts w:ascii="Arial" w:cs="Arial" w:eastAsia="Arial" w:hAnsi="Arial"/>
                <w:sz w:val="16"/>
                <w:szCs w:val="16"/>
                <w:b w:val="1"/>
                <w:bCs w:val="1"/>
                <w:color w:val="0000EE"/>
              </w:rPr>
            </w:pPr>
            <w:hyperlink w:anchor="page12">
              <w:r>
                <w:rPr>
                  <w:rFonts w:ascii="Arial" w:cs="Arial" w:eastAsia="Arial" w:hAnsi="Arial"/>
                  <w:sz w:val="16"/>
                  <w:szCs w:val="16"/>
                  <w:b w:val="1"/>
                  <w:bCs w:val="1"/>
                  <w:color w:val="0000EE"/>
                </w:rPr>
                <w:t>Proposal 1 — Election of Directors</w:t>
              </w:r>
            </w:hyperlink>
          </w:p>
        </w:tc>
        <w:tc>
          <w:tcPr>
            <w:tcW w:w="360" w:type="dxa"/>
            <w:vAlign w:val="bottom"/>
            <w:gridSpan w:val="3"/>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7</w:t>
              </w:r>
            </w:hyperlink>
          </w:p>
        </w:tc>
        <w:tc>
          <w:tcPr>
            <w:tcW w:w="18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4560" w:type="dxa"/>
            <w:vAlign w:val="bottom"/>
            <w:tcBorders>
              <w:right w:val="single" w:sz="8" w:color="CCEEFF"/>
            </w:tcBorders>
            <w:gridSpan w:val="27"/>
            <w:shd w:val="clear" w:color="auto" w:fill="CCEEFF"/>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Nominees for Election as Directors with Terms Expiring in 2018</w:t>
              </w:r>
            </w:hyperlink>
          </w:p>
        </w:tc>
        <w:tc>
          <w:tcPr>
            <w:tcW w:w="2940" w:type="dxa"/>
            <w:vAlign w:val="bottom"/>
            <w:gridSpan w:val="3"/>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7</w:t>
              </w:r>
            </w:hyperlink>
          </w:p>
        </w:tc>
        <w:tc>
          <w:tcPr>
            <w:tcW w:w="180" w:type="dxa"/>
            <w:vAlign w:val="bottom"/>
            <w:shd w:val="clear" w:color="auto" w:fill="CCEEFF"/>
          </w:tcPr>
          <w:p>
            <w:pPr>
              <w:spacing w:after="0"/>
              <w:rPr>
                <w:sz w:val="19"/>
                <w:szCs w:val="19"/>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4560" w:type="dxa"/>
            <w:vAlign w:val="bottom"/>
            <w:gridSpan w:val="27"/>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Directors with Terms Expiring in 2016</w:t>
              </w:r>
            </w:hyperlink>
          </w:p>
        </w:tc>
        <w:tc>
          <w:tcPr>
            <w:tcW w:w="2940" w:type="dxa"/>
            <w:vAlign w:val="bottom"/>
            <w:gridSpan w:val="3"/>
          </w:tcPr>
          <w:p>
            <w:pPr>
              <w:spacing w:after="0"/>
              <w:rPr>
                <w:sz w:val="19"/>
                <w:szCs w:val="19"/>
                <w:color w:val="auto"/>
              </w:rPr>
            </w:pPr>
          </w:p>
        </w:tc>
        <w:tc>
          <w:tcPr>
            <w:tcW w:w="36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8</w:t>
              </w:r>
            </w:hyperlink>
          </w:p>
        </w:tc>
        <w:tc>
          <w:tcPr>
            <w:tcW w:w="18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7500" w:type="dxa"/>
            <w:vAlign w:val="bottom"/>
            <w:gridSpan w:val="30"/>
            <w:shd w:val="clear" w:color="auto" w:fill="CCEEFF"/>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Directors with Terms Expiring in 2017</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9</w:t>
              </w:r>
            </w:hyperlink>
          </w:p>
        </w:tc>
        <w:tc>
          <w:tcPr>
            <w:tcW w:w="180" w:type="dxa"/>
            <w:vAlign w:val="bottom"/>
            <w:shd w:val="clear" w:color="auto" w:fill="CCEEFF"/>
          </w:tcPr>
          <w:p>
            <w:pPr>
              <w:spacing w:after="0"/>
              <w:rPr>
                <w:sz w:val="19"/>
                <w:szCs w:val="19"/>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3"/>
        </w:trPr>
        <w:tc>
          <w:tcPr>
            <w:tcW w:w="7680" w:type="dxa"/>
            <w:vAlign w:val="bottom"/>
            <w:gridSpan w:val="31"/>
          </w:tcPr>
          <w:p>
            <w:pPr>
              <w:spacing w:after="0"/>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Corporate Governance</w:t>
              </w:r>
            </w:hyperlink>
          </w:p>
        </w:tc>
        <w:tc>
          <w:tcPr>
            <w:tcW w:w="36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10</w:t>
              </w:r>
            </w:hyperlink>
          </w:p>
        </w:tc>
        <w:tc>
          <w:tcPr>
            <w:tcW w:w="18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7500" w:type="dxa"/>
            <w:vAlign w:val="bottom"/>
            <w:gridSpan w:val="30"/>
            <w:shd w:val="clear" w:color="auto" w:fill="CCEEFF"/>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Corporate Governance Principles</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10</w:t>
              </w:r>
            </w:hyperlink>
          </w:p>
        </w:tc>
        <w:tc>
          <w:tcPr>
            <w:tcW w:w="180" w:type="dxa"/>
            <w:vAlign w:val="bottom"/>
            <w:shd w:val="clear" w:color="auto" w:fill="CCEEFF"/>
          </w:tcPr>
          <w:p>
            <w:pPr>
              <w:spacing w:after="0"/>
              <w:rPr>
                <w:sz w:val="19"/>
                <w:szCs w:val="19"/>
                <w:color w:val="auto"/>
              </w:rPr>
            </w:pPr>
          </w:p>
        </w:tc>
      </w:tr>
      <w:tr>
        <w:trPr>
          <w:trHeight w:val="223"/>
        </w:trPr>
        <w:tc>
          <w:tcPr>
            <w:tcW w:w="180" w:type="dxa"/>
            <w:vAlign w:val="bottom"/>
            <w:tcBorders>
              <w:top w:val="single" w:sz="8" w:color="CCEEFF"/>
            </w:tcBorders>
          </w:tcPr>
          <w:p>
            <w:pPr>
              <w:spacing w:after="0"/>
              <w:rPr>
                <w:sz w:val="19"/>
                <w:szCs w:val="19"/>
                <w:color w:val="auto"/>
              </w:rPr>
            </w:pPr>
          </w:p>
        </w:tc>
        <w:tc>
          <w:tcPr>
            <w:tcW w:w="1640" w:type="dxa"/>
            <w:vAlign w:val="bottom"/>
            <w:tcBorders>
              <w:top w:val="single" w:sz="8" w:color="0000EE"/>
              <w:bottom w:val="single" w:sz="8" w:color="0000EE"/>
            </w:tcBorders>
            <w:gridSpan w:val="7"/>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Director Independence</w:t>
              </w:r>
            </w:hyperlink>
          </w:p>
        </w:tc>
        <w:tc>
          <w:tcPr>
            <w:tcW w:w="820" w:type="dxa"/>
            <w:vAlign w:val="bottom"/>
            <w:tcBorders>
              <w:top w:val="single" w:sz="8" w:color="0000EE"/>
            </w:tcBorders>
            <w:gridSpan w:val="7"/>
          </w:tcPr>
          <w:p>
            <w:pPr>
              <w:spacing w:after="0"/>
              <w:rPr>
                <w:sz w:val="19"/>
                <w:szCs w:val="19"/>
                <w:color w:val="auto"/>
              </w:rPr>
            </w:pPr>
          </w:p>
        </w:tc>
        <w:tc>
          <w:tcPr>
            <w:tcW w:w="5040" w:type="dxa"/>
            <w:vAlign w:val="bottom"/>
            <w:tcBorders>
              <w:top w:val="single" w:sz="8" w:color="CCEEFF"/>
            </w:tcBorders>
            <w:gridSpan w:val="16"/>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10</w:t>
              </w:r>
            </w:hyperlink>
          </w:p>
        </w:tc>
        <w:tc>
          <w:tcPr>
            <w:tcW w:w="180" w:type="dxa"/>
            <w:vAlign w:val="bottom"/>
            <w:tcBorders>
              <w:top w:val="single" w:sz="8" w:color="CCEEFF"/>
            </w:tcBorders>
          </w:tcPr>
          <w:p>
            <w:pPr>
              <w:spacing w:after="0"/>
              <w:rPr>
                <w:sz w:val="19"/>
                <w:szCs w:val="19"/>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0000EE"/>
            </w:tcBorders>
            <w:gridSpan w:val="12"/>
            <w:shd w:val="clear" w:color="auto" w:fill="CCEEFF"/>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Board Leadership Structure</w:t>
              </w:r>
            </w:hyperlink>
          </w:p>
        </w:tc>
        <w:tc>
          <w:tcPr>
            <w:tcW w:w="5520" w:type="dxa"/>
            <w:vAlign w:val="bottom"/>
            <w:tcBorders>
              <w:bottom w:val="single" w:sz="8" w:color="CCEEFF"/>
            </w:tcBorders>
            <w:gridSpan w:val="18"/>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10</w:t>
              </w:r>
            </w:hyperlink>
          </w:p>
        </w:tc>
        <w:tc>
          <w:tcPr>
            <w:tcW w:w="180" w:type="dxa"/>
            <w:vAlign w:val="bottom"/>
            <w:tcBorders>
              <w:bottom w:val="single" w:sz="8" w:color="CCEEFF"/>
            </w:tcBorders>
            <w:shd w:val="clear" w:color="auto" w:fill="CCEEFF"/>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7500" w:type="dxa"/>
            <w:vAlign w:val="bottom"/>
            <w:gridSpan w:val="30"/>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The Board’s Role in Risk Management</w:t>
              </w:r>
            </w:hyperlink>
          </w:p>
        </w:tc>
        <w:tc>
          <w:tcPr>
            <w:tcW w:w="36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11</w:t>
              </w:r>
            </w:hyperlink>
          </w:p>
        </w:tc>
        <w:tc>
          <w:tcPr>
            <w:tcW w:w="180" w:type="dxa"/>
            <w:vAlign w:val="bottom"/>
          </w:tcPr>
          <w:p>
            <w:pPr>
              <w:spacing w:after="0"/>
              <w:rPr>
                <w:sz w:val="19"/>
                <w:szCs w:val="19"/>
                <w:color w:val="auto"/>
              </w:rPr>
            </w:pPr>
          </w:p>
        </w:tc>
      </w:tr>
      <w:tr>
        <w:trPr>
          <w:trHeight w:val="223"/>
        </w:trPr>
        <w:tc>
          <w:tcPr>
            <w:tcW w:w="180" w:type="dxa"/>
            <w:vAlign w:val="bottom"/>
            <w:shd w:val="clear" w:color="auto" w:fill="CCEEFF"/>
          </w:tcPr>
          <w:p>
            <w:pPr>
              <w:spacing w:after="0"/>
              <w:rPr>
                <w:sz w:val="19"/>
                <w:szCs w:val="19"/>
                <w:color w:val="auto"/>
              </w:rPr>
            </w:pPr>
          </w:p>
        </w:tc>
        <w:tc>
          <w:tcPr>
            <w:tcW w:w="2760" w:type="dxa"/>
            <w:vAlign w:val="bottom"/>
            <w:tcBorders>
              <w:top w:val="single" w:sz="8" w:color="0000EE"/>
            </w:tcBorders>
            <w:gridSpan w:val="16"/>
            <w:shd w:val="clear" w:color="auto" w:fill="CCEEFF"/>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Executive Sessions of Directors</w:t>
              </w:r>
            </w:hyperlink>
          </w:p>
        </w:tc>
        <w:tc>
          <w:tcPr>
            <w:tcW w:w="4740" w:type="dxa"/>
            <w:vAlign w:val="bottom"/>
            <w:gridSpan w:val="14"/>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top w:val="single" w:sz="8" w:color="0000EE"/>
            </w:tcBorders>
            <w:gridSpan w:val="2"/>
            <w:shd w:val="clear" w:color="auto" w:fill="CCEEFF"/>
          </w:tcPr>
          <w:p>
            <w:pPr>
              <w:jc w:val="right"/>
              <w:spacing w:after="0"/>
              <w:rPr>
                <w:rFonts w:ascii="Arial" w:cs="Arial" w:eastAsia="Arial" w:hAnsi="Arial"/>
                <w:sz w:val="16"/>
                <w:szCs w:val="16"/>
                <w:color w:val="0000EE"/>
                <w:w w:val="89"/>
              </w:rPr>
            </w:pPr>
            <w:hyperlink w:anchor="page16">
              <w:r>
                <w:rPr>
                  <w:rFonts w:ascii="Arial" w:cs="Arial" w:eastAsia="Arial" w:hAnsi="Arial"/>
                  <w:sz w:val="16"/>
                  <w:szCs w:val="16"/>
                  <w:color w:val="0000EE"/>
                  <w:w w:val="89"/>
                </w:rPr>
                <w:t>11</w:t>
              </w:r>
            </w:hyperlink>
          </w:p>
        </w:tc>
        <w:tc>
          <w:tcPr>
            <w:tcW w:w="180" w:type="dxa"/>
            <w:vAlign w:val="bottom"/>
            <w:shd w:val="clear" w:color="auto" w:fill="CCEEFF"/>
          </w:tcPr>
          <w:p>
            <w:pPr>
              <w:spacing w:after="0"/>
              <w:rPr>
                <w:sz w:val="19"/>
                <w:szCs w:val="19"/>
                <w:color w:val="auto"/>
              </w:rPr>
            </w:pPr>
          </w:p>
        </w:tc>
      </w:tr>
      <w:tr>
        <w:trPr>
          <w:trHeight w:val="223"/>
        </w:trPr>
        <w:tc>
          <w:tcPr>
            <w:tcW w:w="180" w:type="dxa"/>
            <w:vAlign w:val="bottom"/>
            <w:tcBorders>
              <w:top w:val="single" w:sz="8" w:color="CCEEFF"/>
            </w:tcBorders>
          </w:tcPr>
          <w:p>
            <w:pPr>
              <w:spacing w:after="0"/>
              <w:rPr>
                <w:sz w:val="19"/>
                <w:szCs w:val="19"/>
                <w:color w:val="auto"/>
              </w:rPr>
            </w:pPr>
          </w:p>
        </w:tc>
        <w:tc>
          <w:tcPr>
            <w:tcW w:w="2260" w:type="dxa"/>
            <w:vAlign w:val="bottom"/>
            <w:tcBorders>
              <w:top w:val="single" w:sz="8" w:color="0000EE"/>
            </w:tcBorders>
            <w:gridSpan w:val="13"/>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Code of Business Conduct</w:t>
              </w:r>
            </w:hyperlink>
          </w:p>
        </w:tc>
        <w:tc>
          <w:tcPr>
            <w:tcW w:w="5240" w:type="dxa"/>
            <w:vAlign w:val="bottom"/>
            <w:tcBorders>
              <w:top w:val="single" w:sz="8" w:color="CCEEFF"/>
            </w:tcBorders>
            <w:gridSpan w:val="17"/>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color w:val="0000EE"/>
                <w:w w:val="89"/>
              </w:rPr>
            </w:pPr>
            <w:hyperlink w:anchor="page16">
              <w:r>
                <w:rPr>
                  <w:rFonts w:ascii="Arial" w:cs="Arial" w:eastAsia="Arial" w:hAnsi="Arial"/>
                  <w:sz w:val="16"/>
                  <w:szCs w:val="16"/>
                  <w:color w:val="0000EE"/>
                  <w:w w:val="89"/>
                </w:rPr>
                <w:t>11</w:t>
              </w:r>
            </w:hyperlink>
          </w:p>
        </w:tc>
        <w:tc>
          <w:tcPr>
            <w:tcW w:w="180" w:type="dxa"/>
            <w:vAlign w:val="bottom"/>
            <w:tcBorders>
              <w:top w:val="single" w:sz="8" w:color="CCEEFF"/>
            </w:tcBorders>
          </w:tcPr>
          <w:p>
            <w:pPr>
              <w:spacing w:after="0"/>
              <w:rPr>
                <w:sz w:val="19"/>
                <w:szCs w:val="19"/>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top w:val="single" w:sz="8" w:color="0000EE"/>
              <w:bottom w:val="single" w:sz="8" w:color="0000EE"/>
            </w:tcBorders>
            <w:gridSpan w:val="6"/>
            <w:shd w:val="clear" w:color="auto" w:fill="CCEEFF"/>
          </w:tcPr>
          <w:p>
            <w:pPr>
              <w:spacing w:after="0"/>
              <w:rPr>
                <w:rFonts w:ascii="Arial" w:cs="Arial" w:eastAsia="Arial" w:hAnsi="Arial"/>
                <w:sz w:val="16"/>
                <w:szCs w:val="16"/>
                <w:color w:val="0000EE"/>
                <w:w w:val="99"/>
              </w:rPr>
            </w:pPr>
            <w:hyperlink w:anchor="page16">
              <w:r>
                <w:rPr>
                  <w:rFonts w:ascii="Arial" w:cs="Arial" w:eastAsia="Arial" w:hAnsi="Arial"/>
                  <w:sz w:val="16"/>
                  <w:szCs w:val="16"/>
                  <w:color w:val="0000EE"/>
                  <w:w w:val="99"/>
                </w:rPr>
                <w:t>Mandatory Retirement</w:t>
              </w:r>
            </w:hyperlink>
          </w:p>
        </w:tc>
        <w:tc>
          <w:tcPr>
            <w:tcW w:w="300" w:type="dxa"/>
            <w:vAlign w:val="bottom"/>
            <w:tcBorders>
              <w:top w:val="single" w:sz="8" w:color="0000EE"/>
              <w:bottom w:val="single" w:sz="8" w:color="CCEEFF"/>
            </w:tcBorders>
            <w:gridSpan w:val="5"/>
            <w:shd w:val="clear" w:color="auto" w:fill="CCEEFF"/>
          </w:tcPr>
          <w:p>
            <w:pPr>
              <w:spacing w:after="0"/>
              <w:rPr>
                <w:sz w:val="19"/>
                <w:szCs w:val="19"/>
                <w:color w:val="auto"/>
              </w:rPr>
            </w:pPr>
          </w:p>
        </w:tc>
        <w:tc>
          <w:tcPr>
            <w:tcW w:w="5600" w:type="dxa"/>
            <w:vAlign w:val="bottom"/>
            <w:tcBorders>
              <w:bottom w:val="single" w:sz="8" w:color="CCEEFF"/>
            </w:tcBorders>
            <w:gridSpan w:val="19"/>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6"/>
                <w:szCs w:val="16"/>
                <w:color w:val="0000EE"/>
                <w:w w:val="89"/>
              </w:rPr>
            </w:pPr>
            <w:hyperlink w:anchor="page16">
              <w:r>
                <w:rPr>
                  <w:rFonts w:ascii="Arial" w:cs="Arial" w:eastAsia="Arial" w:hAnsi="Arial"/>
                  <w:sz w:val="16"/>
                  <w:szCs w:val="16"/>
                  <w:color w:val="0000EE"/>
                  <w:w w:val="89"/>
                </w:rPr>
                <w:t>11</w:t>
              </w:r>
            </w:hyperlink>
          </w:p>
        </w:tc>
        <w:tc>
          <w:tcPr>
            <w:tcW w:w="180" w:type="dxa"/>
            <w:vAlign w:val="bottom"/>
            <w:tcBorders>
              <w:bottom w:val="single" w:sz="8" w:color="CCEEFF"/>
            </w:tcBorders>
            <w:shd w:val="clear" w:color="auto" w:fill="CCEEFF"/>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7500" w:type="dxa"/>
            <w:vAlign w:val="bottom"/>
            <w:gridSpan w:val="30"/>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Meetings and Attendance</w:t>
              </w:r>
            </w:hyperlink>
          </w:p>
        </w:tc>
        <w:tc>
          <w:tcPr>
            <w:tcW w:w="36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11</w:t>
              </w:r>
            </w:hyperlink>
          </w:p>
        </w:tc>
        <w:tc>
          <w:tcPr>
            <w:tcW w:w="180" w:type="dxa"/>
            <w:vAlign w:val="bottom"/>
          </w:tcPr>
          <w:p>
            <w:pPr>
              <w:spacing w:after="0"/>
              <w:rPr>
                <w:sz w:val="19"/>
                <w:szCs w:val="19"/>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top w:val="single" w:sz="8" w:color="0000EE"/>
              <w:bottom w:val="single" w:sz="8" w:color="0000EE"/>
            </w:tcBorders>
            <w:gridSpan w:val="3"/>
            <w:shd w:val="clear" w:color="auto" w:fill="CCEEFF"/>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Committees</w:t>
              </w:r>
            </w:hyperlink>
          </w:p>
        </w:tc>
        <w:tc>
          <w:tcPr>
            <w:tcW w:w="960" w:type="dxa"/>
            <w:vAlign w:val="bottom"/>
            <w:tcBorders>
              <w:top w:val="single" w:sz="8" w:color="0000EE"/>
              <w:bottom w:val="single" w:sz="8" w:color="CCEEFF"/>
            </w:tcBorders>
            <w:gridSpan w:val="7"/>
            <w:shd w:val="clear" w:color="auto" w:fill="CCEEFF"/>
          </w:tcPr>
          <w:p>
            <w:pPr>
              <w:spacing w:after="0"/>
              <w:rPr>
                <w:sz w:val="20"/>
                <w:szCs w:val="20"/>
                <w:color w:val="auto"/>
              </w:rPr>
            </w:pPr>
          </w:p>
        </w:tc>
        <w:tc>
          <w:tcPr>
            <w:tcW w:w="5680" w:type="dxa"/>
            <w:vAlign w:val="bottom"/>
            <w:tcBorders>
              <w:bottom w:val="single" w:sz="8" w:color="CCEEFF"/>
            </w:tcBorders>
            <w:gridSpan w:val="20"/>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12</w:t>
              </w:r>
            </w:hyperlink>
          </w:p>
        </w:tc>
        <w:tc>
          <w:tcPr>
            <w:tcW w:w="180" w:type="dxa"/>
            <w:vAlign w:val="bottom"/>
            <w:tcBorders>
              <w:bottom w:val="single" w:sz="8" w:color="CCEEFF"/>
            </w:tcBorders>
            <w:shd w:val="clear" w:color="auto" w:fill="CCEEFF"/>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7500" w:type="dxa"/>
            <w:vAlign w:val="bottom"/>
            <w:gridSpan w:val="30"/>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Compensation Committee Interlocks and Insider Participation</w:t>
              </w:r>
            </w:hyperlink>
          </w:p>
        </w:tc>
        <w:tc>
          <w:tcPr>
            <w:tcW w:w="36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14</w:t>
              </w:r>
            </w:hyperlink>
          </w:p>
        </w:tc>
        <w:tc>
          <w:tcPr>
            <w:tcW w:w="180" w:type="dxa"/>
            <w:vAlign w:val="bottom"/>
          </w:tcPr>
          <w:p>
            <w:pPr>
              <w:spacing w:after="0"/>
              <w:rPr>
                <w:sz w:val="20"/>
                <w:szCs w:val="20"/>
                <w:color w:val="auto"/>
              </w:rPr>
            </w:pPr>
          </w:p>
        </w:tc>
      </w:tr>
      <w:tr>
        <w:trPr>
          <w:trHeight w:val="237"/>
        </w:trPr>
        <w:tc>
          <w:tcPr>
            <w:tcW w:w="180" w:type="dxa"/>
            <w:vAlign w:val="bottom"/>
            <w:shd w:val="clear" w:color="auto" w:fill="CCEEFF"/>
          </w:tcPr>
          <w:p>
            <w:pPr>
              <w:spacing w:after="0"/>
              <w:rPr>
                <w:sz w:val="20"/>
                <w:szCs w:val="20"/>
                <w:color w:val="auto"/>
              </w:rPr>
            </w:pPr>
          </w:p>
        </w:tc>
        <w:tc>
          <w:tcPr>
            <w:tcW w:w="4380" w:type="dxa"/>
            <w:vAlign w:val="bottom"/>
            <w:tcBorders>
              <w:top w:val="single" w:sz="8" w:color="0000EE"/>
            </w:tcBorders>
            <w:gridSpan w:val="26"/>
            <w:shd w:val="clear" w:color="auto" w:fill="CCEEFF"/>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Identifying and Evaluating Nominees for Directors</w:t>
              </w:r>
            </w:hyperlink>
          </w:p>
        </w:tc>
        <w:tc>
          <w:tcPr>
            <w:tcW w:w="3120" w:type="dxa"/>
            <w:vAlign w:val="bottom"/>
            <w:gridSpan w:val="4"/>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top w:val="single" w:sz="8" w:color="0000EE"/>
            </w:tcBorders>
            <w:gridSpan w:val="2"/>
            <w:shd w:val="clear" w:color="auto" w:fill="CCEEFF"/>
          </w:tcPr>
          <w:p>
            <w:pPr>
              <w:jc w:val="right"/>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14</w:t>
              </w:r>
            </w:hyperlink>
          </w:p>
        </w:tc>
        <w:tc>
          <w:tcPr>
            <w:tcW w:w="180" w:type="dxa"/>
            <w:vAlign w:val="bottom"/>
            <w:shd w:val="clear" w:color="auto" w:fill="CCEEFF"/>
          </w:tcPr>
          <w:p>
            <w:pPr>
              <w:spacing w:after="0"/>
              <w:rPr>
                <w:sz w:val="20"/>
                <w:szCs w:val="20"/>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740" w:type="dxa"/>
            <w:vAlign w:val="bottom"/>
            <w:tcBorders>
              <w:bottom w:val="single" w:sz="8" w:color="0000EE"/>
            </w:tcBorders>
            <w:gridSpan w:val="28"/>
          </w:tcPr>
          <w:p>
            <w:pPr>
              <w:spacing w:after="0"/>
              <w:rPr>
                <w:rFonts w:ascii="Arial" w:cs="Arial" w:eastAsia="Arial" w:hAnsi="Arial"/>
                <w:sz w:val="16"/>
                <w:szCs w:val="16"/>
                <w:b w:val="1"/>
                <w:bCs w:val="1"/>
                <w:color w:val="0000EE"/>
              </w:rPr>
            </w:pPr>
            <w:hyperlink w:anchor="page20">
              <w:r>
                <w:rPr>
                  <w:rFonts w:ascii="Arial" w:cs="Arial" w:eastAsia="Arial" w:hAnsi="Arial"/>
                  <w:sz w:val="16"/>
                  <w:szCs w:val="16"/>
                  <w:b w:val="1"/>
                  <w:bCs w:val="1"/>
                  <w:color w:val="0000EE"/>
                </w:rPr>
                <w:t>Certain Relationships and Transactions with Related Persons</w:t>
              </w:r>
            </w:hyperlink>
          </w:p>
        </w:tc>
        <w:tc>
          <w:tcPr>
            <w:tcW w:w="2940" w:type="dxa"/>
            <w:vAlign w:val="bottom"/>
            <w:tcBorders>
              <w:bottom w:val="single" w:sz="8" w:color="CCEEFF"/>
            </w:tcBorders>
            <w:gridSpan w:val="3"/>
          </w:tcPr>
          <w:p>
            <w:pPr>
              <w:spacing w:after="0"/>
              <w:rPr>
                <w:sz w:val="20"/>
                <w:szCs w:val="20"/>
                <w:color w:val="auto"/>
              </w:rPr>
            </w:pPr>
          </w:p>
        </w:tc>
        <w:tc>
          <w:tcPr>
            <w:tcW w:w="360" w:type="dxa"/>
            <w:vAlign w:val="bottom"/>
            <w:tcBorders>
              <w:bottom w:val="single" w:sz="8" w:color="CCEEFF"/>
            </w:tcBorders>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15</w:t>
              </w:r>
            </w:hyperlink>
          </w:p>
        </w:tc>
        <w:tc>
          <w:tcPr>
            <w:tcW w:w="180" w:type="dxa"/>
            <w:vAlign w:val="bottom"/>
            <w:tcBorders>
              <w:bottom w:val="single" w:sz="8" w:color="CCEEFF"/>
            </w:tcBorders>
          </w:tcPr>
          <w:p>
            <w:pPr>
              <w:spacing w:after="0"/>
              <w:rPr>
                <w:sz w:val="20"/>
                <w:szCs w:val="20"/>
                <w:color w:val="auto"/>
              </w:rPr>
            </w:pPr>
          </w:p>
        </w:tc>
      </w:tr>
      <w:tr>
        <w:trPr>
          <w:trHeight w:val="237"/>
        </w:trPr>
        <w:tc>
          <w:tcPr>
            <w:tcW w:w="180" w:type="dxa"/>
            <w:vAlign w:val="bottom"/>
            <w:shd w:val="clear" w:color="auto" w:fill="CCEEFF"/>
          </w:tcPr>
          <w:p>
            <w:pPr>
              <w:spacing w:after="0"/>
              <w:rPr>
                <w:sz w:val="20"/>
                <w:szCs w:val="20"/>
                <w:color w:val="auto"/>
              </w:rPr>
            </w:pPr>
          </w:p>
        </w:tc>
        <w:tc>
          <w:tcPr>
            <w:tcW w:w="7500" w:type="dxa"/>
            <w:vAlign w:val="bottom"/>
            <w:gridSpan w:val="30"/>
            <w:shd w:val="clear" w:color="auto" w:fill="CCEEFF"/>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Policy for the Review, Approval or Ratification of Transactions with Related Persons</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15</w:t>
              </w:r>
            </w:hyperlink>
          </w:p>
        </w:tc>
        <w:tc>
          <w:tcPr>
            <w:tcW w:w="180" w:type="dxa"/>
            <w:vAlign w:val="bottom"/>
            <w:shd w:val="clear" w:color="auto" w:fill="CCEEFF"/>
          </w:tcPr>
          <w:p>
            <w:pPr>
              <w:spacing w:after="0"/>
              <w:rPr>
                <w:sz w:val="20"/>
                <w:szCs w:val="20"/>
                <w:color w:val="auto"/>
              </w:rPr>
            </w:pPr>
          </w:p>
        </w:tc>
      </w:tr>
      <w:tr>
        <w:trPr>
          <w:trHeight w:val="237"/>
        </w:trPr>
        <w:tc>
          <w:tcPr>
            <w:tcW w:w="180" w:type="dxa"/>
            <w:vAlign w:val="bottom"/>
            <w:tcBorders>
              <w:top w:val="single" w:sz="8" w:color="CCEEFF"/>
            </w:tcBorders>
          </w:tcPr>
          <w:p>
            <w:pPr>
              <w:spacing w:after="0"/>
              <w:rPr>
                <w:sz w:val="20"/>
                <w:szCs w:val="20"/>
                <w:color w:val="auto"/>
              </w:rPr>
            </w:pPr>
          </w:p>
        </w:tc>
        <w:tc>
          <w:tcPr>
            <w:tcW w:w="5980" w:type="dxa"/>
            <w:vAlign w:val="bottom"/>
            <w:tcBorders>
              <w:top w:val="single" w:sz="8" w:color="0000EE"/>
            </w:tcBorders>
            <w:gridSpan w:val="28"/>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Transactions with Related Persons</w:t>
              </w:r>
            </w:hyperlink>
          </w:p>
        </w:tc>
        <w:tc>
          <w:tcPr>
            <w:tcW w:w="1520" w:type="dxa"/>
            <w:vAlign w:val="bottom"/>
            <w:tcBorders>
              <w:top w:val="single" w:sz="8" w:color="CCEEFF"/>
            </w:tcBorders>
            <w:gridSpan w:val="2"/>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color w:val="0000EE"/>
                <w:w w:val="89"/>
              </w:rPr>
            </w:pPr>
            <w:hyperlink w:anchor="page20">
              <w:r>
                <w:rPr>
                  <w:rFonts w:ascii="Arial" w:cs="Arial" w:eastAsia="Arial" w:hAnsi="Arial"/>
                  <w:sz w:val="16"/>
                  <w:szCs w:val="16"/>
                  <w:color w:val="0000EE"/>
                  <w:w w:val="89"/>
                </w:rPr>
                <w:t>15</w:t>
              </w:r>
            </w:hyperlink>
          </w:p>
        </w:tc>
        <w:tc>
          <w:tcPr>
            <w:tcW w:w="180" w:type="dxa"/>
            <w:vAlign w:val="bottom"/>
            <w:tcBorders>
              <w:top w:val="single" w:sz="8" w:color="CCEEFF"/>
            </w:tcBorders>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7680" w:type="dxa"/>
            <w:vAlign w:val="bottom"/>
            <w:gridSpan w:val="31"/>
            <w:shd w:val="clear" w:color="auto" w:fill="CCEEFF"/>
          </w:tcPr>
          <w:p>
            <w:pPr>
              <w:spacing w:after="0"/>
              <w:rPr>
                <w:rFonts w:ascii="Arial" w:cs="Arial" w:eastAsia="Arial" w:hAnsi="Arial"/>
                <w:sz w:val="16"/>
                <w:szCs w:val="16"/>
                <w:b w:val="1"/>
                <w:bCs w:val="1"/>
                <w:color w:val="0000EE"/>
              </w:rPr>
            </w:pPr>
            <w:hyperlink w:anchor="page21">
              <w:r>
                <w:rPr>
                  <w:rFonts w:ascii="Arial" w:cs="Arial" w:eastAsia="Arial" w:hAnsi="Arial"/>
                  <w:sz w:val="16"/>
                  <w:szCs w:val="16"/>
                  <w:b w:val="1"/>
                  <w:bCs w:val="1"/>
                  <w:color w:val="0000EE"/>
                </w:rPr>
                <w:t>Section 16(a) Beneficial Ownership Reporting Compliance</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16</w:t>
              </w:r>
            </w:hyperlink>
          </w:p>
        </w:tc>
        <w:tc>
          <w:tcPr>
            <w:tcW w:w="180" w:type="dxa"/>
            <w:vAlign w:val="bottom"/>
            <w:shd w:val="clear" w:color="auto" w:fill="CCEEFF"/>
          </w:tcPr>
          <w:p>
            <w:pPr>
              <w:spacing w:after="0"/>
              <w:rPr>
                <w:sz w:val="20"/>
                <w:szCs w:val="20"/>
                <w:color w:val="auto"/>
              </w:rPr>
            </w:pPr>
          </w:p>
        </w:tc>
      </w:tr>
      <w:tr>
        <w:trPr>
          <w:trHeight w:val="237"/>
        </w:trPr>
        <w:tc>
          <w:tcPr>
            <w:tcW w:w="3360" w:type="dxa"/>
            <w:vAlign w:val="bottom"/>
            <w:tcBorders>
              <w:top w:val="single" w:sz="8" w:color="0000EE"/>
              <w:bottom w:val="single" w:sz="8" w:color="0000EE"/>
            </w:tcBorders>
            <w:gridSpan w:val="19"/>
          </w:tcPr>
          <w:p>
            <w:pPr>
              <w:spacing w:after="0"/>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Director Compensation for Fiscal Year 2014</w:t>
              </w:r>
            </w:hyperlink>
          </w:p>
        </w:tc>
        <w:tc>
          <w:tcPr>
            <w:tcW w:w="1120" w:type="dxa"/>
            <w:vAlign w:val="bottom"/>
            <w:tcBorders>
              <w:top w:val="single" w:sz="8" w:color="0000EE"/>
            </w:tcBorders>
            <w:gridSpan w:val="7"/>
          </w:tcPr>
          <w:p>
            <w:pPr>
              <w:spacing w:after="0"/>
              <w:rPr>
                <w:sz w:val="20"/>
                <w:szCs w:val="20"/>
                <w:color w:val="auto"/>
              </w:rPr>
            </w:pPr>
          </w:p>
        </w:tc>
        <w:tc>
          <w:tcPr>
            <w:tcW w:w="3200" w:type="dxa"/>
            <w:vAlign w:val="bottom"/>
            <w:tcBorders>
              <w:top w:val="single" w:sz="8" w:color="CCEEFF"/>
            </w:tcBorders>
            <w:gridSpan w:val="5"/>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17</w:t>
              </w:r>
            </w:hyperlink>
          </w:p>
        </w:tc>
        <w:tc>
          <w:tcPr>
            <w:tcW w:w="180" w:type="dxa"/>
            <w:vAlign w:val="bottom"/>
            <w:tcBorders>
              <w:top w:val="single" w:sz="8" w:color="CCEEFF"/>
            </w:tcBorders>
          </w:tcPr>
          <w:p>
            <w:pPr>
              <w:spacing w:after="0"/>
              <w:rPr>
                <w:sz w:val="20"/>
                <w:szCs w:val="20"/>
                <w:color w:val="auto"/>
              </w:rPr>
            </w:pPr>
          </w:p>
        </w:tc>
      </w:tr>
      <w:tr>
        <w:trPr>
          <w:trHeight w:val="237"/>
        </w:trPr>
        <w:tc>
          <w:tcPr>
            <w:tcW w:w="180" w:type="dxa"/>
            <w:vAlign w:val="bottom"/>
            <w:shd w:val="clear" w:color="auto" w:fill="CCEEFF"/>
          </w:tcPr>
          <w:p>
            <w:pPr>
              <w:spacing w:after="0"/>
              <w:rPr>
                <w:sz w:val="20"/>
                <w:szCs w:val="20"/>
                <w:color w:val="auto"/>
              </w:rPr>
            </w:pPr>
          </w:p>
        </w:tc>
        <w:tc>
          <w:tcPr>
            <w:tcW w:w="7500" w:type="dxa"/>
            <w:vAlign w:val="bottom"/>
            <w:gridSpan w:val="30"/>
            <w:shd w:val="clear" w:color="auto" w:fill="CCEEFF"/>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Director Compensation Elements</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17</w:t>
              </w:r>
            </w:hyperlink>
          </w:p>
        </w:tc>
        <w:tc>
          <w:tcPr>
            <w:tcW w:w="180" w:type="dxa"/>
            <w:vAlign w:val="bottom"/>
            <w:shd w:val="clear" w:color="auto" w:fill="CCEEFF"/>
          </w:tcPr>
          <w:p>
            <w:pPr>
              <w:spacing w:after="0"/>
              <w:rPr>
                <w:sz w:val="20"/>
                <w:szCs w:val="20"/>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3360" w:type="dxa"/>
            <w:vAlign w:val="bottom"/>
            <w:tcBorders>
              <w:bottom w:val="single" w:sz="8" w:color="0000EE"/>
            </w:tcBorders>
            <w:gridSpan w:val="20"/>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Director Stock Ownership and Retention Policy</w:t>
              </w:r>
            </w:hyperlink>
          </w:p>
        </w:tc>
        <w:tc>
          <w:tcPr>
            <w:tcW w:w="41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18</w:t>
              </w:r>
            </w:hyperlink>
          </w:p>
        </w:tc>
        <w:tc>
          <w:tcPr>
            <w:tcW w:w="180" w:type="dxa"/>
            <w:vAlign w:val="bottom"/>
          </w:tcPr>
          <w:p>
            <w:pPr>
              <w:spacing w:after="0"/>
              <w:rPr>
                <w:sz w:val="20"/>
                <w:szCs w:val="20"/>
                <w:color w:val="auto"/>
              </w:rPr>
            </w:pPr>
          </w:p>
        </w:tc>
      </w:tr>
      <w:tr>
        <w:trPr>
          <w:trHeight w:val="237"/>
        </w:trPr>
        <w:tc>
          <w:tcPr>
            <w:tcW w:w="180" w:type="dxa"/>
            <w:vAlign w:val="bottom"/>
            <w:shd w:val="clear" w:color="auto" w:fill="CCEEFF"/>
          </w:tcPr>
          <w:p>
            <w:pPr>
              <w:spacing w:after="0"/>
              <w:rPr>
                <w:sz w:val="20"/>
                <w:szCs w:val="20"/>
                <w:color w:val="auto"/>
              </w:rPr>
            </w:pPr>
          </w:p>
        </w:tc>
        <w:tc>
          <w:tcPr>
            <w:tcW w:w="7500" w:type="dxa"/>
            <w:vAlign w:val="bottom"/>
            <w:gridSpan w:val="30"/>
            <w:shd w:val="clear" w:color="auto" w:fill="CCEEFF"/>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2014 Non-Employee Director Compensation Table</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18</w:t>
              </w:r>
            </w:hyperlink>
          </w:p>
        </w:tc>
        <w:tc>
          <w:tcPr>
            <w:tcW w:w="180" w:type="dxa"/>
            <w:vAlign w:val="bottom"/>
            <w:shd w:val="clear" w:color="auto" w:fill="CCEEFF"/>
          </w:tcPr>
          <w:p>
            <w:pPr>
              <w:spacing w:after="0"/>
              <w:rPr>
                <w:sz w:val="20"/>
                <w:szCs w:val="20"/>
                <w:color w:val="auto"/>
              </w:rPr>
            </w:pPr>
          </w:p>
        </w:tc>
      </w:tr>
      <w:tr>
        <w:trPr>
          <w:trHeight w:val="237"/>
        </w:trPr>
        <w:tc>
          <w:tcPr>
            <w:tcW w:w="180" w:type="dxa"/>
            <w:vAlign w:val="bottom"/>
            <w:tcBorders>
              <w:top w:val="single" w:sz="8" w:color="CCEEFF"/>
            </w:tcBorders>
          </w:tcPr>
          <w:p>
            <w:pPr>
              <w:spacing w:after="0"/>
              <w:rPr>
                <w:sz w:val="20"/>
                <w:szCs w:val="20"/>
                <w:color w:val="auto"/>
              </w:rPr>
            </w:pPr>
          </w:p>
        </w:tc>
        <w:tc>
          <w:tcPr>
            <w:tcW w:w="266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8"/>
              </w:rPr>
            </w:pPr>
            <w:hyperlink w:anchor="page24">
              <w:r>
                <w:rPr>
                  <w:rFonts w:ascii="Arial" w:cs="Arial" w:eastAsia="Arial" w:hAnsi="Arial"/>
                  <w:sz w:val="16"/>
                  <w:szCs w:val="16"/>
                  <w:color w:val="0000EE"/>
                  <w:w w:val="98"/>
                </w:rPr>
                <w:t>Director Deferred Compensation Plan</w:t>
              </w:r>
            </w:hyperlink>
          </w:p>
        </w:tc>
        <w:tc>
          <w:tcPr>
            <w:tcW w:w="940" w:type="dxa"/>
            <w:vAlign w:val="bottom"/>
            <w:tcBorders>
              <w:top w:val="single" w:sz="8" w:color="0000EE"/>
            </w:tcBorders>
            <w:gridSpan w:val="6"/>
          </w:tcPr>
          <w:p>
            <w:pPr>
              <w:spacing w:after="0"/>
              <w:rPr>
                <w:sz w:val="20"/>
                <w:szCs w:val="20"/>
                <w:color w:val="auto"/>
              </w:rPr>
            </w:pPr>
          </w:p>
        </w:tc>
        <w:tc>
          <w:tcPr>
            <w:tcW w:w="3900" w:type="dxa"/>
            <w:vAlign w:val="bottom"/>
            <w:tcBorders>
              <w:top w:val="single" w:sz="8" w:color="CCEEFF"/>
            </w:tcBorders>
            <w:gridSpan w:val="9"/>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19</w:t>
              </w:r>
            </w:hyperlink>
          </w:p>
        </w:tc>
        <w:tc>
          <w:tcPr>
            <w:tcW w:w="180" w:type="dxa"/>
            <w:vAlign w:val="bottom"/>
            <w:tcBorders>
              <w:top w:val="single" w:sz="8" w:color="CCEEFF"/>
            </w:tcBorders>
          </w:tcPr>
          <w:p>
            <w:pPr>
              <w:spacing w:after="0"/>
              <w:rPr>
                <w:sz w:val="20"/>
                <w:szCs w:val="20"/>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0000EE"/>
              <w:right w:val="single" w:sz="8" w:color="CCEEFF"/>
            </w:tcBorders>
            <w:gridSpan w:val="4"/>
            <w:shd w:val="clear" w:color="auto" w:fill="CCEEFF"/>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Other Arrangements</w:t>
              </w:r>
            </w:hyperlink>
          </w:p>
        </w:tc>
        <w:tc>
          <w:tcPr>
            <w:tcW w:w="6000" w:type="dxa"/>
            <w:vAlign w:val="bottom"/>
            <w:tcBorders>
              <w:bottom w:val="single" w:sz="8" w:color="CCEEFF"/>
            </w:tcBorders>
            <w:gridSpan w:val="26"/>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19</w:t>
              </w:r>
            </w:hyperlink>
          </w:p>
        </w:tc>
        <w:tc>
          <w:tcPr>
            <w:tcW w:w="180" w:type="dxa"/>
            <w:vAlign w:val="bottom"/>
            <w:tcBorders>
              <w:bottom w:val="single" w:sz="8" w:color="CCEEFF"/>
            </w:tcBorders>
            <w:shd w:val="clear" w:color="auto" w:fill="CCEEFF"/>
          </w:tcPr>
          <w:p>
            <w:pPr>
              <w:spacing w:after="0"/>
              <w:rPr>
                <w:sz w:val="20"/>
                <w:szCs w:val="20"/>
                <w:color w:val="auto"/>
              </w:rPr>
            </w:pPr>
          </w:p>
        </w:tc>
      </w:tr>
      <w:tr>
        <w:trPr>
          <w:trHeight w:val="237"/>
        </w:trPr>
        <w:tc>
          <w:tcPr>
            <w:tcW w:w="194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25">
              <w:r>
                <w:rPr>
                  <w:rFonts w:ascii="Arial" w:cs="Arial" w:eastAsia="Arial" w:hAnsi="Arial"/>
                  <w:sz w:val="16"/>
                  <w:szCs w:val="16"/>
                  <w:b w:val="1"/>
                  <w:bCs w:val="1"/>
                  <w:color w:val="0000EE"/>
                </w:rPr>
                <w:t>Executive Compensation</w:t>
              </w:r>
            </w:hyperlink>
          </w:p>
        </w:tc>
        <w:tc>
          <w:tcPr>
            <w:tcW w:w="5740" w:type="dxa"/>
            <w:vAlign w:val="bottom"/>
            <w:gridSpan w:val="21"/>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20</w:t>
              </w:r>
            </w:hyperlink>
          </w:p>
        </w:tc>
        <w:tc>
          <w:tcPr>
            <w:tcW w:w="180" w:type="dxa"/>
            <w:vAlign w:val="bottom"/>
          </w:tcPr>
          <w:p>
            <w:pPr>
              <w:spacing w:after="0"/>
              <w:rPr>
                <w:sz w:val="20"/>
                <w:szCs w:val="20"/>
                <w:color w:val="auto"/>
              </w:rPr>
            </w:pPr>
          </w:p>
        </w:tc>
      </w:tr>
      <w:tr>
        <w:trPr>
          <w:trHeight w:val="237"/>
        </w:trPr>
        <w:tc>
          <w:tcPr>
            <w:tcW w:w="180" w:type="dxa"/>
            <w:vAlign w:val="bottom"/>
            <w:shd w:val="clear" w:color="auto" w:fill="CCEEFF"/>
          </w:tcPr>
          <w:p>
            <w:pPr>
              <w:spacing w:after="0"/>
              <w:rPr>
                <w:sz w:val="20"/>
                <w:szCs w:val="20"/>
                <w:color w:val="auto"/>
              </w:rPr>
            </w:pPr>
          </w:p>
        </w:tc>
        <w:tc>
          <w:tcPr>
            <w:tcW w:w="7500" w:type="dxa"/>
            <w:vAlign w:val="bottom"/>
            <w:gridSpan w:val="30"/>
            <w:shd w:val="clear" w:color="auto" w:fill="CCEEFF"/>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Compensation Discussion and Analysis</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20</w:t>
              </w:r>
            </w:hyperlink>
          </w:p>
        </w:tc>
        <w:tc>
          <w:tcPr>
            <w:tcW w:w="180" w:type="dxa"/>
            <w:vAlign w:val="bottom"/>
            <w:shd w:val="clear" w:color="auto" w:fill="CCEEFF"/>
          </w:tcPr>
          <w:p>
            <w:pPr>
              <w:spacing w:after="0"/>
              <w:rPr>
                <w:sz w:val="20"/>
                <w:szCs w:val="20"/>
                <w:color w:val="auto"/>
              </w:rPr>
            </w:pPr>
          </w:p>
        </w:tc>
      </w:tr>
      <w:tr>
        <w:trPr>
          <w:trHeight w:val="237"/>
        </w:trPr>
        <w:tc>
          <w:tcPr>
            <w:tcW w:w="180" w:type="dxa"/>
            <w:vAlign w:val="bottom"/>
            <w:tcBorders>
              <w:top w:val="single" w:sz="8" w:color="CCEEFF"/>
            </w:tcBorders>
          </w:tcPr>
          <w:p>
            <w:pPr>
              <w:spacing w:after="0"/>
              <w:rPr>
                <w:sz w:val="20"/>
                <w:szCs w:val="20"/>
                <w:color w:val="auto"/>
              </w:rPr>
            </w:pPr>
          </w:p>
        </w:tc>
        <w:tc>
          <w:tcPr>
            <w:tcW w:w="246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Compensation Committee Report</w:t>
              </w:r>
            </w:hyperlink>
          </w:p>
        </w:tc>
        <w:tc>
          <w:tcPr>
            <w:tcW w:w="360" w:type="dxa"/>
            <w:vAlign w:val="bottom"/>
            <w:tcBorders>
              <w:top w:val="single" w:sz="8" w:color="0000EE"/>
            </w:tcBorders>
            <w:gridSpan w:val="3"/>
          </w:tcPr>
          <w:p>
            <w:pPr>
              <w:spacing w:after="0"/>
              <w:rPr>
                <w:sz w:val="20"/>
                <w:szCs w:val="20"/>
                <w:color w:val="auto"/>
              </w:rPr>
            </w:pPr>
          </w:p>
        </w:tc>
        <w:tc>
          <w:tcPr>
            <w:tcW w:w="4680" w:type="dxa"/>
            <w:vAlign w:val="bottom"/>
            <w:tcBorders>
              <w:top w:val="single" w:sz="8" w:color="CCEEFF"/>
            </w:tcBorders>
            <w:gridSpan w:val="13"/>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42</w:t>
              </w:r>
            </w:hyperlink>
          </w:p>
        </w:tc>
        <w:tc>
          <w:tcPr>
            <w:tcW w:w="180" w:type="dxa"/>
            <w:vAlign w:val="bottom"/>
            <w:tcBorders>
              <w:top w:val="single" w:sz="8" w:color="CCEEFF"/>
            </w:tcBorders>
          </w:tcPr>
          <w:p>
            <w:pPr>
              <w:spacing w:after="0"/>
              <w:rPr>
                <w:sz w:val="20"/>
                <w:szCs w:val="20"/>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0000EE"/>
              <w:right w:val="single" w:sz="8" w:color="CCEEFF"/>
            </w:tcBorders>
            <w:gridSpan w:val="15"/>
            <w:shd w:val="clear" w:color="auto" w:fill="CCEEFF"/>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2014 Summary Compensation Table</w:t>
              </w:r>
            </w:hyperlink>
          </w:p>
        </w:tc>
        <w:tc>
          <w:tcPr>
            <w:tcW w:w="4840" w:type="dxa"/>
            <w:vAlign w:val="bottom"/>
            <w:tcBorders>
              <w:left w:val="single" w:sz="8" w:color="CCEEFF"/>
              <w:bottom w:val="single" w:sz="8" w:color="CCEEFF"/>
            </w:tcBorders>
            <w:gridSpan w:val="15"/>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43</w:t>
              </w:r>
            </w:hyperlink>
          </w:p>
        </w:tc>
        <w:tc>
          <w:tcPr>
            <w:tcW w:w="180" w:type="dxa"/>
            <w:vAlign w:val="bottom"/>
            <w:tcBorders>
              <w:bottom w:val="single" w:sz="8" w:color="CCEEFF"/>
            </w:tcBorders>
            <w:shd w:val="clear" w:color="auto" w:fill="CCEEFF"/>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3900" w:type="dxa"/>
            <w:vAlign w:val="bottom"/>
            <w:tcBorders>
              <w:bottom w:val="single" w:sz="8" w:color="0000EE"/>
            </w:tcBorders>
            <w:gridSpan w:val="23"/>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Grants of Plan-Based Awards During Fiscal Year 2014</w:t>
              </w:r>
            </w:hyperlink>
          </w:p>
        </w:tc>
        <w:tc>
          <w:tcPr>
            <w:tcW w:w="3600" w:type="dxa"/>
            <w:vAlign w:val="bottom"/>
            <w:gridSpan w:val="7"/>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44</w:t>
              </w:r>
            </w:hyperlink>
          </w:p>
        </w:tc>
        <w:tc>
          <w:tcPr>
            <w:tcW w:w="180" w:type="dxa"/>
            <w:vAlign w:val="bottom"/>
          </w:tcPr>
          <w:p>
            <w:pPr>
              <w:spacing w:after="0"/>
              <w:rPr>
                <w:sz w:val="20"/>
                <w:szCs w:val="20"/>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0000EE"/>
              <w:right w:val="single" w:sz="8" w:color="CCEEFF"/>
            </w:tcBorders>
            <w:gridSpan w:val="22"/>
            <w:shd w:val="clear" w:color="auto" w:fill="CCEEFF"/>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Outstanding Equity Awards at 2014 Fiscal Year-End</w:t>
              </w:r>
            </w:hyperlink>
          </w:p>
        </w:tc>
        <w:tc>
          <w:tcPr>
            <w:tcW w:w="3740" w:type="dxa"/>
            <w:vAlign w:val="bottom"/>
            <w:tcBorders>
              <w:bottom w:val="single" w:sz="8" w:color="CCEEFF"/>
            </w:tcBorders>
            <w:gridSpan w:val="8"/>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45</w:t>
              </w:r>
            </w:hyperlink>
          </w:p>
        </w:tc>
        <w:tc>
          <w:tcPr>
            <w:tcW w:w="180" w:type="dxa"/>
            <w:vAlign w:val="bottom"/>
            <w:tcBorders>
              <w:bottom w:val="single" w:sz="8" w:color="CCEEFF"/>
            </w:tcBorders>
            <w:shd w:val="clear" w:color="auto" w:fill="CCEEFF"/>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3940" w:type="dxa"/>
            <w:vAlign w:val="bottom"/>
            <w:tcBorders>
              <w:bottom w:val="single" w:sz="8" w:color="0000EE"/>
            </w:tcBorders>
            <w:gridSpan w:val="24"/>
          </w:tcPr>
          <w:p>
            <w:pPr>
              <w:spacing w:after="0"/>
              <w:rPr>
                <w:rFonts w:ascii="Arial" w:cs="Arial" w:eastAsia="Arial" w:hAnsi="Arial"/>
                <w:sz w:val="16"/>
                <w:szCs w:val="16"/>
                <w:color w:val="0000EE"/>
                <w:w w:val="99"/>
              </w:rPr>
            </w:pPr>
            <w:hyperlink w:anchor="page52">
              <w:r>
                <w:rPr>
                  <w:rFonts w:ascii="Arial" w:cs="Arial" w:eastAsia="Arial" w:hAnsi="Arial"/>
                  <w:sz w:val="16"/>
                  <w:szCs w:val="16"/>
                  <w:color w:val="0000EE"/>
                  <w:w w:val="99"/>
                </w:rPr>
                <w:t>Option Exercises and Stock Vested in Fiscal Year 2014</w:t>
              </w:r>
            </w:hyperlink>
          </w:p>
        </w:tc>
        <w:tc>
          <w:tcPr>
            <w:tcW w:w="3560" w:type="dxa"/>
            <w:vAlign w:val="bottom"/>
            <w:gridSpan w:val="6"/>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47</w:t>
              </w:r>
            </w:hyperlink>
          </w:p>
        </w:tc>
        <w:tc>
          <w:tcPr>
            <w:tcW w:w="180" w:type="dxa"/>
            <w:vAlign w:val="bottom"/>
          </w:tcPr>
          <w:p>
            <w:pPr>
              <w:spacing w:after="0"/>
              <w:rPr>
                <w:sz w:val="20"/>
                <w:szCs w:val="20"/>
                <w:color w:val="auto"/>
              </w:rPr>
            </w:pPr>
          </w:p>
        </w:tc>
      </w:tr>
      <w:tr>
        <w:trPr>
          <w:trHeight w:val="237"/>
        </w:trPr>
        <w:tc>
          <w:tcPr>
            <w:tcW w:w="180" w:type="dxa"/>
            <w:vAlign w:val="bottom"/>
            <w:shd w:val="clear" w:color="auto" w:fill="CCEEFF"/>
          </w:tcPr>
          <w:p>
            <w:pPr>
              <w:spacing w:after="0"/>
              <w:rPr>
                <w:sz w:val="20"/>
                <w:szCs w:val="20"/>
                <w:color w:val="auto"/>
              </w:rPr>
            </w:pPr>
          </w:p>
        </w:tc>
        <w:tc>
          <w:tcPr>
            <w:tcW w:w="7500" w:type="dxa"/>
            <w:vAlign w:val="bottom"/>
            <w:gridSpan w:val="30"/>
            <w:shd w:val="clear" w:color="auto" w:fill="CCEEFF"/>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Pension and Deferred Compensation Benefits</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53">
              <w:r>
                <w:rPr>
                  <w:rFonts w:ascii="Arial" w:cs="Arial" w:eastAsia="Arial" w:hAnsi="Arial"/>
                  <w:sz w:val="16"/>
                  <w:szCs w:val="16"/>
                  <w:color w:val="0000EE"/>
                </w:rPr>
                <w:t>48</w:t>
              </w:r>
            </w:hyperlink>
          </w:p>
        </w:tc>
        <w:tc>
          <w:tcPr>
            <w:tcW w:w="180" w:type="dxa"/>
            <w:vAlign w:val="bottom"/>
            <w:shd w:val="clear" w:color="auto" w:fill="CCEEFF"/>
          </w:tcPr>
          <w:p>
            <w:pPr>
              <w:spacing w:after="0"/>
              <w:rPr>
                <w:sz w:val="20"/>
                <w:szCs w:val="20"/>
                <w:color w:val="auto"/>
              </w:rPr>
            </w:pPr>
          </w:p>
        </w:tc>
      </w:tr>
      <w:tr>
        <w:trPr>
          <w:trHeight w:val="237"/>
        </w:trPr>
        <w:tc>
          <w:tcPr>
            <w:tcW w:w="180" w:type="dxa"/>
            <w:vAlign w:val="bottom"/>
            <w:tcBorders>
              <w:top w:val="single" w:sz="8" w:color="CCEEFF"/>
            </w:tcBorders>
          </w:tcPr>
          <w:p>
            <w:pPr>
              <w:spacing w:after="0"/>
              <w:rPr>
                <w:sz w:val="20"/>
                <w:szCs w:val="20"/>
                <w:color w:val="auto"/>
              </w:rPr>
            </w:pPr>
          </w:p>
        </w:tc>
        <w:tc>
          <w:tcPr>
            <w:tcW w:w="246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Potential Benefits on Termination</w:t>
              </w:r>
            </w:hyperlink>
          </w:p>
        </w:tc>
        <w:tc>
          <w:tcPr>
            <w:tcW w:w="820" w:type="dxa"/>
            <w:vAlign w:val="bottom"/>
            <w:tcBorders>
              <w:top w:val="single" w:sz="8" w:color="0000EE"/>
            </w:tcBorders>
            <w:gridSpan w:val="5"/>
          </w:tcPr>
          <w:p>
            <w:pPr>
              <w:spacing w:after="0"/>
              <w:rPr>
                <w:sz w:val="20"/>
                <w:szCs w:val="20"/>
                <w:color w:val="auto"/>
              </w:rPr>
            </w:pPr>
          </w:p>
        </w:tc>
        <w:tc>
          <w:tcPr>
            <w:tcW w:w="4220" w:type="dxa"/>
            <w:vAlign w:val="bottom"/>
            <w:tcBorders>
              <w:top w:val="single" w:sz="8" w:color="CCEEFF"/>
            </w:tcBorders>
            <w:gridSpan w:val="11"/>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50</w:t>
              </w:r>
            </w:hyperlink>
          </w:p>
        </w:tc>
        <w:tc>
          <w:tcPr>
            <w:tcW w:w="180" w:type="dxa"/>
            <w:vAlign w:val="bottom"/>
            <w:tcBorders>
              <w:top w:val="single" w:sz="8" w:color="CCEEFF"/>
            </w:tcBorders>
          </w:tcPr>
          <w:p>
            <w:pPr>
              <w:spacing w:after="0"/>
              <w:rPr>
                <w:sz w:val="20"/>
                <w:szCs w:val="20"/>
                <w:color w:val="auto"/>
              </w:rPr>
            </w:pPr>
          </w:p>
        </w:tc>
      </w:tr>
      <w:tr>
        <w:trPr>
          <w:trHeight w:val="237"/>
        </w:trPr>
        <w:tc>
          <w:tcPr>
            <w:tcW w:w="7680" w:type="dxa"/>
            <w:vAlign w:val="bottom"/>
            <w:gridSpan w:val="31"/>
            <w:shd w:val="clear" w:color="auto" w:fill="CCEEFF"/>
          </w:tcPr>
          <w:p>
            <w:pPr>
              <w:spacing w:after="0"/>
              <w:rPr>
                <w:rFonts w:ascii="Arial" w:cs="Arial" w:eastAsia="Arial" w:hAnsi="Arial"/>
                <w:sz w:val="16"/>
                <w:szCs w:val="16"/>
                <w:b w:val="1"/>
                <w:bCs w:val="1"/>
                <w:color w:val="0000EE"/>
              </w:rPr>
            </w:pPr>
            <w:hyperlink w:anchor="page60">
              <w:r>
                <w:rPr>
                  <w:rFonts w:ascii="Arial" w:cs="Arial" w:eastAsia="Arial" w:hAnsi="Arial"/>
                  <w:sz w:val="16"/>
                  <w:szCs w:val="16"/>
                  <w:b w:val="1"/>
                  <w:bCs w:val="1"/>
                  <w:color w:val="0000EE"/>
                </w:rPr>
                <w:t>Audit-Related Matters</w:t>
              </w:r>
            </w:hyperlink>
          </w:p>
        </w:tc>
        <w:tc>
          <w:tcPr>
            <w:tcW w:w="360" w:type="dxa"/>
            <w:vAlign w:val="bottom"/>
            <w:gridSpan w:val="3"/>
            <w:shd w:val="clear" w:color="auto" w:fill="CCEEFF"/>
          </w:tcPr>
          <w:p>
            <w:pPr>
              <w:jc w:val="right"/>
              <w:spacing w:after="0"/>
              <w:rPr>
                <w:rFonts w:ascii="Arial" w:cs="Arial" w:eastAsia="Arial" w:hAnsi="Arial"/>
                <w:sz w:val="16"/>
                <w:szCs w:val="16"/>
                <w:color w:val="0000EE"/>
              </w:rPr>
            </w:pPr>
            <w:hyperlink w:anchor="page60">
              <w:r>
                <w:rPr>
                  <w:rFonts w:ascii="Arial" w:cs="Arial" w:eastAsia="Arial" w:hAnsi="Arial"/>
                  <w:sz w:val="16"/>
                  <w:szCs w:val="16"/>
                  <w:color w:val="0000EE"/>
                </w:rPr>
                <w:t>55</w:t>
              </w:r>
            </w:hyperlink>
          </w:p>
        </w:tc>
        <w:tc>
          <w:tcPr>
            <w:tcW w:w="180" w:type="dxa"/>
            <w:vAlign w:val="bottom"/>
            <w:shd w:val="clear" w:color="auto" w:fill="CCEEFF"/>
          </w:tcPr>
          <w:p>
            <w:pPr>
              <w:spacing w:after="0"/>
              <w:rPr>
                <w:sz w:val="20"/>
                <w:szCs w:val="20"/>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720" w:type="dxa"/>
            <w:vAlign w:val="bottom"/>
            <w:tcBorders>
              <w:bottom w:val="single" w:sz="8" w:color="0000EE"/>
            </w:tcBorders>
            <w:gridSpan w:val="8"/>
          </w:tcPr>
          <w:p>
            <w:pPr>
              <w:spacing w:after="0"/>
              <w:rPr>
                <w:rFonts w:ascii="Arial" w:cs="Arial" w:eastAsia="Arial" w:hAnsi="Arial"/>
                <w:sz w:val="16"/>
                <w:szCs w:val="16"/>
                <w:color w:val="0000EE"/>
                <w:w w:val="99"/>
              </w:rPr>
            </w:pPr>
            <w:hyperlink w:anchor="page60">
              <w:r>
                <w:rPr>
                  <w:rFonts w:ascii="Arial" w:cs="Arial" w:eastAsia="Arial" w:hAnsi="Arial"/>
                  <w:sz w:val="16"/>
                  <w:szCs w:val="16"/>
                  <w:color w:val="0000EE"/>
                  <w:w w:val="99"/>
                </w:rPr>
                <w:t>Audit Committee Report</w:t>
              </w:r>
            </w:hyperlink>
          </w:p>
        </w:tc>
        <w:tc>
          <w:tcPr>
            <w:tcW w:w="5780" w:type="dxa"/>
            <w:vAlign w:val="bottom"/>
            <w:gridSpan w:val="22"/>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55</w:t>
              </w:r>
            </w:hyperlink>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-7005955</wp:posOffset>
            </wp:positionV>
            <wp:extent cx="48710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5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1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Page</w:t>
            </w:r>
          </w:p>
        </w:tc>
      </w:tr>
      <w:tr>
        <w:trPr>
          <w:trHeight w:val="203"/>
        </w:trPr>
        <w:tc>
          <w:tcPr>
            <w:tcW w:w="180" w:type="dxa"/>
            <w:vAlign w:val="bottom"/>
            <w:shd w:val="clear" w:color="auto" w:fill="CCEEFF"/>
          </w:tcPr>
          <w:p>
            <w:pPr>
              <w:spacing w:after="0"/>
              <w:rPr>
                <w:sz w:val="17"/>
                <w:szCs w:val="17"/>
                <w:color w:val="auto"/>
              </w:rPr>
            </w:pPr>
          </w:p>
        </w:tc>
        <w:tc>
          <w:tcPr>
            <w:tcW w:w="3220" w:type="dxa"/>
            <w:vAlign w:val="bottom"/>
            <w:gridSpan w:val="6"/>
            <w:shd w:val="clear" w:color="auto" w:fill="CCEEFF"/>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Principal Accounting Firm Fees and Services</w:t>
              </w:r>
            </w:hyperlink>
          </w:p>
        </w:tc>
        <w:tc>
          <w:tcPr>
            <w:tcW w:w="4260" w:type="dxa"/>
            <w:vAlign w:val="bottom"/>
            <w:gridSpan w:val="6"/>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rFonts w:ascii="Arial" w:cs="Arial" w:eastAsia="Arial" w:hAnsi="Arial"/>
                <w:sz w:val="16"/>
                <w:szCs w:val="16"/>
                <w:color w:val="0000EE"/>
              </w:rPr>
            </w:pPr>
            <w:hyperlink w:anchor="page61">
              <w:r>
                <w:rPr>
                  <w:rFonts w:ascii="Arial" w:cs="Arial" w:eastAsia="Arial" w:hAnsi="Arial"/>
                  <w:sz w:val="16"/>
                  <w:szCs w:val="16"/>
                  <w:color w:val="0000EE"/>
                </w:rPr>
                <w:t>56</w:t>
              </w:r>
            </w:hyperlink>
          </w:p>
        </w:tc>
        <w:tc>
          <w:tcPr>
            <w:tcW w:w="140" w:type="dxa"/>
            <w:vAlign w:val="bottom"/>
            <w:shd w:val="clear" w:color="auto" w:fill="CCEEFF"/>
          </w:tcPr>
          <w:p>
            <w:pPr>
              <w:spacing w:after="0"/>
              <w:rPr>
                <w:sz w:val="17"/>
                <w:szCs w:val="17"/>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7480" w:type="dxa"/>
            <w:vAlign w:val="bottom"/>
            <w:gridSpan w:val="12"/>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Policy on Pre-approval of Independent Registered Public Accounting Firm Services</w:t>
              </w:r>
            </w:hyperlink>
          </w:p>
        </w:tc>
        <w:tc>
          <w:tcPr>
            <w:tcW w:w="420" w:type="dxa"/>
            <w:vAlign w:val="bottom"/>
            <w:gridSpan w:val="3"/>
          </w:tcPr>
          <w:p>
            <w:pPr>
              <w:jc w:val="right"/>
              <w:spacing w:after="0"/>
              <w:rPr>
                <w:rFonts w:ascii="Arial" w:cs="Arial" w:eastAsia="Arial" w:hAnsi="Arial"/>
                <w:sz w:val="16"/>
                <w:szCs w:val="16"/>
                <w:color w:val="0000EE"/>
              </w:rPr>
            </w:pPr>
            <w:hyperlink w:anchor="page61">
              <w:r>
                <w:rPr>
                  <w:rFonts w:ascii="Arial" w:cs="Arial" w:eastAsia="Arial" w:hAnsi="Arial"/>
                  <w:sz w:val="16"/>
                  <w:szCs w:val="16"/>
                  <w:color w:val="0000EE"/>
                </w:rPr>
                <w:t>56</w:t>
              </w:r>
            </w:hyperlink>
          </w:p>
        </w:tc>
        <w:tc>
          <w:tcPr>
            <w:tcW w:w="14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860" w:type="dxa"/>
            <w:vAlign w:val="bottom"/>
            <w:gridSpan w:val="2"/>
            <w:shd w:val="clear" w:color="auto" w:fill="CCEEFF"/>
          </w:tcPr>
          <w:p>
            <w:pPr>
              <w:spacing w:after="0"/>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Proposal 2</w:t>
              </w:r>
            </w:hyperlink>
          </w:p>
        </w:tc>
        <w:tc>
          <w:tcPr>
            <w:tcW w:w="5040" w:type="dxa"/>
            <w:vAlign w:val="bottom"/>
            <w:gridSpan w:val="8"/>
            <w:shd w:val="clear" w:color="auto" w:fill="CCEEFF"/>
          </w:tcPr>
          <w:p>
            <w:pPr>
              <w:spacing w:after="0"/>
              <w:rPr>
                <w:rFonts w:ascii="Arial" w:cs="Arial" w:eastAsia="Arial" w:hAnsi="Arial"/>
                <w:sz w:val="16"/>
                <w:szCs w:val="16"/>
                <w:b w:val="1"/>
                <w:bCs w:val="1"/>
                <w:color w:val="0000EE"/>
              </w:rPr>
            </w:pPr>
            <w:hyperlink w:anchor="page62">
              <w:r>
                <w:rPr>
                  <w:rFonts w:ascii="Arial" w:cs="Arial" w:eastAsia="Arial" w:hAnsi="Arial"/>
                  <w:sz w:val="16"/>
                  <w:szCs w:val="16"/>
                  <w:b w:val="1"/>
                  <w:bCs w:val="1"/>
                  <w:color w:val="0000EE"/>
                </w:rPr>
                <w:t>— Ratification of Independent Registered Public Accounting Firm</w:t>
              </w:r>
            </w:hyperlink>
          </w:p>
        </w:tc>
        <w:tc>
          <w:tcPr>
            <w:tcW w:w="1760" w:type="dxa"/>
            <w:vAlign w:val="bottom"/>
            <w:gridSpan w:val="3"/>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rFonts w:ascii="Arial" w:cs="Arial" w:eastAsia="Arial" w:hAnsi="Arial"/>
                <w:sz w:val="16"/>
                <w:szCs w:val="16"/>
                <w:color w:val="0000EE"/>
              </w:rPr>
            </w:pPr>
            <w:hyperlink w:anchor="page62">
              <w:r>
                <w:rPr>
                  <w:rFonts w:ascii="Arial" w:cs="Arial" w:eastAsia="Arial" w:hAnsi="Arial"/>
                  <w:sz w:val="16"/>
                  <w:szCs w:val="16"/>
                  <w:color w:val="0000EE"/>
                </w:rPr>
                <w:t>57</w:t>
              </w:r>
            </w:hyperlink>
          </w:p>
        </w:tc>
        <w:tc>
          <w:tcPr>
            <w:tcW w:w="140" w:type="dxa"/>
            <w:vAlign w:val="bottom"/>
            <w:shd w:val="clear" w:color="auto" w:fill="CCEEFF"/>
          </w:tcPr>
          <w:p>
            <w:pPr>
              <w:spacing w:after="0"/>
              <w:rPr>
                <w:sz w:val="17"/>
                <w:szCs w:val="17"/>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860" w:type="dxa"/>
            <w:vAlign w:val="bottom"/>
            <w:gridSpan w:val="2"/>
          </w:tcPr>
          <w:p>
            <w:pPr>
              <w:spacing w:after="0"/>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Proposal 3</w:t>
              </w:r>
            </w:hyperlink>
          </w:p>
        </w:tc>
        <w:tc>
          <w:tcPr>
            <w:tcW w:w="5040" w:type="dxa"/>
            <w:vAlign w:val="bottom"/>
            <w:gridSpan w:val="8"/>
          </w:tcPr>
          <w:p>
            <w:pPr>
              <w:spacing w:after="0"/>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 Advisory Vote to Approve Executive Compensation</w:t>
              </w:r>
            </w:hyperlink>
          </w:p>
        </w:tc>
        <w:tc>
          <w:tcPr>
            <w:tcW w:w="1760" w:type="dxa"/>
            <w:vAlign w:val="bottom"/>
            <w:gridSpan w:val="3"/>
          </w:tcPr>
          <w:p>
            <w:pPr>
              <w:spacing w:after="0"/>
              <w:rPr>
                <w:sz w:val="17"/>
                <w:szCs w:val="17"/>
                <w:color w:val="auto"/>
              </w:rPr>
            </w:pPr>
          </w:p>
        </w:tc>
        <w:tc>
          <w:tcPr>
            <w:tcW w:w="420" w:type="dxa"/>
            <w:vAlign w:val="bottom"/>
            <w:gridSpan w:val="3"/>
          </w:tcPr>
          <w:p>
            <w:pPr>
              <w:jc w:val="right"/>
              <w:spacing w:after="0"/>
              <w:rPr>
                <w:rFonts w:ascii="Arial" w:cs="Arial" w:eastAsia="Arial" w:hAnsi="Arial"/>
                <w:sz w:val="16"/>
                <w:szCs w:val="16"/>
                <w:color w:val="0000EE"/>
              </w:rPr>
            </w:pPr>
            <w:hyperlink w:anchor="page63">
              <w:r>
                <w:rPr>
                  <w:rFonts w:ascii="Arial" w:cs="Arial" w:eastAsia="Arial" w:hAnsi="Arial"/>
                  <w:sz w:val="16"/>
                  <w:szCs w:val="16"/>
                  <w:color w:val="0000EE"/>
                </w:rPr>
                <w:t>58</w:t>
              </w:r>
            </w:hyperlink>
          </w:p>
        </w:tc>
        <w:tc>
          <w:tcPr>
            <w:tcW w:w="140" w:type="dxa"/>
            <w:vAlign w:val="bottom"/>
          </w:tcPr>
          <w:p>
            <w:pPr>
              <w:spacing w:after="0"/>
              <w:rPr>
                <w:sz w:val="17"/>
                <w:szCs w:val="17"/>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860" w:type="dxa"/>
            <w:vAlign w:val="bottom"/>
            <w:gridSpan w:val="2"/>
            <w:shd w:val="clear" w:color="auto" w:fill="CCEEFF"/>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Proposal 4</w:t>
              </w:r>
            </w:hyperlink>
          </w:p>
        </w:tc>
        <w:tc>
          <w:tcPr>
            <w:tcW w:w="5320" w:type="dxa"/>
            <w:vAlign w:val="bottom"/>
            <w:gridSpan w:val="10"/>
            <w:shd w:val="clear" w:color="auto" w:fill="CCEEFF"/>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 Approval of the Amended and Restated 2006 Equity Incentive Plan</w:t>
              </w:r>
            </w:hyperlink>
          </w:p>
        </w:tc>
        <w:tc>
          <w:tcPr>
            <w:tcW w:w="148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rFonts w:ascii="Arial" w:cs="Arial" w:eastAsia="Arial" w:hAnsi="Arial"/>
                <w:sz w:val="16"/>
                <w:szCs w:val="16"/>
                <w:color w:val="0000EE"/>
              </w:rPr>
            </w:pPr>
            <w:hyperlink w:anchor="page64">
              <w:r>
                <w:rPr>
                  <w:rFonts w:ascii="Arial" w:cs="Arial" w:eastAsia="Arial" w:hAnsi="Arial"/>
                  <w:sz w:val="16"/>
                  <w:szCs w:val="16"/>
                  <w:color w:val="0000EE"/>
                </w:rPr>
                <w:t>59</w:t>
              </w:r>
            </w:hyperlink>
          </w:p>
        </w:tc>
        <w:tc>
          <w:tcPr>
            <w:tcW w:w="140" w:type="dxa"/>
            <w:vAlign w:val="bottom"/>
            <w:shd w:val="clear" w:color="auto" w:fill="CCEEFF"/>
          </w:tcPr>
          <w:p>
            <w:pPr>
              <w:spacing w:after="0"/>
              <w:rPr>
                <w:sz w:val="17"/>
                <w:szCs w:val="17"/>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180" w:type="dxa"/>
            <w:vAlign w:val="bottom"/>
            <w:gridSpan w:val="12"/>
          </w:tcPr>
          <w:p>
            <w:pPr>
              <w:spacing w:after="0"/>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Equity Compensation Plan Information</w:t>
              </w:r>
            </w:hyperlink>
          </w:p>
        </w:tc>
        <w:tc>
          <w:tcPr>
            <w:tcW w:w="1480" w:type="dxa"/>
            <w:vAlign w:val="bottom"/>
          </w:tcPr>
          <w:p>
            <w:pPr>
              <w:spacing w:after="0"/>
              <w:rPr>
                <w:sz w:val="17"/>
                <w:szCs w:val="17"/>
                <w:color w:val="auto"/>
              </w:rPr>
            </w:pPr>
          </w:p>
        </w:tc>
        <w:tc>
          <w:tcPr>
            <w:tcW w:w="420" w:type="dxa"/>
            <w:vAlign w:val="bottom"/>
            <w:gridSpan w:val="3"/>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66</w:t>
              </w:r>
            </w:hyperlink>
          </w:p>
        </w:tc>
        <w:tc>
          <w:tcPr>
            <w:tcW w:w="140" w:type="dxa"/>
            <w:vAlign w:val="bottom"/>
          </w:tcPr>
          <w:p>
            <w:pPr>
              <w:spacing w:after="0"/>
              <w:rPr>
                <w:sz w:val="17"/>
                <w:szCs w:val="17"/>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160" w:type="dxa"/>
            <w:vAlign w:val="bottom"/>
            <w:gridSpan w:val="9"/>
            <w:shd w:val="clear" w:color="auto" w:fill="CCEEFF"/>
          </w:tcPr>
          <w:p>
            <w:pPr>
              <w:spacing w:after="0"/>
              <w:rPr>
                <w:rFonts w:ascii="Arial" w:cs="Arial" w:eastAsia="Arial" w:hAnsi="Arial"/>
                <w:sz w:val="16"/>
                <w:szCs w:val="16"/>
                <w:b w:val="1"/>
                <w:bCs w:val="1"/>
                <w:color w:val="0000EE"/>
              </w:rPr>
            </w:pPr>
            <w:hyperlink w:anchor="page72">
              <w:r>
                <w:rPr>
                  <w:rFonts w:ascii="Arial" w:cs="Arial" w:eastAsia="Arial" w:hAnsi="Arial"/>
                  <w:sz w:val="16"/>
                  <w:szCs w:val="16"/>
                  <w:b w:val="1"/>
                  <w:bCs w:val="1"/>
                  <w:color w:val="0000EE"/>
                </w:rPr>
                <w:t>Security Ownership of Management and Certain Beneficial Owners</w:t>
              </w:r>
            </w:hyperlink>
          </w:p>
        </w:tc>
        <w:tc>
          <w:tcPr>
            <w:tcW w:w="2500" w:type="dxa"/>
            <w:vAlign w:val="bottom"/>
            <w:gridSpan w:val="4"/>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rFonts w:ascii="Arial" w:cs="Arial" w:eastAsia="Arial" w:hAnsi="Arial"/>
                <w:sz w:val="16"/>
                <w:szCs w:val="16"/>
                <w:color w:val="0000EE"/>
              </w:rPr>
            </w:pPr>
            <w:hyperlink w:anchor="page72">
              <w:r>
                <w:rPr>
                  <w:rFonts w:ascii="Arial" w:cs="Arial" w:eastAsia="Arial" w:hAnsi="Arial"/>
                  <w:sz w:val="16"/>
                  <w:szCs w:val="16"/>
                  <w:color w:val="0000EE"/>
                </w:rPr>
                <w:t>67</w:t>
              </w:r>
            </w:hyperlink>
          </w:p>
        </w:tc>
        <w:tc>
          <w:tcPr>
            <w:tcW w:w="140" w:type="dxa"/>
            <w:vAlign w:val="bottom"/>
            <w:shd w:val="clear" w:color="auto" w:fill="CCEEFF"/>
          </w:tcPr>
          <w:p>
            <w:pPr>
              <w:spacing w:after="0"/>
              <w:rPr>
                <w:sz w:val="17"/>
                <w:szCs w:val="17"/>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160" w:type="dxa"/>
            <w:vAlign w:val="bottom"/>
            <w:gridSpan w:val="9"/>
          </w:tcPr>
          <w:p>
            <w:pPr>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Other Matters</w:t>
              </w:r>
            </w:hyperlink>
          </w:p>
        </w:tc>
        <w:tc>
          <w:tcPr>
            <w:tcW w:w="2500" w:type="dxa"/>
            <w:vAlign w:val="bottom"/>
            <w:gridSpan w:val="4"/>
          </w:tcPr>
          <w:p>
            <w:pPr>
              <w:spacing w:after="0"/>
              <w:rPr>
                <w:sz w:val="18"/>
                <w:szCs w:val="18"/>
                <w:color w:val="auto"/>
              </w:rPr>
            </w:pPr>
          </w:p>
        </w:tc>
        <w:tc>
          <w:tcPr>
            <w:tcW w:w="420" w:type="dxa"/>
            <w:vAlign w:val="bottom"/>
            <w:gridSpan w:val="3"/>
          </w:tcPr>
          <w:p>
            <w:pPr>
              <w:jc w:val="right"/>
              <w:spacing w:after="0"/>
              <w:rPr>
                <w:rFonts w:ascii="Arial" w:cs="Arial" w:eastAsia="Arial" w:hAnsi="Arial"/>
                <w:sz w:val="16"/>
                <w:szCs w:val="16"/>
                <w:color w:val="0000EE"/>
              </w:rPr>
            </w:pPr>
            <w:hyperlink w:anchor="page74">
              <w:r>
                <w:rPr>
                  <w:rFonts w:ascii="Arial" w:cs="Arial" w:eastAsia="Arial" w:hAnsi="Arial"/>
                  <w:sz w:val="16"/>
                  <w:szCs w:val="16"/>
                  <w:color w:val="0000EE"/>
                </w:rPr>
                <w:t>69</w:t>
              </w:r>
            </w:hyperlink>
          </w:p>
        </w:tc>
        <w:tc>
          <w:tcPr>
            <w:tcW w:w="14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2900" w:type="dxa"/>
            <w:vAlign w:val="bottom"/>
            <w:gridSpan w:val="5"/>
            <w:shd w:val="clear" w:color="auto" w:fill="CCEEFF"/>
          </w:tcPr>
          <w:p>
            <w:pPr>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2016 Annual Meeting of Shareholders</w:t>
              </w:r>
            </w:hyperlink>
          </w:p>
        </w:tc>
        <w:tc>
          <w:tcPr>
            <w:tcW w:w="4760" w:type="dxa"/>
            <w:vAlign w:val="bottom"/>
            <w:gridSpan w:val="8"/>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rFonts w:ascii="Arial" w:cs="Arial" w:eastAsia="Arial" w:hAnsi="Arial"/>
                <w:sz w:val="16"/>
                <w:szCs w:val="16"/>
                <w:color w:val="0000EE"/>
              </w:rPr>
            </w:pPr>
            <w:hyperlink w:anchor="page74">
              <w:r>
                <w:rPr>
                  <w:rFonts w:ascii="Arial" w:cs="Arial" w:eastAsia="Arial" w:hAnsi="Arial"/>
                  <w:sz w:val="16"/>
                  <w:szCs w:val="16"/>
                  <w:color w:val="0000EE"/>
                </w:rPr>
                <w:t>69</w:t>
              </w:r>
            </w:hyperlink>
          </w:p>
        </w:tc>
        <w:tc>
          <w:tcPr>
            <w:tcW w:w="14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900" w:type="dxa"/>
            <w:vAlign w:val="bottom"/>
            <w:gridSpan w:val="5"/>
          </w:tcPr>
          <w:p>
            <w:pPr>
              <w:spacing w:after="0"/>
              <w:rPr>
                <w:rFonts w:ascii="Arial" w:cs="Arial" w:eastAsia="Arial" w:hAnsi="Arial"/>
                <w:sz w:val="16"/>
                <w:szCs w:val="16"/>
                <w:b w:val="1"/>
                <w:bCs w:val="1"/>
                <w:color w:val="0000EE"/>
              </w:rPr>
            </w:pPr>
            <w:hyperlink w:anchor="page75">
              <w:r>
                <w:rPr>
                  <w:rFonts w:ascii="Arial" w:cs="Arial" w:eastAsia="Arial" w:hAnsi="Arial"/>
                  <w:sz w:val="16"/>
                  <w:szCs w:val="16"/>
                  <w:b w:val="1"/>
                  <w:bCs w:val="1"/>
                  <w:color w:val="0000EE"/>
                </w:rPr>
                <w:t>Appendix A</w:t>
              </w:r>
            </w:hyperlink>
          </w:p>
        </w:tc>
        <w:tc>
          <w:tcPr>
            <w:tcW w:w="476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140"/>
              <w:spacing w:after="0"/>
              <w:rPr>
                <w:rFonts w:ascii="Arial" w:cs="Arial" w:eastAsia="Arial" w:hAnsi="Arial"/>
                <w:sz w:val="16"/>
                <w:szCs w:val="16"/>
                <w:color w:val="0000EE"/>
                <w:w w:val="96"/>
              </w:rPr>
            </w:pPr>
            <w:hyperlink w:anchor="page75">
              <w:r>
                <w:rPr>
                  <w:rFonts w:ascii="Arial" w:cs="Arial" w:eastAsia="Arial" w:hAnsi="Arial"/>
                  <w:sz w:val="16"/>
                  <w:szCs w:val="16"/>
                  <w:color w:val="0000EE"/>
                  <w:w w:val="96"/>
                </w:rPr>
                <w:t>A-1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60" w:type="dxa"/>
            <w:vAlign w:val="bottom"/>
            <w:gridSpan w:val="13"/>
            <w:shd w:val="clear" w:color="auto" w:fill="CCEEFF"/>
          </w:tcPr>
          <w:p>
            <w:pPr>
              <w:spacing w:after="0"/>
              <w:rPr>
                <w:rFonts w:ascii="Arial" w:cs="Arial" w:eastAsia="Arial" w:hAnsi="Arial"/>
                <w:sz w:val="16"/>
                <w:szCs w:val="16"/>
                <w:b w:val="1"/>
                <w:bCs w:val="1"/>
                <w:color w:val="0000EE"/>
              </w:rPr>
            </w:pPr>
            <w:hyperlink w:anchor="page76">
              <w:r>
                <w:rPr>
                  <w:rFonts w:ascii="Arial" w:cs="Arial" w:eastAsia="Arial" w:hAnsi="Arial"/>
                  <w:sz w:val="16"/>
                  <w:szCs w:val="16"/>
                  <w:b w:val="1"/>
                  <w:bCs w:val="1"/>
                  <w:color w:val="0000EE"/>
                </w:rPr>
                <w:t>Appendix B</w:t>
              </w:r>
            </w:hyperlink>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40"/>
              <w:spacing w:after="0"/>
              <w:rPr>
                <w:rFonts w:ascii="Arial" w:cs="Arial" w:eastAsia="Arial" w:hAnsi="Arial"/>
                <w:sz w:val="16"/>
                <w:szCs w:val="16"/>
                <w:color w:val="0000EE"/>
                <w:w w:val="96"/>
              </w:rPr>
            </w:pPr>
            <w:hyperlink w:anchor="page76">
              <w:r>
                <w:rPr>
                  <w:rFonts w:ascii="Arial" w:cs="Arial" w:eastAsia="Arial" w:hAnsi="Arial"/>
                  <w:sz w:val="16"/>
                  <w:szCs w:val="16"/>
                  <w:color w:val="0000EE"/>
                  <w:w w:val="96"/>
                </w:rPr>
                <w:t>B-1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-1740535</wp:posOffset>
            </wp:positionV>
            <wp:extent cx="4862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62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7760"/>
        <w:spacing w:after="0"/>
        <w:rPr>
          <w:sz w:val="20"/>
          <w:szCs w:val="20"/>
          <w:color w:val="auto"/>
        </w:rPr>
      </w:pPr>
      <w:r>
        <w:rPr>
          <w:rFonts w:ascii="Arial" w:cs="Arial" w:eastAsia="Arial" w:hAnsi="Arial"/>
          <w:sz w:val="18"/>
          <w:szCs w:val="18"/>
          <w:color w:val="004FF9"/>
        </w:rPr>
        <w:t>Summary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169545</wp:posOffset>
            </wp:positionV>
            <wp:extent cx="6182995" cy="6011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82995" cy="60115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004FF9"/>
        </w:rPr>
        <w:t>Proxy Statement Summary</w:t>
      </w:r>
    </w:p>
    <w:p>
      <w:pPr>
        <w:spacing w:after="0" w:line="66" w:lineRule="exact"/>
        <w:rPr>
          <w:sz w:val="20"/>
          <w:szCs w:val="20"/>
          <w:color w:val="auto"/>
        </w:rPr>
      </w:pPr>
    </w:p>
    <w:p>
      <w:pPr>
        <w:ind w:left="560" w:right="60"/>
        <w:spacing w:after="0" w:line="260" w:lineRule="auto"/>
        <w:rPr>
          <w:sz w:val="20"/>
          <w:szCs w:val="20"/>
          <w:color w:val="auto"/>
        </w:rPr>
      </w:pPr>
      <w:r>
        <w:rPr>
          <w:rFonts w:ascii="Arial" w:cs="Arial" w:eastAsia="Arial" w:hAnsi="Arial"/>
          <w:sz w:val="16"/>
          <w:szCs w:val="16"/>
          <w:color w:val="auto"/>
        </w:rPr>
        <w:t>This summary highlights information contained elsewhere in this proxy statement. You should read the entire proxy statement carefully before voting.</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004FF9"/>
        </w:rPr>
        <w:t>Annual Meeting of Shareholders</w:t>
      </w:r>
    </w:p>
    <w:p>
      <w:pPr>
        <w:spacing w:after="0" w:line="113" w:lineRule="exact"/>
        <w:rPr>
          <w:sz w:val="20"/>
          <w:szCs w:val="20"/>
          <w:color w:val="auto"/>
        </w:rPr>
      </w:pPr>
    </w:p>
    <w:p>
      <w:pPr>
        <w:ind w:left="1200" w:hanging="319"/>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004FF9"/>
        </w:rPr>
        <w:t>Time and Date:</w:t>
      </w:r>
      <w:r>
        <w:rPr>
          <w:rFonts w:ascii="Arial" w:cs="Arial" w:eastAsia="Arial" w:hAnsi="Arial"/>
          <w:sz w:val="16"/>
          <w:szCs w:val="16"/>
          <w:color w:val="auto"/>
        </w:rPr>
        <w:t>10:00 a.m. Eastern Time, March 4, 2015</w:t>
      </w:r>
    </w:p>
    <w:p>
      <w:pPr>
        <w:spacing w:after="0" w:line="25" w:lineRule="exact"/>
        <w:rPr>
          <w:sz w:val="20"/>
          <w:szCs w:val="20"/>
          <w:color w:val="auto"/>
        </w:rPr>
      </w:pPr>
    </w:p>
    <w:tbl>
      <w:tblPr>
        <w:tblLayout w:type="fixed"/>
        <w:tblInd w:w="880" w:type="dxa"/>
        <w:tblCellMar>
          <w:top w:w="0" w:type="dxa"/>
          <w:left w:w="0" w:type="dxa"/>
          <w:bottom w:w="0" w:type="dxa"/>
          <w:right w:w="0" w:type="dxa"/>
        </w:tblCellMar>
      </w:tblPr>
      <w:tr>
        <w:trPr>
          <w:trHeight w:val="189"/>
        </w:trPr>
        <w:tc>
          <w:tcPr>
            <w:tcW w:w="200" w:type="dxa"/>
            <w:vAlign w:val="bottom"/>
          </w:tcPr>
          <w:p>
            <w:pPr>
              <w:spacing w:after="0"/>
              <w:rPr>
                <w:sz w:val="20"/>
                <w:szCs w:val="20"/>
                <w:color w:val="auto"/>
              </w:rPr>
            </w:pPr>
            <w:r>
              <w:rPr>
                <w:rFonts w:ascii="Arial" w:cs="Arial" w:eastAsia="Arial" w:hAnsi="Arial"/>
                <w:sz w:val="16"/>
                <w:szCs w:val="16"/>
                <w:color w:val="auto"/>
              </w:rPr>
              <w:t>•</w:t>
            </w:r>
          </w:p>
        </w:tc>
        <w:tc>
          <w:tcPr>
            <w:tcW w:w="1740" w:type="dxa"/>
            <w:vAlign w:val="bottom"/>
          </w:tcPr>
          <w:p>
            <w:pPr>
              <w:ind w:left="120"/>
              <w:spacing w:after="0"/>
              <w:rPr>
                <w:sz w:val="20"/>
                <w:szCs w:val="20"/>
                <w:color w:val="auto"/>
              </w:rPr>
            </w:pPr>
            <w:r>
              <w:rPr>
                <w:rFonts w:ascii="Arial" w:cs="Arial" w:eastAsia="Arial" w:hAnsi="Arial"/>
                <w:sz w:val="16"/>
                <w:szCs w:val="16"/>
                <w:b w:val="1"/>
                <w:bCs w:val="1"/>
                <w:color w:val="004FF9"/>
              </w:rPr>
              <w:t>Place:</w:t>
            </w:r>
          </w:p>
        </w:tc>
        <w:tc>
          <w:tcPr>
            <w:tcW w:w="2580" w:type="dxa"/>
            <w:vAlign w:val="bottom"/>
          </w:tcPr>
          <w:p>
            <w:pPr>
              <w:ind w:left="620"/>
              <w:spacing w:after="0"/>
              <w:rPr>
                <w:sz w:val="20"/>
                <w:szCs w:val="20"/>
                <w:color w:val="auto"/>
              </w:rPr>
            </w:pPr>
            <w:r>
              <w:rPr>
                <w:rFonts w:ascii="Arial" w:cs="Arial" w:eastAsia="Arial" w:hAnsi="Arial"/>
                <w:sz w:val="16"/>
                <w:szCs w:val="16"/>
                <w:color w:val="auto"/>
              </w:rPr>
              <w:t>Hotel Sofitel New York</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580" w:type="dxa"/>
            <w:vAlign w:val="bottom"/>
          </w:tcPr>
          <w:p>
            <w:pPr>
              <w:ind w:left="620"/>
              <w:spacing w:after="0"/>
              <w:rPr>
                <w:sz w:val="20"/>
                <w:szCs w:val="20"/>
                <w:color w:val="auto"/>
              </w:rPr>
            </w:pPr>
            <w:r>
              <w:rPr>
                <w:rFonts w:ascii="Arial" w:cs="Arial" w:eastAsia="Arial" w:hAnsi="Arial"/>
                <w:sz w:val="16"/>
                <w:szCs w:val="16"/>
                <w:color w:val="auto"/>
              </w:rPr>
              <w:t>45 West 44th Street</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1740" w:type="dxa"/>
            <w:vAlign w:val="bottom"/>
            <w:vMerge w:val="restart"/>
          </w:tcPr>
          <w:p>
            <w:pPr>
              <w:ind w:left="120"/>
              <w:spacing w:after="0"/>
              <w:rPr>
                <w:sz w:val="20"/>
                <w:szCs w:val="20"/>
                <w:color w:val="auto"/>
              </w:rPr>
            </w:pPr>
            <w:r>
              <w:rPr>
                <w:rFonts w:ascii="Arial" w:cs="Arial" w:eastAsia="Arial" w:hAnsi="Arial"/>
                <w:sz w:val="16"/>
                <w:szCs w:val="16"/>
                <w:b w:val="1"/>
                <w:bCs w:val="1"/>
                <w:color w:val="004FF9"/>
              </w:rPr>
              <w:t>Record Date:</w:t>
            </w:r>
          </w:p>
        </w:tc>
        <w:tc>
          <w:tcPr>
            <w:tcW w:w="2580" w:type="dxa"/>
            <w:vAlign w:val="bottom"/>
          </w:tcPr>
          <w:p>
            <w:pPr>
              <w:ind w:left="620"/>
              <w:spacing w:after="0"/>
              <w:rPr>
                <w:sz w:val="20"/>
                <w:szCs w:val="20"/>
                <w:color w:val="auto"/>
              </w:rPr>
            </w:pPr>
            <w:r>
              <w:rPr>
                <w:rFonts w:ascii="Arial" w:cs="Arial" w:eastAsia="Arial" w:hAnsi="Arial"/>
                <w:sz w:val="16"/>
                <w:szCs w:val="16"/>
                <w:color w:val="auto"/>
                <w:w w:val="98"/>
              </w:rPr>
              <w:t>New York, New York 10036</w:t>
            </w:r>
          </w:p>
        </w:tc>
        <w:tc>
          <w:tcPr>
            <w:tcW w:w="0" w:type="dxa"/>
            <w:vAlign w:val="bottom"/>
          </w:tcPr>
          <w:p>
            <w:pPr>
              <w:spacing w:after="0"/>
              <w:rPr>
                <w:sz w:val="1"/>
                <w:szCs w:val="1"/>
                <w:color w:val="auto"/>
              </w:rPr>
            </w:pPr>
          </w:p>
        </w:tc>
      </w:tr>
      <w:tr>
        <w:trPr>
          <w:trHeight w:val="169"/>
        </w:trPr>
        <w:tc>
          <w:tcPr>
            <w:tcW w:w="2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740" w:type="dxa"/>
            <w:vAlign w:val="bottom"/>
            <w:vMerge w:val="continue"/>
          </w:tcPr>
          <w:p>
            <w:pPr>
              <w:spacing w:after="0"/>
              <w:rPr>
                <w:sz w:val="14"/>
                <w:szCs w:val="14"/>
                <w:color w:val="auto"/>
              </w:rPr>
            </w:pPr>
          </w:p>
        </w:tc>
        <w:tc>
          <w:tcPr>
            <w:tcW w:w="2580" w:type="dxa"/>
            <w:vAlign w:val="bottom"/>
          </w:tcPr>
          <w:p>
            <w:pPr>
              <w:ind w:left="620"/>
              <w:spacing w:after="0" w:line="169" w:lineRule="exact"/>
              <w:rPr>
                <w:sz w:val="20"/>
                <w:szCs w:val="20"/>
                <w:color w:val="auto"/>
              </w:rPr>
            </w:pPr>
            <w:r>
              <w:rPr>
                <w:rFonts w:ascii="Arial" w:cs="Arial" w:eastAsia="Arial" w:hAnsi="Arial"/>
                <w:sz w:val="16"/>
                <w:szCs w:val="16"/>
                <w:color w:val="auto"/>
              </w:rPr>
              <w:t>January 14, 2015</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20"/>
                <w:szCs w:val="20"/>
                <w:color w:val="auto"/>
              </w:rPr>
            </w:pPr>
            <w:r>
              <w:rPr>
                <w:rFonts w:ascii="Arial" w:cs="Arial" w:eastAsia="Arial" w:hAnsi="Arial"/>
                <w:sz w:val="16"/>
                <w:szCs w:val="16"/>
                <w:color w:val="auto"/>
              </w:rPr>
              <w:t>•</w:t>
            </w:r>
          </w:p>
        </w:tc>
        <w:tc>
          <w:tcPr>
            <w:tcW w:w="1740" w:type="dxa"/>
            <w:vAlign w:val="bottom"/>
          </w:tcPr>
          <w:p>
            <w:pPr>
              <w:ind w:left="120"/>
              <w:spacing w:after="0"/>
              <w:rPr>
                <w:sz w:val="20"/>
                <w:szCs w:val="20"/>
                <w:color w:val="auto"/>
              </w:rPr>
            </w:pPr>
            <w:r>
              <w:rPr>
                <w:rFonts w:ascii="Arial" w:cs="Arial" w:eastAsia="Arial" w:hAnsi="Arial"/>
                <w:sz w:val="16"/>
                <w:szCs w:val="16"/>
                <w:b w:val="1"/>
                <w:bCs w:val="1"/>
                <w:color w:val="004FF9"/>
              </w:rPr>
              <w:t>Voting:</w:t>
            </w:r>
          </w:p>
        </w:tc>
        <w:tc>
          <w:tcPr>
            <w:tcW w:w="2580" w:type="dxa"/>
            <w:vAlign w:val="bottom"/>
          </w:tcPr>
          <w:p>
            <w:pPr>
              <w:ind w:left="62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004FF9"/>
        </w:rPr>
        <w:t>Meeting Agenda</w:t>
      </w:r>
    </w:p>
    <w:p>
      <w:pPr>
        <w:spacing w:after="0" w:line="133" w:lineRule="exact"/>
        <w:rPr>
          <w:sz w:val="20"/>
          <w:szCs w:val="20"/>
          <w:color w:val="auto"/>
        </w:rPr>
      </w:pPr>
    </w:p>
    <w:p>
      <w:pPr>
        <w:ind w:left="1200" w:hanging="319"/>
        <w:spacing w:after="0"/>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Election of three directors</w:t>
      </w:r>
    </w:p>
    <w:p>
      <w:pPr>
        <w:spacing w:after="0" w:line="5" w:lineRule="exact"/>
        <w:rPr>
          <w:rFonts w:ascii="Arial" w:cs="Arial" w:eastAsia="Arial" w:hAnsi="Arial"/>
          <w:sz w:val="16"/>
          <w:szCs w:val="16"/>
          <w:color w:val="auto"/>
        </w:rPr>
      </w:pPr>
    </w:p>
    <w:p>
      <w:pPr>
        <w:ind w:left="1200" w:hanging="319"/>
        <w:spacing w:after="0"/>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Ratification of the selection of KPMG LLP as ABM’s independent registered public accounting firm for fiscal year 2015</w:t>
      </w:r>
    </w:p>
    <w:p>
      <w:pPr>
        <w:spacing w:after="0" w:line="5" w:lineRule="exact"/>
        <w:rPr>
          <w:rFonts w:ascii="Arial" w:cs="Arial" w:eastAsia="Arial" w:hAnsi="Arial"/>
          <w:sz w:val="16"/>
          <w:szCs w:val="16"/>
          <w:color w:val="auto"/>
        </w:rPr>
      </w:pPr>
    </w:p>
    <w:p>
      <w:pPr>
        <w:ind w:left="1200" w:hanging="319"/>
        <w:spacing w:after="0"/>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Non-binding advisory vote to approve executive compensation</w:t>
      </w:r>
    </w:p>
    <w:p>
      <w:pPr>
        <w:spacing w:after="0" w:line="5" w:lineRule="exact"/>
        <w:rPr>
          <w:rFonts w:ascii="Arial" w:cs="Arial" w:eastAsia="Arial" w:hAnsi="Arial"/>
          <w:sz w:val="16"/>
          <w:szCs w:val="16"/>
          <w:color w:val="auto"/>
        </w:rPr>
      </w:pPr>
    </w:p>
    <w:p>
      <w:pPr>
        <w:ind w:left="1200" w:hanging="319"/>
        <w:spacing w:after="0"/>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Approval of the Amended and Restated 2006 Equity Incentive Plan</w:t>
      </w:r>
    </w:p>
    <w:p>
      <w:pPr>
        <w:spacing w:after="0" w:line="5" w:lineRule="exact"/>
        <w:rPr>
          <w:rFonts w:ascii="Arial" w:cs="Arial" w:eastAsia="Arial" w:hAnsi="Arial"/>
          <w:sz w:val="16"/>
          <w:szCs w:val="16"/>
          <w:color w:val="auto"/>
        </w:rPr>
      </w:pPr>
    </w:p>
    <w:p>
      <w:pPr>
        <w:ind w:left="1200" w:hanging="319"/>
        <w:spacing w:after="0"/>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Transact any other business that may properly come before the meeting</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215"/>
        </w:trPr>
        <w:tc>
          <w:tcPr>
            <w:tcW w:w="3600" w:type="dxa"/>
            <w:vAlign w:val="bottom"/>
          </w:tcPr>
          <w:p>
            <w:pPr>
              <w:spacing w:after="0"/>
              <w:rPr>
                <w:sz w:val="20"/>
                <w:szCs w:val="20"/>
                <w:color w:val="auto"/>
              </w:rPr>
            </w:pPr>
            <w:r>
              <w:rPr>
                <w:rFonts w:ascii="Arial" w:cs="Arial" w:eastAsia="Arial" w:hAnsi="Arial"/>
                <w:sz w:val="16"/>
                <w:szCs w:val="16"/>
                <w:b w:val="1"/>
                <w:bCs w:val="1"/>
                <w:color w:val="004FF9"/>
              </w:rPr>
              <w:t>Voting Matters</w:t>
            </w:r>
          </w:p>
        </w:tc>
        <w:tc>
          <w:tcPr>
            <w:tcW w:w="3880" w:type="dxa"/>
            <w:vAlign w:val="bottom"/>
            <w:vMerge w:val="restart"/>
          </w:tcPr>
          <w:p>
            <w:pPr>
              <w:jc w:val="center"/>
              <w:spacing w:after="0"/>
              <w:rPr>
                <w:sz w:val="20"/>
                <w:szCs w:val="20"/>
                <w:color w:val="auto"/>
              </w:rPr>
            </w:pPr>
            <w:r>
              <w:rPr>
                <w:rFonts w:ascii="Arial" w:cs="Arial" w:eastAsia="Arial" w:hAnsi="Arial"/>
                <w:sz w:val="16"/>
                <w:szCs w:val="16"/>
                <w:b w:val="1"/>
                <w:bCs w:val="1"/>
                <w:color w:val="004FF9"/>
                <w:w w:val="98"/>
              </w:rPr>
              <w:t>Board Vote</w:t>
            </w:r>
          </w:p>
        </w:tc>
        <w:tc>
          <w:tcPr>
            <w:tcW w:w="1960" w:type="dxa"/>
            <w:vAlign w:val="bottom"/>
            <w:vMerge w:val="restart"/>
          </w:tcPr>
          <w:p>
            <w:pPr>
              <w:jc w:val="right"/>
              <w:spacing w:after="0"/>
              <w:rPr>
                <w:sz w:val="20"/>
                <w:szCs w:val="20"/>
                <w:color w:val="auto"/>
              </w:rPr>
            </w:pPr>
            <w:r>
              <w:rPr>
                <w:rFonts w:ascii="Arial" w:cs="Arial" w:eastAsia="Arial" w:hAnsi="Arial"/>
                <w:sz w:val="16"/>
                <w:szCs w:val="16"/>
                <w:b w:val="1"/>
                <w:bCs w:val="1"/>
                <w:color w:val="004FF9"/>
              </w:rPr>
              <w:t>Page Reference</w:t>
            </w: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388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820"/>
              <w:spacing w:after="0"/>
              <w:rPr>
                <w:sz w:val="20"/>
                <w:szCs w:val="20"/>
                <w:color w:val="auto"/>
              </w:rPr>
            </w:pPr>
            <w:r>
              <w:rPr>
                <w:rFonts w:ascii="Arial" w:cs="Arial" w:eastAsia="Arial" w:hAnsi="Arial"/>
                <w:sz w:val="16"/>
                <w:szCs w:val="16"/>
                <w:b w:val="1"/>
                <w:bCs w:val="1"/>
                <w:color w:val="004FF9"/>
              </w:rPr>
              <w:t>Board Proposals</w:t>
            </w:r>
          </w:p>
        </w:tc>
        <w:tc>
          <w:tcPr>
            <w:tcW w:w="3880" w:type="dxa"/>
            <w:vAlign w:val="bottom"/>
          </w:tcPr>
          <w:p>
            <w:pPr>
              <w:jc w:val="center"/>
              <w:spacing w:after="0"/>
              <w:rPr>
                <w:sz w:val="20"/>
                <w:szCs w:val="20"/>
                <w:color w:val="auto"/>
              </w:rPr>
            </w:pPr>
            <w:r>
              <w:rPr>
                <w:rFonts w:ascii="Arial" w:cs="Arial" w:eastAsia="Arial" w:hAnsi="Arial"/>
                <w:sz w:val="16"/>
                <w:szCs w:val="16"/>
                <w:b w:val="1"/>
                <w:bCs w:val="1"/>
                <w:color w:val="004FF9"/>
              </w:rPr>
              <w:t>Recommendation</w:t>
            </w:r>
          </w:p>
        </w:tc>
        <w:tc>
          <w:tcPr>
            <w:tcW w:w="1960" w:type="dxa"/>
            <w:vAlign w:val="bottom"/>
          </w:tcPr>
          <w:p>
            <w:pPr>
              <w:jc w:val="right"/>
              <w:spacing w:after="0"/>
              <w:rPr>
                <w:sz w:val="20"/>
                <w:szCs w:val="20"/>
                <w:color w:val="auto"/>
              </w:rPr>
            </w:pPr>
            <w:r>
              <w:rPr>
                <w:rFonts w:ascii="Arial" w:cs="Arial" w:eastAsia="Arial" w:hAnsi="Arial"/>
                <w:sz w:val="16"/>
                <w:szCs w:val="16"/>
                <w:b w:val="1"/>
                <w:bCs w:val="1"/>
                <w:color w:val="004FF9"/>
              </w:rPr>
              <w:t>(for more detail)</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6"/>
                <w:szCs w:val="16"/>
                <w:color w:val="auto"/>
              </w:rPr>
              <w:t>Election of Directors</w:t>
            </w:r>
          </w:p>
        </w:tc>
        <w:tc>
          <w:tcPr>
            <w:tcW w:w="3880" w:type="dxa"/>
            <w:vAlign w:val="bottom"/>
          </w:tcPr>
          <w:p>
            <w:pPr>
              <w:jc w:val="center"/>
              <w:spacing w:after="0"/>
              <w:rPr>
                <w:sz w:val="20"/>
                <w:szCs w:val="20"/>
                <w:color w:val="auto"/>
              </w:rPr>
            </w:pPr>
            <w:r>
              <w:rPr>
                <w:rFonts w:ascii="Arial" w:cs="Arial" w:eastAsia="Arial" w:hAnsi="Arial"/>
                <w:sz w:val="16"/>
                <w:szCs w:val="16"/>
                <w:color w:val="auto"/>
              </w:rPr>
              <w:t>FOR EACH DIRECTOR NOMINEE</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2"/>
        </w:trPr>
        <w:tc>
          <w:tcPr>
            <w:tcW w:w="3600" w:type="dxa"/>
            <w:vAlign w:val="bottom"/>
          </w:tcPr>
          <w:p>
            <w:pPr>
              <w:spacing w:after="0"/>
              <w:rPr>
                <w:sz w:val="20"/>
                <w:szCs w:val="20"/>
                <w:color w:val="auto"/>
              </w:rPr>
            </w:pPr>
            <w:r>
              <w:rPr>
                <w:rFonts w:ascii="Arial" w:cs="Arial" w:eastAsia="Arial" w:hAnsi="Arial"/>
                <w:sz w:val="16"/>
                <w:szCs w:val="16"/>
                <w:color w:val="auto"/>
              </w:rPr>
              <w:t>Ratification of the selection of KPMG</w:t>
            </w:r>
          </w:p>
        </w:tc>
        <w:tc>
          <w:tcPr>
            <w:tcW w:w="3880" w:type="dxa"/>
            <w:vAlign w:val="bottom"/>
          </w:tcPr>
          <w:p>
            <w:pPr>
              <w:jc w:val="center"/>
              <w:spacing w:after="0"/>
              <w:rPr>
                <w:sz w:val="20"/>
                <w:szCs w:val="20"/>
                <w:color w:val="auto"/>
              </w:rPr>
            </w:pPr>
            <w:r>
              <w:rPr>
                <w:rFonts w:ascii="Arial" w:cs="Arial" w:eastAsia="Arial" w:hAnsi="Arial"/>
                <w:sz w:val="16"/>
                <w:szCs w:val="16"/>
                <w:color w:val="auto"/>
              </w:rPr>
              <w:t>FOR</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LLP as our independent registered public</w:t>
            </w:r>
          </w:p>
        </w:tc>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Pr>
          <w:p>
            <w:pPr>
              <w:spacing w:after="0"/>
              <w:rPr>
                <w:sz w:val="20"/>
                <w:szCs w:val="20"/>
                <w:color w:val="auto"/>
              </w:rPr>
            </w:pPr>
            <w:r>
              <w:rPr>
                <w:rFonts w:ascii="Arial" w:cs="Arial" w:eastAsia="Arial" w:hAnsi="Arial"/>
                <w:sz w:val="16"/>
                <w:szCs w:val="16"/>
                <w:color w:val="auto"/>
              </w:rPr>
              <w:t>accounting firm for fiscal year 2015</w:t>
            </w:r>
          </w:p>
        </w:tc>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3600" w:type="dxa"/>
            <w:vAlign w:val="bottom"/>
          </w:tcPr>
          <w:p>
            <w:pPr>
              <w:spacing w:after="0"/>
              <w:rPr>
                <w:sz w:val="20"/>
                <w:szCs w:val="20"/>
                <w:color w:val="auto"/>
              </w:rPr>
            </w:pPr>
            <w:r>
              <w:rPr>
                <w:rFonts w:ascii="Arial" w:cs="Arial" w:eastAsia="Arial" w:hAnsi="Arial"/>
                <w:sz w:val="16"/>
                <w:szCs w:val="16"/>
                <w:color w:val="auto"/>
              </w:rPr>
              <w:t>Advisory vote to approve executive</w:t>
            </w:r>
          </w:p>
        </w:tc>
        <w:tc>
          <w:tcPr>
            <w:tcW w:w="3880" w:type="dxa"/>
            <w:vAlign w:val="bottom"/>
          </w:tcPr>
          <w:p>
            <w:pPr>
              <w:jc w:val="center"/>
              <w:spacing w:after="0"/>
              <w:rPr>
                <w:sz w:val="20"/>
                <w:szCs w:val="20"/>
                <w:color w:val="auto"/>
              </w:rPr>
            </w:pPr>
            <w:r>
              <w:rPr>
                <w:rFonts w:ascii="Arial" w:cs="Arial" w:eastAsia="Arial" w:hAnsi="Arial"/>
                <w:sz w:val="16"/>
                <w:szCs w:val="16"/>
                <w:color w:val="auto"/>
              </w:rPr>
              <w:t>FOR</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20"/>
                <w:szCs w:val="20"/>
                <w:color w:val="auto"/>
              </w:rPr>
            </w:pPr>
            <w:r>
              <w:rPr>
                <w:rFonts w:ascii="Arial" w:cs="Arial" w:eastAsia="Arial" w:hAnsi="Arial"/>
                <w:sz w:val="16"/>
                <w:szCs w:val="16"/>
                <w:color w:val="auto"/>
              </w:rPr>
              <w:t>compensation</w:t>
            </w:r>
          </w:p>
        </w:tc>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3600" w:type="dxa"/>
            <w:vAlign w:val="bottom"/>
          </w:tcPr>
          <w:p>
            <w:pPr>
              <w:spacing w:after="0"/>
              <w:rPr>
                <w:sz w:val="20"/>
                <w:szCs w:val="20"/>
                <w:color w:val="auto"/>
              </w:rPr>
            </w:pPr>
            <w:r>
              <w:rPr>
                <w:rFonts w:ascii="Arial" w:cs="Arial" w:eastAsia="Arial" w:hAnsi="Arial"/>
                <w:sz w:val="16"/>
                <w:szCs w:val="16"/>
                <w:color w:val="auto"/>
              </w:rPr>
              <w:t>Approval of the Amended and Restated</w:t>
            </w:r>
          </w:p>
        </w:tc>
        <w:tc>
          <w:tcPr>
            <w:tcW w:w="3880" w:type="dxa"/>
            <w:vAlign w:val="bottom"/>
          </w:tcPr>
          <w:p>
            <w:pPr>
              <w:jc w:val="center"/>
              <w:spacing w:after="0"/>
              <w:rPr>
                <w:sz w:val="20"/>
                <w:szCs w:val="20"/>
                <w:color w:val="auto"/>
              </w:rPr>
            </w:pPr>
            <w:r>
              <w:rPr>
                <w:rFonts w:ascii="Arial" w:cs="Arial" w:eastAsia="Arial" w:hAnsi="Arial"/>
                <w:sz w:val="16"/>
                <w:szCs w:val="16"/>
                <w:color w:val="auto"/>
              </w:rPr>
              <w:t>FOR</w:t>
            </w:r>
          </w:p>
        </w:tc>
        <w:tc>
          <w:tcPr>
            <w:tcW w:w="1960" w:type="dxa"/>
            <w:vAlign w:val="bottom"/>
          </w:tcPr>
          <w:p>
            <w:pPr>
              <w:jc w:val="right"/>
              <w:ind w:right="43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20"/>
                <w:szCs w:val="20"/>
                <w:color w:val="auto"/>
              </w:rPr>
            </w:pPr>
            <w:r>
              <w:rPr>
                <w:rFonts w:ascii="Arial" w:cs="Arial" w:eastAsia="Arial" w:hAnsi="Arial"/>
                <w:sz w:val="16"/>
                <w:szCs w:val="16"/>
                <w:color w:val="auto"/>
              </w:rPr>
              <w:t>2006 Equity Incentive Plan</w:t>
            </w:r>
          </w:p>
        </w:tc>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004FF9"/>
        </w:rPr>
        <w:t>Board Nominees</w:t>
      </w:r>
    </w:p>
    <w:p>
      <w:pPr>
        <w:spacing w:after="0" w:line="66" w:lineRule="exact"/>
        <w:rPr>
          <w:sz w:val="20"/>
          <w:szCs w:val="20"/>
          <w:color w:val="auto"/>
        </w:rPr>
      </w:pPr>
    </w:p>
    <w:p>
      <w:pPr>
        <w:ind w:left="560" w:right="80"/>
        <w:spacing w:after="0" w:line="260" w:lineRule="auto"/>
        <w:rPr>
          <w:sz w:val="20"/>
          <w:szCs w:val="20"/>
          <w:color w:val="auto"/>
        </w:rPr>
      </w:pPr>
      <w:r>
        <w:rPr>
          <w:rFonts w:ascii="Arial" w:cs="Arial" w:eastAsia="Arial" w:hAnsi="Arial"/>
          <w:sz w:val="16"/>
          <w:szCs w:val="16"/>
          <w:color w:val="auto"/>
        </w:rPr>
        <w:t>The following table provides summary information about each director who is nominated for election. Each director nominee will serve a three-year term expiring at the 2018 Annual Meeting of Shareholders.</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004FF9"/>
              </w:rPr>
              <w:t>Director</w:t>
            </w:r>
          </w:p>
        </w:tc>
        <w:tc>
          <w:tcPr>
            <w:tcW w:w="3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04FF9"/>
                <w:w w:val="99"/>
              </w:rPr>
              <w:t>Committee</w:t>
            </w:r>
          </w:p>
        </w:tc>
        <w:tc>
          <w:tcPr>
            <w:tcW w:w="0" w:type="dxa"/>
            <w:vAlign w:val="bottom"/>
          </w:tcPr>
          <w:p>
            <w:pPr>
              <w:spacing w:after="0"/>
              <w:rPr>
                <w:sz w:val="1"/>
                <w:szCs w:val="1"/>
                <w:color w:val="auto"/>
              </w:rPr>
            </w:pPr>
          </w:p>
        </w:tc>
      </w:tr>
      <w:tr>
        <w:trPr>
          <w:trHeight w:val="228"/>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4FF9"/>
              </w:rPr>
              <w:t>Name</w:t>
            </w:r>
          </w:p>
        </w:tc>
        <w:tc>
          <w:tcPr>
            <w:tcW w:w="8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004FF9"/>
                <w:w w:val="99"/>
              </w:rPr>
              <w:t>Age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4FF9"/>
              </w:rPr>
              <w:t>Since</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4FF9"/>
              </w:rPr>
              <w:t>Occupation</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4FF9"/>
              </w:rPr>
              <w:t>Independent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4FF9"/>
              </w:rPr>
              <w:t>Assignments</w:t>
            </w:r>
          </w:p>
        </w:tc>
        <w:tc>
          <w:tcPr>
            <w:tcW w:w="0" w:type="dxa"/>
            <w:vAlign w:val="bottom"/>
          </w:tcPr>
          <w:p>
            <w:pPr>
              <w:spacing w:after="0"/>
              <w:rPr>
                <w:sz w:val="1"/>
                <w:szCs w:val="1"/>
                <w:color w:val="auto"/>
              </w:rPr>
            </w:pPr>
          </w:p>
        </w:tc>
      </w:tr>
      <w:tr>
        <w:trPr>
          <w:trHeight w:val="191"/>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Pr>
          <w:p>
            <w:pPr>
              <w:jc w:val="center"/>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Linda Chavez</w:t>
            </w:r>
          </w:p>
        </w:tc>
        <w:tc>
          <w:tcPr>
            <w:tcW w:w="8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67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1997</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President — Becoming American Institute</w:t>
            </w:r>
          </w:p>
        </w:tc>
        <w:tc>
          <w:tcPr>
            <w:tcW w:w="132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185"/>
        </w:trPr>
        <w:tc>
          <w:tcPr>
            <w:tcW w:w="1360" w:type="dxa"/>
            <w:vAlign w:val="bottom"/>
          </w:tcPr>
          <w:p>
            <w:pPr>
              <w:ind w:left="60"/>
              <w:spacing w:after="0"/>
              <w:rPr>
                <w:sz w:val="20"/>
                <w:szCs w:val="20"/>
                <w:color w:val="auto"/>
              </w:rPr>
            </w:pPr>
            <w:r>
              <w:rPr>
                <w:rFonts w:ascii="Arial" w:cs="Arial" w:eastAsia="Arial" w:hAnsi="Arial"/>
                <w:sz w:val="16"/>
                <w:szCs w:val="16"/>
                <w:color w:val="auto"/>
              </w:rPr>
              <w:t>J. Philip</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rPr>
              <w:t>Former Vice Chairman — University of Texas</w:t>
            </w:r>
          </w:p>
        </w:tc>
        <w:tc>
          <w:tcPr>
            <w:tcW w:w="1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Ferguson</w:t>
            </w:r>
          </w:p>
        </w:tc>
        <w:tc>
          <w:tcPr>
            <w:tcW w:w="8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69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2009</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Investment Management Company</w:t>
            </w:r>
          </w:p>
        </w:tc>
        <w:tc>
          <w:tcPr>
            <w:tcW w:w="132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Audit; Governance</w:t>
            </w: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9"/>
              </w:rPr>
              <w:t>Executive Vice President — ABM Industries</w:t>
            </w:r>
          </w:p>
        </w:tc>
        <w:tc>
          <w:tcPr>
            <w:tcW w:w="1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60" w:type="dxa"/>
            <w:vAlign w:val="bottom"/>
          </w:tcPr>
          <w:p>
            <w:pPr>
              <w:ind w:left="60"/>
              <w:spacing w:after="0"/>
              <w:rPr>
                <w:sz w:val="20"/>
                <w:szCs w:val="20"/>
                <w:color w:val="auto"/>
              </w:rPr>
            </w:pPr>
            <w:r>
              <w:rPr>
                <w:rFonts w:ascii="Arial" w:cs="Arial" w:eastAsia="Arial" w:hAnsi="Arial"/>
                <w:sz w:val="16"/>
                <w:szCs w:val="16"/>
                <w:color w:val="auto"/>
              </w:rPr>
              <w:t>Scott Salmirs</w:t>
            </w:r>
          </w:p>
        </w:tc>
        <w:tc>
          <w:tcPr>
            <w:tcW w:w="800" w:type="dxa"/>
            <w:vAlign w:val="bottom"/>
          </w:tcPr>
          <w:p>
            <w:pPr>
              <w:jc w:val="center"/>
              <w:ind w:left="59"/>
              <w:spacing w:after="0"/>
              <w:rPr>
                <w:sz w:val="20"/>
                <w:szCs w:val="20"/>
                <w:color w:val="auto"/>
              </w:rPr>
            </w:pPr>
            <w:r>
              <w:rPr>
                <w:rFonts w:ascii="Arial" w:cs="Arial" w:eastAsia="Arial" w:hAnsi="Arial"/>
                <w:sz w:val="16"/>
                <w:szCs w:val="16"/>
                <w:color w:val="auto"/>
              </w:rPr>
              <w:t>52</w:t>
            </w:r>
          </w:p>
        </w:tc>
        <w:tc>
          <w:tcPr>
            <w:tcW w:w="960" w:type="dxa"/>
            <w:vAlign w:val="bottom"/>
          </w:tcPr>
          <w:p>
            <w:pPr>
              <w:jc w:val="center"/>
              <w:spacing w:after="0"/>
              <w:rPr>
                <w:sz w:val="20"/>
                <w:szCs w:val="20"/>
                <w:color w:val="auto"/>
              </w:rPr>
            </w:pPr>
            <w:r>
              <w:rPr>
                <w:rFonts w:ascii="Arial" w:cs="Arial" w:eastAsia="Arial" w:hAnsi="Arial"/>
                <w:sz w:val="16"/>
                <w:szCs w:val="16"/>
                <w:color w:val="auto"/>
              </w:rPr>
              <w:t>2015</w:t>
            </w:r>
          </w:p>
        </w:tc>
        <w:tc>
          <w:tcPr>
            <w:tcW w:w="3580" w:type="dxa"/>
            <w:vAlign w:val="bottom"/>
          </w:tcPr>
          <w:p>
            <w:pPr>
              <w:jc w:val="center"/>
              <w:spacing w:after="0"/>
              <w:rPr>
                <w:sz w:val="20"/>
                <w:szCs w:val="20"/>
                <w:color w:val="auto"/>
              </w:rPr>
            </w:pPr>
            <w:r>
              <w:rPr>
                <w:rFonts w:ascii="Arial" w:cs="Arial" w:eastAsia="Arial" w:hAnsi="Arial"/>
                <w:sz w:val="16"/>
                <w:szCs w:val="16"/>
                <w:color w:val="auto"/>
              </w:rPr>
              <w:t>Incorporated</w:t>
            </w:r>
          </w:p>
        </w:tc>
        <w:tc>
          <w:tcPr>
            <w:tcW w:w="13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40"/>
          </w:cols>
          <w:pgMar w:left="240" w:top="13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VOTING PROCEDURES AND ANNUAL MEETING ATTENDANCE</w:t>
      </w:r>
    </w:p>
    <w:p>
      <w:pPr>
        <w:spacing w:after="0" w:line="208" w:lineRule="exact"/>
        <w:rPr>
          <w:sz w:val="20"/>
          <w:szCs w:val="20"/>
          <w:color w:val="auto"/>
        </w:rPr>
      </w:pPr>
    </w:p>
    <w:p>
      <w:pPr>
        <w:ind w:left="3580"/>
        <w:spacing w:after="0"/>
        <w:rPr>
          <w:sz w:val="20"/>
          <w:szCs w:val="20"/>
          <w:color w:val="auto"/>
        </w:rPr>
      </w:pPr>
      <w:r>
        <w:rPr>
          <w:rFonts w:ascii="Arial" w:cs="Arial" w:eastAsia="Arial" w:hAnsi="Arial"/>
          <w:sz w:val="16"/>
          <w:szCs w:val="16"/>
          <w:b w:val="1"/>
          <w:bCs w:val="1"/>
          <w:i w:val="1"/>
          <w:iCs w:val="1"/>
          <w:color w:val="004FF9"/>
        </w:rPr>
        <w:t>Who may vote and how many votes do I have?</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Shareholders of record at the close of business on the record date, January 14, 2015, may vote. On that date, there were 55,884,518 outstanding shares of ABM common stock.</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All of the shares of ABM’s common stock are entitled to vote at the meeting. Shareholders of record will have one vote for each share they hold.</w:t>
      </w:r>
    </w:p>
    <w:p>
      <w:pPr>
        <w:spacing w:after="0" w:line="387"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3" w:lineRule="exact"/>
        <w:rPr>
          <w:sz w:val="20"/>
          <w:szCs w:val="20"/>
          <w:color w:val="auto"/>
        </w:rPr>
      </w:pPr>
    </w:p>
    <w:p>
      <w:pPr>
        <w:ind w:left="2980"/>
        <w:spacing w:after="0"/>
        <w:rPr>
          <w:sz w:val="20"/>
          <w:szCs w:val="20"/>
          <w:color w:val="auto"/>
        </w:rPr>
      </w:pPr>
      <w:r>
        <w:rPr>
          <w:rFonts w:ascii="Arial" w:cs="Arial" w:eastAsia="Arial" w:hAnsi="Arial"/>
          <w:sz w:val="16"/>
          <w:szCs w:val="16"/>
          <w:b w:val="1"/>
          <w:bCs w:val="1"/>
          <w:i w:val="1"/>
          <w:iCs w:val="1"/>
          <w:color w:val="004FF9"/>
        </w:rPr>
        <w:t>How many votes must be present to hold the annual meeting?</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A majority of the votes that may be cast (at least 27,942,260 votes), present in person or represented by proxy, is needed to hold the 2015 Annual Meeting. If you properly vote on any proposal, your shares will be included in the number of shares to establish a quorum for the annual meeting. Shares represented by proxy cards marked “</w:t>
      </w:r>
      <w:r>
        <w:rPr>
          <w:rFonts w:ascii="Arial" w:cs="Arial" w:eastAsia="Arial" w:hAnsi="Arial"/>
          <w:sz w:val="16"/>
          <w:szCs w:val="16"/>
          <w:i w:val="1"/>
          <w:iCs w:val="1"/>
          <w:color w:val="auto"/>
        </w:rPr>
        <w:t>abstain</w:t>
      </w:r>
      <w:r>
        <w:rPr>
          <w:rFonts w:ascii="Arial" w:cs="Arial" w:eastAsia="Arial" w:hAnsi="Arial"/>
          <w:sz w:val="16"/>
          <w:szCs w:val="16"/>
          <w:color w:val="auto"/>
        </w:rPr>
        <w:t>” or returned without voting instructions will be counted as present for the purpose of determining whether the quorum for the annual meeting is satisfied. In addition, if you hold shares through a bank or brokerage account, your shares will be counted as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present for the purpose of determining whether the quorum for the annual meeting is satisfied, even if you do not provide voting instructions to your bank or brokerage firm. However, neither these shares nor any abstentions will count in the voting results.</w:t>
      </w:r>
    </w:p>
    <w:p>
      <w:pPr>
        <w:spacing w:after="0" w:line="95"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We urge you to vote by proxy even if you plan to attend the meeting. That will help us to know as soon as possible that we have enough votes to hold the meeting. Returning your proxy card will not affect your right to revoke your proxy or to attend the 2015 Annual Meeting and vote in person.</w:t>
      </w:r>
    </w:p>
    <w:p>
      <w:pPr>
        <w:spacing w:after="0" w:line="273"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33" w:lineRule="exact"/>
        <w:rPr>
          <w:sz w:val="20"/>
          <w:szCs w:val="20"/>
          <w:color w:val="auto"/>
        </w:rPr>
      </w:pPr>
    </w:p>
    <w:p>
      <w:pPr>
        <w:ind w:left="4380"/>
        <w:spacing w:after="0"/>
        <w:rPr>
          <w:sz w:val="20"/>
          <w:szCs w:val="20"/>
          <w:color w:val="auto"/>
        </w:rPr>
      </w:pPr>
      <w:r>
        <w:rPr>
          <w:rFonts w:ascii="Arial" w:cs="Arial" w:eastAsia="Arial" w:hAnsi="Arial"/>
          <w:sz w:val="16"/>
          <w:szCs w:val="16"/>
          <w:b w:val="1"/>
          <w:bCs w:val="1"/>
          <w:i w:val="1"/>
          <w:iCs w:val="1"/>
          <w:color w:val="004FF9"/>
        </w:rPr>
        <w:t>How do I vote my shares?</w:t>
      </w:r>
    </w:p>
    <w:p>
      <w:pPr>
        <w:sectPr>
          <w:pgSz w:w="11900" w:h="16838" w:orient="portrait"/>
          <w:cols w:equalWidth="0" w:num="1">
            <w:col w:w="10219"/>
          </w:cols>
          <w:pgMar w:left="240" w:top="131" w:right="1440" w:bottom="1440" w:gutter="0" w:footer="0" w:header="0"/>
          <w:type w:val="continuous"/>
        </w:sectPr>
      </w:pPr>
    </w:p>
    <w:p>
      <w:pPr>
        <w:spacing w:after="0" w:line="106" w:lineRule="exact"/>
        <w:rPr>
          <w:sz w:val="20"/>
          <w:szCs w:val="20"/>
          <w:color w:val="auto"/>
        </w:rPr>
      </w:pPr>
    </w:p>
    <w:p>
      <w:pPr>
        <w:jc w:val="both"/>
        <w:ind w:left="1260" w:right="20"/>
        <w:spacing w:after="0" w:line="260" w:lineRule="auto"/>
        <w:rPr>
          <w:sz w:val="20"/>
          <w:szCs w:val="20"/>
          <w:color w:val="auto"/>
        </w:rPr>
      </w:pPr>
      <w:r>
        <w:rPr>
          <w:rFonts w:ascii="Arial" w:cs="Arial" w:eastAsia="Arial" w:hAnsi="Arial"/>
          <w:sz w:val="16"/>
          <w:szCs w:val="16"/>
          <w:color w:val="auto"/>
        </w:rPr>
        <w:t>You may vote at the annual meeting by proxy or in person.</w:t>
      </w:r>
    </w:p>
    <w:p>
      <w:pPr>
        <w:spacing w:after="0" w:line="72"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If you are a “</w:t>
      </w:r>
      <w:r>
        <w:rPr>
          <w:rFonts w:ascii="Arial" w:cs="Arial" w:eastAsia="Arial" w:hAnsi="Arial"/>
          <w:sz w:val="16"/>
          <w:szCs w:val="16"/>
          <w:i w:val="1"/>
          <w:iCs w:val="1"/>
          <w:color w:val="auto"/>
        </w:rPr>
        <w:t>holder of record”</w:t>
      </w:r>
      <w:r>
        <w:rPr>
          <w:rFonts w:ascii="Arial" w:cs="Arial" w:eastAsia="Arial" w:hAnsi="Arial"/>
          <w:sz w:val="16"/>
          <w:szCs w:val="16"/>
          <w:color w:val="auto"/>
        </w:rPr>
        <w:t xml:space="preserve"> (that is, if your shares are registered in your own name with our transfer agent), you have several options. You may vote by telephone, on the Internet or by attending the meeting and voting in person. In addition, you may vote by mail using the enclosed proxy card.</w:t>
      </w:r>
    </w:p>
    <w:p>
      <w:pPr>
        <w:spacing w:after="0" w:line="79" w:lineRule="exact"/>
        <w:rPr>
          <w:sz w:val="20"/>
          <w:szCs w:val="20"/>
          <w:color w:val="auto"/>
        </w:rPr>
      </w:pPr>
    </w:p>
    <w:p>
      <w:pPr>
        <w:jc w:val="both"/>
        <w:ind w:left="1260"/>
        <w:spacing w:after="0" w:line="252" w:lineRule="auto"/>
        <w:rPr>
          <w:sz w:val="20"/>
          <w:szCs w:val="20"/>
          <w:color w:val="auto"/>
        </w:rPr>
      </w:pPr>
      <w:r>
        <w:rPr>
          <w:rFonts w:ascii="Arial" w:cs="Arial" w:eastAsia="Arial" w:hAnsi="Arial"/>
          <w:sz w:val="16"/>
          <w:szCs w:val="16"/>
          <w:color w:val="auto"/>
        </w:rPr>
        <w:t>If you hold your shares in “</w:t>
      </w:r>
      <w:r>
        <w:rPr>
          <w:rFonts w:ascii="Arial" w:cs="Arial" w:eastAsia="Arial" w:hAnsi="Arial"/>
          <w:sz w:val="16"/>
          <w:szCs w:val="16"/>
          <w:i w:val="1"/>
          <w:iCs w:val="1"/>
          <w:color w:val="auto"/>
        </w:rPr>
        <w:t>street name”</w:t>
      </w:r>
      <w:r>
        <w:rPr>
          <w:rFonts w:ascii="Arial" w:cs="Arial" w:eastAsia="Arial" w:hAnsi="Arial"/>
          <w:sz w:val="16"/>
          <w:szCs w:val="16"/>
          <w:color w:val="auto"/>
        </w:rPr>
        <w:t xml:space="preserve"> (that is, if you hold your shares through a broker, bank or other holder of record), you received this proxy statement and voting instruction card from your broker, bank or other holder of record. The voting instruction card explains which voting options are available to you. As the beneficial owner of shares held in street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name, you have the right to direct your bank or broker how to vote your shares, and it is required to vote your shares in accordance with your instructions. If you do not give instructions to your bank or brokerage firm, it will nevertheless be entitled to vote your shares with respect to “routine” items, but it will not be permitted to vote your shares with respect to “non-routine” items. In the case of a non-routine item, your shares will be considered “broker non-votes” on that proposal. If you want to vote in person at the annual meeting, you must obtain a power of attorney or proxy from your broker, bank or other holder or record authorizing you to vote. You must bring this power of attorney or proxy to the meeting.</w:t>
      </w:r>
    </w:p>
    <w:p>
      <w:pPr>
        <w:spacing w:after="0" w:line="424"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4" w:lineRule="exact"/>
        <w:rPr>
          <w:sz w:val="20"/>
          <w:szCs w:val="20"/>
          <w:color w:val="auto"/>
        </w:rPr>
      </w:pPr>
    </w:p>
    <w:p>
      <w:pPr>
        <w:ind w:left="3960"/>
        <w:spacing w:after="0"/>
        <w:rPr>
          <w:sz w:val="20"/>
          <w:szCs w:val="20"/>
          <w:color w:val="auto"/>
        </w:rPr>
      </w:pPr>
      <w:r>
        <w:rPr>
          <w:rFonts w:ascii="Arial" w:cs="Arial" w:eastAsia="Arial" w:hAnsi="Arial"/>
          <w:sz w:val="16"/>
          <w:szCs w:val="16"/>
          <w:b w:val="1"/>
          <w:bCs w:val="1"/>
          <w:i w:val="1"/>
          <w:iCs w:val="1"/>
          <w:color w:val="004FF9"/>
        </w:rPr>
        <w:t>How do I attend the annual meeting?</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All shareholders as of the record date, January 14, 2015, or their proxy holders, are welcome to attend the annual meeting. If you are voting by mail, by telephone or via the Internet, but still wish to attend the meeting, follow the instructions on your proxy card or via the Internet (</w:t>
      </w:r>
      <w:r>
        <w:rPr>
          <w:rFonts w:ascii="Arial" w:cs="Arial" w:eastAsia="Arial" w:hAnsi="Arial"/>
          <w:sz w:val="16"/>
          <w:szCs w:val="16"/>
          <w:u w:val="single" w:color="auto"/>
          <w:color w:val="auto"/>
        </w:rPr>
        <w:t>www.proxyvote.com</w:t>
      </w:r>
      <w:r>
        <w:rPr>
          <w:rFonts w:ascii="Arial" w:cs="Arial" w:eastAsia="Arial" w:hAnsi="Arial"/>
          <w:sz w:val="16"/>
          <w:szCs w:val="16"/>
          <w:color w:val="auto"/>
        </w:rPr>
        <w:t>) to tell us that you plan to attend. When you arrive at the meeting, please look for the “Shareholders’ Welcome Desk,” where you will be asked for photo identification in order to receive your admittance card.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If you hold your shares in street name and you decide to attend, you must bring to the meeting a copy of your bank or brokerage statement evidencing your ownership of ABM Industries Incorporated common stock as of the record date. Please go to the “Shareholders’ Welcome Desk” and provide the bank or brokerage statement, as well as your photo identification, in order to obtain an admittance card.</w:t>
      </w:r>
    </w:p>
    <w:p>
      <w:pPr>
        <w:spacing w:after="0" w:line="58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15" w:lineRule="exact"/>
        <w:rPr>
          <w:sz w:val="20"/>
          <w:szCs w:val="20"/>
          <w:color w:val="auto"/>
        </w:rPr>
      </w:pPr>
    </w:p>
    <w:p>
      <w:pPr>
        <w:ind w:left="2900"/>
        <w:spacing w:after="0"/>
        <w:rPr>
          <w:sz w:val="20"/>
          <w:szCs w:val="20"/>
          <w:color w:val="auto"/>
        </w:rPr>
      </w:pPr>
      <w:r>
        <w:rPr>
          <w:rFonts w:ascii="Arial" w:cs="Arial" w:eastAsia="Arial" w:hAnsi="Arial"/>
          <w:sz w:val="16"/>
          <w:szCs w:val="16"/>
          <w:b w:val="1"/>
          <w:bCs w:val="1"/>
          <w:i w:val="1"/>
          <w:iCs w:val="1"/>
          <w:color w:val="004FF9"/>
        </w:rPr>
        <w:t>What happens if the annual meeting is postponed or adjourned?</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ind w:left="1260"/>
        <w:spacing w:after="0" w:line="260" w:lineRule="auto"/>
        <w:rPr>
          <w:sz w:val="20"/>
          <w:szCs w:val="20"/>
          <w:color w:val="auto"/>
        </w:rPr>
      </w:pPr>
      <w:r>
        <w:rPr>
          <w:rFonts w:ascii="Arial" w:cs="Arial" w:eastAsia="Arial" w:hAnsi="Arial"/>
          <w:sz w:val="16"/>
          <w:szCs w:val="16"/>
          <w:color w:val="auto"/>
        </w:rPr>
        <w:t>Your proxy will still be valid and may be voted at the postponed or adjourned meeting.</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739"/>
        <w:spacing w:after="0" w:line="260" w:lineRule="auto"/>
        <w:rPr>
          <w:sz w:val="20"/>
          <w:szCs w:val="20"/>
          <w:color w:val="auto"/>
        </w:rPr>
      </w:pPr>
      <w:r>
        <w:rPr>
          <w:rFonts w:ascii="Arial" w:cs="Arial" w:eastAsia="Arial" w:hAnsi="Arial"/>
          <w:sz w:val="16"/>
          <w:szCs w:val="16"/>
          <w:color w:val="auto"/>
        </w:rPr>
        <w:t>You will still be able to change or revoke your proxy until it is voted.</w:t>
      </w:r>
    </w:p>
    <w:p>
      <w:pPr>
        <w:spacing w:after="0" w:line="200" w:lineRule="exact"/>
        <w:rPr>
          <w:sz w:val="20"/>
          <w:szCs w:val="20"/>
          <w:color w:val="auto"/>
        </w:rPr>
      </w:pPr>
    </w:p>
    <w:p>
      <w:pPr>
        <w:sectPr>
          <w:pgSz w:w="11900" w:h="16838" w:orient="portrait"/>
          <w:cols w:equalWidth="0" w:num="2">
            <w:col w:w="5060" w:space="620"/>
            <w:col w:w="4539"/>
          </w:cols>
          <w:pgMar w:left="240" w:top="131" w:right="1440" w:bottom="1440" w:gutter="0" w:footer="0" w:header="0"/>
          <w:type w:val="continuous"/>
        </w:sectPr>
      </w:pP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060"/>
        <w:spacing w:after="0"/>
        <w:rPr>
          <w:sz w:val="20"/>
          <w:szCs w:val="20"/>
          <w:color w:val="auto"/>
        </w:rPr>
      </w:pPr>
      <w:r>
        <w:rPr>
          <w:rFonts w:ascii="Arial" w:cs="Arial" w:eastAsia="Arial" w:hAnsi="Arial"/>
          <w:sz w:val="16"/>
          <w:szCs w:val="16"/>
          <w:b w:val="1"/>
          <w:bCs w:val="1"/>
          <w:i w:val="1"/>
          <w:iCs w:val="1"/>
          <w:color w:val="004FF9"/>
        </w:rPr>
        <w:t>Can I change or revoke my proxy?</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color w:val="auto"/>
        </w:rPr>
        <w:t>Yes, you may change your vote or revoke your proxy at any time at or before the annual meeting. If you are a holder of record, you may change your vote or revoke your proxy through any of the following means:</w:t>
      </w:r>
    </w:p>
    <w:p>
      <w:pPr>
        <w:spacing w:after="0" w:line="41" w:lineRule="exact"/>
        <w:rPr>
          <w:sz w:val="20"/>
          <w:szCs w:val="20"/>
          <w:color w:val="auto"/>
        </w:rPr>
      </w:pPr>
    </w:p>
    <w:p>
      <w:pPr>
        <w:jc w:val="both"/>
        <w:ind w:left="1620" w:right="20" w:hanging="352"/>
        <w:spacing w:after="0" w:line="253"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casting a new vote by telephone or the Internet prior to the annual meeting, or by properly completing and signing another proxy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369" w:right="739"/>
        <w:spacing w:after="0" w:line="260" w:lineRule="auto"/>
        <w:rPr>
          <w:sz w:val="20"/>
          <w:szCs w:val="20"/>
          <w:color w:val="auto"/>
        </w:rPr>
      </w:pPr>
      <w:r>
        <w:rPr>
          <w:rFonts w:ascii="Arial" w:cs="Arial" w:eastAsia="Arial" w:hAnsi="Arial"/>
          <w:sz w:val="16"/>
          <w:szCs w:val="16"/>
          <w:color w:val="auto"/>
        </w:rPr>
        <w:t>card with a later date and returning the proxy card prior to the annual meeting;</w:t>
      </w:r>
    </w:p>
    <w:p>
      <w:pPr>
        <w:spacing w:after="0" w:line="101" w:lineRule="exact"/>
        <w:rPr>
          <w:sz w:val="20"/>
          <w:szCs w:val="20"/>
          <w:color w:val="auto"/>
        </w:rPr>
      </w:pPr>
    </w:p>
    <w:p>
      <w:pPr>
        <w:jc w:val="both"/>
        <w:ind w:left="369" w:right="759" w:hanging="369"/>
        <w:spacing w:after="0" w:line="253" w:lineRule="auto"/>
        <w:tabs>
          <w:tab w:leader="none" w:pos="369" w:val="left"/>
        </w:tabs>
        <w:numPr>
          <w:ilvl w:val="0"/>
          <w:numId w:val="7"/>
        </w:numPr>
        <w:rPr>
          <w:rFonts w:ascii="Arial" w:cs="Arial" w:eastAsia="Arial" w:hAnsi="Arial"/>
          <w:sz w:val="16"/>
          <w:szCs w:val="16"/>
          <w:color w:val="auto"/>
        </w:rPr>
      </w:pPr>
      <w:r>
        <w:rPr>
          <w:rFonts w:ascii="Arial" w:cs="Arial" w:eastAsia="Arial" w:hAnsi="Arial"/>
          <w:sz w:val="16"/>
          <w:szCs w:val="16"/>
          <w:color w:val="auto"/>
        </w:rPr>
        <w:t>giving written revocation to our Corporate Secretary prior to the annual meeting directed to the address on page 4, or at the meeting; or</w:t>
      </w:r>
    </w:p>
    <w:p>
      <w:pPr>
        <w:spacing w:after="0" w:line="120" w:lineRule="exact"/>
        <w:rPr>
          <w:rFonts w:ascii="Arial" w:cs="Arial" w:eastAsia="Arial" w:hAnsi="Arial"/>
          <w:sz w:val="16"/>
          <w:szCs w:val="16"/>
          <w:color w:val="auto"/>
        </w:rPr>
      </w:pPr>
    </w:p>
    <w:p>
      <w:pPr>
        <w:ind w:left="369" w:hanging="369"/>
        <w:spacing w:after="0"/>
        <w:tabs>
          <w:tab w:leader="none" w:pos="369" w:val="left"/>
        </w:tabs>
        <w:numPr>
          <w:ilvl w:val="0"/>
          <w:numId w:val="7"/>
        </w:numPr>
        <w:rPr>
          <w:rFonts w:ascii="Arial" w:cs="Arial" w:eastAsia="Arial" w:hAnsi="Arial"/>
          <w:sz w:val="16"/>
          <w:szCs w:val="16"/>
          <w:color w:val="auto"/>
        </w:rPr>
      </w:pPr>
      <w:r>
        <w:rPr>
          <w:rFonts w:ascii="Arial" w:cs="Arial" w:eastAsia="Arial" w:hAnsi="Arial"/>
          <w:sz w:val="16"/>
          <w:szCs w:val="16"/>
          <w:color w:val="auto"/>
        </w:rPr>
        <w:t>voting in person at the annual meeting.</w:t>
      </w:r>
    </w:p>
    <w:p>
      <w:pPr>
        <w:spacing w:after="0" w:line="395" w:lineRule="exact"/>
        <w:rPr>
          <w:sz w:val="20"/>
          <w:szCs w:val="20"/>
          <w:color w:val="auto"/>
        </w:rPr>
      </w:pPr>
    </w:p>
    <w:p>
      <w:pPr>
        <w:sectPr>
          <w:pgSz w:w="11900" w:h="16838" w:orient="portrait"/>
          <w:cols w:equalWidth="0" w:num="2">
            <w:col w:w="5080" w:space="591"/>
            <w:col w:w="4548"/>
          </w:cols>
          <w:pgMar w:left="240" w:top="131" w:right="1440" w:bottom="1440" w:gutter="0" w:footer="0" w:header="0"/>
          <w:type w:val="continuous"/>
        </w:sectPr>
      </w:pPr>
    </w:p>
    <w:p>
      <w:pPr>
        <w:spacing w:after="0" w:line="22" w:lineRule="exact"/>
        <w:rPr>
          <w:sz w:val="20"/>
          <w:szCs w:val="20"/>
          <w:color w:val="auto"/>
        </w:rPr>
      </w:pPr>
    </w:p>
    <w:p>
      <w:pPr>
        <w:ind w:left="2200"/>
        <w:spacing w:after="0"/>
        <w:rPr>
          <w:sz w:val="20"/>
          <w:szCs w:val="20"/>
          <w:color w:val="auto"/>
        </w:rPr>
      </w:pPr>
      <w:r>
        <w:rPr>
          <w:rFonts w:ascii="Arial" w:cs="Arial" w:eastAsia="Arial" w:hAnsi="Arial"/>
          <w:sz w:val="16"/>
          <w:szCs w:val="16"/>
          <w:b w:val="1"/>
          <w:bCs w:val="1"/>
          <w:i w:val="1"/>
          <w:iCs w:val="1"/>
          <w:color w:val="004FF9"/>
        </w:rPr>
        <w:t>What if I do not indicate my vote for one or more of the matters on my proxy card?</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If you are a registered shareholder and you return a proxy card without indicating your vote, your shares will be voted in accordance with the Board’s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759"/>
        <w:spacing w:after="0" w:line="260" w:lineRule="auto"/>
        <w:rPr>
          <w:sz w:val="20"/>
          <w:szCs w:val="20"/>
          <w:color w:val="auto"/>
        </w:rPr>
      </w:pPr>
      <w:r>
        <w:rPr>
          <w:rFonts w:ascii="Arial" w:cs="Arial" w:eastAsia="Arial" w:hAnsi="Arial"/>
          <w:sz w:val="16"/>
          <w:szCs w:val="16"/>
          <w:color w:val="auto"/>
        </w:rPr>
        <w:t>recommendations for proposals described in this proxy statement.</w:t>
      </w:r>
    </w:p>
    <w:p>
      <w:pPr>
        <w:spacing w:after="0" w:line="383" w:lineRule="exact"/>
        <w:rPr>
          <w:sz w:val="20"/>
          <w:szCs w:val="20"/>
          <w:color w:val="auto"/>
        </w:rPr>
      </w:pPr>
    </w:p>
    <w:p>
      <w:pPr>
        <w:sectPr>
          <w:pgSz w:w="11900" w:h="16838" w:orient="portrait"/>
          <w:cols w:equalWidth="0" w:num="2">
            <w:col w:w="5060" w:space="620"/>
            <w:col w:w="4539"/>
          </w:cols>
          <w:pgMar w:left="240" w:top="131" w:right="1440" w:bottom="1440" w:gutter="0" w:footer="0" w:header="0"/>
          <w:type w:val="continuous"/>
        </w:sectPr>
      </w:pPr>
    </w:p>
    <w:p>
      <w:pPr>
        <w:spacing w:after="0" w:line="22" w:lineRule="exact"/>
        <w:rPr>
          <w:sz w:val="20"/>
          <w:szCs w:val="20"/>
          <w:color w:val="auto"/>
        </w:rPr>
      </w:pPr>
    </w:p>
    <w:p>
      <w:pPr>
        <w:ind w:left="2840"/>
        <w:spacing w:after="0"/>
        <w:rPr>
          <w:sz w:val="20"/>
          <w:szCs w:val="20"/>
          <w:color w:val="auto"/>
        </w:rPr>
      </w:pPr>
      <w:r>
        <w:rPr>
          <w:rFonts w:ascii="Arial" w:cs="Arial" w:eastAsia="Arial" w:hAnsi="Arial"/>
          <w:sz w:val="16"/>
          <w:szCs w:val="16"/>
          <w:b w:val="1"/>
          <w:bCs w:val="1"/>
          <w:i w:val="1"/>
          <w:iCs w:val="1"/>
          <w:color w:val="004FF9"/>
        </w:rPr>
        <w:t>What if I do not return a proxy card or vote at the annual meeting?</w:t>
      </w:r>
    </w:p>
    <w:p>
      <w:pPr>
        <w:sectPr>
          <w:pgSz w:w="11900" w:h="16838" w:orient="portrait"/>
          <w:cols w:equalWidth="0" w:num="1">
            <w:col w:w="10219"/>
          </w:cols>
          <w:pgMar w:left="240" w:top="131" w:right="1440" w:bottom="1440" w:gutter="0" w:footer="0" w:header="0"/>
          <w:type w:val="continuous"/>
        </w:sectPr>
      </w:pPr>
    </w:p>
    <w:p>
      <w:pPr>
        <w:spacing w:after="0" w:line="106"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If you are a registered shareholder and you do not return a proxy card or vote at the annual meeting, your shares will not be voted and will not count towards the quorum requirement to hold the annual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58" w:lineRule="auto"/>
        <w:rPr>
          <w:sz w:val="20"/>
          <w:szCs w:val="20"/>
          <w:color w:val="auto"/>
        </w:rPr>
      </w:pPr>
      <w:r>
        <w:rPr>
          <w:rFonts w:ascii="Arial" w:cs="Arial" w:eastAsia="Arial" w:hAnsi="Arial"/>
          <w:sz w:val="16"/>
          <w:szCs w:val="16"/>
          <w:color w:val="auto"/>
        </w:rPr>
        <w:t>meeting. Your shares that are not voted will not affect the outcome of any of the Company’s proposals.</w:t>
      </w:r>
    </w:p>
    <w:p>
      <w:pPr>
        <w:spacing w:after="0" w:line="574"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i w:val="1"/>
          <w:iCs w:val="1"/>
          <w:color w:val="004FF9"/>
        </w:rPr>
        <w:t>What if my shares are held in “street name” and I do not give my bank or broker</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i w:val="1"/>
          <w:iCs w:val="1"/>
          <w:color w:val="004FF9"/>
        </w:rPr>
        <w:t>instructions on how to vote?</w:t>
      </w:r>
    </w:p>
    <w:p>
      <w:pPr>
        <w:sectPr>
          <w:pgSz w:w="11900" w:h="16838" w:orient="portrait"/>
          <w:cols w:equalWidth="0" w:num="1">
            <w:col w:w="10219"/>
          </w:cols>
          <w:pgMar w:left="240" w:top="131" w:right="1440" w:bottom="1440" w:gutter="0" w:footer="0" w:header="0"/>
          <w:type w:val="continuous"/>
        </w:sectPr>
      </w:pPr>
    </w:p>
    <w:p>
      <w:pPr>
        <w:spacing w:after="0" w:line="7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If your shares are held in “street name” and you do not give your bank or broker instructions on how to vote, your shares will be counted towards the quorum requirement for the annual meeting.</w:t>
      </w:r>
    </w:p>
    <w:p>
      <w:pPr>
        <w:spacing w:after="0" w:line="95"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color w:val="auto"/>
        </w:rPr>
        <w:t>The failure to instruct your bank or broker how to vote will have one of two effects on the proposals for consideration at the annual meeting, depending upon the type of proposal. For the election of directors in</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Proposal 1, and for Proposals 3 and 4, absent instructions from you, the bank or broker may not vote your shares at all and your shares will be considered broker non-votes, which will have no effect on the outcome of the proposal. For Proposal 2, involving ratification of our independent registered public accounting firm for 2015, the broker may vote your shares at its discretion.</w:t>
      </w:r>
    </w:p>
    <w:p>
      <w:pPr>
        <w:spacing w:after="0" w:line="309"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15" w:lineRule="exact"/>
        <w:rPr>
          <w:sz w:val="20"/>
          <w:szCs w:val="20"/>
          <w:color w:val="auto"/>
        </w:rPr>
      </w:pPr>
    </w:p>
    <w:p>
      <w:pPr>
        <w:ind w:left="4260"/>
        <w:spacing w:after="0"/>
        <w:rPr>
          <w:sz w:val="20"/>
          <w:szCs w:val="20"/>
          <w:color w:val="auto"/>
        </w:rPr>
      </w:pPr>
      <w:r>
        <w:rPr>
          <w:rFonts w:ascii="Arial" w:cs="Arial" w:eastAsia="Arial" w:hAnsi="Arial"/>
          <w:sz w:val="16"/>
          <w:szCs w:val="16"/>
          <w:b w:val="1"/>
          <w:bCs w:val="1"/>
          <w:i w:val="1"/>
          <w:iCs w:val="1"/>
          <w:color w:val="004FF9"/>
        </w:rPr>
        <w:t>Will my vote be confidential?</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Yes. Your vote is confidential and will not be disclosed to our directors or employees.</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16"/>
          <w:szCs w:val="16"/>
          <w:b w:val="1"/>
          <w:bCs w:val="1"/>
          <w:i w:val="1"/>
          <w:iCs w:val="1"/>
          <w:color w:val="004FF9"/>
        </w:rPr>
        <w:t>Will the Company’s independent registered public accounting firm be present at the annual meeting?</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Yes, representatives of KPMG LLP (KPMG) will attend the meeting. They will be available during the meeting to answer your questions and they will have the opportunity to make a statement, if they desire to</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do so. The Audit Committee of our Board has approved the appointment of KPMG as our independent registered public accounting firm for our 2015 fiscal year.</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3" w:lineRule="exact"/>
        <w:rPr>
          <w:sz w:val="20"/>
          <w:szCs w:val="20"/>
          <w:color w:val="auto"/>
        </w:rPr>
      </w:pPr>
    </w:p>
    <w:p>
      <w:pPr>
        <w:ind w:left="3640"/>
        <w:spacing w:after="0"/>
        <w:rPr>
          <w:sz w:val="20"/>
          <w:szCs w:val="20"/>
          <w:color w:val="auto"/>
        </w:rPr>
      </w:pPr>
      <w:r>
        <w:rPr>
          <w:rFonts w:ascii="Arial" w:cs="Arial" w:eastAsia="Arial" w:hAnsi="Arial"/>
          <w:sz w:val="16"/>
          <w:szCs w:val="16"/>
          <w:b w:val="1"/>
          <w:bCs w:val="1"/>
          <w:i w:val="1"/>
          <w:iCs w:val="1"/>
          <w:color w:val="004FF9"/>
        </w:rPr>
        <w:t>Will our directors attend the annual meeting?</w:t>
      </w:r>
    </w:p>
    <w:p>
      <w:pPr>
        <w:sectPr>
          <w:pgSz w:w="11900" w:h="16838" w:orient="portrait"/>
          <w:cols w:equalWidth="0" w:num="1">
            <w:col w:w="10219"/>
          </w:cols>
          <w:pgMar w:left="240" w:top="131" w:right="1440" w:bottom="1440" w:gutter="0" w:footer="0" w:header="0"/>
          <w:type w:val="continuous"/>
        </w:sectPr>
      </w:pPr>
    </w:p>
    <w:p>
      <w:pPr>
        <w:spacing w:after="0" w:line="106" w:lineRule="exact"/>
        <w:rPr>
          <w:sz w:val="20"/>
          <w:szCs w:val="20"/>
          <w:color w:val="auto"/>
        </w:rPr>
      </w:pPr>
    </w:p>
    <w:p>
      <w:pPr>
        <w:ind w:left="1260"/>
        <w:spacing w:after="0" w:line="260" w:lineRule="auto"/>
        <w:rPr>
          <w:sz w:val="20"/>
          <w:szCs w:val="20"/>
          <w:color w:val="auto"/>
        </w:rPr>
      </w:pPr>
      <w:r>
        <w:rPr>
          <w:rFonts w:ascii="Arial" w:cs="Arial" w:eastAsia="Arial" w:hAnsi="Arial"/>
          <w:sz w:val="16"/>
          <w:szCs w:val="16"/>
          <w:color w:val="auto"/>
        </w:rPr>
        <w:t>It is expected that all of our directors will attend our annual meeting. All directors attended the 2014</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739"/>
        <w:spacing w:after="0" w:line="260" w:lineRule="auto"/>
        <w:rPr>
          <w:sz w:val="20"/>
          <w:szCs w:val="20"/>
          <w:color w:val="auto"/>
        </w:rPr>
      </w:pPr>
      <w:r>
        <w:rPr>
          <w:rFonts w:ascii="Arial" w:cs="Arial" w:eastAsia="Arial" w:hAnsi="Arial"/>
          <w:sz w:val="16"/>
          <w:szCs w:val="16"/>
          <w:color w:val="auto"/>
        </w:rPr>
        <w:t>Annual Meeting of Shareholders except for Stephen Kadenacy, who had a scheduling conflict.</w:t>
      </w:r>
    </w:p>
    <w:p>
      <w:pPr>
        <w:spacing w:after="0" w:line="200" w:lineRule="exact"/>
        <w:rPr>
          <w:sz w:val="20"/>
          <w:szCs w:val="20"/>
          <w:color w:val="auto"/>
        </w:rPr>
      </w:pPr>
    </w:p>
    <w:p>
      <w:pPr>
        <w:sectPr>
          <w:pgSz w:w="11900" w:h="16838" w:orient="portrait"/>
          <w:cols w:equalWidth="0" w:num="2">
            <w:col w:w="5060" w:space="620"/>
            <w:col w:w="4539"/>
          </w:cols>
          <w:pgMar w:left="240" w:top="131" w:right="1440" w:bottom="1440" w:gutter="0" w:footer="0" w:header="0"/>
          <w:type w:val="continuous"/>
        </w:sectPr>
      </w:pPr>
    </w:p>
    <w:p>
      <w:pPr>
        <w:spacing w:after="0" w:line="16"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i w:val="1"/>
          <w:iCs w:val="1"/>
          <w:color w:val="004FF9"/>
        </w:rPr>
        <w:t>Who will be soliciting proxies on our behalf?</w:t>
      </w:r>
    </w:p>
    <w:p>
      <w:pPr>
        <w:spacing w:after="0" w:line="93" w:lineRule="exact"/>
        <w:rPr>
          <w:sz w:val="20"/>
          <w:szCs w:val="20"/>
          <w:color w:val="auto"/>
        </w:rPr>
      </w:pPr>
    </w:p>
    <w:p>
      <w:pPr>
        <w:ind w:left="1260"/>
        <w:spacing w:after="0"/>
        <w:tabs>
          <w:tab w:leader="none" w:pos="5660" w:val="left"/>
        </w:tabs>
        <w:rPr>
          <w:sz w:val="20"/>
          <w:szCs w:val="20"/>
          <w:color w:val="auto"/>
        </w:rPr>
      </w:pPr>
      <w:r>
        <w:rPr>
          <w:rFonts w:ascii="Arial" w:cs="Arial" w:eastAsia="Arial" w:hAnsi="Arial"/>
          <w:sz w:val="16"/>
          <w:szCs w:val="16"/>
          <w:color w:val="auto"/>
        </w:rPr>
        <w:t>The Company pays the cost of preparing proxy</w:t>
      </w:r>
      <w:r>
        <w:rPr>
          <w:sz w:val="20"/>
          <w:szCs w:val="20"/>
          <w:color w:val="auto"/>
        </w:rPr>
        <w:tab/>
      </w:r>
      <w:r>
        <w:rPr>
          <w:rFonts w:ascii="Arial" w:cs="Arial" w:eastAsia="Arial" w:hAnsi="Arial"/>
          <w:sz w:val="16"/>
          <w:szCs w:val="16"/>
          <w:color w:val="auto"/>
        </w:rPr>
        <w:t>employees  by  telephone,  electronic  or  facsimile</w:t>
      </w:r>
    </w:p>
    <w:p>
      <w:pPr>
        <w:spacing w:after="0" w:line="5" w:lineRule="exact"/>
        <w:rPr>
          <w:sz w:val="20"/>
          <w:szCs w:val="20"/>
          <w:color w:val="auto"/>
        </w:rPr>
      </w:pPr>
    </w:p>
    <w:p>
      <w:pPr>
        <w:ind w:left="1260"/>
        <w:spacing w:after="0"/>
        <w:tabs>
          <w:tab w:leader="none" w:pos="5660" w:val="left"/>
        </w:tabs>
        <w:rPr>
          <w:sz w:val="20"/>
          <w:szCs w:val="20"/>
          <w:color w:val="auto"/>
        </w:rPr>
      </w:pPr>
      <w:r>
        <w:rPr>
          <w:rFonts w:ascii="Arial" w:cs="Arial" w:eastAsia="Arial" w:hAnsi="Arial"/>
          <w:sz w:val="16"/>
          <w:szCs w:val="16"/>
          <w:color w:val="auto"/>
        </w:rPr>
        <w:t>materials and soliciting your vote. Proxies may be</w:t>
      </w:r>
      <w:r>
        <w:rPr>
          <w:sz w:val="20"/>
          <w:szCs w:val="20"/>
          <w:color w:val="auto"/>
        </w:rPr>
        <w:tab/>
      </w:r>
      <w:r>
        <w:rPr>
          <w:rFonts w:ascii="Arial" w:cs="Arial" w:eastAsia="Arial" w:hAnsi="Arial"/>
          <w:sz w:val="16"/>
          <w:szCs w:val="16"/>
          <w:color w:val="auto"/>
        </w:rPr>
        <w:t>transmission or in person.</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solicited on our behalf by our directors, officers or</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i w:val="1"/>
          <w:iCs w:val="1"/>
          <w:color w:val="004FF9"/>
        </w:rPr>
        <w:t>Who will count the vote?</w:t>
      </w:r>
    </w:p>
    <w:p>
      <w:pPr>
        <w:spacing w:after="0" w:line="133" w:lineRule="exact"/>
        <w:rPr>
          <w:sz w:val="20"/>
          <w:szCs w:val="20"/>
          <w:color w:val="auto"/>
        </w:rPr>
      </w:pPr>
    </w:p>
    <w:p>
      <w:pPr>
        <w:ind w:left="1260" w:right="739"/>
        <w:spacing w:after="0" w:line="260" w:lineRule="auto"/>
        <w:rPr>
          <w:sz w:val="20"/>
          <w:szCs w:val="20"/>
          <w:color w:val="auto"/>
        </w:rPr>
      </w:pPr>
      <w:r>
        <w:rPr>
          <w:rFonts w:ascii="Arial" w:cs="Arial" w:eastAsia="Arial" w:hAnsi="Arial"/>
          <w:sz w:val="16"/>
          <w:szCs w:val="16"/>
          <w:color w:val="auto"/>
        </w:rPr>
        <w:t>Broadridge Financial Solutions, Inc. will be the proxy tabulator and IVS Associates, Inc. will act as the Inspector of Election.</w:t>
      </w:r>
    </w:p>
    <w:p>
      <w:pPr>
        <w:sectPr>
          <w:pgSz w:w="11900" w:h="16838" w:orient="portrait"/>
          <w:cols w:equalWidth="0" w:num="1">
            <w:col w:w="10219"/>
          </w:cols>
          <w:pgMar w:left="240" w:top="131" w:right="1440" w:bottom="1440" w:gutter="0" w:footer="0" w:header="0"/>
          <w:type w:val="continuous"/>
        </w:sectPr>
      </w:pPr>
    </w:p>
    <w:p>
      <w:pPr>
        <w:spacing w:after="0" w:line="25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rPr>
          <w:sz w:val="20"/>
          <w:szCs w:val="20"/>
          <w:color w:val="auto"/>
        </w:rPr>
      </w:pPr>
      <w:r>
        <w:rPr>
          <w:rFonts w:ascii="Arial" w:cs="Arial" w:eastAsia="Arial" w:hAnsi="Arial"/>
          <w:sz w:val="16"/>
          <w:szCs w:val="16"/>
          <w:b w:val="1"/>
          <w:bCs w:val="1"/>
          <w:i w:val="1"/>
          <w:iCs w:val="1"/>
          <w:color w:val="004FF9"/>
        </w:rPr>
        <w:t>What is “householding”?</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Shareholders who hold their shares in the name of their bank or broker and live in the same household as other shareholders may receive only one copy of this Proxy Statement. This practice is known as “householding.” If you hold your shares in your broker’s name and would like additional copies of</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these materials, please contact your broker. If you receive multiple copies and would prefer to receive only one, please contact your broker. ABM does not use householding for the copies of the proxy statement that it delivers directly to shareholders.</w:t>
      </w:r>
    </w:p>
    <w:p>
      <w:pPr>
        <w:spacing w:after="0" w:line="387"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6"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SHAREHOLDER PROPOSALS, DIRECTOR NOMINATIONS AND</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COMMUNICATING WITH OUR BOARD</w:t>
      </w:r>
    </w:p>
    <w:p>
      <w:pPr>
        <w:spacing w:after="0" w:line="188"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i w:val="1"/>
          <w:iCs w:val="1"/>
          <w:color w:val="004FF9"/>
        </w:rPr>
        <w:t>How do I submit a shareholder proposal or director nomination for consideration</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i w:val="1"/>
          <w:iCs w:val="1"/>
          <w:color w:val="004FF9"/>
        </w:rPr>
        <w:t>at the 2016 Annual Meeting?</w:t>
      </w:r>
    </w:p>
    <w:p>
      <w:pPr>
        <w:sectPr>
          <w:pgSz w:w="11900" w:h="16838" w:orient="portrait"/>
          <w:cols w:equalWidth="0" w:num="1">
            <w:col w:w="10219"/>
          </w:cols>
          <w:pgMar w:left="240" w:top="131" w:right="1440" w:bottom="1440" w:gutter="0" w:footer="0" w:header="0"/>
          <w:type w:val="continuous"/>
        </w:sectPr>
      </w:pPr>
    </w:p>
    <w:p>
      <w:pPr>
        <w:spacing w:after="0" w:line="7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Our 2016 Annual Meeting is currently scheduled for March 9, 2016. If you wish to submit a proposal to be included in the 2016 proxy statement, you must submit your proposal in writing so that we receive it no later than October 12, 2015. Proposals should be sent to the Corporate Secretary, Sarah H. McConnell, ABM Industries Incorporated, 551 Fifth Avenue, Suite 300, New York, New York 10176.</w:t>
      </w:r>
    </w:p>
    <w:p>
      <w:pPr>
        <w:spacing w:after="0" w:line="100"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Under our Bylaws, any shareholder wishing to make a nomination for director or wishing to introduce any business at the 2016 Annual Meeting of</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Shareholders (other than a proposal submitted for inclusion in the Company’s proxy materials) must provide the Company advance notice of such business which must be received by the Company no earlier than November 11, 2015 and no later than December 11, 2015. Nominations for director for consideration by the Governance Committee should include the candidate’s name and qualifications for Board membership and fulfill all of the requirements set forth in the Company’s Bylaws, and should be sent within the time frame specified in the Bylaws.</w:t>
      </w:r>
    </w:p>
    <w:p>
      <w:pPr>
        <w:spacing w:after="0" w:line="311"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2" w:lineRule="exact"/>
        <w:rPr>
          <w:sz w:val="20"/>
          <w:szCs w:val="20"/>
          <w:color w:val="auto"/>
        </w:rPr>
      </w:pPr>
    </w:p>
    <w:p>
      <w:pPr>
        <w:ind w:left="3860"/>
        <w:spacing w:after="0"/>
        <w:rPr>
          <w:sz w:val="20"/>
          <w:szCs w:val="20"/>
          <w:color w:val="auto"/>
        </w:rPr>
      </w:pPr>
      <w:r>
        <w:rPr>
          <w:rFonts w:ascii="Arial" w:cs="Arial" w:eastAsia="Arial" w:hAnsi="Arial"/>
          <w:sz w:val="16"/>
          <w:szCs w:val="16"/>
          <w:b w:val="1"/>
          <w:bCs w:val="1"/>
          <w:i w:val="1"/>
          <w:iCs w:val="1"/>
          <w:color w:val="004FF9"/>
        </w:rPr>
        <w:t>How do I communicate with the Board?</w:t>
      </w:r>
    </w:p>
    <w:p>
      <w:pPr>
        <w:sectPr>
          <w:pgSz w:w="11900" w:h="16838" w:orient="portrait"/>
          <w:cols w:equalWidth="0" w:num="1">
            <w:col w:w="10219"/>
          </w:cols>
          <w:pgMar w:left="240" w:top="131" w:right="1440" w:bottom="1440" w:gutter="0" w:footer="0" w:header="0"/>
          <w:type w:val="continuous"/>
        </w:sectPr>
      </w:pPr>
    </w:p>
    <w:p>
      <w:pPr>
        <w:spacing w:after="0" w:line="106"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 xml:space="preserve">You may communicate with our entire Board or the independent directors as a group by sending an e-mail to </w:t>
      </w:r>
      <w:r>
        <w:rPr>
          <w:rFonts w:ascii="Arial" w:cs="Arial" w:eastAsia="Arial" w:hAnsi="Arial"/>
          <w:sz w:val="16"/>
          <w:szCs w:val="16"/>
          <w:u w:val="single" w:color="auto"/>
          <w:color w:val="auto"/>
        </w:rPr>
        <w:t>boardofdirectors@abm.com</w:t>
      </w:r>
      <w:r>
        <w:rPr>
          <w:rFonts w:ascii="Arial" w:cs="Arial" w:eastAsia="Arial" w:hAnsi="Arial"/>
          <w:sz w:val="16"/>
          <w:szCs w:val="16"/>
          <w:color w:val="auto"/>
        </w:rPr>
        <w:t xml:space="preserve"> or by writing to Board of Directors, ABM Industries Incorporated, 551 Fifth Avenue, Suite 300, New York, New York 10176. Our Corporate Secretary will forward all communications relating to ABM’s interests, other than business solicitations, advertisements, job inquiries or similar communications, directly to the appropriate directors.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 xml:space="preserve">In addition, we maintain a Compliance Hotline that is available 24 hours a day, seven days a week, to receive calls, e-mails and letters to report a concern or complaint, anonymous or otherwise. The Compliance Hotline can be reached at 1-877-253-7804 or online at </w:t>
      </w:r>
      <w:r>
        <w:rPr>
          <w:rFonts w:ascii="Arial" w:cs="Arial" w:eastAsia="Arial" w:hAnsi="Arial"/>
          <w:sz w:val="16"/>
          <w:szCs w:val="16"/>
          <w:u w:val="single" w:color="auto"/>
          <w:color w:val="auto"/>
        </w:rPr>
        <w:t>abmhotline.ethicspoint.com</w:t>
      </w:r>
      <w:r>
        <w:rPr>
          <w:rFonts w:ascii="Arial" w:cs="Arial" w:eastAsia="Arial" w:hAnsi="Arial"/>
          <w:sz w:val="16"/>
          <w:szCs w:val="16"/>
          <w:color w:val="auto"/>
        </w:rPr>
        <w:t>.</w:t>
      </w:r>
    </w:p>
    <w:p>
      <w:pPr>
        <w:spacing w:after="0" w:line="955"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OUR BOARD OF DIRECTORS</w:t>
      </w:r>
    </w:p>
    <w:p>
      <w:pPr>
        <w:spacing w:after="0" w:line="208"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004FF9"/>
        </w:rPr>
        <w:t>General</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Our Certificate of Incorporation provides that the Board of Directors shall be divided into three classes serving staggered three-year terms, each class to be as nearly equal in number as possible as the other two. Our Board of Directors is currently comprised of ten members: Linda Chavez, J. Philip Ferguson, Anthony G. Fernandes, Luke S. Helms, Maryellen C.</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Herringer, Sudhakar Kesavan, Scott Salmirs, Henrik C. Slipsager, William W. Steele and Winifred Markus Webb. The terms of Ms. Chavez and Messrs. Ferguson and Salmirs expire at the 2015 Annual Meeting. Mr. Slipsager is not seeking re-election to the Board.</w:t>
      </w:r>
    </w:p>
    <w:p>
      <w:pPr>
        <w:spacing w:after="0" w:line="385"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9"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004FF9"/>
        </w:rPr>
        <w:t>Nominees</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Our Board has proposed the following nominees for election as directors with three-year terms expiring at the Annual Meeting in 2018: Linda Chavez, J. Philip Ferguson and Scott Salmirs. Ms. Chavez and Mr. Ferguson were elected to serve for their present terms at the 2012 Annual Meeting of Shareholders. Mr. Salmirs was appointed to the Board in January 2015. The other continuing directors will remain in office until the expiration of their terms at the 2016 or 2017 Annual Meeting, as the case may be. The Board expects each nominee for election as a director to serve if elected. If a nominee is unable or unwilling to serve, proxies will be voted in favor of the other nominees and may be voted for a substitute nominee. Each nominee elected as a director will continue in office until his or her successor has been duly elected and qualified, or until his or her earlier death, resignation or retirement as a director.</w:t>
      </w:r>
    </w:p>
    <w:p>
      <w:pPr>
        <w:spacing w:after="0" w:line="292"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Each nominee was recommended by the Governance Committee, has been nominated by the Board of Directors for election and has consented to serve. In recommending Ms. Chavez and Messrs.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Ferguson and Salmirs for election as directors, the Governance Committee considered these directors’ service to our Board, their independence, skills, contributions to the Board, current and previous occupations and current and former directorships with other public companies.</w:t>
      </w:r>
    </w:p>
    <w:p>
      <w:pPr>
        <w:spacing w:after="0" w:line="97"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Our Board is composed of individuals who have experience as current or former chief executive officers, current or former senior executives with significant operational, finance or audit responsibilities, and individuals who have extensive experience in legal matters, investment management and finance, mergers and acquisitions, government and public policy as well as service on the boards of other public companies. As such, they have strong leadership skills and working knowledge of matters facing companies such as ours. The Board of Directors’ Skills Matrix sets out selection criteria used by our Board in concluding that each nominee’s service on the Board is appropriate and also reflects the current skills and experience of each of the other continuing members of our Board.</w:t>
      </w:r>
    </w:p>
    <w:p>
      <w:pPr>
        <w:spacing w:after="0" w:line="397"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004FF9"/>
        </w:rPr>
        <w:t>Board of Directors’ Skills Matrix</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1182"/>
        </w:trPr>
        <w:tc>
          <w:tcPr>
            <w:tcW w:w="24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004FF9"/>
              </w:rPr>
              <w:t>Skills and Experience</w:t>
            </w:r>
          </w:p>
        </w:tc>
        <w:tc>
          <w:tcPr>
            <w:tcW w:w="64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r>
      <w:tr>
        <w:trPr>
          <w:trHeight w:val="884"/>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r>
      <w:tr>
        <w:trPr>
          <w:trHeight w:val="237"/>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Operations Experience</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80"/>
              <w:spacing w:after="0" w:line="161" w:lineRule="exact"/>
              <w:rPr>
                <w:sz w:val="20"/>
                <w:szCs w:val="20"/>
                <w:color w:val="auto"/>
              </w:rPr>
            </w:pPr>
            <w:r>
              <w:rPr>
                <w:rFonts w:ascii="MS PGothic" w:cs="MS PGothic" w:eastAsia="MS PGothic" w:hAnsi="MS PGothic"/>
                <w:sz w:val="16"/>
                <w:szCs w:val="16"/>
                <w:color w:val="auto"/>
              </w:rPr>
              <w:t>✓</w:t>
            </w:r>
          </w:p>
        </w:tc>
      </w:tr>
      <w:tr>
        <w:trPr>
          <w:trHeight w:val="237"/>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Compensation Expertise</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spacing w:after="0"/>
              <w:rPr>
                <w:sz w:val="20"/>
                <w:szCs w:val="20"/>
                <w:color w:val="auto"/>
              </w:rPr>
            </w:pPr>
          </w:p>
        </w:tc>
      </w:tr>
      <w:tr>
        <w:trPr>
          <w:trHeight w:val="237"/>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Industry Experience</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spacing w:after="0"/>
              <w:rPr>
                <w:sz w:val="20"/>
                <w:szCs w:val="20"/>
                <w:color w:val="auto"/>
              </w:rPr>
            </w:pPr>
          </w:p>
        </w:tc>
      </w:tr>
      <w:tr>
        <w:trPr>
          <w:trHeight w:val="237"/>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Board Experience</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80"/>
              <w:spacing w:after="0" w:line="161" w:lineRule="exact"/>
              <w:rPr>
                <w:sz w:val="20"/>
                <w:szCs w:val="20"/>
                <w:color w:val="auto"/>
              </w:rPr>
            </w:pPr>
            <w:r>
              <w:rPr>
                <w:rFonts w:ascii="MS PGothic" w:cs="MS PGothic" w:eastAsia="MS PGothic" w:hAnsi="MS PGothic"/>
                <w:sz w:val="16"/>
                <w:szCs w:val="16"/>
                <w:color w:val="auto"/>
              </w:rPr>
              <w:t>✓</w:t>
            </w:r>
          </w:p>
        </w:tc>
      </w:tr>
      <w:tr>
        <w:trPr>
          <w:trHeight w:val="237"/>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Financial Experience</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80"/>
              <w:spacing w:after="0" w:line="161" w:lineRule="exact"/>
              <w:rPr>
                <w:sz w:val="20"/>
                <w:szCs w:val="20"/>
                <w:color w:val="auto"/>
              </w:rPr>
            </w:pPr>
            <w:r>
              <w:rPr>
                <w:rFonts w:ascii="MS PGothic" w:cs="MS PGothic" w:eastAsia="MS PGothic" w:hAnsi="MS PGothic"/>
                <w:sz w:val="16"/>
                <w:szCs w:val="16"/>
                <w:color w:val="auto"/>
              </w:rPr>
              <w:t>✓</w:t>
            </w:r>
          </w:p>
        </w:tc>
      </w:tr>
      <w:tr>
        <w:trPr>
          <w:trHeight w:val="198"/>
        </w:trPr>
        <w:tc>
          <w:tcPr>
            <w:tcW w:w="2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Mergers and Acquisitions</w:t>
            </w: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right w:val="single" w:sz="8" w:color="auto"/>
            </w:tcBorders>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right w:val="single" w:sz="8" w:color="auto"/>
            </w:tcBorders>
          </w:tcPr>
          <w:p>
            <w:pPr>
              <w:ind w:left="280"/>
              <w:spacing w:after="0" w:line="161" w:lineRule="exact"/>
              <w:rPr>
                <w:sz w:val="20"/>
                <w:szCs w:val="20"/>
                <w:color w:val="auto"/>
              </w:rPr>
            </w:pPr>
            <w:r>
              <w:rPr>
                <w:rFonts w:ascii="MS PGothic" w:cs="MS PGothic" w:eastAsia="MS PGothic" w:hAnsi="MS PGothic"/>
                <w:sz w:val="16"/>
                <w:szCs w:val="16"/>
                <w:color w:val="auto"/>
              </w:rPr>
              <w:t>✓</w:t>
            </w:r>
          </w:p>
        </w:tc>
      </w:tr>
      <w:tr>
        <w:trPr>
          <w:trHeight w:val="208"/>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Experience</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r>
      <w:tr>
        <w:trPr>
          <w:trHeight w:val="243"/>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Sales and Marketing</w:t>
            </w:r>
          </w:p>
        </w:tc>
        <w:tc>
          <w:tcPr>
            <w:tcW w:w="6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80"/>
              <w:spacing w:after="0" w:line="161" w:lineRule="exact"/>
              <w:rPr>
                <w:sz w:val="20"/>
                <w:szCs w:val="20"/>
                <w:color w:val="auto"/>
              </w:rPr>
            </w:pPr>
            <w:r>
              <w:rPr>
                <w:rFonts w:ascii="MS PGothic" w:cs="MS PGothic" w:eastAsia="MS PGothic" w:hAnsi="MS PGothic"/>
                <w:sz w:val="16"/>
                <w:szCs w:val="16"/>
                <w:color w:val="auto"/>
              </w:rPr>
              <w:t>✓</w:t>
            </w:r>
          </w:p>
        </w:tc>
      </w:tr>
      <w:tr>
        <w:trPr>
          <w:trHeight w:val="198"/>
        </w:trPr>
        <w:tc>
          <w:tcPr>
            <w:tcW w:w="2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Government/Government</w:t>
            </w:r>
          </w:p>
        </w:tc>
        <w:tc>
          <w:tcPr>
            <w:tcW w:w="64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208"/>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Relations</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r>
      <w:tr>
        <w:trPr>
          <w:trHeight w:val="243"/>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Global</w:t>
            </w:r>
          </w:p>
        </w:tc>
        <w:tc>
          <w:tcPr>
            <w:tcW w:w="6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ind w:left="280"/>
              <w:spacing w:after="0" w:line="161" w:lineRule="exact"/>
              <w:rPr>
                <w:sz w:val="20"/>
                <w:szCs w:val="20"/>
                <w:color w:val="auto"/>
              </w:rPr>
            </w:pPr>
            <w:r>
              <w:rPr>
                <w:rFonts w:ascii="MS PGothic" w:cs="MS PGothic" w:eastAsia="MS PGothic" w:hAnsi="MS PGothic"/>
                <w:sz w:val="16"/>
                <w:szCs w:val="16"/>
                <w:color w:val="auto"/>
              </w:rPr>
              <w:t>✓</w:t>
            </w:r>
          </w:p>
        </w:tc>
      </w:tr>
      <w:tr>
        <w:trPr>
          <w:trHeight w:val="237"/>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Diversity</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60" w:type="dxa"/>
            <w:vAlign w:val="bottom"/>
            <w:tcBorders>
              <w:bottom w:val="single" w:sz="8" w:color="auto"/>
              <w:right w:val="single" w:sz="8" w:color="auto"/>
            </w:tcBorders>
          </w:tcPr>
          <w:p>
            <w:pPr>
              <w:ind w:left="2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-2649220</wp:posOffset>
            </wp:positionV>
            <wp:extent cx="128905" cy="660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66040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-2880995</wp:posOffset>
            </wp:positionV>
            <wp:extent cx="128905" cy="892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89217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-3094990</wp:posOffset>
            </wp:positionV>
            <wp:extent cx="128905" cy="1106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10617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-2700655</wp:posOffset>
            </wp:positionV>
            <wp:extent cx="128905" cy="711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71183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-3086735</wp:posOffset>
            </wp:positionV>
            <wp:extent cx="128905" cy="1097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097915"/>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-2915285</wp:posOffset>
            </wp:positionV>
            <wp:extent cx="128905" cy="926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92646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-2649220</wp:posOffset>
            </wp:positionV>
            <wp:extent cx="128905" cy="660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66040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-2837815</wp:posOffset>
            </wp:positionV>
            <wp:extent cx="128905" cy="848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48995"/>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-3094990</wp:posOffset>
            </wp:positionV>
            <wp:extent cx="128905" cy="11061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106170"/>
                    </a:xfrm>
                    <a:prstGeom prst="rect">
                      <a:avLst/>
                    </a:prstGeom>
                    <a:noFill/>
                  </pic:spPr>
                </pic:pic>
              </a:graphicData>
            </a:graphic>
          </wp:anchor>
        </w:drawing>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004FF9"/>
        </w:rPr>
        <w:t>Proposal 1 — Election of Directors:</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100965</wp:posOffset>
            </wp:positionV>
            <wp:extent cx="52139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PROPOSAL 1 — ELECTION OF DIRECTORS</w:t>
      </w:r>
    </w:p>
    <w:p>
      <w:pPr>
        <w:spacing w:after="0" w:line="206"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THE BOARD OF DIRECTORS RECOMMENDS VOTES</w:t>
      </w:r>
    </w:p>
    <w:p>
      <w:pPr>
        <w:jc w:val="center"/>
        <w:ind w:right="-520"/>
        <w:spacing w:after="0"/>
        <w:rPr>
          <w:sz w:val="20"/>
          <w:szCs w:val="20"/>
          <w:color w:val="auto"/>
        </w:rPr>
      </w:pPr>
      <w:r>
        <w:rPr>
          <w:rFonts w:ascii="Arial" w:cs="Arial" w:eastAsia="Arial" w:hAnsi="Arial"/>
          <w:sz w:val="16"/>
          <w:szCs w:val="16"/>
          <w:b w:val="1"/>
          <w:bCs w:val="1"/>
          <w:color w:val="004FF9"/>
        </w:rPr>
        <w:t>“FOR” THE ELECTION OF ALL OF THE NOMINEES AS DIRECTORS</w:t>
      </w:r>
    </w:p>
    <w:p>
      <w:pPr>
        <w:spacing w:after="0" w:line="100"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6"/>
          <w:szCs w:val="16"/>
          <w:color w:val="auto"/>
        </w:rPr>
        <w:t>The three persons who receive a plurality of the votes cast will be elected as directors. This means that the three director nominees with the most votes are elected. Only votes “For” affect the outcome. Withheld votes do not affect the voting calculation.</w:t>
      </w:r>
    </w:p>
    <w:p>
      <w:pPr>
        <w:spacing w:after="0" w:line="168"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004FF9"/>
        </w:rPr>
        <w:t>Nominees for Election as Directors with Terms Expiring in 2018</w:t>
      </w:r>
    </w:p>
    <w:p>
      <w:pPr>
        <w:spacing w:after="0" w:line="113" w:lineRule="exact"/>
        <w:rPr>
          <w:sz w:val="20"/>
          <w:szCs w:val="20"/>
          <w:color w:val="auto"/>
        </w:rPr>
      </w:pPr>
    </w:p>
    <w:p>
      <w:pPr>
        <w:ind w:left="2780"/>
        <w:spacing w:after="0"/>
        <w:tabs>
          <w:tab w:leader="none" w:pos="5300" w:val="left"/>
          <w:tab w:leader="none" w:pos="8920" w:val="left"/>
        </w:tabs>
        <w:rPr>
          <w:sz w:val="20"/>
          <w:szCs w:val="20"/>
          <w:color w:val="auto"/>
        </w:rPr>
      </w:pPr>
      <w:r>
        <w:rPr>
          <w:rFonts w:ascii="Arial" w:cs="Arial" w:eastAsia="Arial" w:hAnsi="Arial"/>
          <w:sz w:val="16"/>
          <w:szCs w:val="16"/>
          <w:b w:val="1"/>
          <w:bCs w:val="1"/>
          <w:color w:val="004FF9"/>
        </w:rPr>
        <w:t>Linda Chavez</w:t>
      </w:r>
      <w:r>
        <w:rPr>
          <w:sz w:val="20"/>
          <w:szCs w:val="20"/>
          <w:color w:val="auto"/>
        </w:rPr>
        <w:tab/>
      </w:r>
      <w:r>
        <w:rPr>
          <w:rFonts w:ascii="Arial" w:cs="Arial" w:eastAsia="Arial" w:hAnsi="Arial"/>
          <w:sz w:val="16"/>
          <w:szCs w:val="16"/>
          <w:b w:val="1"/>
          <w:bCs w:val="1"/>
          <w:color w:val="004FF9"/>
        </w:rPr>
        <w:t>Director Since 1997</w:t>
      </w:r>
      <w:r>
        <w:rPr>
          <w:sz w:val="20"/>
          <w:szCs w:val="20"/>
          <w:color w:val="auto"/>
        </w:rPr>
        <w:tab/>
      </w:r>
      <w:r>
        <w:rPr>
          <w:rFonts w:ascii="Arial" w:cs="Arial" w:eastAsia="Arial" w:hAnsi="Arial"/>
          <w:sz w:val="16"/>
          <w:szCs w:val="16"/>
          <w:b w:val="1"/>
          <w:bCs w:val="1"/>
          <w:color w:val="004FF9"/>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31750</wp:posOffset>
            </wp:positionV>
            <wp:extent cx="43224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6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President, Becoming American Institute</w:t>
      </w:r>
    </w:p>
    <w:p>
      <w:pPr>
        <w:spacing w:after="0" w:line="12" w:lineRule="exact"/>
        <w:rPr>
          <w:sz w:val="20"/>
          <w:szCs w:val="20"/>
          <w:color w:val="auto"/>
        </w:rPr>
      </w:pPr>
    </w:p>
    <w:p>
      <w:pPr>
        <w:jc w:val="both"/>
        <w:ind w:left="2780" w:right="739"/>
        <w:spacing w:after="0" w:line="247" w:lineRule="auto"/>
        <w:rPr>
          <w:sz w:val="20"/>
          <w:szCs w:val="20"/>
          <w:color w:val="auto"/>
        </w:rPr>
      </w:pPr>
      <w:r>
        <w:rPr>
          <w:rFonts w:ascii="Arial" w:cs="Arial" w:eastAsia="Arial" w:hAnsi="Arial"/>
          <w:sz w:val="16"/>
          <w:szCs w:val="16"/>
          <w:color w:val="auto"/>
        </w:rPr>
        <w:t>Ms. Chavez is the president of the Becoming American Institute, a position she has held since 2014. Additionally, she is founder and chairman of the Center for Equal Opportunity, a position she has held since January 2006. Prior to her appointment as chairman, Ms. Chavez served as president of the Center for Equal Opportunity from January 1995 through December 2005. Ms. Chavez was a director of Pilgrim’s Pride Corporation from 2004 to 2008 where she served on the audit committee. Previously, she was a director of Greyhound Lines, Inc. from 1995 to 1999, when it was acquired by another company. Ms. Chavez has held numerous appointed positions, including chief executive officer of the National Commission on Migrant Education from 1988 to 1992, chief executive officer of the U.S. Commission on Civil Rights from 1983 to 1985, and White House Director of Public Liaison in 1985. In 1992, she was elected by the United Nations Commission on Human Rights to serve a four-year term as U.S. Expert to the U.N. Sub-Commission on the Prevention of Discrimination and Protection of Minorities. She is a 2006 graduate of the UCLA Anderson Graduate School of Management Director Training and Certification Program and served on the advisory board of the Outstanding Directors Exchange in 2008 and 2009. Ms. Chavez serves on the board of Research Electro-Optics, a privately held company. Ms. Chavez also serves or has served on numerous non-profit boards, including the Campaign to Prevent Teen and Unplanned Pregnancies, and she is an author and nationally syndicated columnist and television commentator and writes extensively about public policy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-1693545</wp:posOffset>
            </wp:positionV>
            <wp:extent cx="823595" cy="1243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3595" cy="124333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5300" w:val="left"/>
          <w:tab w:leader="none" w:pos="8920" w:val="left"/>
        </w:tabs>
        <w:rPr>
          <w:sz w:val="20"/>
          <w:szCs w:val="20"/>
          <w:color w:val="auto"/>
        </w:rPr>
      </w:pPr>
      <w:r>
        <w:rPr>
          <w:rFonts w:ascii="Arial" w:cs="Arial" w:eastAsia="Arial" w:hAnsi="Arial"/>
          <w:sz w:val="16"/>
          <w:szCs w:val="16"/>
          <w:b w:val="1"/>
          <w:bCs w:val="1"/>
          <w:color w:val="004FF9"/>
        </w:rPr>
        <w:t>J. Philip Ferguson</w:t>
      </w:r>
      <w:r>
        <w:rPr>
          <w:sz w:val="20"/>
          <w:szCs w:val="20"/>
          <w:color w:val="auto"/>
        </w:rPr>
        <w:tab/>
      </w:r>
      <w:r>
        <w:rPr>
          <w:rFonts w:ascii="Arial" w:cs="Arial" w:eastAsia="Arial" w:hAnsi="Arial"/>
          <w:sz w:val="16"/>
          <w:szCs w:val="16"/>
          <w:b w:val="1"/>
          <w:bCs w:val="1"/>
          <w:color w:val="004FF9"/>
        </w:rPr>
        <w:t>Director Since 2009</w:t>
      </w:r>
      <w:r>
        <w:rPr>
          <w:sz w:val="20"/>
          <w:szCs w:val="20"/>
          <w:color w:val="auto"/>
        </w:rPr>
        <w:tab/>
      </w:r>
      <w:r>
        <w:rPr>
          <w:rFonts w:ascii="Arial" w:cs="Arial" w:eastAsia="Arial" w:hAnsi="Arial"/>
          <w:sz w:val="16"/>
          <w:szCs w:val="16"/>
          <w:b w:val="1"/>
          <w:bCs w:val="1"/>
          <w:color w:val="004FF9"/>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31750</wp:posOffset>
            </wp:positionV>
            <wp:extent cx="43224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6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Former Vice Chairman, University of Texas Investment Management Company</w:t>
      </w:r>
    </w:p>
    <w:p>
      <w:pPr>
        <w:spacing w:after="0" w:line="12" w:lineRule="exact"/>
        <w:rPr>
          <w:sz w:val="20"/>
          <w:szCs w:val="20"/>
          <w:color w:val="auto"/>
        </w:rPr>
      </w:pPr>
    </w:p>
    <w:p>
      <w:pPr>
        <w:jc w:val="both"/>
        <w:ind w:left="2780" w:right="739"/>
        <w:spacing w:after="0" w:line="247" w:lineRule="auto"/>
        <w:rPr>
          <w:sz w:val="20"/>
          <w:szCs w:val="20"/>
          <w:color w:val="auto"/>
        </w:rPr>
      </w:pPr>
      <w:r>
        <w:rPr>
          <w:rFonts w:ascii="Arial" w:cs="Arial" w:eastAsia="Arial" w:hAnsi="Arial"/>
          <w:sz w:val="16"/>
          <w:szCs w:val="16"/>
          <w:color w:val="auto"/>
        </w:rPr>
        <w:t>Mr. Ferguson has spent 45 years in the investment management business, currently serving on the board of managers of Salient Partners, on the investment committee for Silver Ventures and Houston Endowment, Inc., and as non-executive chair of the investment committee of Ascendant Advisors. Mr. Ferguson served until April 2012, on the board of directors of the University of Texas Investment Management Company (UTIMCO), a position he held since August 2003. He chaired the UTIMCO compensation committee and served on its risk and policy committees. Mr. Ferguson also serves on the advisory committee of the MBA Investment Fund at the McCombs School of Business at the University of Texas-Austin, a position held since March 2005 and is vice-chair of the University of Texas Health Science Center Development Board. Mr. Ferguson held various executive positions with AIM Capital Management, Inc. (now Invesco AIM) from 2000 to 2007, serving most recently as president and chief investment officer. Previously, he held senior positions at several investment management firms, including: managing partner at Beutel, Goodman &amp; Company; senior vice president at Lehman Brothers, Inc.; and vice president of Goldman, Sachs &amp; Company. Mr. Ferguson also serves or has served on various investment and civic boards, including the Investment Adviser Association, Museum of Fine Arts, Houston, and on the Chancellor’s Advisory Council, Texas Christian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-1555750</wp:posOffset>
            </wp:positionV>
            <wp:extent cx="823595" cy="12350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359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004FF9"/>
        </w:rPr>
        <w:t>Proposal 1 — Election of Directors:</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100965</wp:posOffset>
            </wp:positionV>
            <wp:extent cx="52139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780"/>
        <w:spacing w:after="0"/>
        <w:tabs>
          <w:tab w:leader="none" w:pos="5300" w:val="left"/>
          <w:tab w:leader="none" w:pos="8920" w:val="left"/>
        </w:tabs>
        <w:rPr>
          <w:sz w:val="20"/>
          <w:szCs w:val="20"/>
          <w:color w:val="auto"/>
        </w:rPr>
      </w:pPr>
      <w:r>
        <w:rPr>
          <w:rFonts w:ascii="Arial" w:cs="Arial" w:eastAsia="Arial" w:hAnsi="Arial"/>
          <w:sz w:val="16"/>
          <w:szCs w:val="16"/>
          <w:b w:val="1"/>
          <w:bCs w:val="1"/>
          <w:color w:val="004FF9"/>
        </w:rPr>
        <w:t>Scott Salmirs</w:t>
      </w:r>
      <w:r>
        <w:rPr>
          <w:sz w:val="20"/>
          <w:szCs w:val="20"/>
          <w:color w:val="auto"/>
        </w:rPr>
        <w:tab/>
      </w:r>
      <w:r>
        <w:rPr>
          <w:rFonts w:ascii="Arial" w:cs="Arial" w:eastAsia="Arial" w:hAnsi="Arial"/>
          <w:sz w:val="16"/>
          <w:szCs w:val="16"/>
          <w:b w:val="1"/>
          <w:bCs w:val="1"/>
          <w:color w:val="004FF9"/>
        </w:rPr>
        <w:t>Director Since 2015</w:t>
      </w:r>
      <w:r>
        <w:rPr>
          <w:sz w:val="20"/>
          <w:szCs w:val="20"/>
          <w:color w:val="auto"/>
        </w:rPr>
        <w:tab/>
      </w:r>
      <w:r>
        <w:rPr>
          <w:rFonts w:ascii="Arial" w:cs="Arial" w:eastAsia="Arial" w:hAnsi="Arial"/>
          <w:sz w:val="16"/>
          <w:szCs w:val="16"/>
          <w:b w:val="1"/>
          <w:bCs w:val="1"/>
          <w:color w:val="004FF9"/>
        </w:rPr>
        <w:t>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23495</wp:posOffset>
            </wp:positionV>
            <wp:extent cx="43224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53"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Executive Vice President, 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823595" cy="1243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3595" cy="1243330"/>
                    </a:xfrm>
                    <a:prstGeom prst="rect">
                      <a:avLst/>
                    </a:prstGeom>
                    <a:noFill/>
                  </pic:spPr>
                </pic:pic>
              </a:graphicData>
            </a:graphic>
          </wp:anchor>
        </w:drawing>
      </w:r>
    </w:p>
    <w:p>
      <w:pPr>
        <w:spacing w:after="0" w:line="59" w:lineRule="exact"/>
        <w:rPr>
          <w:sz w:val="20"/>
          <w:szCs w:val="20"/>
          <w:color w:val="auto"/>
        </w:rPr>
      </w:pPr>
    </w:p>
    <w:p>
      <w:pPr>
        <w:jc w:val="both"/>
        <w:ind w:left="2780" w:right="739"/>
        <w:spacing w:after="0" w:line="248" w:lineRule="auto"/>
        <w:rPr>
          <w:sz w:val="20"/>
          <w:szCs w:val="20"/>
          <w:color w:val="auto"/>
        </w:rPr>
      </w:pPr>
      <w:r>
        <w:rPr>
          <w:rFonts w:ascii="Arial" w:cs="Arial" w:eastAsia="Arial" w:hAnsi="Arial"/>
          <w:sz w:val="16"/>
          <w:szCs w:val="16"/>
          <w:color w:val="auto"/>
        </w:rPr>
        <w:t>Mr. Salmirs is an executive vice president of the Company, a position held since September 2014. As such, he has global responsibility for the Company’s aviation division and all international activities. Previously, Mr. Salmirs served as executive vice president of ABM Janitorial Services — Northeast from 2003 to December 2014. Prior to joining the Company, Mr. Salmirs held various leadership positions at Goldman, Sachs &amp; Company, Lehman Brothers, Inc., and CBRE. Mr. Salmirs also serves on the board of Outreach, a New York non-profit organization dedicated to rehabilitating teen drug users, and is a founding board member of Donate Eight, a non-profit group associated with the New York Organ Donor Network. In January 2015, the Company’s Board of directors appointed Mr. Salmirs president and chief executive officer effective March 31, 2015.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66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Arial" w:cs="Arial" w:eastAsia="Arial" w:hAnsi="Arial"/>
                <w:sz w:val="16"/>
                <w:szCs w:val="16"/>
                <w:b w:val="1"/>
                <w:bCs w:val="1"/>
                <w:color w:val="004FF9"/>
              </w:rPr>
              <w:t>Directors with Terms Expiring in 2016</w:t>
            </w:r>
          </w:p>
        </w:tc>
        <w:tc>
          <w:tcPr>
            <w:tcW w:w="1600" w:type="dxa"/>
            <w:vAlign w:val="bottom"/>
          </w:tcPr>
          <w:p>
            <w:pPr>
              <w:spacing w:after="0"/>
              <w:rPr>
                <w:sz w:val="18"/>
                <w:szCs w:val="18"/>
                <w:color w:val="auto"/>
              </w:rPr>
            </w:pPr>
          </w:p>
        </w:tc>
      </w:tr>
      <w:tr>
        <w:trPr>
          <w:trHeight w:val="324"/>
        </w:trPr>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004FF9"/>
              </w:rPr>
              <w:t>Luke S. Helms</w:t>
            </w:r>
          </w:p>
        </w:tc>
        <w:tc>
          <w:tcPr>
            <w:tcW w:w="398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004FF9"/>
              </w:rPr>
              <w:t>Director Since 1995</w:t>
            </w:r>
          </w:p>
        </w:tc>
        <w:tc>
          <w:tcPr>
            <w:tcW w:w="160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004FF9"/>
                <w:w w:val="99"/>
              </w:rPr>
              <w:t>Age 71</w:t>
            </w:r>
          </w:p>
        </w:tc>
      </w:tr>
      <w:tr>
        <w:trPr>
          <w:trHeight w:val="237"/>
        </w:trPr>
        <w:tc>
          <w:tcPr>
            <w:tcW w:w="52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Managing Director, Sonata Capital Group</w:t>
            </w:r>
          </w:p>
        </w:tc>
        <w:tc>
          <w:tcPr>
            <w:tcW w:w="1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-295910</wp:posOffset>
            </wp:positionV>
            <wp:extent cx="823595" cy="1235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3595" cy="1235075"/>
                    </a:xfrm>
                    <a:prstGeom prst="rect">
                      <a:avLst/>
                    </a:prstGeom>
                    <a:noFill/>
                  </pic:spPr>
                </pic:pic>
              </a:graphicData>
            </a:graphic>
          </wp:anchor>
        </w:drawing>
      </w:r>
    </w:p>
    <w:p>
      <w:pPr>
        <w:spacing w:after="0" w:line="28" w:lineRule="exact"/>
        <w:rPr>
          <w:sz w:val="20"/>
          <w:szCs w:val="20"/>
          <w:color w:val="auto"/>
        </w:rPr>
      </w:pPr>
    </w:p>
    <w:p>
      <w:pPr>
        <w:jc w:val="both"/>
        <w:ind w:left="2780" w:right="739"/>
        <w:spacing w:after="0" w:line="248" w:lineRule="auto"/>
        <w:rPr>
          <w:sz w:val="20"/>
          <w:szCs w:val="20"/>
          <w:color w:val="auto"/>
        </w:rPr>
      </w:pPr>
      <w:r>
        <w:rPr>
          <w:rFonts w:ascii="Arial" w:cs="Arial" w:eastAsia="Arial" w:hAnsi="Arial"/>
          <w:sz w:val="16"/>
          <w:szCs w:val="16"/>
          <w:color w:val="auto"/>
        </w:rPr>
        <w:t>Mr. Helms is the managing director of Sonata Capital Group, a privately owned, registered investment advisory firm, a position held since June 2000. Previously, Mr. Helms served as vice chairman of KeyBank from April 1998 to March 2000 and held various senior executive positions at Bank of America Corporation, including vice chairman from May 1993 to October 1998. He also served as president of Seafirst Bank from November 1987 to September 1990 and chief executive officer from September 1990 to May 1993. Mr. Helms was a director of Lifelock, Inc., a privately owned company, from 2007 to 2008 and has served as a director of Manulife Financial Corporation since 2007.</w:t>
      </w:r>
    </w:p>
    <w:p>
      <w:pPr>
        <w:spacing w:after="0" w:line="363" w:lineRule="exact"/>
        <w:rPr>
          <w:sz w:val="20"/>
          <w:szCs w:val="20"/>
          <w:color w:val="auto"/>
        </w:rPr>
      </w:pPr>
    </w:p>
    <w:p>
      <w:pPr>
        <w:ind w:left="2780"/>
        <w:spacing w:after="0"/>
        <w:tabs>
          <w:tab w:leader="none" w:pos="5300" w:val="left"/>
          <w:tab w:leader="none" w:pos="8920" w:val="left"/>
        </w:tabs>
        <w:rPr>
          <w:sz w:val="20"/>
          <w:szCs w:val="20"/>
          <w:color w:val="auto"/>
        </w:rPr>
      </w:pPr>
      <w:r>
        <w:rPr>
          <w:rFonts w:ascii="Arial" w:cs="Arial" w:eastAsia="Arial" w:hAnsi="Arial"/>
          <w:sz w:val="16"/>
          <w:szCs w:val="16"/>
          <w:b w:val="1"/>
          <w:bCs w:val="1"/>
          <w:color w:val="004FF9"/>
        </w:rPr>
        <w:t>Sudhakar Kesavan</w:t>
      </w:r>
      <w:r>
        <w:rPr>
          <w:sz w:val="20"/>
          <w:szCs w:val="20"/>
          <w:color w:val="auto"/>
        </w:rPr>
        <w:tab/>
      </w:r>
      <w:r>
        <w:rPr>
          <w:rFonts w:ascii="Arial" w:cs="Arial" w:eastAsia="Arial" w:hAnsi="Arial"/>
          <w:sz w:val="16"/>
          <w:szCs w:val="16"/>
          <w:b w:val="1"/>
          <w:bCs w:val="1"/>
          <w:color w:val="004FF9"/>
        </w:rPr>
        <w:t>Director Since 2012</w:t>
      </w:r>
      <w:r>
        <w:rPr>
          <w:sz w:val="20"/>
          <w:szCs w:val="20"/>
          <w:color w:val="auto"/>
        </w:rPr>
        <w:tab/>
      </w:r>
      <w:r>
        <w:rPr>
          <w:rFonts w:ascii="Arial" w:cs="Arial" w:eastAsia="Arial" w:hAnsi="Arial"/>
          <w:sz w:val="16"/>
          <w:szCs w:val="16"/>
          <w:b w:val="1"/>
          <w:bCs w:val="1"/>
          <w:color w:val="004FF9"/>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-95885</wp:posOffset>
            </wp:positionV>
            <wp:extent cx="5213985" cy="12350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235075"/>
                    </a:xfrm>
                    <a:prstGeom prst="rect">
                      <a:avLst/>
                    </a:prstGeom>
                    <a:noFill/>
                  </pic:spPr>
                </pic:pic>
              </a:graphicData>
            </a:graphic>
          </wp:anchor>
        </w:drawing>
      </w:r>
    </w:p>
    <w:p>
      <w:pPr>
        <w:spacing w:after="0" w:line="93"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Chairman and Chief Executive Officer, ICF International</w:t>
      </w:r>
    </w:p>
    <w:p>
      <w:pPr>
        <w:spacing w:after="0" w:line="79" w:lineRule="exact"/>
        <w:rPr>
          <w:sz w:val="20"/>
          <w:szCs w:val="20"/>
          <w:color w:val="auto"/>
        </w:rPr>
      </w:pPr>
    </w:p>
    <w:p>
      <w:pPr>
        <w:jc w:val="both"/>
        <w:ind w:left="2780" w:right="739"/>
        <w:spacing w:after="0" w:line="248" w:lineRule="auto"/>
        <w:rPr>
          <w:sz w:val="20"/>
          <w:szCs w:val="20"/>
          <w:color w:val="auto"/>
        </w:rPr>
      </w:pPr>
      <w:r>
        <w:rPr>
          <w:rFonts w:ascii="Arial" w:cs="Arial" w:eastAsia="Arial" w:hAnsi="Arial"/>
          <w:sz w:val="16"/>
          <w:szCs w:val="16"/>
          <w:color w:val="auto"/>
        </w:rPr>
        <w:t>Mr. Kesavan is chairman and chief executive officer of ICF International, a position held since 1999. He has also been a director of ICF International since June 1999. Previously, Mr. Kesavan served as the president of ICF Consulting Group, a subsidiary of ICF Kaiser from 1997 to 1999. Mr. Kesavan serves as chair of the Northern Virginia Technology Council. He also serves as board member emeritus of the Rainforest Alliance, a New York-based non-profit environmental organization and on the board of Inova Health Systems, a not-for-profit healthcare system based in Northern Virginia.</w:t>
      </w:r>
    </w:p>
    <w:p>
      <w:pPr>
        <w:spacing w:after="0" w:line="200" w:lineRule="exact"/>
        <w:rPr>
          <w:sz w:val="20"/>
          <w:szCs w:val="20"/>
          <w:color w:val="auto"/>
        </w:rPr>
      </w:pPr>
    </w:p>
    <w:p>
      <w:pPr>
        <w:spacing w:after="0" w:line="340" w:lineRule="exact"/>
        <w:rPr>
          <w:sz w:val="20"/>
          <w:szCs w:val="20"/>
          <w:color w:val="auto"/>
        </w:rPr>
      </w:pPr>
    </w:p>
    <w:p>
      <w:pPr>
        <w:ind w:left="2780"/>
        <w:spacing w:after="0"/>
        <w:tabs>
          <w:tab w:leader="none" w:pos="5300" w:val="left"/>
          <w:tab w:leader="none" w:pos="8920" w:val="left"/>
        </w:tabs>
        <w:rPr>
          <w:sz w:val="20"/>
          <w:szCs w:val="20"/>
          <w:color w:val="auto"/>
        </w:rPr>
      </w:pPr>
      <w:r>
        <w:rPr>
          <w:rFonts w:ascii="Arial" w:cs="Arial" w:eastAsia="Arial" w:hAnsi="Arial"/>
          <w:sz w:val="16"/>
          <w:szCs w:val="16"/>
          <w:b w:val="1"/>
          <w:bCs w:val="1"/>
          <w:color w:val="004FF9"/>
        </w:rPr>
        <w:t>William W. Steele</w:t>
      </w:r>
      <w:r>
        <w:rPr>
          <w:sz w:val="20"/>
          <w:szCs w:val="20"/>
          <w:color w:val="auto"/>
        </w:rPr>
        <w:tab/>
      </w:r>
      <w:r>
        <w:rPr>
          <w:rFonts w:ascii="Arial" w:cs="Arial" w:eastAsia="Arial" w:hAnsi="Arial"/>
          <w:sz w:val="16"/>
          <w:szCs w:val="16"/>
          <w:b w:val="1"/>
          <w:bCs w:val="1"/>
          <w:color w:val="004FF9"/>
        </w:rPr>
        <w:t>Director Since 1998</w:t>
      </w:r>
      <w:r>
        <w:rPr>
          <w:sz w:val="20"/>
          <w:szCs w:val="20"/>
          <w:color w:val="auto"/>
        </w:rPr>
        <w:tab/>
      </w:r>
      <w:r>
        <w:rPr>
          <w:rFonts w:ascii="Arial" w:cs="Arial" w:eastAsia="Arial" w:hAnsi="Arial"/>
          <w:sz w:val="16"/>
          <w:szCs w:val="16"/>
          <w:b w:val="1"/>
          <w:bCs w:val="1"/>
          <w:color w:val="004FF9"/>
        </w:rPr>
        <w:t>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-95885</wp:posOffset>
            </wp:positionV>
            <wp:extent cx="5213985" cy="12350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1235075"/>
                    </a:xfrm>
                    <a:prstGeom prst="rect">
                      <a:avLst/>
                    </a:prstGeom>
                    <a:noFill/>
                  </pic:spPr>
                </pic:pic>
              </a:graphicData>
            </a:graphic>
          </wp:anchor>
        </w:drawing>
      </w:r>
    </w:p>
    <w:p>
      <w:pPr>
        <w:spacing w:after="0" w:line="66"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Former President and Chief Executive Officer, ABM Industries Incorporated</w:t>
      </w:r>
    </w:p>
    <w:p>
      <w:pPr>
        <w:spacing w:after="0" w:line="66" w:lineRule="exact"/>
        <w:rPr>
          <w:sz w:val="20"/>
          <w:szCs w:val="20"/>
          <w:color w:val="auto"/>
        </w:rPr>
      </w:pPr>
    </w:p>
    <w:p>
      <w:pPr>
        <w:jc w:val="both"/>
        <w:ind w:left="2780" w:right="739"/>
        <w:spacing w:after="0" w:line="248" w:lineRule="auto"/>
        <w:rPr>
          <w:sz w:val="20"/>
          <w:szCs w:val="20"/>
          <w:color w:val="auto"/>
        </w:rPr>
      </w:pPr>
      <w:r>
        <w:rPr>
          <w:rFonts w:ascii="Arial" w:cs="Arial" w:eastAsia="Arial" w:hAnsi="Arial"/>
          <w:sz w:val="16"/>
          <w:szCs w:val="16"/>
          <w:color w:val="auto"/>
        </w:rPr>
        <w:t>Mr. Steele is a former officer and employee of the Company, who retired in October 2000 after 43 years of employment with the Company. Mr. Steele’s positions with the Company included service as president from November 1991 to October 2000 and chief executive officer from November 1994 to October 2000. Mr. Steele also serves as a director of TrueBlue, Inc. (NYSE: TBI), a leading staffing, recruiting and workforce management company, a position he has held since 2001, where he chairs its governance and nominating committee, is a member of its audit committee and has served as its lead independent director since October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ind w:left="6660"/>
        <w:spacing w:after="0"/>
        <w:rPr>
          <w:sz w:val="20"/>
          <w:szCs w:val="20"/>
          <w:color w:val="auto"/>
        </w:rPr>
      </w:pPr>
      <w:r>
        <w:rPr>
          <w:rFonts w:ascii="Arial" w:cs="Arial" w:eastAsia="Arial" w:hAnsi="Arial"/>
          <w:sz w:val="18"/>
          <w:szCs w:val="18"/>
          <w:color w:val="004FF9"/>
        </w:rPr>
        <w:t>Proposal 1 — Election of Directors:</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217"/>
        </w:trPr>
        <w:tc>
          <w:tcPr>
            <w:tcW w:w="1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80" w:type="dxa"/>
            <w:vAlign w:val="bottom"/>
          </w:tcPr>
          <w:p>
            <w:pPr>
              <w:ind w:left="580"/>
              <w:spacing w:after="0"/>
              <w:rPr>
                <w:sz w:val="20"/>
                <w:szCs w:val="20"/>
                <w:color w:val="auto"/>
              </w:rPr>
            </w:pPr>
            <w:r>
              <w:rPr>
                <w:rFonts w:ascii="Arial" w:cs="Arial" w:eastAsia="Arial" w:hAnsi="Arial"/>
                <w:sz w:val="18"/>
                <w:szCs w:val="18"/>
                <w:color w:val="004FF9"/>
                <w:w w:val="99"/>
              </w:rPr>
              <w:t>Director Nominees</w:t>
            </w:r>
          </w:p>
        </w:tc>
      </w:tr>
      <w:tr>
        <w:trPr>
          <w:trHeight w:val="149"/>
        </w:trPr>
        <w:tc>
          <w:tcPr>
            <w:tcW w:w="1400" w:type="dxa"/>
            <w:vAlign w:val="bottom"/>
            <w:tcBorders>
              <w:bottom w:val="single" w:sz="8" w:color="004FF9"/>
            </w:tcBorders>
          </w:tcPr>
          <w:p>
            <w:pPr>
              <w:spacing w:after="0"/>
              <w:rPr>
                <w:sz w:val="12"/>
                <w:szCs w:val="12"/>
                <w:color w:val="auto"/>
              </w:rPr>
            </w:pPr>
          </w:p>
        </w:tc>
        <w:tc>
          <w:tcPr>
            <w:tcW w:w="4740" w:type="dxa"/>
            <w:vAlign w:val="bottom"/>
            <w:tcBorders>
              <w:bottom w:val="single" w:sz="8" w:color="004FF9"/>
            </w:tcBorders>
            <w:gridSpan w:val="2"/>
          </w:tcPr>
          <w:p>
            <w:pPr>
              <w:spacing w:after="0"/>
              <w:rPr>
                <w:sz w:val="12"/>
                <w:szCs w:val="12"/>
                <w:color w:val="auto"/>
              </w:rPr>
            </w:pPr>
          </w:p>
        </w:tc>
        <w:tc>
          <w:tcPr>
            <w:tcW w:w="2080" w:type="dxa"/>
            <w:vAlign w:val="bottom"/>
            <w:tcBorders>
              <w:bottom w:val="single" w:sz="8" w:color="004FF9"/>
            </w:tcBorders>
          </w:tcPr>
          <w:p>
            <w:pPr>
              <w:spacing w:after="0"/>
              <w:rPr>
                <w:sz w:val="12"/>
                <w:szCs w:val="12"/>
                <w:color w:val="auto"/>
              </w:rPr>
            </w:pPr>
          </w:p>
        </w:tc>
      </w:tr>
      <w:tr>
        <w:trPr>
          <w:trHeight w:val="501"/>
        </w:trPr>
        <w:tc>
          <w:tcPr>
            <w:tcW w:w="1400" w:type="dxa"/>
            <w:vAlign w:val="bottom"/>
          </w:tcPr>
          <w:p>
            <w:pPr>
              <w:spacing w:after="0"/>
              <w:rPr>
                <w:sz w:val="24"/>
                <w:szCs w:val="24"/>
                <w:color w:val="auto"/>
              </w:rPr>
            </w:pPr>
          </w:p>
        </w:tc>
        <w:tc>
          <w:tcPr>
            <w:tcW w:w="47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004FF9"/>
              </w:rPr>
              <w:t>Directors with Terms Expiring in 2017</w:t>
            </w:r>
          </w:p>
        </w:tc>
        <w:tc>
          <w:tcPr>
            <w:tcW w:w="2080" w:type="dxa"/>
            <w:vAlign w:val="bottom"/>
          </w:tcPr>
          <w:p>
            <w:pPr>
              <w:spacing w:after="0"/>
              <w:rPr>
                <w:sz w:val="24"/>
                <w:szCs w:val="24"/>
                <w:color w:val="auto"/>
              </w:rPr>
            </w:pPr>
          </w:p>
        </w:tc>
      </w:tr>
      <w:tr>
        <w:trPr>
          <w:trHeight w:val="314"/>
        </w:trPr>
        <w:tc>
          <w:tcPr>
            <w:tcW w:w="1400" w:type="dxa"/>
            <w:vAlign w:val="bottom"/>
          </w:tcPr>
          <w:p>
            <w:pPr>
              <w:spacing w:after="0"/>
              <w:rPr>
                <w:sz w:val="24"/>
                <w:szCs w:val="24"/>
                <w:color w:val="auto"/>
              </w:rPr>
            </w:pPr>
          </w:p>
        </w:tc>
        <w:tc>
          <w:tcPr>
            <w:tcW w:w="22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004FF9"/>
              </w:rPr>
              <w:t>Anthony G. Fernandes</w:t>
            </w:r>
          </w:p>
        </w:tc>
        <w:tc>
          <w:tcPr>
            <w:tcW w:w="2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004FF9"/>
              </w:rPr>
              <w:t>Director Since 2007</w:t>
            </w:r>
          </w:p>
        </w:tc>
        <w:tc>
          <w:tcPr>
            <w:tcW w:w="2080" w:type="dxa"/>
            <w:vAlign w:val="bottom"/>
            <w:tcBorders>
              <w:bottom w:val="single" w:sz="8" w:color="auto"/>
            </w:tcBorders>
          </w:tcPr>
          <w:p>
            <w:pPr>
              <w:ind w:left="1540"/>
              <w:spacing w:after="0"/>
              <w:rPr>
                <w:sz w:val="20"/>
                <w:szCs w:val="20"/>
                <w:color w:val="auto"/>
              </w:rPr>
            </w:pPr>
            <w:r>
              <w:rPr>
                <w:rFonts w:ascii="Arial" w:cs="Arial" w:eastAsia="Arial" w:hAnsi="Arial"/>
                <w:sz w:val="16"/>
                <w:szCs w:val="16"/>
                <w:b w:val="1"/>
                <w:bCs w:val="1"/>
                <w:color w:val="004FF9"/>
                <w:w w:val="99"/>
              </w:rPr>
              <w:t>Age 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-102235</wp:posOffset>
            </wp:positionV>
            <wp:extent cx="823595" cy="1235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3595" cy="1235075"/>
                    </a:xfrm>
                    <a:prstGeom prst="rect">
                      <a:avLst/>
                    </a:prstGeom>
                    <a:noFill/>
                  </pic:spPr>
                </pic:pic>
              </a:graphicData>
            </a:graphic>
          </wp:anchor>
        </w:drawing>
      </w:r>
    </w:p>
    <w:p>
      <w:pPr>
        <w:spacing w:after="0" w:line="2"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Former Chairman, Chief Executive Officer and President of Philip Services Corporation</w:t>
      </w:r>
    </w:p>
    <w:p>
      <w:pPr>
        <w:spacing w:after="0" w:line="66" w:lineRule="exact"/>
        <w:rPr>
          <w:sz w:val="20"/>
          <w:szCs w:val="20"/>
          <w:color w:val="auto"/>
        </w:rPr>
      </w:pPr>
    </w:p>
    <w:p>
      <w:pPr>
        <w:jc w:val="both"/>
        <w:ind w:left="2760" w:right="739"/>
        <w:spacing w:after="0" w:line="248" w:lineRule="auto"/>
        <w:rPr>
          <w:sz w:val="20"/>
          <w:szCs w:val="20"/>
          <w:color w:val="auto"/>
        </w:rPr>
      </w:pPr>
      <w:r>
        <w:rPr>
          <w:rFonts w:ascii="Arial" w:cs="Arial" w:eastAsia="Arial" w:hAnsi="Arial"/>
          <w:sz w:val="16"/>
          <w:szCs w:val="16"/>
          <w:color w:val="auto"/>
        </w:rPr>
        <w:t>Mr. Fernandes served as chairman, chief executive officer and president of Philip Services Corporation from August 1999 to April 2002. Prior to joining Philip Services Corporation, Mr. Fernandes had a 30-year career with the Atlantic Richfield Company (ARCO), serving as executive vice president and director of ARCO from 1994 to 1999; president of ARCO Coal, a subsidiary of ARCO, from 1990 to 1994 and corporate controller of ARCO from 1987 to 1990. He was a member of the ARCO board of directors and chairman of ARCO Chemical Company, a NYSE company 80% owned by ARCO. From 2003 to 2007, he was a director of Tower Automotive, Inc. He also currently serves as a director of Baker Hughes Incorporated, Cytec Industries, and Black and Veatch Corporation.</w:t>
      </w:r>
    </w:p>
    <w:p>
      <w:pPr>
        <w:spacing w:after="0" w:line="241" w:lineRule="exact"/>
        <w:rPr>
          <w:sz w:val="20"/>
          <w:szCs w:val="20"/>
          <w:color w:val="auto"/>
        </w:rPr>
      </w:pPr>
    </w:p>
    <w:p>
      <w:pPr>
        <w:ind w:left="2760"/>
        <w:spacing w:after="0"/>
        <w:tabs>
          <w:tab w:leader="none" w:pos="5300" w:val="left"/>
          <w:tab w:leader="none" w:pos="8920" w:val="left"/>
        </w:tabs>
        <w:rPr>
          <w:sz w:val="20"/>
          <w:szCs w:val="20"/>
          <w:color w:val="auto"/>
        </w:rPr>
      </w:pPr>
      <w:r>
        <w:rPr>
          <w:rFonts w:ascii="Arial" w:cs="Arial" w:eastAsia="Arial" w:hAnsi="Arial"/>
          <w:sz w:val="16"/>
          <w:szCs w:val="16"/>
          <w:b w:val="1"/>
          <w:bCs w:val="1"/>
          <w:color w:val="004FF9"/>
        </w:rPr>
        <w:t>Maryellen C. Herringer</w:t>
      </w:r>
      <w:r>
        <w:rPr>
          <w:sz w:val="20"/>
          <w:szCs w:val="20"/>
          <w:color w:val="auto"/>
        </w:rPr>
        <w:tab/>
      </w:r>
      <w:r>
        <w:rPr>
          <w:rFonts w:ascii="Arial" w:cs="Arial" w:eastAsia="Arial" w:hAnsi="Arial"/>
          <w:sz w:val="16"/>
          <w:szCs w:val="16"/>
          <w:b w:val="1"/>
          <w:bCs w:val="1"/>
          <w:color w:val="004FF9"/>
        </w:rPr>
        <w:t>Director Since 1993</w:t>
      </w:r>
      <w:r>
        <w:rPr>
          <w:sz w:val="20"/>
          <w:szCs w:val="20"/>
          <w:color w:val="auto"/>
        </w:rPr>
        <w:tab/>
      </w:r>
      <w:r>
        <w:rPr>
          <w:rFonts w:ascii="Arial" w:cs="Arial" w:eastAsia="Arial" w:hAnsi="Arial"/>
          <w:sz w:val="16"/>
          <w:szCs w:val="16"/>
          <w:b w:val="1"/>
          <w:bCs w:val="1"/>
          <w:color w:val="004FF9"/>
        </w:rPr>
        <w:t>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31750</wp:posOffset>
            </wp:positionV>
            <wp:extent cx="4330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66"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Non-Executive Chairman of the Board, ABM Industries Incorporated</w:t>
      </w:r>
    </w:p>
    <w:p>
      <w:pPr>
        <w:spacing w:after="0" w:line="12" w:lineRule="exact"/>
        <w:rPr>
          <w:sz w:val="20"/>
          <w:szCs w:val="20"/>
          <w:color w:val="auto"/>
        </w:rPr>
      </w:pPr>
    </w:p>
    <w:p>
      <w:pPr>
        <w:jc w:val="both"/>
        <w:ind w:left="2760" w:right="739"/>
        <w:spacing w:after="0" w:line="247" w:lineRule="auto"/>
        <w:rPr>
          <w:sz w:val="20"/>
          <w:szCs w:val="20"/>
          <w:color w:val="auto"/>
        </w:rPr>
      </w:pPr>
      <w:r>
        <w:rPr>
          <w:rFonts w:ascii="Arial" w:cs="Arial" w:eastAsia="Arial" w:hAnsi="Arial"/>
          <w:sz w:val="16"/>
          <w:szCs w:val="16"/>
          <w:color w:val="auto"/>
        </w:rPr>
        <w:t>Ms. Herringer is retired executive vice president, general counsel and secretary of APL Limited. She held various executive positions with APL Limited, an international provider of transportation and logistics, from 1991 to 1997 and was responsible at various times for overseeing functions including legal, risk management, corporate communications, human resources, internal audit, tax and community affairs. Prior to joining APL Limited, Ms. Herringer was a partner in the international law firm of Morrison &amp; Foerster from 1989 to 1991. From 1981 to 1989, Ms. Herringer held various positions at Transamerica Corporation (insurance and financial services), including vice president and general counsel from 1981 to 1983 and senior vice president and general counsel from 1983 to 1989. Ms. Herringer serves as a director of PG&amp;E Corporation and Pacific Gas and Electric Company, a subsidiary of PG&amp;E Corporation, and is chair of such companies’ nominating and governance committees and serves on their audit and compensation committees. She served as interim lead director of PG&amp;E Corporation and Pacific Gas and Electric Company and interim non-executive Chairman of the Board of Pacific Gas &amp; Electric Company from May to September 2011. Ms. Herringer currently is a member of the Board of Trustees of Mills College, Vassar College and the San Francisco Museum of Modern Art and has served on the boards of numerous educational institutions and not-for-profit organizations. She is also a former chair of the Business Law Section of the State Bar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-1633220</wp:posOffset>
            </wp:positionV>
            <wp:extent cx="823595" cy="1235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3595" cy="123507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760"/>
        <w:spacing w:after="0"/>
        <w:tabs>
          <w:tab w:leader="none" w:pos="5300" w:val="left"/>
          <w:tab w:leader="none" w:pos="8920" w:val="left"/>
        </w:tabs>
        <w:rPr>
          <w:sz w:val="20"/>
          <w:szCs w:val="20"/>
          <w:color w:val="auto"/>
        </w:rPr>
      </w:pPr>
      <w:r>
        <w:rPr>
          <w:rFonts w:ascii="Arial" w:cs="Arial" w:eastAsia="Arial" w:hAnsi="Arial"/>
          <w:sz w:val="16"/>
          <w:szCs w:val="16"/>
          <w:b w:val="1"/>
          <w:bCs w:val="1"/>
          <w:color w:val="004FF9"/>
        </w:rPr>
        <w:t>Winifred Markus Webb</w:t>
      </w:r>
      <w:r>
        <w:rPr>
          <w:sz w:val="20"/>
          <w:szCs w:val="20"/>
          <w:color w:val="auto"/>
        </w:rPr>
        <w:tab/>
      </w:r>
      <w:r>
        <w:rPr>
          <w:rFonts w:ascii="Arial" w:cs="Arial" w:eastAsia="Arial" w:hAnsi="Arial"/>
          <w:sz w:val="16"/>
          <w:szCs w:val="16"/>
          <w:b w:val="1"/>
          <w:bCs w:val="1"/>
          <w:color w:val="004FF9"/>
        </w:rPr>
        <w:t>Director Since 2014</w:t>
      </w:r>
      <w:r>
        <w:rPr>
          <w:sz w:val="20"/>
          <w:szCs w:val="20"/>
          <w:color w:val="auto"/>
        </w:rPr>
        <w:tab/>
      </w:r>
      <w:r>
        <w:rPr>
          <w:rFonts w:ascii="Arial" w:cs="Arial" w:eastAsia="Arial" w:hAnsi="Arial"/>
          <w:sz w:val="16"/>
          <w:szCs w:val="16"/>
          <w:b w:val="1"/>
          <w:bCs w:val="1"/>
          <w:color w:val="004FF9"/>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31750</wp:posOffset>
            </wp:positionV>
            <wp:extent cx="4330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66"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Chief Executive Officer, Kestrel Corporate Advisors</w:t>
      </w:r>
    </w:p>
    <w:p>
      <w:pPr>
        <w:spacing w:after="0" w:line="12" w:lineRule="exact"/>
        <w:rPr>
          <w:sz w:val="20"/>
          <w:szCs w:val="20"/>
          <w:color w:val="auto"/>
        </w:rPr>
      </w:pPr>
    </w:p>
    <w:p>
      <w:pPr>
        <w:jc w:val="both"/>
        <w:ind w:left="2760" w:right="739"/>
        <w:spacing w:after="0" w:line="247" w:lineRule="auto"/>
        <w:rPr>
          <w:sz w:val="20"/>
          <w:szCs w:val="20"/>
          <w:color w:val="auto"/>
        </w:rPr>
      </w:pPr>
      <w:r>
        <w:rPr>
          <w:rFonts w:ascii="Arial" w:cs="Arial" w:eastAsia="Arial" w:hAnsi="Arial"/>
          <w:sz w:val="16"/>
          <w:szCs w:val="16"/>
          <w:color w:val="auto"/>
        </w:rPr>
        <w:t>Ms. Webb is chief executive officer of Kestrel Corporate Advisors, a position she has held since February 2013. From January 2010 to January 2013 she was managing director for Tennenbaum Capital Partners, LLC. Ms. Webb was a member of the corporate executive team as chief communications and investor relations officer and senior advisor for Ticketmaster Entertainment Inc. from April 2008 to January 2010. She served for 20 years with The Walt Disney Company, from 1988 to 2008, primarily as corporate senior vice president of investor relations and shareholder services responsible for overseeing Disney’s strategic financial communications worldwide and governance outreach. She was also executive director for The Walt Disney Company Foundation. Her previous roles included investment banking positions with PaineWebber Inc. and Lehman Brothers Kuhn Loeb. A member of the board of directors for publicly traded Jack in the Box Inc. from 2008 to 2014, Ms. Webb currently also serves on the boards of Personal BlackBox Company and PetSmart Charities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-1160145</wp:posOffset>
            </wp:positionV>
            <wp:extent cx="823595" cy="1140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359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CORPORATE GOVERNANCE</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004FF9"/>
        </w:rPr>
        <w:t>Corporate Governance Principles</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Our Board of Directors has adopted Corporate Governance Principles that reflect our commitment to good corporate governance and the role of governance in building long-term shareholder value. As described below, our Board committee charters are designed to assure that our Board fully discharges its responsibilities, and our Board regularly reviews these charters and Corporate Governance Principles in response to changing regulatory requirements, evolving best practices and the concerns of our shareholders and other constituents. Our Corporate Governance Principles,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 xml:space="preserve">which include our independence standards, are published on our website at </w:t>
      </w:r>
      <w:r>
        <w:rPr>
          <w:rFonts w:ascii="Arial" w:cs="Arial" w:eastAsia="Arial" w:hAnsi="Arial"/>
          <w:sz w:val="16"/>
          <w:szCs w:val="16"/>
          <w:u w:val="single" w:color="auto"/>
          <w:color w:val="auto"/>
        </w:rPr>
        <w:t>http://investor.abm.com</w:t>
      </w:r>
      <w:r>
        <w:rPr>
          <w:rFonts w:ascii="Arial" w:cs="Arial" w:eastAsia="Arial" w:hAnsi="Arial"/>
          <w:sz w:val="16"/>
          <w:szCs w:val="16"/>
          <w:color w:val="auto"/>
        </w:rPr>
        <w:t>. Other information relating to our corporate governance is also available on our website at the same address, including our Code of Business Conduct (Code of Conduct), and the Charters of our Audit Committee, Compensation Committee, Corporate Citizenship and Communications Committee, and Governance Committee. These documents are also available in printed hard-copy format upon written request to the Corporate Secretary at the Company’s corporate headquarters.</w:t>
      </w:r>
    </w:p>
    <w:p>
      <w:pPr>
        <w:spacing w:after="0" w:line="200" w:lineRule="exact"/>
        <w:rPr>
          <w:sz w:val="20"/>
          <w:szCs w:val="20"/>
          <w:color w:val="auto"/>
        </w:rPr>
      </w:pPr>
    </w:p>
    <w:p>
      <w:pPr>
        <w:sectPr>
          <w:pgSz w:w="11900" w:h="16838" w:orient="portrait"/>
          <w:cols w:equalWidth="0" w:num="2">
            <w:col w:w="5060" w:space="620"/>
            <w:col w:w="4539"/>
          </w:cols>
          <w:pgMar w:left="240" w:top="132" w:right="1440" w:bottom="1440" w:gutter="0" w:footer="0" w:header="0"/>
          <w:type w:val="continuous"/>
        </w:sectPr>
      </w:pPr>
    </w:p>
    <w:p>
      <w:pPr>
        <w:spacing w:after="0" w:line="33"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004FF9"/>
        </w:rPr>
        <w:t>Director Independence</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Our Corporate Governance Principles provide that a majority of our directors will be independent and that our Audit Committee, Compensation Committee and Governance Committee shall consist solely of independent directors and that the Corporate Citizenship and Communications Committee shall consist solely of non-management directors. Each year, our Governance Committee reviews the independence of each of our directors under the NYSE listing standards and considers any current or previous employment relationship as well as any transactions or relationships between our Company and our directors or any members of their immediate family (or any entity of which a director or an immediate family member is an executive officer, general partner or significant equity holder). The purpose of this review is to determine whether any relationships or transactions exist that preclude a director from being deemed independent under the NYSE listing standards or are otherwise inconsistent with a determination that the director is independent. To facilitate this process, our Governance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Committee reviews directors’ responses to our annual Directors’ and Officers’ Questionnaire, which requires disclosure of each director’s, and his or her immediate family’s relationships to our Company, as well as any potential conflicts of interest that may otherwise be brought to the attention of our Governance Committee.</w:t>
      </w:r>
    </w:p>
    <w:p>
      <w:pPr>
        <w:spacing w:after="0" w:line="101" w:lineRule="exact"/>
        <w:rPr>
          <w:sz w:val="20"/>
          <w:szCs w:val="20"/>
          <w:color w:val="auto"/>
        </w:rPr>
      </w:pPr>
    </w:p>
    <w:p>
      <w:pPr>
        <w:jc w:val="both"/>
        <w:ind w:right="739"/>
        <w:spacing w:after="0" w:line="246" w:lineRule="auto"/>
        <w:rPr>
          <w:sz w:val="20"/>
          <w:szCs w:val="20"/>
          <w:color w:val="auto"/>
        </w:rPr>
      </w:pPr>
      <w:r>
        <w:rPr>
          <w:rFonts w:ascii="Arial" w:cs="Arial" w:eastAsia="Arial" w:hAnsi="Arial"/>
          <w:sz w:val="16"/>
          <w:szCs w:val="16"/>
          <w:color w:val="auto"/>
        </w:rPr>
        <w:t>In this context, our Governance Committee considered the retirement benefits of Mr. Steele that are described under “Transactions with Related Persons.” Our Governance Committee determined that this relationship was not material. Based on its analysis and our independence standards, our</w:t>
      </w:r>
    </w:p>
    <w:p>
      <w:pPr>
        <w:spacing w:after="0" w:line="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Governance Committee concluded and recommended to our Board that this relationship did not impair the independence of this director, and our Governance Committee affirmatively determined and recommended to our Board, and the Board confirmed, that all of our directors, other than our Chief Executive Officer (CEO), should be designated as independent.</w:t>
      </w:r>
    </w:p>
    <w:p>
      <w:pPr>
        <w:spacing w:after="0" w:line="278"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30"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004FF9"/>
        </w:rPr>
        <w:t>Board Leadership Structure</w:t>
      </w:r>
    </w:p>
    <w:p>
      <w:pPr>
        <w:sectPr>
          <w:pgSz w:w="11900" w:h="16838" w:orient="portrait"/>
          <w:cols w:equalWidth="0" w:num="1">
            <w:col w:w="10219"/>
          </w:cols>
          <w:pgMar w:left="240" w:top="132" w:right="1440" w:bottom="1440" w:gutter="0" w:footer="0" w:header="0"/>
          <w:type w:val="continuous"/>
        </w:sectPr>
      </w:pPr>
    </w:p>
    <w:p>
      <w:pPr>
        <w:spacing w:after="0" w:line="106"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Company currently has separate persons serving as its Chairman of the Board and CEO in recognition of the differences between the two roles. As set forth in the Company’s Bylaws, the CEO has general and active management over the business and affairs of the Company, subject to the control of the Board. Our Chairman, on the other hand, is charged with presiding over all meetings of the Board and our shareholders, as well as providing advice and counsel to the CEO, coordinating the preparation of agendas, keeping directors informed of matters impacting the Company, and maintaining</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contact with the Company’s General Counsel. Maryellen Herringer serves as Chairman of the Board, a position she has held since 2006. The Board of Directors believes that by separating the roles of CEO and Chairman, the CEO is better able to focus his time and energy on managing the Company’s operations. The Board of Directors believes that at this time, the separate CEO/ Chairman structure is the most appropriate and effective leadership structure for the Company and its shareholders.</w:t>
      </w:r>
    </w:p>
    <w:p>
      <w:pPr>
        <w:spacing w:after="0" w:line="38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004FF9"/>
        </w:rPr>
        <w:t>The Board’s Role in Risk Management</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Our Company is subject to a number of risks. Our most significant risks are outlined in our Annual Report on Form 10-K for the fiscal year ended October 31, 2014. Our Board of Directors exercises oversight over the Company’s strategic, operational and financial matters, as well as compliance and legal risks. In connection with this role, the Board oversees our Company’s Enterprise Risk Management (ERM) process, under which it reviews our business risk framework. The ERM process is designed to strengthen our risk management capability as well as to monitor business risks. The Board, as permitted in the Company’s Bylaws and committee charters, exercises its oversight, in part, through the Audit Committee, the Compensation Committee, the Corporate Citizenship and Communications Committee, and the Governance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Committee. The Audit Committee reviews and discusses guidelines and policies with respect to risk assessment and risk management. The Compensation Committee annually reviews and assesses risks, if any, arising from the Company’s compensation policies and practices for its employees and whether any such risks are reasonably likely to have a material adverse effect on the Company. The Corporate Citizenship and Communications Committee reviews and advises with respect to risks related to strategies, policies and communications targeted to various key constituencies. The Governance Committee considers risks in relationship to succession planning. The Board’s role in risk oversight has not affected its leadership structure.</w:t>
      </w:r>
    </w:p>
    <w:p>
      <w:pPr>
        <w:spacing w:after="0" w:line="389"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32"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004FF9"/>
        </w:rPr>
        <w:t>Executive Sessions of Directors</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color w:val="auto"/>
        </w:rPr>
        <w:t>At least four times a year, after regularly scheduled and special Board meetings, our independent directors meet in executive session without management present and consider matters important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to our Company and corporate governance. Executive sessions are chaired by our Chairman. During fiscal year 2014, our Board met in executive session six times.</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12"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004FF9"/>
        </w:rPr>
        <w:t>Code of Business Conduct</w:t>
      </w:r>
    </w:p>
    <w:p>
      <w:pPr>
        <w:sectPr>
          <w:pgSz w:w="11900" w:h="16838" w:orient="portrait"/>
          <w:cols w:equalWidth="0" w:num="1">
            <w:col w:w="10219"/>
          </w:cols>
          <w:pgMar w:left="240" w:top="132" w:right="1440" w:bottom="1440" w:gutter="0" w:footer="0" w:header="0"/>
          <w:type w:val="continuous"/>
        </w:sectPr>
      </w:pPr>
    </w:p>
    <w:p>
      <w:pPr>
        <w:spacing w:after="0" w:line="106"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 xml:space="preserve">The Board of Directors has adopted the Code of Conduct. The Code of Conduct applies to all directors, officers and employees of ABM, including ABM’s CEO, Chief Financial Officer (CFO) and Chief Accounting Officer. The Code of Conduct is available on ABM’s website under “Governance” at </w:t>
      </w:r>
      <w:r>
        <w:rPr>
          <w:rFonts w:ascii="Arial" w:cs="Arial" w:eastAsia="Arial" w:hAnsi="Arial"/>
          <w:sz w:val="16"/>
          <w:szCs w:val="16"/>
          <w:u w:val="single" w:color="auto"/>
          <w:color w:val="auto"/>
        </w:rPr>
        <w:t>http://investor.abm.com</w:t>
      </w:r>
      <w:r>
        <w:rPr>
          <w:rFonts w:ascii="Arial" w:cs="Arial" w:eastAsia="Arial" w:hAnsi="Arial"/>
          <w:sz w:val="16"/>
          <w:szCs w:val="16"/>
          <w:color w:val="auto"/>
        </w:rPr>
        <w:t xml:space="preserve"> and in printed hard-copy format upon written request to the Corporate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Secretary at the Company’s corporate headquarters. If any amendments are made to the Code of Conduct or if any waiver, including any implicit waiver, of a provision of the Code of Conduct is granted to ABM’s CEO, CFO or Chief Accounting Officer, ABM will disclose such amendment or the nature of such waiver on its website.</w:t>
      </w:r>
    </w:p>
    <w:p>
      <w:pPr>
        <w:spacing w:after="0" w:line="39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8"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004FF9"/>
        </w:rPr>
        <w:t>Mandatory Retirement</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On December 9, 2013, the Board adopted a mandatory retirement policy for non-employee directors. Under this policy, a director who attains the age of 73 during his or her current term must resign from the Board effective upon the conclusion of the annual shareholders meeting next following his or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her 73rd birthday. However, if a director was elected to the Board prior to the adoption of this policy, and the director had attained the age of 73 at the time he or she was last elected to the Board, the director may continue to serve as director until his or her current term expires or is terminated.</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6"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004FF9"/>
        </w:rPr>
        <w:t>Meetings and Attendance</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During fiscal year 2014, the Board of Directors met six times, with an attendance rate of 100% for all incumbent directors. During this period,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each of the Company’s incumbent directors attended at least 96% of the meetings of the committees on which he or she served.</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Committees</w:t>
      </w:r>
    </w:p>
    <w:p>
      <w:pPr>
        <w:spacing w:after="0" w:line="133" w:lineRule="exact"/>
        <w:rPr>
          <w:sz w:val="20"/>
          <w:szCs w:val="20"/>
          <w:color w:val="auto"/>
        </w:rPr>
      </w:pPr>
    </w:p>
    <w:p>
      <w:pPr>
        <w:ind w:left="1260" w:right="739"/>
        <w:spacing w:after="0" w:line="260" w:lineRule="auto"/>
        <w:rPr>
          <w:sz w:val="20"/>
          <w:szCs w:val="20"/>
          <w:color w:val="auto"/>
        </w:rPr>
      </w:pPr>
      <w:r>
        <w:rPr>
          <w:rFonts w:ascii="Arial" w:cs="Arial" w:eastAsia="Arial" w:hAnsi="Arial"/>
          <w:sz w:val="16"/>
          <w:szCs w:val="16"/>
          <w:color w:val="auto"/>
        </w:rPr>
        <w:t>The following table sets forth the current membership on each committee of the Board and the number of committee meetings held in fiscal year 2014.</w:t>
      </w:r>
    </w:p>
    <w:p>
      <w:pPr>
        <w:spacing w:after="0" w:line="93" w:lineRule="exact"/>
        <w:rPr>
          <w:sz w:val="20"/>
          <w:szCs w:val="20"/>
          <w:color w:val="auto"/>
        </w:rPr>
      </w:pPr>
    </w:p>
    <w:tbl>
      <w:tblPr>
        <w:tblLayout w:type="fixed"/>
        <w:tblInd w:w="1270" w:type="dxa"/>
        <w:tblCellMar>
          <w:top w:w="0" w:type="dxa"/>
          <w:left w:w="0" w:type="dxa"/>
          <w:bottom w:w="0" w:type="dxa"/>
          <w:right w:w="0" w:type="dxa"/>
        </w:tblCellMar>
      </w:tblPr>
      <w:tr>
        <w:trPr>
          <w:trHeight w:val="293"/>
        </w:trPr>
        <w:tc>
          <w:tcPr>
            <w:tcW w:w="322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1000" w:type="dxa"/>
            <w:vAlign w:val="bottom"/>
            <w:tcBorders>
              <w:top w:val="single" w:sz="8" w:color="auto"/>
              <w:right w:val="single" w:sz="8" w:color="auto"/>
            </w:tcBorders>
            <w:shd w:val="clear" w:color="auto" w:fill="B1C9FD"/>
          </w:tcPr>
          <w:p>
            <w:pPr>
              <w:spacing w:after="0"/>
              <w:rPr>
                <w:sz w:val="24"/>
                <w:szCs w:val="24"/>
                <w:color w:val="auto"/>
              </w:rPr>
            </w:pPr>
          </w:p>
        </w:tc>
        <w:tc>
          <w:tcPr>
            <w:tcW w:w="1400" w:type="dxa"/>
            <w:vAlign w:val="bottom"/>
            <w:tcBorders>
              <w:top w:val="single" w:sz="8" w:color="auto"/>
              <w:right w:val="single" w:sz="8" w:color="auto"/>
            </w:tcBorders>
            <w:shd w:val="clear" w:color="auto" w:fill="B1C9FD"/>
          </w:tcPr>
          <w:p>
            <w:pPr>
              <w:spacing w:after="0"/>
              <w:rPr>
                <w:sz w:val="24"/>
                <w:szCs w:val="24"/>
                <w:color w:val="auto"/>
              </w:rPr>
            </w:pPr>
          </w:p>
        </w:tc>
        <w:tc>
          <w:tcPr>
            <w:tcW w:w="150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Corporate</w:t>
            </w:r>
          </w:p>
        </w:tc>
        <w:tc>
          <w:tcPr>
            <w:tcW w:w="1100" w:type="dxa"/>
            <w:vAlign w:val="bottom"/>
            <w:tcBorders>
              <w:top w:val="single" w:sz="8" w:color="auto"/>
              <w:right w:val="single" w:sz="8" w:color="auto"/>
            </w:tcBorders>
            <w:shd w:val="clear" w:color="auto" w:fill="B1C9FD"/>
          </w:tcPr>
          <w:p>
            <w:pPr>
              <w:spacing w:after="0"/>
              <w:rPr>
                <w:sz w:val="24"/>
                <w:szCs w:val="24"/>
                <w:color w:val="auto"/>
              </w:rPr>
            </w:pPr>
          </w:p>
        </w:tc>
      </w:tr>
      <w:tr>
        <w:trPr>
          <w:trHeight w:val="176"/>
        </w:trPr>
        <w:tc>
          <w:tcPr>
            <w:tcW w:w="3220" w:type="dxa"/>
            <w:vAlign w:val="bottom"/>
            <w:tcBorders>
              <w:left w:val="single" w:sz="8" w:color="auto"/>
              <w:right w:val="single" w:sz="8" w:color="auto"/>
            </w:tcBorders>
            <w:shd w:val="clear" w:color="auto" w:fill="B1C9FD"/>
          </w:tcPr>
          <w:p>
            <w:pPr>
              <w:spacing w:after="0"/>
              <w:rPr>
                <w:sz w:val="15"/>
                <w:szCs w:val="15"/>
                <w:color w:val="auto"/>
              </w:rPr>
            </w:pPr>
          </w:p>
        </w:tc>
        <w:tc>
          <w:tcPr>
            <w:tcW w:w="1000" w:type="dxa"/>
            <w:vAlign w:val="bottom"/>
            <w:tcBorders>
              <w:right w:val="single" w:sz="8" w:color="auto"/>
            </w:tcBorders>
            <w:shd w:val="clear" w:color="auto" w:fill="B1C9FD"/>
          </w:tcPr>
          <w:p>
            <w:pPr>
              <w:spacing w:after="0"/>
              <w:rPr>
                <w:sz w:val="15"/>
                <w:szCs w:val="15"/>
                <w:color w:val="auto"/>
              </w:rPr>
            </w:pPr>
          </w:p>
        </w:tc>
        <w:tc>
          <w:tcPr>
            <w:tcW w:w="1400" w:type="dxa"/>
            <w:vAlign w:val="bottom"/>
            <w:tcBorders>
              <w:right w:val="single" w:sz="8" w:color="auto"/>
            </w:tcBorders>
            <w:shd w:val="clear" w:color="auto" w:fill="B1C9FD"/>
          </w:tcPr>
          <w:p>
            <w:pPr>
              <w:spacing w:after="0"/>
              <w:rPr>
                <w:sz w:val="15"/>
                <w:szCs w:val="15"/>
                <w:color w:val="auto"/>
              </w:rPr>
            </w:pPr>
          </w:p>
        </w:tc>
        <w:tc>
          <w:tcPr>
            <w:tcW w:w="150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6"/>
                <w:szCs w:val="16"/>
                <w:b w:val="1"/>
                <w:bCs w:val="1"/>
                <w:color w:val="004FF9"/>
                <w:w w:val="99"/>
              </w:rPr>
              <w:t>Citizenship and</w:t>
            </w:r>
          </w:p>
        </w:tc>
        <w:tc>
          <w:tcPr>
            <w:tcW w:w="1100" w:type="dxa"/>
            <w:vAlign w:val="bottom"/>
            <w:tcBorders>
              <w:right w:val="single" w:sz="8" w:color="auto"/>
            </w:tcBorders>
            <w:shd w:val="clear" w:color="auto" w:fill="B1C9FD"/>
          </w:tcPr>
          <w:p>
            <w:pPr>
              <w:spacing w:after="0"/>
              <w:rPr>
                <w:sz w:val="15"/>
                <w:szCs w:val="15"/>
                <w:color w:val="auto"/>
              </w:rPr>
            </w:pPr>
          </w:p>
        </w:tc>
      </w:tr>
      <w:tr>
        <w:trPr>
          <w:trHeight w:val="176"/>
        </w:trPr>
        <w:tc>
          <w:tcPr>
            <w:tcW w:w="3220" w:type="dxa"/>
            <w:vAlign w:val="bottom"/>
            <w:tcBorders>
              <w:left w:val="single" w:sz="8" w:color="auto"/>
              <w:right w:val="single" w:sz="8" w:color="auto"/>
            </w:tcBorders>
            <w:shd w:val="clear" w:color="auto" w:fill="B1C9FD"/>
          </w:tcPr>
          <w:p>
            <w:pPr>
              <w:spacing w:after="0"/>
              <w:rPr>
                <w:sz w:val="15"/>
                <w:szCs w:val="15"/>
                <w:color w:val="auto"/>
              </w:rPr>
            </w:pPr>
          </w:p>
        </w:tc>
        <w:tc>
          <w:tcPr>
            <w:tcW w:w="100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6"/>
                <w:szCs w:val="16"/>
                <w:b w:val="1"/>
                <w:bCs w:val="1"/>
                <w:color w:val="004FF9"/>
              </w:rPr>
              <w:t>Audit</w:t>
            </w:r>
          </w:p>
        </w:tc>
        <w:tc>
          <w:tcPr>
            <w:tcW w:w="140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6"/>
                <w:szCs w:val="16"/>
                <w:b w:val="1"/>
                <w:bCs w:val="1"/>
                <w:color w:val="004FF9"/>
              </w:rPr>
              <w:t>Compensation</w:t>
            </w:r>
          </w:p>
        </w:tc>
        <w:tc>
          <w:tcPr>
            <w:tcW w:w="150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6"/>
                <w:szCs w:val="16"/>
                <w:b w:val="1"/>
                <w:bCs w:val="1"/>
                <w:color w:val="004FF9"/>
              </w:rPr>
              <w:t>Communications</w:t>
            </w:r>
          </w:p>
        </w:tc>
        <w:tc>
          <w:tcPr>
            <w:tcW w:w="110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6"/>
                <w:szCs w:val="16"/>
                <w:b w:val="1"/>
                <w:bCs w:val="1"/>
                <w:color w:val="004FF9"/>
                <w:w w:val="99"/>
              </w:rPr>
              <w:t>Governance</w:t>
            </w:r>
          </w:p>
        </w:tc>
      </w:tr>
      <w:tr>
        <w:trPr>
          <w:trHeight w:val="228"/>
        </w:trPr>
        <w:tc>
          <w:tcPr>
            <w:tcW w:w="3220" w:type="dxa"/>
            <w:vAlign w:val="bottom"/>
            <w:tcBorders>
              <w:left w:val="single" w:sz="8" w:color="auto"/>
              <w:bottom w:val="single" w:sz="8" w:color="auto"/>
              <w:right w:val="single" w:sz="8" w:color="auto"/>
            </w:tcBorders>
            <w:shd w:val="clear" w:color="auto" w:fill="B1C9FD"/>
          </w:tcPr>
          <w:p>
            <w:pPr>
              <w:ind w:left="40"/>
              <w:spacing w:after="0"/>
              <w:rPr>
                <w:sz w:val="20"/>
                <w:szCs w:val="20"/>
                <w:color w:val="auto"/>
              </w:rPr>
            </w:pPr>
            <w:r>
              <w:rPr>
                <w:rFonts w:ascii="Arial" w:cs="Arial" w:eastAsia="Arial" w:hAnsi="Arial"/>
                <w:sz w:val="16"/>
                <w:szCs w:val="16"/>
                <w:b w:val="1"/>
                <w:bCs w:val="1"/>
                <w:color w:val="004FF9"/>
              </w:rPr>
              <w:t>Director</w:t>
            </w:r>
          </w:p>
        </w:tc>
        <w:tc>
          <w:tcPr>
            <w:tcW w:w="10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w w:val="99"/>
              </w:rPr>
              <w:t>Committee</w:t>
            </w:r>
          </w:p>
        </w:tc>
        <w:tc>
          <w:tcPr>
            <w:tcW w:w="14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Committee</w:t>
            </w:r>
          </w:p>
        </w:tc>
        <w:tc>
          <w:tcPr>
            <w:tcW w:w="15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w w:val="99"/>
              </w:rPr>
              <w:t>Committee</w:t>
            </w:r>
          </w:p>
        </w:tc>
        <w:tc>
          <w:tcPr>
            <w:tcW w:w="11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Committee</w:t>
            </w:r>
          </w:p>
        </w:tc>
      </w:tr>
      <w:tr>
        <w:trPr>
          <w:trHeight w:val="24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Linda Chavez</w:t>
            </w:r>
          </w:p>
        </w:tc>
        <w:tc>
          <w:tcPr>
            <w:tcW w:w="10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7"/>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 Philip Ferguson</w:t>
            </w:r>
          </w:p>
        </w:tc>
        <w:tc>
          <w:tcPr>
            <w:tcW w:w="10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7"/>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Anthony G. Fernandes</w:t>
            </w:r>
          </w:p>
        </w:tc>
        <w:tc>
          <w:tcPr>
            <w:tcW w:w="1000" w:type="dxa"/>
            <w:vAlign w:val="bottom"/>
            <w:tcBorders>
              <w:bottom w:val="single" w:sz="8" w:color="auto"/>
              <w:right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color w:val="auto"/>
                <w:w w:val="94"/>
              </w:rPr>
              <w:t>(C)</w:t>
            </w:r>
          </w:p>
        </w:tc>
        <w:tc>
          <w:tcPr>
            <w:tcW w:w="14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bottom w:val="single" w:sz="8" w:color="auto"/>
              <w:right w:val="single" w:sz="8" w:color="auto"/>
            </w:tcBorders>
          </w:tcPr>
          <w:p>
            <w:pPr>
              <w:spacing w:after="0"/>
              <w:rPr>
                <w:sz w:val="20"/>
                <w:szCs w:val="20"/>
                <w:color w:val="auto"/>
              </w:rPr>
            </w:pPr>
          </w:p>
        </w:tc>
      </w:tr>
      <w:tr>
        <w:trPr>
          <w:trHeight w:val="237"/>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Luke S. Helms</w:t>
            </w:r>
          </w:p>
        </w:tc>
        <w:tc>
          <w:tcPr>
            <w:tcW w:w="10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color w:val="auto"/>
                <w:w w:val="94"/>
              </w:rPr>
              <w:t>(C)</w:t>
            </w:r>
          </w:p>
        </w:tc>
      </w:tr>
      <w:tr>
        <w:trPr>
          <w:trHeight w:val="237"/>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Maryellen C. Herringer</w:t>
            </w:r>
          </w:p>
        </w:tc>
        <w:tc>
          <w:tcPr>
            <w:tcW w:w="10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5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37"/>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Sudhakar Kesavan</w:t>
            </w:r>
          </w:p>
        </w:tc>
        <w:tc>
          <w:tcPr>
            <w:tcW w:w="10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color w:val="auto"/>
                <w:w w:val="94"/>
              </w:rPr>
              <w:t>(C)</w:t>
            </w:r>
          </w:p>
        </w:tc>
        <w:tc>
          <w:tcPr>
            <w:tcW w:w="15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30"/>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Scott Salmirs</w:t>
            </w:r>
          </w:p>
        </w:tc>
        <w:tc>
          <w:tcPr>
            <w:tcW w:w="10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37"/>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Henrik C. Slipsager</w:t>
            </w:r>
          </w:p>
        </w:tc>
        <w:tc>
          <w:tcPr>
            <w:tcW w:w="10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4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William W. Steele</w:t>
            </w:r>
          </w:p>
        </w:tc>
        <w:tc>
          <w:tcPr>
            <w:tcW w:w="100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color w:val="auto"/>
                <w:w w:val="94"/>
              </w:rPr>
              <w:t>(C)</w:t>
            </w:r>
          </w:p>
        </w:tc>
        <w:tc>
          <w:tcPr>
            <w:tcW w:w="1100" w:type="dxa"/>
            <w:vAlign w:val="bottom"/>
            <w:tcBorders>
              <w:bottom w:val="single" w:sz="8" w:color="auto"/>
              <w:right w:val="single" w:sz="8" w:color="auto"/>
            </w:tcBorders>
          </w:tcPr>
          <w:p>
            <w:pPr>
              <w:spacing w:after="0"/>
              <w:rPr>
                <w:sz w:val="21"/>
                <w:szCs w:val="21"/>
                <w:color w:val="auto"/>
              </w:rPr>
            </w:pPr>
          </w:p>
        </w:tc>
      </w:tr>
      <w:tr>
        <w:trPr>
          <w:trHeight w:val="237"/>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Winifred Markus Webb</w:t>
            </w:r>
          </w:p>
        </w:tc>
        <w:tc>
          <w:tcPr>
            <w:tcW w:w="10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30"/>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Number of meetings in fiscal year 2014</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w:t>
            </w:r>
          </w:p>
        </w:tc>
      </w:tr>
      <w:tr>
        <w:trPr>
          <w:trHeight w:val="336"/>
        </w:trPr>
        <w:tc>
          <w:tcPr>
            <w:tcW w:w="322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 Member</w:t>
            </w: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5"/>
        </w:trPr>
        <w:tc>
          <w:tcPr>
            <w:tcW w:w="3220" w:type="dxa"/>
            <w:vAlign w:val="bottom"/>
          </w:tcPr>
          <w:p>
            <w:pPr>
              <w:spacing w:after="0"/>
              <w:rPr>
                <w:sz w:val="20"/>
                <w:szCs w:val="20"/>
                <w:color w:val="auto"/>
              </w:rPr>
            </w:pPr>
            <w:r>
              <w:rPr>
                <w:rFonts w:ascii="Arial" w:cs="Arial" w:eastAsia="Arial" w:hAnsi="Arial"/>
                <w:sz w:val="16"/>
                <w:szCs w:val="16"/>
                <w:color w:val="auto"/>
              </w:rPr>
              <w:t>C = Chairman</w:t>
            </w:r>
          </w:p>
        </w:tc>
        <w:tc>
          <w:tcPr>
            <w:tcW w:w="10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77"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004FF9"/>
        </w:rPr>
        <w:t>Audit Committee</w:t>
      </w:r>
    </w:p>
    <w:p>
      <w:pPr>
        <w:sectPr>
          <w:pgSz w:w="11900" w:h="16838" w:orient="portrait"/>
          <w:cols w:equalWidth="0" w:num="1">
            <w:col w:w="10219"/>
          </w:cols>
          <w:pgMar w:left="240" w:top="132" w:right="1440" w:bottom="1440" w:gutter="0" w:footer="0" w:header="0"/>
        </w:sectPr>
      </w:pPr>
    </w:p>
    <w:p>
      <w:pPr>
        <w:spacing w:after="0" w:line="90"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i w:val="1"/>
          <w:iCs w:val="1"/>
          <w:color w:val="auto"/>
        </w:rPr>
        <w:t xml:space="preserve">Responsibilities. </w:t>
      </w:r>
      <w:r>
        <w:rPr>
          <w:rFonts w:ascii="Arial" w:cs="Arial" w:eastAsia="Arial" w:hAnsi="Arial"/>
          <w:sz w:val="16"/>
          <w:szCs w:val="16"/>
          <w:color w:val="auto"/>
        </w:rPr>
        <w:t>The Audit Committee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performs the responsibilities set forth in its Charter, which include overseeing the Company’s financial reporting process and the internal and independent audits of ABM and the communication process among the Board, management and ABM’s independent registered public accounting firm. The responsibilities of the Audit Committee include:</w:t>
      </w:r>
    </w:p>
    <w:p>
      <w:pPr>
        <w:spacing w:after="0" w:line="97" w:lineRule="exact"/>
        <w:rPr>
          <w:sz w:val="20"/>
          <w:szCs w:val="20"/>
          <w:color w:val="auto"/>
        </w:rPr>
      </w:pPr>
    </w:p>
    <w:p>
      <w:pPr>
        <w:jc w:val="both"/>
        <w:ind w:left="1620" w:right="20" w:hanging="352"/>
        <w:spacing w:after="0" w:line="253"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assisting the Board with respect to the Company’s compliance with legal and regulatory requirements;</w:t>
      </w:r>
    </w:p>
    <w:p>
      <w:pPr>
        <w:spacing w:after="0" w:line="106"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selecting the independent registered public accounting firm;</w:t>
      </w:r>
    </w:p>
    <w:p>
      <w:pPr>
        <w:spacing w:after="0" w:line="87"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approving the fees for the independent registered public accounting firm;</w:t>
      </w:r>
    </w:p>
    <w:p>
      <w:pPr>
        <w:spacing w:after="0" w:line="101"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ensuring the independence of the independent registered public accounting firm;</w:t>
      </w:r>
    </w:p>
    <w:p>
      <w:pPr>
        <w:spacing w:after="0" w:line="101"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overseeing the work of the independent registered public accounting firm;</w:t>
      </w:r>
    </w:p>
    <w:p>
      <w:pPr>
        <w:spacing w:after="0" w:line="87"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reviewing ABM’s system of internal accounting controls;</w:t>
      </w:r>
    </w:p>
    <w:p>
      <w:pPr>
        <w:spacing w:after="0" w:line="101" w:lineRule="exact"/>
        <w:rPr>
          <w:rFonts w:ascii="Arial" w:cs="Arial" w:eastAsia="Arial" w:hAnsi="Arial"/>
          <w:sz w:val="16"/>
          <w:szCs w:val="16"/>
          <w:color w:val="auto"/>
        </w:rPr>
      </w:pPr>
    </w:p>
    <w:p>
      <w:pPr>
        <w:jc w:val="both"/>
        <w:ind w:left="1620" w:right="20" w:hanging="352"/>
        <w:spacing w:after="0" w:line="249"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obtaining assurances from the independent registered public accounting firm that no acts have been detected, or have otherwise come to the attention of the independent auditors, that would require disclosure to the Audit Committee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left="369" w:right="739"/>
        <w:spacing w:after="0" w:line="253" w:lineRule="auto"/>
        <w:rPr>
          <w:sz w:val="20"/>
          <w:szCs w:val="20"/>
          <w:color w:val="auto"/>
        </w:rPr>
      </w:pPr>
      <w:r>
        <w:rPr>
          <w:rFonts w:ascii="Arial" w:cs="Arial" w:eastAsia="Arial" w:hAnsi="Arial"/>
          <w:sz w:val="16"/>
          <w:szCs w:val="16"/>
          <w:color w:val="auto"/>
        </w:rPr>
        <w:t>under Section 10A(b) of the Securities Exchange Act of 1934, as amended (the Securities Exchange Act); and</w:t>
      </w:r>
    </w:p>
    <w:p>
      <w:pPr>
        <w:spacing w:after="0" w:line="107" w:lineRule="exact"/>
        <w:rPr>
          <w:sz w:val="20"/>
          <w:szCs w:val="20"/>
          <w:color w:val="auto"/>
        </w:rPr>
      </w:pPr>
    </w:p>
    <w:p>
      <w:pPr>
        <w:jc w:val="both"/>
        <w:ind w:left="369" w:right="759" w:hanging="369"/>
        <w:spacing w:after="0" w:line="253" w:lineRule="auto"/>
        <w:tabs>
          <w:tab w:leader="none" w:pos="369"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policies with respect to risk assessment and risk management and the Company’s major financial risk exposures.</w:t>
      </w:r>
    </w:p>
    <w:p>
      <w:pPr>
        <w:spacing w:after="0" w:line="77" w:lineRule="exact"/>
        <w:rPr>
          <w:sz w:val="20"/>
          <w:szCs w:val="20"/>
          <w:color w:val="auto"/>
        </w:rPr>
      </w:pPr>
    </w:p>
    <w:p>
      <w:pPr>
        <w:jc w:val="both"/>
        <w:ind w:left="9" w:right="739"/>
        <w:spacing w:after="0" w:line="250" w:lineRule="auto"/>
        <w:rPr>
          <w:sz w:val="20"/>
          <w:szCs w:val="20"/>
          <w:color w:val="auto"/>
        </w:rPr>
      </w:pPr>
      <w:r>
        <w:rPr>
          <w:rFonts w:ascii="Arial" w:cs="Arial" w:eastAsia="Arial" w:hAnsi="Arial"/>
          <w:sz w:val="16"/>
          <w:szCs w:val="16"/>
          <w:i w:val="1"/>
          <w:iCs w:val="1"/>
          <w:color w:val="auto"/>
        </w:rPr>
        <w:t xml:space="preserve">Meetings. </w:t>
      </w:r>
      <w:r>
        <w:rPr>
          <w:rFonts w:ascii="Arial" w:cs="Arial" w:eastAsia="Arial" w:hAnsi="Arial"/>
          <w:sz w:val="16"/>
          <w:szCs w:val="16"/>
          <w:color w:val="auto"/>
        </w:rPr>
        <w:t>Meeting agendas are developed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chair in consultation with committee members and senior management, who regularly attend the meetings. On a regular basis, the committee holds executive sessions without members of management and it also meets privately with representatives of the Company’s independent registered public accounting firm and separately with each of our CFO, our Executive Vice President, General Counsel and Corporate Secretary, and our Vice President-Internal Audit.</w:t>
      </w:r>
    </w:p>
    <w:p>
      <w:pPr>
        <w:spacing w:after="0" w:line="80" w:lineRule="exact"/>
        <w:rPr>
          <w:sz w:val="20"/>
          <w:szCs w:val="20"/>
          <w:color w:val="auto"/>
        </w:rPr>
      </w:pPr>
    </w:p>
    <w:p>
      <w:pPr>
        <w:jc w:val="both"/>
        <w:ind w:left="9" w:right="739"/>
        <w:spacing w:after="0" w:line="250" w:lineRule="auto"/>
        <w:rPr>
          <w:sz w:val="20"/>
          <w:szCs w:val="20"/>
          <w:color w:val="auto"/>
        </w:rPr>
      </w:pPr>
      <w:r>
        <w:rPr>
          <w:rFonts w:ascii="Arial" w:cs="Arial" w:eastAsia="Arial" w:hAnsi="Arial"/>
          <w:sz w:val="16"/>
          <w:szCs w:val="16"/>
          <w:i w:val="1"/>
          <w:iCs w:val="1"/>
          <w:color w:val="auto"/>
        </w:rPr>
        <w:t xml:space="preserve">Members. </w:t>
      </w:r>
      <w:r>
        <w:rPr>
          <w:rFonts w:ascii="Arial" w:cs="Arial" w:eastAsia="Arial" w:hAnsi="Arial"/>
          <w:sz w:val="16"/>
          <w:szCs w:val="16"/>
          <w:color w:val="auto"/>
        </w:rPr>
        <w:t>The members of the Audit Committee are:</w:t>
      </w:r>
      <w:r>
        <w:rPr>
          <w:rFonts w:ascii="Arial" w:cs="Arial" w:eastAsia="Arial" w:hAnsi="Arial"/>
          <w:sz w:val="16"/>
          <w:szCs w:val="16"/>
          <w:i w:val="1"/>
          <w:iCs w:val="1"/>
          <w:color w:val="auto"/>
        </w:rPr>
        <w:t xml:space="preserve"> </w:t>
      </w:r>
      <w:r>
        <w:rPr>
          <w:rFonts w:ascii="Arial" w:cs="Arial" w:eastAsia="Arial" w:hAnsi="Arial"/>
          <w:sz w:val="16"/>
          <w:szCs w:val="16"/>
          <w:color w:val="auto"/>
        </w:rPr>
        <w:t>Mr. Fernandes, Chair, and Messrs. Ferguson and Helms and Ms. Webb. Each member of the Audit Committee has been determined to be independent under the standards for independence for audit committee members established by the NYSE. In addition, the Board of Directors has determined that each member of the Committee is financially literate and that each qualifies as an “audit committee financial expert” under the definition promulgated by the Securities and Exchange Commission (SEC).</w:t>
      </w:r>
    </w:p>
    <w:p>
      <w:pPr>
        <w:spacing w:after="0" w:line="291" w:lineRule="exact"/>
        <w:rPr>
          <w:sz w:val="20"/>
          <w:szCs w:val="20"/>
          <w:color w:val="auto"/>
        </w:rPr>
      </w:pPr>
    </w:p>
    <w:p>
      <w:pPr>
        <w:sectPr>
          <w:pgSz w:w="11900" w:h="16838" w:orient="portrait"/>
          <w:cols w:equalWidth="0" w:num="2">
            <w:col w:w="5080" w:space="591"/>
            <w:col w:w="4548"/>
          </w:cols>
          <w:pgMar w:left="240" w:top="132" w:right="1440" w:bottom="1440" w:gutter="0" w:footer="0" w:header="0"/>
          <w:type w:val="continuous"/>
        </w:sectPr>
      </w:pP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68345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004FF9"/>
        </w:rPr>
        <w:t>Compensation Committee</w:t>
      </w:r>
    </w:p>
    <w:p>
      <w:pPr>
        <w:sectPr>
          <w:pgSz w:w="11900" w:h="16838" w:orient="portrait"/>
          <w:cols w:equalWidth="0" w:num="1">
            <w:col w:w="10219"/>
          </w:cols>
          <w:pgMar w:left="240" w:top="132" w:right="1440" w:bottom="1440" w:gutter="0" w:footer="0" w:header="0"/>
        </w:sectPr>
      </w:pPr>
    </w:p>
    <w:p>
      <w:pPr>
        <w:spacing w:after="0" w:line="77" w:lineRule="exact"/>
        <w:rPr>
          <w:sz w:val="20"/>
          <w:szCs w:val="20"/>
          <w:color w:val="auto"/>
        </w:rPr>
      </w:pPr>
    </w:p>
    <w:p>
      <w:pPr>
        <w:jc w:val="both"/>
        <w:ind w:left="1260"/>
        <w:spacing w:after="0" w:line="264" w:lineRule="auto"/>
        <w:rPr>
          <w:sz w:val="20"/>
          <w:szCs w:val="20"/>
          <w:color w:val="auto"/>
        </w:rPr>
      </w:pPr>
      <w:r>
        <w:rPr>
          <w:rFonts w:ascii="Arial" w:cs="Arial" w:eastAsia="Arial" w:hAnsi="Arial"/>
          <w:sz w:val="16"/>
          <w:szCs w:val="16"/>
          <w:i w:val="1"/>
          <w:iCs w:val="1"/>
          <w:color w:val="auto"/>
        </w:rPr>
        <w:t xml:space="preserve">Responsibilities. </w:t>
      </w:r>
      <w:r>
        <w:rPr>
          <w:rFonts w:ascii="Arial" w:cs="Arial" w:eastAsia="Arial" w:hAnsi="Arial"/>
          <w:sz w:val="16"/>
          <w:szCs w:val="16"/>
          <w:color w:val="auto"/>
        </w:rPr>
        <w:t>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performs the responsibilities set forth in its Charter, which include:</w:t>
      </w:r>
    </w:p>
    <w:p>
      <w:pPr>
        <w:spacing w:after="0" w:line="30" w:lineRule="exact"/>
        <w:rPr>
          <w:sz w:val="20"/>
          <w:szCs w:val="20"/>
          <w:color w:val="auto"/>
        </w:rPr>
      </w:pPr>
    </w:p>
    <w:p>
      <w:pPr>
        <w:ind w:left="1620" w:right="20" w:hanging="352"/>
        <w:spacing w:after="0" w:line="260"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providing direction to the Company in the area of executive compensation;</w:t>
      </w:r>
    </w:p>
    <w:p>
      <w:pPr>
        <w:spacing w:after="0" w:line="20" w:lineRule="exact"/>
        <w:rPr>
          <w:rFonts w:ascii="Arial" w:cs="Arial" w:eastAsia="Arial" w:hAnsi="Arial"/>
          <w:sz w:val="16"/>
          <w:szCs w:val="16"/>
          <w:color w:val="auto"/>
        </w:rPr>
      </w:pPr>
    </w:p>
    <w:p>
      <w:pPr>
        <w:jc w:val="both"/>
        <w:ind w:left="1620" w:right="20" w:hanging="352"/>
        <w:spacing w:after="0" w:line="251"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annually reviewing and approving corporate goals and objectives relevant to the CEO’s compensation, and evaluating the CEO’s performance;</w:t>
      </w:r>
    </w:p>
    <w:p>
      <w:pPr>
        <w:spacing w:after="0" w:line="40" w:lineRule="exact"/>
        <w:rPr>
          <w:rFonts w:ascii="Arial" w:cs="Arial" w:eastAsia="Arial" w:hAnsi="Arial"/>
          <w:sz w:val="16"/>
          <w:szCs w:val="16"/>
          <w:color w:val="auto"/>
        </w:rPr>
      </w:pPr>
    </w:p>
    <w:p>
      <w:pPr>
        <w:jc w:val="both"/>
        <w:ind w:left="1620" w:right="20" w:hanging="352"/>
        <w:spacing w:after="0" w:line="249"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recommending for approval to the directors who are both independent under applicable NYSE and SEC rules and “outside” directors under Section 162(m) of the Internal Revenue Code of 1986, the CEO’s compensation, including equity grants;</w:t>
      </w:r>
    </w:p>
    <w:p>
      <w:pPr>
        <w:spacing w:after="0" w:line="29" w:lineRule="exact"/>
        <w:rPr>
          <w:rFonts w:ascii="Arial" w:cs="Arial" w:eastAsia="Arial" w:hAnsi="Arial"/>
          <w:sz w:val="16"/>
          <w:szCs w:val="16"/>
          <w:color w:val="auto"/>
        </w:rPr>
      </w:pPr>
    </w:p>
    <w:p>
      <w:pPr>
        <w:jc w:val="both"/>
        <w:ind w:left="1620" w:right="20" w:hanging="352"/>
        <w:spacing w:after="0" w:line="251"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the Company’s compensation structure and approving the compensation of all other employees of the Company who are executive officers of the Company;</w:t>
      </w:r>
    </w:p>
    <w:p>
      <w:pPr>
        <w:spacing w:after="0" w:line="40" w:lineRule="exact"/>
        <w:rPr>
          <w:rFonts w:ascii="Arial" w:cs="Arial" w:eastAsia="Arial" w:hAnsi="Arial"/>
          <w:sz w:val="16"/>
          <w:szCs w:val="16"/>
          <w:color w:val="auto"/>
        </w:rPr>
      </w:pPr>
    </w:p>
    <w:p>
      <w:pPr>
        <w:jc w:val="both"/>
        <w:ind w:left="1620" w:right="20" w:hanging="352"/>
        <w:spacing w:after="0" w:line="249"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the assistance of an outside consultant retained directly by the Committee, conducting a review of all executive incentive plans at least once every three years and making recommendations to the Board with respect to compensation plans for the Company;</w:t>
      </w:r>
    </w:p>
    <w:p>
      <w:pPr>
        <w:spacing w:after="0" w:line="29" w:lineRule="exact"/>
        <w:rPr>
          <w:rFonts w:ascii="Arial" w:cs="Arial" w:eastAsia="Arial" w:hAnsi="Arial"/>
          <w:sz w:val="16"/>
          <w:szCs w:val="16"/>
          <w:color w:val="auto"/>
        </w:rPr>
      </w:pPr>
    </w:p>
    <w:p>
      <w:pPr>
        <w:jc w:val="both"/>
        <w:ind w:left="1620" w:right="20" w:hanging="352"/>
        <w:spacing w:after="0" w:line="253"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making awards under and overseeing the administration of the Company’s executive benefit and equity-based compensation plans;</w:t>
      </w:r>
    </w:p>
    <w:p>
      <w:pPr>
        <w:spacing w:after="0" w:line="25" w:lineRule="exact"/>
        <w:rPr>
          <w:rFonts w:ascii="Arial" w:cs="Arial" w:eastAsia="Arial" w:hAnsi="Arial"/>
          <w:sz w:val="16"/>
          <w:szCs w:val="16"/>
          <w:color w:val="auto"/>
        </w:rPr>
      </w:pPr>
    </w:p>
    <w:p>
      <w:pPr>
        <w:jc w:val="both"/>
        <w:ind w:left="1620" w:right="20" w:hanging="352"/>
        <w:spacing w:after="0" w:line="251"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the CEO’s employment agreement and recommending the terms of the CEO’s employment agreement to the independent and outside directors;</w:t>
      </w:r>
    </w:p>
    <w:p>
      <w:pPr>
        <w:spacing w:after="0" w:line="40" w:lineRule="exact"/>
        <w:rPr>
          <w:rFonts w:ascii="Arial" w:cs="Arial" w:eastAsia="Arial" w:hAnsi="Arial"/>
          <w:sz w:val="16"/>
          <w:szCs w:val="16"/>
          <w:color w:val="auto"/>
        </w:rPr>
      </w:pPr>
    </w:p>
    <w:p>
      <w:pPr>
        <w:jc w:val="both"/>
        <w:ind w:left="1620" w:right="20" w:hanging="352"/>
        <w:spacing w:after="0" w:line="253"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the Company’s form of employment agreements for executive officers, other than the CEO;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369" w:right="759" w:hanging="369"/>
        <w:spacing w:after="0" w:line="253" w:lineRule="auto"/>
        <w:tabs>
          <w:tab w:leader="none" w:pos="3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recommending to the Board severance and other terms in any change-in-control agreements and policies;</w:t>
      </w:r>
    </w:p>
    <w:p>
      <w:pPr>
        <w:spacing w:after="0" w:line="120" w:lineRule="exact"/>
        <w:rPr>
          <w:rFonts w:ascii="Arial" w:cs="Arial" w:eastAsia="Arial" w:hAnsi="Arial"/>
          <w:sz w:val="16"/>
          <w:szCs w:val="16"/>
          <w:color w:val="auto"/>
        </w:rPr>
      </w:pPr>
    </w:p>
    <w:p>
      <w:pPr>
        <w:jc w:val="both"/>
        <w:ind w:left="369" w:right="759" w:hanging="369"/>
        <w:spacing w:after="0" w:line="248" w:lineRule="auto"/>
        <w:tabs>
          <w:tab w:leader="none" w:pos="3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discussing with management the Company’s disclosures in respect of the “Compensation Discussion and Analysis” required under the Securities Exchange Act rules and recommending to the Board that the Compensation Discussion and Analysis reviewed by the Committee be included in the Company’s Proxy Statement and Annual Report on Form 10-K;</w:t>
      </w:r>
    </w:p>
    <w:p>
      <w:pPr>
        <w:spacing w:after="0" w:line="112" w:lineRule="exact"/>
        <w:rPr>
          <w:rFonts w:ascii="Arial" w:cs="Arial" w:eastAsia="Arial" w:hAnsi="Arial"/>
          <w:sz w:val="16"/>
          <w:szCs w:val="16"/>
          <w:color w:val="auto"/>
        </w:rPr>
      </w:pPr>
    </w:p>
    <w:p>
      <w:pPr>
        <w:jc w:val="both"/>
        <w:ind w:left="369" w:right="759" w:hanging="369"/>
        <w:spacing w:after="0" w:line="253" w:lineRule="auto"/>
        <w:tabs>
          <w:tab w:leader="none" w:pos="3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preparing the Compensation Committee Report required under Securities Exchange Act rules; and</w:t>
      </w:r>
    </w:p>
    <w:p>
      <w:pPr>
        <w:spacing w:after="0" w:line="106" w:lineRule="exact"/>
        <w:rPr>
          <w:rFonts w:ascii="Arial" w:cs="Arial" w:eastAsia="Arial" w:hAnsi="Arial"/>
          <w:sz w:val="16"/>
          <w:szCs w:val="16"/>
          <w:color w:val="auto"/>
        </w:rPr>
      </w:pPr>
    </w:p>
    <w:p>
      <w:pPr>
        <w:jc w:val="both"/>
        <w:ind w:left="369" w:right="759" w:hanging="369"/>
        <w:spacing w:after="0" w:line="253" w:lineRule="auto"/>
        <w:tabs>
          <w:tab w:leader="none" w:pos="3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assessing risks, if any, arising from the Company’s compensation policies and practices.</w:t>
      </w:r>
    </w:p>
    <w:p>
      <w:pPr>
        <w:spacing w:after="0" w:line="77" w:lineRule="exact"/>
        <w:rPr>
          <w:sz w:val="20"/>
          <w:szCs w:val="20"/>
          <w:color w:val="auto"/>
        </w:rPr>
      </w:pPr>
    </w:p>
    <w:p>
      <w:pPr>
        <w:jc w:val="both"/>
        <w:ind w:left="9" w:right="739"/>
        <w:spacing w:after="0" w:line="250" w:lineRule="auto"/>
        <w:rPr>
          <w:sz w:val="20"/>
          <w:szCs w:val="20"/>
          <w:color w:val="auto"/>
        </w:rPr>
      </w:pPr>
      <w:r>
        <w:rPr>
          <w:rFonts w:ascii="Arial" w:cs="Arial" w:eastAsia="Arial" w:hAnsi="Arial"/>
          <w:sz w:val="16"/>
          <w:szCs w:val="16"/>
          <w:i w:val="1"/>
          <w:iCs w:val="1"/>
          <w:color w:val="auto"/>
        </w:rPr>
        <w:t xml:space="preserve">Meetings. </w:t>
      </w:r>
      <w:r>
        <w:rPr>
          <w:rFonts w:ascii="Arial" w:cs="Arial" w:eastAsia="Arial" w:hAnsi="Arial"/>
          <w:sz w:val="16"/>
          <w:szCs w:val="16"/>
          <w:color w:val="auto"/>
        </w:rPr>
        <w:t>Meeting agendas are developed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chair in consultation with committee members and senior management, who regularly attend each meeting. In addition, the committee’s independent compensation consultant regularly attends meetings. The Committee meets in executive session without the CEO when discussing the CEO’s compensation and certain other matters, including, from time to time, the compensation of other executives.</w:t>
      </w:r>
    </w:p>
    <w:p>
      <w:pPr>
        <w:spacing w:after="0" w:line="82" w:lineRule="exact"/>
        <w:rPr>
          <w:sz w:val="20"/>
          <w:szCs w:val="20"/>
          <w:color w:val="auto"/>
        </w:rPr>
      </w:pPr>
    </w:p>
    <w:p>
      <w:pPr>
        <w:jc w:val="both"/>
        <w:ind w:left="9" w:right="739"/>
        <w:spacing w:after="0" w:line="255" w:lineRule="auto"/>
        <w:rPr>
          <w:sz w:val="20"/>
          <w:szCs w:val="20"/>
          <w:color w:val="auto"/>
        </w:rPr>
      </w:pPr>
      <w:r>
        <w:rPr>
          <w:rFonts w:ascii="Arial" w:cs="Arial" w:eastAsia="Arial" w:hAnsi="Arial"/>
          <w:sz w:val="16"/>
          <w:szCs w:val="16"/>
          <w:i w:val="1"/>
          <w:iCs w:val="1"/>
          <w:color w:val="auto"/>
        </w:rPr>
        <w:t xml:space="preserve">Members. </w:t>
      </w:r>
      <w:r>
        <w:rPr>
          <w:rFonts w:ascii="Arial" w:cs="Arial" w:eastAsia="Arial" w:hAnsi="Arial"/>
          <w:sz w:val="16"/>
          <w:szCs w:val="16"/>
          <w:color w:val="auto"/>
        </w:rPr>
        <w:t>The members of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are: Mr. Kesavan, Chair, Mss. Chavez and Herringer and Mr. Helms. As described above, each member of the Compensation Committee has been determined to be independent.</w:t>
      </w:r>
    </w:p>
    <w:p>
      <w:pPr>
        <w:spacing w:after="0" w:line="401" w:lineRule="exact"/>
        <w:rPr>
          <w:sz w:val="20"/>
          <w:szCs w:val="20"/>
          <w:color w:val="auto"/>
        </w:rPr>
      </w:pPr>
    </w:p>
    <w:p>
      <w:pPr>
        <w:sectPr>
          <w:pgSz w:w="11900" w:h="16838" w:orient="portrait"/>
          <w:cols w:equalWidth="0" w:num="2">
            <w:col w:w="5080" w:space="591"/>
            <w:col w:w="4548"/>
          </w:cols>
          <w:pgMar w:left="240" w:top="132" w:right="1440" w:bottom="1440" w:gutter="0" w:footer="0" w:header="0"/>
          <w:type w:val="continuous"/>
        </w:sectPr>
      </w:pPr>
    </w:p>
    <w:p>
      <w:pPr>
        <w:spacing w:after="0" w:line="22"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004FF9"/>
        </w:rPr>
        <w:t>Corporate Citizenship and Communications Committee</w:t>
      </w:r>
    </w:p>
    <w:p>
      <w:pPr>
        <w:sectPr>
          <w:pgSz w:w="11900" w:h="16838" w:orient="portrait"/>
          <w:cols w:equalWidth="0" w:num="1">
            <w:col w:w="10219"/>
          </w:cols>
          <w:pgMar w:left="240" w:top="132" w:right="1440" w:bottom="1440" w:gutter="0" w:footer="0" w:header="0"/>
          <w:type w:val="continuous"/>
        </w:sectPr>
      </w:pPr>
    </w:p>
    <w:p>
      <w:pPr>
        <w:spacing w:after="0" w:line="77" w:lineRule="exact"/>
        <w:rPr>
          <w:sz w:val="20"/>
          <w:szCs w:val="20"/>
          <w:color w:val="auto"/>
        </w:rPr>
      </w:pPr>
    </w:p>
    <w:p>
      <w:pPr>
        <w:jc w:val="both"/>
        <w:ind w:left="1260"/>
        <w:spacing w:after="0" w:line="258" w:lineRule="auto"/>
        <w:rPr>
          <w:sz w:val="20"/>
          <w:szCs w:val="20"/>
          <w:color w:val="auto"/>
        </w:rPr>
      </w:pPr>
      <w:r>
        <w:rPr>
          <w:rFonts w:ascii="Arial" w:cs="Arial" w:eastAsia="Arial" w:hAnsi="Arial"/>
          <w:sz w:val="16"/>
          <w:szCs w:val="16"/>
          <w:i w:val="1"/>
          <w:iCs w:val="1"/>
          <w:color w:val="auto"/>
        </w:rPr>
        <w:t xml:space="preserve">Responsibilities. </w:t>
      </w:r>
      <w:r>
        <w:rPr>
          <w:rFonts w:ascii="Arial" w:cs="Arial" w:eastAsia="Arial" w:hAnsi="Arial"/>
          <w:sz w:val="16"/>
          <w:szCs w:val="16"/>
          <w:color w:val="auto"/>
        </w:rPr>
        <w:t>The Corporate Citizenship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Committee is responsible for providing board-level oversight and advice on various matters, including the following:</w:t>
      </w:r>
    </w:p>
    <w:p>
      <w:pPr>
        <w:spacing w:after="0" w:line="62" w:lineRule="exact"/>
        <w:rPr>
          <w:sz w:val="20"/>
          <w:szCs w:val="20"/>
          <w:color w:val="auto"/>
        </w:rPr>
      </w:pPr>
    </w:p>
    <w:p>
      <w:pPr>
        <w:ind w:left="1620" w:hanging="352"/>
        <w:spacing w:after="0"/>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equal opportunity employer;</w:t>
      </w:r>
    </w:p>
    <w:p>
      <w:pPr>
        <w:spacing w:after="0" w:line="72"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crisis management planning and communications;</w:t>
      </w:r>
    </w:p>
    <w:p>
      <w:pPr>
        <w:spacing w:after="0" w:line="47"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sustainability and environmental and green energy issues;</w:t>
      </w:r>
    </w:p>
    <w:p>
      <w:pPr>
        <w:spacing w:after="0" w:line="60" w:lineRule="exact"/>
        <w:rPr>
          <w:rFonts w:ascii="Arial" w:cs="Arial" w:eastAsia="Arial" w:hAnsi="Arial"/>
          <w:sz w:val="16"/>
          <w:szCs w:val="16"/>
          <w:color w:val="auto"/>
        </w:rPr>
      </w:pPr>
    </w:p>
    <w:p>
      <w:pPr>
        <w:ind w:left="1620" w:hanging="352"/>
        <w:spacing w:after="0"/>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health and safety issues;</w:t>
      </w:r>
    </w:p>
    <w:p>
      <w:pPr>
        <w:spacing w:after="0" w:line="72"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public affairs, public policy and government relations;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369" w:hanging="369"/>
        <w:spacing w:after="0"/>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political action committee activities, if any;</w:t>
      </w:r>
    </w:p>
    <w:p>
      <w:pPr>
        <w:spacing w:after="0" w:line="32" w:lineRule="exact"/>
        <w:rPr>
          <w:rFonts w:ascii="Arial" w:cs="Arial" w:eastAsia="Arial" w:hAnsi="Arial"/>
          <w:sz w:val="16"/>
          <w:szCs w:val="16"/>
          <w:color w:val="auto"/>
        </w:rPr>
      </w:pPr>
    </w:p>
    <w:p>
      <w:pPr>
        <w:ind w:left="369" w:hanging="369"/>
        <w:spacing w:after="0"/>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marketing, branding and communications; and</w:t>
      </w:r>
    </w:p>
    <w:p>
      <w:pPr>
        <w:spacing w:after="0" w:line="45" w:lineRule="exact"/>
        <w:rPr>
          <w:rFonts w:ascii="Arial" w:cs="Arial" w:eastAsia="Arial" w:hAnsi="Arial"/>
          <w:sz w:val="16"/>
          <w:szCs w:val="16"/>
          <w:color w:val="auto"/>
        </w:rPr>
      </w:pPr>
    </w:p>
    <w:p>
      <w:pPr>
        <w:ind w:left="369" w:hanging="369"/>
        <w:spacing w:after="0"/>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corporate philanthropy.</w:t>
      </w:r>
    </w:p>
    <w:p>
      <w:pPr>
        <w:spacing w:after="0" w:line="70" w:lineRule="exact"/>
        <w:rPr>
          <w:sz w:val="20"/>
          <w:szCs w:val="20"/>
          <w:color w:val="auto"/>
        </w:rPr>
      </w:pPr>
    </w:p>
    <w:p>
      <w:pPr>
        <w:jc w:val="both"/>
        <w:ind w:left="9" w:right="739"/>
        <w:spacing w:after="0" w:line="258" w:lineRule="auto"/>
        <w:rPr>
          <w:sz w:val="20"/>
          <w:szCs w:val="20"/>
          <w:color w:val="auto"/>
        </w:rPr>
      </w:pPr>
      <w:r>
        <w:rPr>
          <w:rFonts w:ascii="Arial" w:cs="Arial" w:eastAsia="Arial" w:hAnsi="Arial"/>
          <w:sz w:val="16"/>
          <w:szCs w:val="16"/>
          <w:i w:val="1"/>
          <w:iCs w:val="1"/>
          <w:color w:val="auto"/>
        </w:rPr>
        <w:t xml:space="preserve">Meetings. </w:t>
      </w:r>
      <w:r>
        <w:rPr>
          <w:rFonts w:ascii="Arial" w:cs="Arial" w:eastAsia="Arial" w:hAnsi="Arial"/>
          <w:sz w:val="16"/>
          <w:szCs w:val="16"/>
          <w:color w:val="auto"/>
        </w:rPr>
        <w:t>Meeting agendas are developed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Citizenship and Communications Committee chair in consultation with senior management.</w:t>
      </w:r>
    </w:p>
    <w:p>
      <w:pPr>
        <w:spacing w:after="0" w:line="60" w:lineRule="exact"/>
        <w:rPr>
          <w:sz w:val="20"/>
          <w:szCs w:val="20"/>
          <w:color w:val="auto"/>
        </w:rPr>
      </w:pPr>
    </w:p>
    <w:p>
      <w:pPr>
        <w:jc w:val="both"/>
        <w:ind w:left="9" w:right="739"/>
        <w:spacing w:after="0" w:line="253" w:lineRule="auto"/>
        <w:rPr>
          <w:sz w:val="20"/>
          <w:szCs w:val="20"/>
          <w:color w:val="auto"/>
        </w:rPr>
      </w:pPr>
      <w:r>
        <w:rPr>
          <w:rFonts w:ascii="Arial" w:cs="Arial" w:eastAsia="Arial" w:hAnsi="Arial"/>
          <w:sz w:val="16"/>
          <w:szCs w:val="16"/>
          <w:i w:val="1"/>
          <w:iCs w:val="1"/>
          <w:color w:val="auto"/>
        </w:rPr>
        <w:t xml:space="preserve">Members. </w:t>
      </w:r>
      <w:r>
        <w:rPr>
          <w:rFonts w:ascii="Arial" w:cs="Arial" w:eastAsia="Arial" w:hAnsi="Arial"/>
          <w:sz w:val="16"/>
          <w:szCs w:val="16"/>
          <w:color w:val="auto"/>
        </w:rPr>
        <w:t>The members of the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Citizenship and Communications Committee are: Mr. Steele, Chair, Ms. Chavez, Messrs. Ferguson and Fernandes. Each member of the Corporate Citizenship and Communications Committee has been determined to be independent.</w:t>
      </w:r>
    </w:p>
    <w:p>
      <w:pPr>
        <w:spacing w:after="0" w:line="200" w:lineRule="exact"/>
        <w:rPr>
          <w:sz w:val="20"/>
          <w:szCs w:val="20"/>
          <w:color w:val="auto"/>
        </w:rPr>
      </w:pPr>
    </w:p>
    <w:p>
      <w:pPr>
        <w:sectPr>
          <w:pgSz w:w="11900" w:h="16838" w:orient="portrait"/>
          <w:cols w:equalWidth="0" w:num="2">
            <w:col w:w="5080" w:space="591"/>
            <w:col w:w="4548"/>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004FF9"/>
        </w:rPr>
        <w:t>Governance Committee</w:t>
      </w:r>
    </w:p>
    <w:p>
      <w:pPr>
        <w:sectPr>
          <w:pgSz w:w="11900" w:h="16838" w:orient="portrait"/>
          <w:cols w:equalWidth="0" w:num="1">
            <w:col w:w="10219"/>
          </w:cols>
          <w:pgMar w:left="240" w:top="131" w:right="1440" w:bottom="1440" w:gutter="0" w:footer="0" w:header="0"/>
        </w:sectPr>
      </w:pPr>
    </w:p>
    <w:p>
      <w:pPr>
        <w:spacing w:after="0" w:line="77" w:lineRule="exact"/>
        <w:rPr>
          <w:sz w:val="20"/>
          <w:szCs w:val="20"/>
          <w:color w:val="auto"/>
        </w:rPr>
      </w:pPr>
    </w:p>
    <w:p>
      <w:pPr>
        <w:jc w:val="both"/>
        <w:ind w:left="1260"/>
        <w:spacing w:after="0" w:line="264" w:lineRule="auto"/>
        <w:rPr>
          <w:sz w:val="20"/>
          <w:szCs w:val="20"/>
          <w:color w:val="auto"/>
        </w:rPr>
      </w:pPr>
      <w:r>
        <w:rPr>
          <w:rFonts w:ascii="Arial" w:cs="Arial" w:eastAsia="Arial" w:hAnsi="Arial"/>
          <w:sz w:val="16"/>
          <w:szCs w:val="16"/>
          <w:i w:val="1"/>
          <w:iCs w:val="1"/>
          <w:color w:val="auto"/>
        </w:rPr>
        <w:t xml:space="preserve">Responsibilities. </w:t>
      </w:r>
      <w:r>
        <w:rPr>
          <w:rFonts w:ascii="Arial" w:cs="Arial" w:eastAsia="Arial" w:hAnsi="Arial"/>
          <w:sz w:val="16"/>
          <w:szCs w:val="16"/>
          <w:color w:val="auto"/>
        </w:rPr>
        <w:t>The Governance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performs the responsibilities set forth in its Charter, which include:</w:t>
      </w:r>
    </w:p>
    <w:p>
      <w:pPr>
        <w:spacing w:after="0" w:line="30" w:lineRule="exact"/>
        <w:rPr>
          <w:sz w:val="20"/>
          <w:szCs w:val="20"/>
          <w:color w:val="auto"/>
        </w:rPr>
      </w:pPr>
    </w:p>
    <w:p>
      <w:pPr>
        <w:ind w:left="1620" w:right="20" w:hanging="352"/>
        <w:spacing w:after="0" w:line="260"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making recommendations to the Board as to the optimal number of directors on the Board;</w:t>
      </w:r>
    </w:p>
    <w:p>
      <w:pPr>
        <w:spacing w:after="0" w:line="33" w:lineRule="exact"/>
        <w:rPr>
          <w:rFonts w:ascii="Arial" w:cs="Arial" w:eastAsia="Arial" w:hAnsi="Arial"/>
          <w:sz w:val="16"/>
          <w:szCs w:val="16"/>
          <w:color w:val="auto"/>
        </w:rPr>
      </w:pPr>
    </w:p>
    <w:p>
      <w:pPr>
        <w:jc w:val="both"/>
        <w:ind w:left="1620" w:right="20" w:hanging="352"/>
        <w:spacing w:after="0" w:line="25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recommending criteria and candidates for selection of new directors and the reelection of incumbent directors;</w:t>
      </w:r>
    </w:p>
    <w:p>
      <w:pPr>
        <w:spacing w:after="0" w:line="39"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recommending executive officer succession;</w:t>
      </w:r>
    </w:p>
    <w:p>
      <w:pPr>
        <w:spacing w:after="0" w:line="33" w:lineRule="exact"/>
        <w:rPr>
          <w:rFonts w:ascii="Arial" w:cs="Arial" w:eastAsia="Arial" w:hAnsi="Arial"/>
          <w:sz w:val="16"/>
          <w:szCs w:val="16"/>
          <w:color w:val="auto"/>
        </w:rPr>
      </w:pPr>
    </w:p>
    <w:p>
      <w:pPr>
        <w:ind w:left="1620" w:right="20" w:hanging="352"/>
        <w:spacing w:after="0" w:line="250"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making equity grants to non-employee directors;</w:t>
      </w:r>
    </w:p>
    <w:p>
      <w:pPr>
        <w:spacing w:after="0" w:line="240" w:lineRule="exact"/>
        <w:rPr>
          <w:rFonts w:ascii="Arial" w:cs="Arial" w:eastAsia="Arial" w:hAnsi="Arial"/>
          <w:sz w:val="16"/>
          <w:szCs w:val="16"/>
          <w:color w:val="auto"/>
        </w:rPr>
      </w:pPr>
    </w:p>
    <w:p>
      <w:pPr>
        <w:jc w:val="both"/>
        <w:ind w:left="1620" w:right="20" w:hanging="352"/>
        <w:spacing w:after="0" w:line="25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recommending to the Board any changes in cash compensation of non-employee directors; and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369" w:hanging="369"/>
        <w:spacing w:after="0"/>
        <w:tabs>
          <w:tab w:leader="none" w:pos="3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matters of corporate governance.</w:t>
      </w:r>
    </w:p>
    <w:p>
      <w:pPr>
        <w:spacing w:after="0" w:line="97" w:lineRule="exact"/>
        <w:rPr>
          <w:sz w:val="20"/>
          <w:szCs w:val="20"/>
          <w:color w:val="auto"/>
        </w:rPr>
      </w:pPr>
    </w:p>
    <w:p>
      <w:pPr>
        <w:jc w:val="both"/>
        <w:ind w:left="9" w:right="739"/>
        <w:spacing w:after="0" w:line="255" w:lineRule="auto"/>
        <w:rPr>
          <w:sz w:val="20"/>
          <w:szCs w:val="20"/>
          <w:color w:val="auto"/>
        </w:rPr>
      </w:pPr>
      <w:r>
        <w:rPr>
          <w:rFonts w:ascii="Arial" w:cs="Arial" w:eastAsia="Arial" w:hAnsi="Arial"/>
          <w:sz w:val="16"/>
          <w:szCs w:val="16"/>
          <w:i w:val="1"/>
          <w:iCs w:val="1"/>
          <w:color w:val="auto"/>
        </w:rPr>
        <w:t xml:space="preserve">Meetings. </w:t>
      </w:r>
      <w:r>
        <w:rPr>
          <w:rFonts w:ascii="Arial" w:cs="Arial" w:eastAsia="Arial" w:hAnsi="Arial"/>
          <w:sz w:val="16"/>
          <w:szCs w:val="16"/>
          <w:color w:val="auto"/>
        </w:rPr>
        <w:t>Meeting agendas are developed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chair in consultation with the chairman of the Board, the CEO and the Executive Vice President, General Counsel and Corporate Secretary.</w:t>
      </w:r>
    </w:p>
    <w:p>
      <w:pPr>
        <w:spacing w:after="0" w:line="76" w:lineRule="exact"/>
        <w:rPr>
          <w:sz w:val="20"/>
          <w:szCs w:val="20"/>
          <w:color w:val="auto"/>
        </w:rPr>
      </w:pPr>
    </w:p>
    <w:p>
      <w:pPr>
        <w:jc w:val="both"/>
        <w:ind w:left="9" w:right="739"/>
        <w:spacing w:after="0" w:line="255" w:lineRule="auto"/>
        <w:rPr>
          <w:sz w:val="20"/>
          <w:szCs w:val="20"/>
          <w:color w:val="auto"/>
        </w:rPr>
      </w:pPr>
      <w:r>
        <w:rPr>
          <w:rFonts w:ascii="Arial" w:cs="Arial" w:eastAsia="Arial" w:hAnsi="Arial"/>
          <w:sz w:val="16"/>
          <w:szCs w:val="16"/>
          <w:i w:val="1"/>
          <w:iCs w:val="1"/>
          <w:color w:val="auto"/>
        </w:rPr>
        <w:t xml:space="preserve">Members. </w:t>
      </w:r>
      <w:r>
        <w:rPr>
          <w:rFonts w:ascii="Arial" w:cs="Arial" w:eastAsia="Arial" w:hAnsi="Arial"/>
          <w:sz w:val="16"/>
          <w:szCs w:val="16"/>
          <w:color w:val="auto"/>
        </w:rPr>
        <w:t>The members of the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are: Mr. Helms, Chair, Ms. Chavez and Mr. Ferguson. As described above, each member of the Governance Committee has been determined to be independent.</w:t>
      </w:r>
    </w:p>
    <w:p>
      <w:pPr>
        <w:spacing w:after="0" w:line="1008" w:lineRule="exact"/>
        <w:rPr>
          <w:sz w:val="20"/>
          <w:szCs w:val="20"/>
          <w:color w:val="auto"/>
        </w:rPr>
      </w:pPr>
    </w:p>
    <w:p>
      <w:pPr>
        <w:sectPr>
          <w:pgSz w:w="11900" w:h="16838" w:orient="portrait"/>
          <w:cols w:equalWidth="0" w:num="2">
            <w:col w:w="5080" w:space="591"/>
            <w:col w:w="4548"/>
          </w:cols>
          <w:pgMar w:left="240" w:top="131" w:right="1440" w:bottom="1440" w:gutter="0" w:footer="0" w:header="0"/>
          <w:type w:val="continuous"/>
        </w:sectPr>
      </w:pPr>
    </w:p>
    <w:p>
      <w:pPr>
        <w:spacing w:after="0" w:line="22"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004FF9"/>
        </w:rPr>
        <w:t>Compensation Committee Interlocks and Insider Participation</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None of the members of the Compensation Committee during fiscal year 2014 or as of the date of this Proxy Statement is or has been an officer or employee of the Company, and no executive officer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of the Company served on the compensation committee or board of any company that employed any member of the Company’s Compensation Committee or Board of Directors.</w:t>
      </w:r>
    </w:p>
    <w:p>
      <w:pPr>
        <w:spacing w:after="0" w:line="200" w:lineRule="exact"/>
        <w:rPr>
          <w:sz w:val="20"/>
          <w:szCs w:val="20"/>
          <w:color w:val="auto"/>
        </w:rPr>
      </w:pPr>
    </w:p>
    <w:p>
      <w:pPr>
        <w:sectPr>
          <w:pgSz w:w="11900" w:h="16838" w:orient="portrait"/>
          <w:cols w:equalWidth="0" w:num="2">
            <w:col w:w="5060" w:space="620"/>
            <w:col w:w="4539"/>
          </w:cols>
          <w:pgMar w:left="240" w:top="131" w:right="1440" w:bottom="1440" w:gutter="0" w:footer="0" w:header="0"/>
          <w:type w:val="continuous"/>
        </w:sectPr>
      </w:pPr>
    </w:p>
    <w:p>
      <w:pPr>
        <w:spacing w:after="0" w:line="23"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004FF9"/>
        </w:rPr>
        <w:t>Identifying and Evaluating Nominees for Directors</w:t>
      </w:r>
    </w:p>
    <w:p>
      <w:pPr>
        <w:sectPr>
          <w:pgSz w:w="11900" w:h="16838" w:orient="portrait"/>
          <w:cols w:equalWidth="0" w:num="1">
            <w:col w:w="10219"/>
          </w:cols>
          <w:pgMar w:left="240" w:top="131" w:right="1440" w:bottom="1440" w:gutter="0" w:footer="0" w:header="0"/>
          <w:type w:val="continuous"/>
        </w:sectPr>
      </w:pPr>
    </w:p>
    <w:p>
      <w:pPr>
        <w:spacing w:after="0" w:line="106"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Our Board is responsible for selecting nominees for election as directors. The Board delegates the screening process to the Governance Committee with the expectation that other members of the Board, including the CEO, are asked to take part in the process as appropriate. Candidates recommended by the Governance Committee are subject to approval by the Board. Our Governance Committee regularly assesses the appropriate size of the Board, and whether any vacancies on the Board are expected because of retirement or otherwise. In the event that any vacancy is anticipated, or otherwise arises, the Governance Committee considers various potential candidates for director.</w:t>
      </w:r>
    </w:p>
    <w:p>
      <w:pPr>
        <w:spacing w:after="0" w:line="2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Our Governance Committee recommends to the Board the criteria for director candidates, and the Board establishes the criteria. The Governance Committee of the Board is responsible for reviewing with the Board the requisite skills and characteristics of new Board candidates and current Board members in the context of the current composition of the Board.</w:t>
      </w:r>
    </w:p>
    <w:p>
      <w:pPr>
        <w:spacing w:after="0" w:line="290"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In analyzing director nominations and director vacancies, our Governance Committee seeks to recommend candidates for director positions who will create a collective membership on the Board with varied experience and perspectives and who maintain a Board that reflects diversity, including, but not limited to, gender, ethnicity, background and experience. We do not have a policy that requires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specified types of diverse backgrounds. The Governance Committee strives to recommend candidates who demonstrate leadership and significant experience in a specific area or endeavor, understand the role of a public company director, and can provide insights and practical wisdom based on their experience and expertise.</w:t>
      </w:r>
    </w:p>
    <w:p>
      <w:pPr>
        <w:spacing w:after="0" w:line="101"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The Governance Committee and the Board of Directors focus on the areas set forth in the Board of Directors’ Skills Matrix when analyzing whether directors and nominees have the requisite experience, qualifications, attributes and skills, taken as a whole, to enable the Board of Directors to satisfy its oversight responsibilities effectively in light of the Company’s business and structure. The Governance Committee utilizes a variety of methods for identifying and evaluating nominees for director, such as search firms and the relationships of current directors. Candidates may also come to the attention of the Governance Committee through shareholders or other persons. These candidates are evaluated at regular or special meetings of the Governance Committee and may be considered at any point during the year.</w:t>
      </w:r>
    </w:p>
    <w:p>
      <w:pPr>
        <w:spacing w:after="0" w:line="10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Our Directors are expected to prepare for, attend and participate in Board meetings and meetings of the Committees of the Board on which they serve and to spend the time needed and to meet as frequently as necessary to properly discharge their responsibilities and duties as directors. Each Board member is expected to arrange his or her schedule so that other</w:t>
      </w:r>
    </w:p>
    <w:p>
      <w:pPr>
        <w:spacing w:after="0" w:line="201"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existing and planned future commitments do not materially interfere with the member’s service as a director. Ordinarily, directors who are full-time employees of ABM or who serve as chief executive officers or in equivalent positions at other companies may not serve on the boards of more than two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publicly traded companies. Other directors may not serve on the boards of more than four other publicly traded companies. Service on other boards and other commitments are considered by the Governance Committee and the Board when reviewing Board candidates.</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6"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004FF9"/>
        </w:rPr>
        <w:t>CERTAIN RELATIONSHIPS AND TRANSACTIONS WITH RELATED PERSONS</w:t>
      </w:r>
    </w:p>
    <w:p>
      <w:pPr>
        <w:spacing w:after="0" w:line="208"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004FF9"/>
        </w:rPr>
        <w:t>Policy for the Review, Approval or Ratification of Transactions with Related Persons</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Board of Directors has adopted a written policy for review of transactions involving more than $120,000 in any fiscal year in which ABM or its subsidiaries are a participant and in which any director, executive officer, holder of more than 5% of the outstanding shares of ABM common stock or any immediate family member of any of these persons has a direct or indirect material interest. Such transactions may include employment or consulting relationships with a related person or contracts under which ABM receives goods or services from (or provides goods and services to) a related person or a company for which the related person is an employee or otherwise affiliated. Directors and executive officers are required to inform ABM of any such transaction promptly after they become aware of it, and ABM also collects information from directors and executive officers about their affiliations and the affiliations of their family members. The policy does not require review of the following transactions:</w:t>
      </w:r>
    </w:p>
    <w:p>
      <w:pPr>
        <w:spacing w:after="0" w:line="224" w:lineRule="exact"/>
        <w:rPr>
          <w:sz w:val="20"/>
          <w:szCs w:val="20"/>
          <w:color w:val="auto"/>
        </w:rPr>
      </w:pPr>
    </w:p>
    <w:p>
      <w:pPr>
        <w:jc w:val="both"/>
        <w:ind w:left="1620" w:right="20" w:hanging="352"/>
        <w:spacing w:after="0" w:line="250" w:lineRule="auto"/>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compensation of executive officers and directors approved in accordance with ABM Corporate Governance Principles and the Governance and Compensation Committee charters;</w:t>
      </w:r>
    </w:p>
    <w:p>
      <w:pPr>
        <w:spacing w:after="0" w:line="41" w:lineRule="exact"/>
        <w:rPr>
          <w:rFonts w:ascii="Arial" w:cs="Arial" w:eastAsia="Arial" w:hAnsi="Arial"/>
          <w:sz w:val="16"/>
          <w:szCs w:val="16"/>
          <w:color w:val="auto"/>
        </w:rPr>
      </w:pPr>
    </w:p>
    <w:p>
      <w:pPr>
        <w:jc w:val="both"/>
        <w:ind w:left="1620" w:right="20" w:hanging="352"/>
        <w:spacing w:after="0" w:line="251" w:lineRule="auto"/>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transactions with entities where the sole interest of the director, executive officer, more than 5% shareholder or immediate family member is as a director of the entity;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369" w:right="759" w:hanging="369"/>
        <w:spacing w:after="0" w:line="248" w:lineRule="auto"/>
        <w:tabs>
          <w:tab w:leader="none" w:pos="36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transactions with entities where the sole interest of the director, executive officer, more than 5% shareholder or immediate family member arises from direct or indirect ownership, together with any other related persons, of less than 10% equity interest in such entity (other than partnerships);</w:t>
      </w:r>
    </w:p>
    <w:p>
      <w:pPr>
        <w:spacing w:after="0" w:line="127" w:lineRule="exact"/>
        <w:rPr>
          <w:rFonts w:ascii="Arial" w:cs="Arial" w:eastAsia="Arial" w:hAnsi="Arial"/>
          <w:sz w:val="16"/>
          <w:szCs w:val="16"/>
          <w:color w:val="auto"/>
        </w:rPr>
      </w:pPr>
    </w:p>
    <w:p>
      <w:pPr>
        <w:jc w:val="both"/>
        <w:ind w:left="369" w:right="759" w:hanging="369"/>
        <w:spacing w:after="0" w:line="248" w:lineRule="auto"/>
        <w:tabs>
          <w:tab w:leader="none" w:pos="36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transactions with entities where the sole interest of the director, executive officer, more than 5% shareholder or immediate family member arises from such person’s position as a limited partner in a partnership in which the person and all other related parties have an interest of less than 10%, and the person is not a general partner and does not hold another position in the partnership; and</w:t>
      </w:r>
    </w:p>
    <w:p>
      <w:pPr>
        <w:spacing w:after="0" w:line="112" w:lineRule="exact"/>
        <w:rPr>
          <w:rFonts w:ascii="Arial" w:cs="Arial" w:eastAsia="Arial" w:hAnsi="Arial"/>
          <w:sz w:val="16"/>
          <w:szCs w:val="16"/>
          <w:color w:val="auto"/>
        </w:rPr>
      </w:pPr>
    </w:p>
    <w:p>
      <w:pPr>
        <w:ind w:left="369" w:right="759" w:hanging="369"/>
        <w:spacing w:after="0" w:line="260" w:lineRule="auto"/>
        <w:tabs>
          <w:tab w:leader="none" w:pos="369"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transactions in which all security holders receive proportional benefits.</w:t>
      </w:r>
    </w:p>
    <w:p>
      <w:pPr>
        <w:spacing w:after="0" w:line="88" w:lineRule="exact"/>
        <w:rPr>
          <w:sz w:val="20"/>
          <w:szCs w:val="20"/>
          <w:color w:val="auto"/>
        </w:rPr>
      </w:pPr>
    </w:p>
    <w:p>
      <w:pPr>
        <w:jc w:val="both"/>
        <w:ind w:left="9" w:right="739"/>
        <w:spacing w:after="0" w:line="248" w:lineRule="auto"/>
        <w:rPr>
          <w:sz w:val="20"/>
          <w:szCs w:val="20"/>
          <w:color w:val="auto"/>
        </w:rPr>
      </w:pPr>
      <w:r>
        <w:rPr>
          <w:rFonts w:ascii="Arial" w:cs="Arial" w:eastAsia="Arial" w:hAnsi="Arial"/>
          <w:sz w:val="16"/>
          <w:szCs w:val="16"/>
          <w:color w:val="auto"/>
        </w:rPr>
        <w:t>Generally, transactions that ABM’s General Counsel determined may be covered by the policy are subject to a determination of materiality by the Board and, if so determined to be material to the related party, must be approved or ratified by the Board. The Board approves or ratifies a transaction if it determines, in its business judgment based on the available information, that the transaction is fair and reasonable to ABM and consistent with the best interests of ABM.</w:t>
      </w:r>
    </w:p>
    <w:p>
      <w:pPr>
        <w:spacing w:after="0" w:line="351" w:lineRule="exact"/>
        <w:rPr>
          <w:sz w:val="20"/>
          <w:szCs w:val="20"/>
          <w:color w:val="auto"/>
        </w:rPr>
      </w:pPr>
    </w:p>
    <w:p>
      <w:pPr>
        <w:sectPr>
          <w:pgSz w:w="11900" w:h="16838" w:orient="portrait"/>
          <w:cols w:equalWidth="0" w:num="2">
            <w:col w:w="5080" w:space="591"/>
            <w:col w:w="4548"/>
          </w:cols>
          <w:pgMar w:left="240" w:top="131" w:right="1440" w:bottom="1440" w:gutter="0" w:footer="0" w:header="0"/>
          <w:type w:val="continuous"/>
        </w:sectPr>
      </w:pPr>
    </w:p>
    <w:p>
      <w:pPr>
        <w:spacing w:after="0" w:line="23"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004FF9"/>
        </w:rPr>
        <w:t>Transactions with Related Persons</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The General Counsel informed the Board, based on a review of potential transactions with related persons, that there were no transactions involving related persons requiring review by the Board since the beginning of fiscal year 2014 under the terms of the Related Party Transactions Policy.</w:t>
      </w:r>
    </w:p>
    <w:p>
      <w:pPr>
        <w:spacing w:after="0" w:line="97"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Mr. Steele is a current director. He retired as an officer and employee of ABM in October 2000. Pursuant to his previous employment agreement,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ABM provides Mr. Steele with $150,000 in life insurance coverage for the remainder of his life and pays certain club dues for Mr. Steele, which in fiscal year 2014 amounted to approximately $440.</w:t>
      </w:r>
    </w:p>
    <w:p>
      <w:pPr>
        <w:spacing w:after="0" w:line="1254"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004FF9"/>
        </w:rPr>
        <w:t>SECTION 16(a) BENEFICIAL OWNERSHIP REPORTING COMPLIANCE</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Section 16(a) of the Securities Exchange Act requires ABM’s directors, officers and persons who own more than 10% of a registered class of ABM’s securities to file reports of beneficial ownership and changes in ownership with the Securities and Exchange Commission. Based solely on a review of the reporting forms and representations of its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directors and officers, ABM believes that since the beginning of fiscal year 2014, all forms required to be filed by its executive officers and directors under Section 16(a) were filed on a timely basis, with the exception of two filings for two transactions by Mr. Slipsager, which were each filed one day late due to an administrative error.</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DIRECTOR COMPENSATION FOR FISCAL YEAR 2014</w:t>
      </w:r>
    </w:p>
    <w:p>
      <w:pPr>
        <w:spacing w:after="0" w:line="208"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004FF9"/>
        </w:rPr>
        <w:t>Director Compensation Elements</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ABM compensates non-employee directors through a combination of annual cash retainers, fees relating to service on a committee, and equity grants. Our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739"/>
        <w:spacing w:after="0" w:line="260" w:lineRule="auto"/>
        <w:rPr>
          <w:sz w:val="20"/>
          <w:szCs w:val="20"/>
          <w:color w:val="auto"/>
        </w:rPr>
      </w:pPr>
      <w:r>
        <w:rPr>
          <w:rFonts w:ascii="Arial" w:cs="Arial" w:eastAsia="Arial" w:hAnsi="Arial"/>
          <w:sz w:val="16"/>
          <w:szCs w:val="16"/>
          <w:color w:val="auto"/>
        </w:rPr>
        <w:t>non-employee director compensation policy for fiscal year 2014 is described below.</w:t>
      </w:r>
    </w:p>
    <w:p>
      <w:pPr>
        <w:spacing w:after="0" w:line="383" w:lineRule="exact"/>
        <w:rPr>
          <w:sz w:val="20"/>
          <w:szCs w:val="20"/>
          <w:color w:val="auto"/>
        </w:rPr>
      </w:pPr>
    </w:p>
    <w:p>
      <w:pPr>
        <w:sectPr>
          <w:pgSz w:w="11900" w:h="16838" w:orient="portrait"/>
          <w:cols w:equalWidth="0" w:num="2">
            <w:col w:w="5060" w:space="620"/>
            <w:col w:w="4539"/>
          </w:cols>
          <w:pgMar w:left="240" w:top="131" w:right="1440" w:bottom="1440" w:gutter="0" w:footer="0" w:header="0"/>
          <w:type w:val="continuous"/>
        </w:sectPr>
      </w:pPr>
    </w:p>
    <w:p>
      <w:pPr>
        <w:spacing w:after="0" w:line="22"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004FF9"/>
        </w:rPr>
        <w:t>Fiscal 2014 Non-Employee Director Compensation</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Governance Committee reviews the compensation of non-employee directors periodically and recommends changes to the Board whenever it deems appropriate. In 2014, the Committee engaged Semler Brossy Consulting Group, LLC (“Semler Brossy”), which also serves as the Compensation Committee’s independent consultant, to review the existing non-employee director compensation program. Based on this review, the Governance Committee approved increasing directors’ annual equity compensation to $110,000 from $90,000, effective as of November 1, 2014. In addition, in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January 2015, based on a review by Semler Brossy, the Governance Committee recommended increasing the annual cash retainer for the Chairman of the Board to $175,000, while eliminating, for this position, separate cash committee retainers, and increasing the annual equity grant to the Chairman of the Board to $175,000. The Board approved these recommendations.</w:t>
      </w:r>
    </w:p>
    <w:p>
      <w:pPr>
        <w:spacing w:after="0" w:line="100"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The following table describes the components of the non-employee director compensation program in effect during 2014 and 2015.</w:t>
      </w:r>
    </w:p>
    <w:p>
      <w:pPr>
        <w:spacing w:after="0" w:line="269"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45" w:lineRule="exact"/>
        <w:rPr>
          <w:sz w:val="20"/>
          <w:szCs w:val="20"/>
          <w:color w:val="auto"/>
        </w:rPr>
      </w:pPr>
    </w:p>
    <w:tbl>
      <w:tblPr>
        <w:tblLayout w:type="fixed"/>
        <w:tblInd w:w="1270" w:type="dxa"/>
        <w:tblCellMar>
          <w:top w:w="0" w:type="dxa"/>
          <w:left w:w="0" w:type="dxa"/>
          <w:bottom w:w="0" w:type="dxa"/>
          <w:right w:w="0" w:type="dxa"/>
        </w:tblCellMar>
      </w:tblPr>
      <w:tr>
        <w:trPr>
          <w:trHeight w:val="358"/>
        </w:trPr>
        <w:tc>
          <w:tcPr>
            <w:tcW w:w="2740" w:type="dxa"/>
            <w:vAlign w:val="bottom"/>
            <w:tcBorders>
              <w:top w:val="single" w:sz="8" w:color="auto"/>
              <w:left w:val="single" w:sz="8" w:color="auto"/>
              <w:bottom w:val="single" w:sz="8" w:color="auto"/>
              <w:right w:val="single" w:sz="8" w:color="auto"/>
            </w:tcBorders>
            <w:shd w:val="clear" w:color="auto" w:fill="B1C9FD"/>
          </w:tcPr>
          <w:p>
            <w:pPr>
              <w:ind w:left="480"/>
              <w:spacing w:after="0"/>
              <w:rPr>
                <w:sz w:val="20"/>
                <w:szCs w:val="20"/>
                <w:color w:val="auto"/>
              </w:rPr>
            </w:pPr>
            <w:r>
              <w:rPr>
                <w:rFonts w:ascii="Arial" w:cs="Arial" w:eastAsia="Arial" w:hAnsi="Arial"/>
                <w:sz w:val="16"/>
                <w:szCs w:val="16"/>
                <w:b w:val="1"/>
                <w:bCs w:val="1"/>
                <w:color w:val="004FF9"/>
              </w:rPr>
              <w:t>Compensation Element</w:t>
            </w:r>
          </w:p>
        </w:tc>
        <w:tc>
          <w:tcPr>
            <w:tcW w:w="2740" w:type="dxa"/>
            <w:vAlign w:val="bottom"/>
            <w:tcBorders>
              <w:top w:val="single" w:sz="8" w:color="auto"/>
              <w:bottom w:val="single" w:sz="8" w:color="auto"/>
              <w:right w:val="single" w:sz="8" w:color="auto"/>
            </w:tcBorders>
            <w:shd w:val="clear" w:color="auto" w:fill="B1C9FD"/>
          </w:tcPr>
          <w:p>
            <w:pPr>
              <w:ind w:left="240"/>
              <w:spacing w:after="0"/>
              <w:rPr>
                <w:sz w:val="20"/>
                <w:szCs w:val="20"/>
                <w:color w:val="auto"/>
              </w:rPr>
            </w:pPr>
            <w:r>
              <w:rPr>
                <w:rFonts w:ascii="Arial" w:cs="Arial" w:eastAsia="Arial" w:hAnsi="Arial"/>
                <w:sz w:val="16"/>
                <w:szCs w:val="16"/>
                <w:b w:val="1"/>
                <w:bCs w:val="1"/>
                <w:color w:val="004FF9"/>
              </w:rPr>
              <w:t>2014 Compensation Program</w:t>
            </w:r>
          </w:p>
        </w:tc>
        <w:tc>
          <w:tcPr>
            <w:tcW w:w="2740" w:type="dxa"/>
            <w:vAlign w:val="bottom"/>
            <w:tcBorders>
              <w:top w:val="single" w:sz="8" w:color="auto"/>
              <w:bottom w:val="single" w:sz="8" w:color="auto"/>
              <w:right w:val="single" w:sz="8" w:color="auto"/>
            </w:tcBorders>
            <w:shd w:val="clear" w:color="auto" w:fill="B1C9FD"/>
          </w:tcPr>
          <w:p>
            <w:pPr>
              <w:ind w:left="240"/>
              <w:spacing w:after="0"/>
              <w:rPr>
                <w:sz w:val="20"/>
                <w:szCs w:val="20"/>
                <w:color w:val="auto"/>
              </w:rPr>
            </w:pPr>
            <w:r>
              <w:rPr>
                <w:rFonts w:ascii="Arial" w:cs="Arial" w:eastAsia="Arial" w:hAnsi="Arial"/>
                <w:sz w:val="16"/>
                <w:szCs w:val="16"/>
                <w:b w:val="1"/>
                <w:bCs w:val="1"/>
                <w:color w:val="004FF9"/>
              </w:rPr>
              <w:t>2015 Compensation Program</w:t>
            </w:r>
          </w:p>
        </w:tc>
      </w:tr>
      <w:tr>
        <w:trPr>
          <w:trHeight w:val="191"/>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Annual Board Cash Retainer</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$145,000 for Chairman of the Board;</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$175,000 for Chairman of the</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$70,000  for  other  non-employee</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Board;</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directors</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$70,000 for other non-employee</w:t>
            </w:r>
          </w:p>
        </w:tc>
      </w:tr>
      <w:tr>
        <w:trPr>
          <w:trHeight w:val="208"/>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directors</w:t>
            </w:r>
          </w:p>
        </w:tc>
      </w:tr>
      <w:tr>
        <w:trPr>
          <w:trHeight w:val="191"/>
        </w:trPr>
        <w:tc>
          <w:tcPr>
            <w:tcW w:w="274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Annual Board Equity Retainer</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$90,000</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$175,000 for the Chairman of the</w:t>
            </w:r>
          </w:p>
        </w:tc>
      </w:tr>
      <w:tr>
        <w:trPr>
          <w:trHeight w:val="189"/>
        </w:trPr>
        <w:tc>
          <w:tcPr>
            <w:tcW w:w="2740" w:type="dxa"/>
            <w:vAlign w:val="bottom"/>
            <w:tcBorders>
              <w:left w:val="single" w:sz="8" w:color="auto"/>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Board;</w:t>
            </w:r>
          </w:p>
        </w:tc>
      </w:tr>
      <w:tr>
        <w:trPr>
          <w:trHeight w:val="189"/>
        </w:trPr>
        <w:tc>
          <w:tcPr>
            <w:tcW w:w="2740" w:type="dxa"/>
            <w:vAlign w:val="bottom"/>
            <w:tcBorders>
              <w:left w:val="single" w:sz="8" w:color="auto"/>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$110,000 for other non-employee</w:t>
            </w:r>
          </w:p>
        </w:tc>
      </w:tr>
      <w:tr>
        <w:trPr>
          <w:trHeight w:val="208"/>
        </w:trPr>
        <w:tc>
          <w:tcPr>
            <w:tcW w:w="2740" w:type="dxa"/>
            <w:vAlign w:val="bottom"/>
            <w:tcBorders>
              <w:left w:val="single" w:sz="8" w:color="auto"/>
              <w:bottom w:val="single" w:sz="8" w:color="auto"/>
              <w:right w:val="single" w:sz="8" w:color="auto"/>
            </w:tcBorders>
            <w:shd w:val="clear" w:color="auto" w:fill="E5EDFE"/>
          </w:tcPr>
          <w:p>
            <w:pPr>
              <w:spacing w:after="0"/>
              <w:rPr>
                <w:sz w:val="18"/>
                <w:szCs w:val="18"/>
                <w:color w:val="auto"/>
              </w:rPr>
            </w:pPr>
          </w:p>
        </w:tc>
        <w:tc>
          <w:tcPr>
            <w:tcW w:w="2740" w:type="dxa"/>
            <w:vAlign w:val="bottom"/>
            <w:tcBorders>
              <w:bottom w:val="single" w:sz="8" w:color="auto"/>
              <w:right w:val="single" w:sz="8" w:color="auto"/>
            </w:tcBorders>
            <w:shd w:val="clear" w:color="auto" w:fill="E5EDFE"/>
          </w:tcPr>
          <w:p>
            <w:pPr>
              <w:spacing w:after="0"/>
              <w:rPr>
                <w:sz w:val="18"/>
                <w:szCs w:val="18"/>
                <w:color w:val="auto"/>
              </w:rPr>
            </w:pPr>
          </w:p>
        </w:tc>
        <w:tc>
          <w:tcPr>
            <w:tcW w:w="2740" w:type="dxa"/>
            <w:vAlign w:val="bottom"/>
            <w:tcBorders>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directors</w:t>
            </w:r>
          </w:p>
        </w:tc>
      </w:tr>
      <w:tr>
        <w:trPr>
          <w:trHeight w:val="237"/>
        </w:trPr>
        <w:tc>
          <w:tcPr>
            <w:tcW w:w="2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Board Attendance Fees</w:t>
            </w:r>
          </w:p>
        </w:tc>
        <w:tc>
          <w:tcPr>
            <w:tcW w:w="2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None</w:t>
            </w:r>
          </w:p>
        </w:tc>
        <w:tc>
          <w:tcPr>
            <w:tcW w:w="2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None</w:t>
            </w:r>
          </w:p>
        </w:tc>
      </w:tr>
      <w:tr>
        <w:trPr>
          <w:trHeight w:val="237"/>
        </w:trPr>
        <w:tc>
          <w:tcPr>
            <w:tcW w:w="27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Committee Attendance Fees</w:t>
            </w:r>
          </w:p>
        </w:tc>
        <w:tc>
          <w:tcPr>
            <w:tcW w:w="2740" w:type="dxa"/>
            <w:vAlign w:val="bottom"/>
            <w:tcBorders>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None</w:t>
            </w:r>
          </w:p>
        </w:tc>
        <w:tc>
          <w:tcPr>
            <w:tcW w:w="2740" w:type="dxa"/>
            <w:vAlign w:val="bottom"/>
            <w:tcBorders>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None</w:t>
            </w:r>
          </w:p>
        </w:tc>
      </w:tr>
      <w:tr>
        <w:trPr>
          <w:trHeight w:val="191"/>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Annual Chair Fees</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$15,000 for Audit Chair</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$15,000 for Audit Chair</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$10,000 for Compensation Chair</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$10,000 for Compensation Chair</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$7,500 for Governance Chair</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$7,500 for Governance Chair</w:t>
            </w:r>
          </w:p>
        </w:tc>
      </w:tr>
      <w:tr>
        <w:trPr>
          <w:trHeight w:val="189"/>
        </w:trPr>
        <w:tc>
          <w:tcPr>
            <w:tcW w:w="2740" w:type="dxa"/>
            <w:vAlign w:val="bottom"/>
            <w:tcBorders>
              <w:left w:val="single" w:sz="8" w:color="auto"/>
              <w:right w:val="single" w:sz="8" w:color="auto"/>
            </w:tcBorders>
          </w:tcPr>
          <w:p>
            <w:pPr>
              <w:spacing w:after="0"/>
              <w:rPr>
                <w:sz w:val="16"/>
                <w:szCs w:val="16"/>
                <w:color w:val="auto"/>
              </w:rPr>
            </w:pP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$5,000 for Corporate Citizenship</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$5,000 for Corporate Citizenship</w:t>
            </w:r>
          </w:p>
        </w:tc>
      </w:tr>
      <w:tr>
        <w:trPr>
          <w:trHeight w:val="208"/>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and Communications Chair</w:t>
            </w:r>
          </w:p>
        </w:tc>
        <w:tc>
          <w:tcPr>
            <w:tcW w:w="27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and Communications Chair</w:t>
            </w:r>
          </w:p>
        </w:tc>
      </w:tr>
      <w:tr>
        <w:trPr>
          <w:trHeight w:val="191"/>
        </w:trPr>
        <w:tc>
          <w:tcPr>
            <w:tcW w:w="274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Annual Committee Member</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$20,000 for Audit members</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$20,000 for Audit members</w:t>
            </w:r>
          </w:p>
        </w:tc>
      </w:tr>
      <w:tr>
        <w:trPr>
          <w:trHeight w:val="189"/>
        </w:trPr>
        <w:tc>
          <w:tcPr>
            <w:tcW w:w="274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Retainer*</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$12,500 for Compensation</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$12,500 for Compensation</w:t>
            </w:r>
          </w:p>
        </w:tc>
      </w:tr>
      <w:tr>
        <w:trPr>
          <w:trHeight w:val="189"/>
        </w:trPr>
        <w:tc>
          <w:tcPr>
            <w:tcW w:w="2740" w:type="dxa"/>
            <w:vAlign w:val="bottom"/>
            <w:tcBorders>
              <w:left w:val="single" w:sz="8" w:color="auto"/>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members</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members</w:t>
            </w:r>
          </w:p>
        </w:tc>
      </w:tr>
      <w:tr>
        <w:trPr>
          <w:trHeight w:val="189"/>
        </w:trPr>
        <w:tc>
          <w:tcPr>
            <w:tcW w:w="2740" w:type="dxa"/>
            <w:vAlign w:val="bottom"/>
            <w:tcBorders>
              <w:left w:val="single" w:sz="8" w:color="auto"/>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$7,500 for Governance members</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$7,500 for Governance members</w:t>
            </w:r>
          </w:p>
        </w:tc>
      </w:tr>
      <w:tr>
        <w:trPr>
          <w:trHeight w:val="189"/>
        </w:trPr>
        <w:tc>
          <w:tcPr>
            <w:tcW w:w="2740" w:type="dxa"/>
            <w:vAlign w:val="bottom"/>
            <w:tcBorders>
              <w:left w:val="single" w:sz="8" w:color="auto"/>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$5,000 for Corporate Citizenship</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$5,000 for Corporate Citizenship</w:t>
            </w:r>
          </w:p>
        </w:tc>
      </w:tr>
      <w:tr>
        <w:trPr>
          <w:trHeight w:val="189"/>
        </w:trPr>
        <w:tc>
          <w:tcPr>
            <w:tcW w:w="2740" w:type="dxa"/>
            <w:vAlign w:val="bottom"/>
            <w:tcBorders>
              <w:left w:val="single" w:sz="8" w:color="auto"/>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and Communication members</w:t>
            </w: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and Communication members</w:t>
            </w:r>
          </w:p>
        </w:tc>
      </w:tr>
      <w:tr>
        <w:trPr>
          <w:trHeight w:val="189"/>
        </w:trPr>
        <w:tc>
          <w:tcPr>
            <w:tcW w:w="2740" w:type="dxa"/>
            <w:vAlign w:val="bottom"/>
            <w:tcBorders>
              <w:left w:val="single" w:sz="8" w:color="auto"/>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*The Chairman of the Board will</w:t>
            </w:r>
          </w:p>
        </w:tc>
      </w:tr>
      <w:tr>
        <w:trPr>
          <w:trHeight w:val="189"/>
        </w:trPr>
        <w:tc>
          <w:tcPr>
            <w:tcW w:w="2740" w:type="dxa"/>
            <w:vAlign w:val="bottom"/>
            <w:tcBorders>
              <w:left w:val="single" w:sz="8" w:color="auto"/>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spacing w:after="0"/>
              <w:rPr>
                <w:sz w:val="16"/>
                <w:szCs w:val="16"/>
                <w:color w:val="auto"/>
              </w:rPr>
            </w:pPr>
          </w:p>
        </w:tc>
        <w:tc>
          <w:tcPr>
            <w:tcW w:w="2740" w:type="dxa"/>
            <w:vAlign w:val="bottom"/>
            <w:tcBorders>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not receive a separate retainer for</w:t>
            </w:r>
          </w:p>
        </w:tc>
      </w:tr>
      <w:tr>
        <w:trPr>
          <w:trHeight w:val="208"/>
        </w:trPr>
        <w:tc>
          <w:tcPr>
            <w:tcW w:w="2740" w:type="dxa"/>
            <w:vAlign w:val="bottom"/>
            <w:tcBorders>
              <w:left w:val="single" w:sz="8" w:color="auto"/>
              <w:bottom w:val="single" w:sz="8" w:color="auto"/>
              <w:right w:val="single" w:sz="8" w:color="auto"/>
            </w:tcBorders>
            <w:shd w:val="clear" w:color="auto" w:fill="E5EDFE"/>
          </w:tcPr>
          <w:p>
            <w:pPr>
              <w:spacing w:after="0"/>
              <w:rPr>
                <w:sz w:val="18"/>
                <w:szCs w:val="18"/>
                <w:color w:val="auto"/>
              </w:rPr>
            </w:pPr>
          </w:p>
        </w:tc>
        <w:tc>
          <w:tcPr>
            <w:tcW w:w="2740" w:type="dxa"/>
            <w:vAlign w:val="bottom"/>
            <w:tcBorders>
              <w:bottom w:val="single" w:sz="8" w:color="auto"/>
              <w:right w:val="single" w:sz="8" w:color="auto"/>
            </w:tcBorders>
            <w:shd w:val="clear" w:color="auto" w:fill="E5EDFE"/>
          </w:tcPr>
          <w:p>
            <w:pPr>
              <w:spacing w:after="0"/>
              <w:rPr>
                <w:sz w:val="18"/>
                <w:szCs w:val="18"/>
                <w:color w:val="auto"/>
              </w:rPr>
            </w:pPr>
          </w:p>
        </w:tc>
        <w:tc>
          <w:tcPr>
            <w:tcW w:w="2740" w:type="dxa"/>
            <w:vAlign w:val="bottom"/>
            <w:tcBorders>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Committee memberships.</w:t>
            </w:r>
          </w:p>
        </w:tc>
      </w:tr>
    </w:tbl>
    <w:p>
      <w:pPr>
        <w:spacing w:after="0" w:line="83"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jc w:val="both"/>
        <w:ind w:left="1260"/>
        <w:spacing w:after="0" w:line="248" w:lineRule="auto"/>
        <w:rPr>
          <w:sz w:val="20"/>
          <w:szCs w:val="20"/>
          <w:color w:val="auto"/>
        </w:rPr>
      </w:pPr>
      <w:r>
        <w:rPr>
          <w:rFonts w:ascii="Arial" w:cs="Arial" w:eastAsia="Arial" w:hAnsi="Arial"/>
          <w:sz w:val="16"/>
          <w:szCs w:val="16"/>
          <w:color w:val="auto"/>
        </w:rPr>
        <w:t>The Governance Committee may recommend to the Board that directors who invest significant time above and beyond the normal requirements of service on the Board, or a committee thereof, receive $2,000 per day for such service. ABM reimburses its non-employee directors for their out-of-pocket expenses incurred in attending Board and</w:t>
      </w:r>
    </w:p>
    <w:p>
      <w:pPr>
        <w:spacing w:after="0" w:line="20" w:lineRule="exact"/>
        <w:rPr>
          <w:sz w:val="20"/>
          <w:szCs w:val="20"/>
          <w:color w:val="auto"/>
        </w:rPr>
      </w:pPr>
      <w:r>
        <w:rPr>
          <w:sz w:val="20"/>
          <w:szCs w:val="20"/>
          <w:color w:val="auto"/>
        </w:rPr>
        <w:br w:type="column"/>
      </w:r>
    </w:p>
    <w:p>
      <w:pPr>
        <w:jc w:val="both"/>
        <w:ind w:right="739"/>
        <w:spacing w:after="0" w:line="248" w:lineRule="auto"/>
        <w:rPr>
          <w:sz w:val="20"/>
          <w:szCs w:val="20"/>
          <w:color w:val="auto"/>
        </w:rPr>
      </w:pPr>
      <w:r>
        <w:rPr>
          <w:rFonts w:ascii="Arial" w:cs="Arial" w:eastAsia="Arial" w:hAnsi="Arial"/>
          <w:sz w:val="16"/>
          <w:szCs w:val="16"/>
          <w:color w:val="auto"/>
        </w:rPr>
        <w:t>Committee meetings. The Board may also determine from time to time that it is appropriate to compensate Board members (other than the Chairman of the Board) who are not serving on a particular committee of the Board for attendance at such committee’s meetings if the Board member’s attendance has been requested by the Chair of that committee. In</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260"/>
        <w:spacing w:after="0" w:line="260" w:lineRule="auto"/>
        <w:rPr>
          <w:sz w:val="20"/>
          <w:szCs w:val="20"/>
          <w:color w:val="auto"/>
        </w:rPr>
      </w:pPr>
      <w:r>
        <w:rPr>
          <w:rFonts w:ascii="Arial" w:cs="Arial" w:eastAsia="Arial" w:hAnsi="Arial"/>
          <w:sz w:val="16"/>
          <w:szCs w:val="16"/>
          <w:color w:val="auto"/>
        </w:rPr>
        <w:t>such cases, the Board member will receive $2,000 for each such meeting attended. Beginning in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739"/>
        <w:spacing w:after="0" w:line="260" w:lineRule="auto"/>
        <w:rPr>
          <w:sz w:val="20"/>
          <w:szCs w:val="20"/>
          <w:color w:val="auto"/>
        </w:rPr>
      </w:pPr>
      <w:r>
        <w:rPr>
          <w:rFonts w:ascii="Arial" w:cs="Arial" w:eastAsia="Arial" w:hAnsi="Arial"/>
          <w:sz w:val="16"/>
          <w:szCs w:val="16"/>
          <w:color w:val="auto"/>
        </w:rPr>
        <w:t>the Chairman of the Board is not eligible to receive such payments.</w:t>
      </w:r>
    </w:p>
    <w:p>
      <w:pPr>
        <w:spacing w:after="0" w:line="200" w:lineRule="exact"/>
        <w:rPr>
          <w:sz w:val="20"/>
          <w:szCs w:val="20"/>
          <w:color w:val="auto"/>
        </w:rPr>
      </w:pPr>
    </w:p>
    <w:p>
      <w:pPr>
        <w:sectPr>
          <w:pgSz w:w="11900" w:h="16838" w:orient="portrait"/>
          <w:cols w:equalWidth="0" w:num="2">
            <w:col w:w="5060" w:space="620"/>
            <w:col w:w="4539"/>
          </w:cols>
          <w:pgMar w:left="240" w:top="131" w:right="1440" w:bottom="1440" w:gutter="0" w:footer="0" w:header="0"/>
          <w:type w:val="continuous"/>
        </w:sectPr>
      </w:pPr>
    </w:p>
    <w:p>
      <w:pPr>
        <w:spacing w:after="0" w:line="16"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004FF9"/>
        </w:rPr>
        <w:t>Director Stock Ownership and Retention Policy</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Each director is expected to own common stock, including unvested or deferred restricted stock units, having a value equivalent to five times his or her annual cash retainer within five years of joining the board. Directors who are not at their targeted stock ownership level within the five-year period must hold at least 50% of any net shares realized until they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reach their target. “Net shares realized” means unrestricted shares acquired by a director under the 2006 Equity Incentive Plan or acquired pursuant to the exercise of an option, net of any shares sold to pay the exercise price. All incumbent directors who became members of the Board prior to 2014 are in compliance with required stock ownership levels.</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9"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004FF9"/>
        </w:rPr>
        <w:t>2014 Non-Employee Director Compensation Table</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The following table shows fiscal year 2014 compensation for ABM’s non-employee directors based on the SEC’s compensation disclosure requirements. Our CEO, Mr. Slipsager, did not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receive additional compensation for his services as a director. Ms. Webb was named to the Board in fiscal year 2015 and therefore is not included in this table.</w:t>
      </w:r>
    </w:p>
    <w:p>
      <w:pPr>
        <w:spacing w:after="0" w:line="387"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35"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400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98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w w:val="98"/>
              </w:rPr>
              <w:t>Fees</w:t>
            </w:r>
          </w:p>
        </w:tc>
        <w:tc>
          <w:tcPr>
            <w:tcW w:w="960" w:type="dxa"/>
            <w:vAlign w:val="bottom"/>
            <w:tcBorders>
              <w:top w:val="single" w:sz="8" w:color="auto"/>
              <w:right w:val="single" w:sz="8" w:color="auto"/>
            </w:tcBorders>
            <w:shd w:val="clear" w:color="auto" w:fill="B1C9FD"/>
          </w:tcPr>
          <w:p>
            <w:pPr>
              <w:spacing w:after="0"/>
              <w:rPr>
                <w:sz w:val="24"/>
                <w:szCs w:val="24"/>
                <w:color w:val="auto"/>
              </w:rPr>
            </w:pPr>
          </w:p>
        </w:tc>
        <w:tc>
          <w:tcPr>
            <w:tcW w:w="1520" w:type="dxa"/>
            <w:vAlign w:val="bottom"/>
            <w:tcBorders>
              <w:top w:val="single" w:sz="8" w:color="auto"/>
              <w:right w:val="single" w:sz="8" w:color="auto"/>
            </w:tcBorders>
            <w:shd w:val="clear" w:color="auto" w:fill="B1C9FD"/>
          </w:tcPr>
          <w:p>
            <w:pPr>
              <w:spacing w:after="0"/>
              <w:rPr>
                <w:sz w:val="24"/>
                <w:szCs w:val="24"/>
                <w:color w:val="auto"/>
              </w:rPr>
            </w:pPr>
          </w:p>
        </w:tc>
        <w:tc>
          <w:tcPr>
            <w:tcW w:w="760" w:type="dxa"/>
            <w:vAlign w:val="bottom"/>
            <w:tcBorders>
              <w:top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0" w:type="dxa"/>
            <w:vAlign w:val="bottom"/>
            <w:tcBorders>
              <w:left w:val="single" w:sz="8" w:color="auto"/>
              <w:right w:val="single" w:sz="8" w:color="auto"/>
            </w:tcBorders>
            <w:shd w:val="clear" w:color="auto" w:fill="B1C9FD"/>
          </w:tcPr>
          <w:p>
            <w:pPr>
              <w:spacing w:after="0"/>
              <w:rPr>
                <w:sz w:val="14"/>
                <w:szCs w:val="14"/>
                <w:color w:val="auto"/>
              </w:rPr>
            </w:pPr>
          </w:p>
        </w:tc>
        <w:tc>
          <w:tcPr>
            <w:tcW w:w="98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6"/>
                <w:szCs w:val="16"/>
                <w:b w:val="1"/>
                <w:bCs w:val="1"/>
                <w:color w:val="004FF9"/>
              </w:rPr>
              <w:t>Earned or</w:t>
            </w:r>
          </w:p>
        </w:tc>
        <w:tc>
          <w:tcPr>
            <w:tcW w:w="96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6"/>
                <w:szCs w:val="16"/>
                <w:b w:val="1"/>
                <w:bCs w:val="1"/>
                <w:color w:val="004FF9"/>
              </w:rPr>
              <w:t>Stock</w:t>
            </w:r>
          </w:p>
        </w:tc>
        <w:tc>
          <w:tcPr>
            <w:tcW w:w="152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6"/>
                <w:szCs w:val="16"/>
                <w:b w:val="1"/>
                <w:bCs w:val="1"/>
                <w:color w:val="004FF9"/>
              </w:rPr>
              <w:t>All Other</w:t>
            </w:r>
          </w:p>
        </w:tc>
        <w:tc>
          <w:tcPr>
            <w:tcW w:w="76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Borders>
              <w:left w:val="single" w:sz="8" w:color="auto"/>
              <w:right w:val="single" w:sz="8" w:color="auto"/>
            </w:tcBorders>
            <w:shd w:val="clear" w:color="auto" w:fill="B1C9FD"/>
          </w:tcPr>
          <w:p>
            <w:pPr>
              <w:spacing w:after="0"/>
              <w:rPr>
                <w:sz w:val="14"/>
                <w:szCs w:val="14"/>
                <w:color w:val="auto"/>
              </w:rPr>
            </w:pPr>
          </w:p>
        </w:tc>
        <w:tc>
          <w:tcPr>
            <w:tcW w:w="98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6"/>
                <w:szCs w:val="16"/>
                <w:b w:val="1"/>
                <w:bCs w:val="1"/>
                <w:color w:val="004FF9"/>
                <w:w w:val="99"/>
              </w:rPr>
              <w:t>Paid in</w:t>
            </w:r>
          </w:p>
        </w:tc>
        <w:tc>
          <w:tcPr>
            <w:tcW w:w="960" w:type="dxa"/>
            <w:vAlign w:val="bottom"/>
            <w:tcBorders>
              <w:right w:val="single" w:sz="8" w:color="auto"/>
            </w:tcBorders>
            <w:vMerge w:val="continue"/>
            <w:shd w:val="clear" w:color="auto" w:fill="B1C9FD"/>
          </w:tcPr>
          <w:p>
            <w:pPr>
              <w:spacing w:after="0"/>
              <w:rPr>
                <w:sz w:val="14"/>
                <w:szCs w:val="14"/>
                <w:color w:val="auto"/>
              </w:rPr>
            </w:pPr>
          </w:p>
        </w:tc>
        <w:tc>
          <w:tcPr>
            <w:tcW w:w="1520" w:type="dxa"/>
            <w:vAlign w:val="bottom"/>
            <w:tcBorders>
              <w:right w:val="single" w:sz="8" w:color="auto"/>
            </w:tcBorders>
            <w:vMerge w:val="continue"/>
            <w:shd w:val="clear" w:color="auto" w:fill="B1C9FD"/>
          </w:tcPr>
          <w:p>
            <w:pPr>
              <w:spacing w:after="0"/>
              <w:rPr>
                <w:sz w:val="14"/>
                <w:szCs w:val="14"/>
                <w:color w:val="auto"/>
              </w:rPr>
            </w:pPr>
          </w:p>
        </w:tc>
        <w:tc>
          <w:tcPr>
            <w:tcW w:w="76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0" w:type="dxa"/>
            <w:vAlign w:val="bottom"/>
            <w:tcBorders>
              <w:left w:val="single" w:sz="8" w:color="auto"/>
              <w:right w:val="single" w:sz="8" w:color="auto"/>
            </w:tcBorders>
            <w:vMerge w:val="restart"/>
            <w:shd w:val="clear" w:color="auto" w:fill="B1C9FD"/>
          </w:tcPr>
          <w:p>
            <w:pPr>
              <w:ind w:left="60"/>
              <w:spacing w:after="0"/>
              <w:rPr>
                <w:sz w:val="20"/>
                <w:szCs w:val="20"/>
                <w:color w:val="auto"/>
              </w:rPr>
            </w:pPr>
            <w:r>
              <w:rPr>
                <w:rFonts w:ascii="Arial" w:cs="Arial" w:eastAsia="Arial" w:hAnsi="Arial"/>
                <w:sz w:val="16"/>
                <w:szCs w:val="16"/>
                <w:b w:val="1"/>
                <w:bCs w:val="1"/>
                <w:color w:val="004FF9"/>
              </w:rPr>
              <w:t>Name of Director</w:t>
            </w:r>
          </w:p>
        </w:tc>
        <w:tc>
          <w:tcPr>
            <w:tcW w:w="98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3"/>
                <w:szCs w:val="13"/>
                <w:b w:val="1"/>
                <w:bCs w:val="1"/>
                <w:color w:val="004FF9"/>
              </w:rPr>
              <w:t>Cash</w:t>
            </w:r>
            <w:r>
              <w:rPr>
                <w:rFonts w:ascii="Arial" w:cs="Arial" w:eastAsia="Arial" w:hAnsi="Arial"/>
                <w:sz w:val="20"/>
                <w:szCs w:val="20"/>
                <w:b w:val="1"/>
                <w:bCs w:val="1"/>
                <w:color w:val="004FF9"/>
                <w:vertAlign w:val="superscript"/>
              </w:rPr>
              <w:t>(2)</w:t>
            </w:r>
          </w:p>
        </w:tc>
        <w:tc>
          <w:tcPr>
            <w:tcW w:w="96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3"/>
                <w:szCs w:val="13"/>
                <w:b w:val="1"/>
                <w:bCs w:val="1"/>
                <w:color w:val="004FF9"/>
              </w:rPr>
              <w:t>Awards</w:t>
            </w:r>
            <w:r>
              <w:rPr>
                <w:rFonts w:ascii="Arial" w:cs="Arial" w:eastAsia="Arial" w:hAnsi="Arial"/>
                <w:sz w:val="20"/>
                <w:szCs w:val="20"/>
                <w:b w:val="1"/>
                <w:bCs w:val="1"/>
                <w:color w:val="004FF9"/>
                <w:vertAlign w:val="superscript"/>
              </w:rPr>
              <w:t>(3)</w:t>
            </w:r>
          </w:p>
        </w:tc>
        <w:tc>
          <w:tcPr>
            <w:tcW w:w="152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3"/>
                <w:szCs w:val="13"/>
                <w:b w:val="1"/>
                <w:bCs w:val="1"/>
                <w:color w:val="004FF9"/>
              </w:rPr>
              <w:t>Compensation</w:t>
            </w:r>
            <w:r>
              <w:rPr>
                <w:rFonts w:ascii="Arial" w:cs="Arial" w:eastAsia="Arial" w:hAnsi="Arial"/>
                <w:sz w:val="20"/>
                <w:szCs w:val="20"/>
                <w:b w:val="1"/>
                <w:bCs w:val="1"/>
                <w:color w:val="004FF9"/>
                <w:vertAlign w:val="superscript"/>
              </w:rPr>
              <w:t>(4)</w:t>
            </w:r>
          </w:p>
        </w:tc>
        <w:tc>
          <w:tcPr>
            <w:tcW w:w="76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6"/>
                <w:szCs w:val="16"/>
                <w:b w:val="1"/>
                <w:bCs w:val="1"/>
                <w:color w:val="004FF9"/>
                <w:w w:val="99"/>
              </w:rPr>
              <w:t>Total</w:t>
            </w:r>
          </w:p>
        </w:tc>
        <w:tc>
          <w:tcPr>
            <w:tcW w:w="0" w:type="dxa"/>
            <w:vAlign w:val="bottom"/>
          </w:tcPr>
          <w:p>
            <w:pPr>
              <w:spacing w:after="0"/>
              <w:rPr>
                <w:sz w:val="1"/>
                <w:szCs w:val="1"/>
                <w:color w:val="auto"/>
              </w:rPr>
            </w:pPr>
          </w:p>
        </w:tc>
      </w:tr>
      <w:tr>
        <w:trPr>
          <w:trHeight w:val="223"/>
        </w:trPr>
        <w:tc>
          <w:tcPr>
            <w:tcW w:w="4000" w:type="dxa"/>
            <w:vAlign w:val="bottom"/>
            <w:tcBorders>
              <w:left w:val="single" w:sz="8" w:color="auto"/>
              <w:bottom w:val="single" w:sz="8" w:color="auto"/>
              <w:right w:val="single" w:sz="8" w:color="auto"/>
            </w:tcBorders>
            <w:vMerge w:val="continue"/>
            <w:shd w:val="clear" w:color="auto" w:fill="B1C9FD"/>
          </w:tcPr>
          <w:p>
            <w:pPr>
              <w:spacing w:after="0"/>
              <w:rPr>
                <w:sz w:val="19"/>
                <w:szCs w:val="19"/>
                <w:color w:val="auto"/>
              </w:rPr>
            </w:pPr>
          </w:p>
        </w:tc>
        <w:tc>
          <w:tcPr>
            <w:tcW w:w="9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w:t>
            </w:r>
          </w:p>
        </w:tc>
        <w:tc>
          <w:tcPr>
            <w:tcW w:w="9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w:t>
            </w:r>
          </w:p>
        </w:tc>
        <w:tc>
          <w:tcPr>
            <w:tcW w:w="15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w:t>
            </w:r>
          </w:p>
        </w:tc>
        <w:tc>
          <w:tcPr>
            <w:tcW w:w="7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w:t>
            </w:r>
          </w:p>
        </w:tc>
        <w:tc>
          <w:tcPr>
            <w:tcW w:w="0" w:type="dxa"/>
            <w:vAlign w:val="bottom"/>
          </w:tcPr>
          <w:p>
            <w:pPr>
              <w:spacing w:after="0"/>
              <w:rPr>
                <w:sz w:val="1"/>
                <w:szCs w:val="1"/>
                <w:color w:val="auto"/>
              </w:rPr>
            </w:pPr>
          </w:p>
        </w:tc>
      </w:tr>
      <w:tr>
        <w:trPr>
          <w:trHeight w:val="237"/>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Linda Chavez</w:t>
            </w:r>
          </w:p>
        </w:tc>
        <w:tc>
          <w:tcPr>
            <w:tcW w:w="98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95,000</w:t>
            </w:r>
          </w:p>
        </w:tc>
        <w:tc>
          <w:tcPr>
            <w:tcW w:w="96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89,992</w:t>
            </w:r>
          </w:p>
        </w:tc>
        <w:tc>
          <w:tcPr>
            <w:tcW w:w="1520" w:type="dxa"/>
            <w:vAlign w:val="bottom"/>
            <w:tcBorders>
              <w:bottom w:val="single" w:sz="8" w:color="auto"/>
              <w:right w:val="single" w:sz="8" w:color="auto"/>
            </w:tcBorders>
          </w:tcPr>
          <w:p>
            <w:pPr>
              <w:jc w:val="right"/>
              <w:ind w:right="480"/>
              <w:spacing w:after="0"/>
              <w:rPr>
                <w:sz w:val="20"/>
                <w:szCs w:val="20"/>
                <w:color w:val="auto"/>
              </w:rPr>
            </w:pPr>
            <w:r>
              <w:rPr>
                <w:rFonts w:ascii="Arial" w:cs="Arial" w:eastAsia="Arial" w:hAnsi="Arial"/>
                <w:sz w:val="16"/>
                <w:szCs w:val="16"/>
                <w:color w:val="auto"/>
              </w:rPr>
              <w:t>9,780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194,772</w:t>
            </w:r>
          </w:p>
        </w:tc>
        <w:tc>
          <w:tcPr>
            <w:tcW w:w="0" w:type="dxa"/>
            <w:vAlign w:val="bottom"/>
          </w:tcPr>
          <w:p>
            <w:pPr>
              <w:spacing w:after="0"/>
              <w:rPr>
                <w:sz w:val="1"/>
                <w:szCs w:val="1"/>
                <w:color w:val="auto"/>
              </w:rPr>
            </w:pPr>
          </w:p>
        </w:tc>
      </w:tr>
      <w:tr>
        <w:trPr>
          <w:trHeight w:val="237"/>
        </w:trPr>
        <w:tc>
          <w:tcPr>
            <w:tcW w:w="400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J. Philip Ferguson</w:t>
            </w:r>
          </w:p>
        </w:tc>
        <w:tc>
          <w:tcPr>
            <w:tcW w:w="980" w:type="dxa"/>
            <w:vAlign w:val="bottom"/>
            <w:tcBorders>
              <w:bottom w:val="single" w:sz="8" w:color="auto"/>
              <w:right w:val="single" w:sz="8" w:color="auto"/>
            </w:tcBorders>
            <w:shd w:val="clear" w:color="auto" w:fill="E5EDFE"/>
          </w:tcPr>
          <w:p>
            <w:pPr>
              <w:jc w:val="right"/>
              <w:ind w:right="120"/>
              <w:spacing w:after="0"/>
              <w:rPr>
                <w:sz w:val="20"/>
                <w:szCs w:val="20"/>
                <w:color w:val="auto"/>
              </w:rPr>
            </w:pPr>
            <w:r>
              <w:rPr>
                <w:rFonts w:ascii="Arial" w:cs="Arial" w:eastAsia="Arial" w:hAnsi="Arial"/>
                <w:sz w:val="16"/>
                <w:szCs w:val="16"/>
                <w:color w:val="auto"/>
              </w:rPr>
              <w:t>102,500</w:t>
            </w:r>
          </w:p>
        </w:tc>
        <w:tc>
          <w:tcPr>
            <w:tcW w:w="960" w:type="dxa"/>
            <w:vAlign w:val="bottom"/>
            <w:tcBorders>
              <w:bottom w:val="single" w:sz="8" w:color="auto"/>
              <w:right w:val="single" w:sz="8" w:color="auto"/>
            </w:tcBorders>
            <w:shd w:val="clear" w:color="auto" w:fill="E5EDFE"/>
          </w:tcPr>
          <w:p>
            <w:pPr>
              <w:jc w:val="right"/>
              <w:ind w:right="120"/>
              <w:spacing w:after="0"/>
              <w:rPr>
                <w:sz w:val="20"/>
                <w:szCs w:val="20"/>
                <w:color w:val="auto"/>
              </w:rPr>
            </w:pPr>
            <w:r>
              <w:rPr>
                <w:rFonts w:ascii="Arial" w:cs="Arial" w:eastAsia="Arial" w:hAnsi="Arial"/>
                <w:sz w:val="16"/>
                <w:szCs w:val="16"/>
                <w:color w:val="auto"/>
              </w:rPr>
              <w:t>89,992</w:t>
            </w:r>
          </w:p>
        </w:tc>
        <w:tc>
          <w:tcPr>
            <w:tcW w:w="1520" w:type="dxa"/>
            <w:vAlign w:val="bottom"/>
            <w:tcBorders>
              <w:bottom w:val="single" w:sz="8" w:color="auto"/>
              <w:right w:val="single" w:sz="8" w:color="auto"/>
            </w:tcBorders>
            <w:shd w:val="clear" w:color="auto" w:fill="E5EDFE"/>
          </w:tcPr>
          <w:p>
            <w:pPr>
              <w:jc w:val="right"/>
              <w:ind w:right="480"/>
              <w:spacing w:after="0"/>
              <w:rPr>
                <w:sz w:val="20"/>
                <w:szCs w:val="20"/>
                <w:color w:val="auto"/>
              </w:rPr>
            </w:pPr>
            <w:r>
              <w:rPr>
                <w:rFonts w:ascii="Arial" w:cs="Arial" w:eastAsia="Arial" w:hAnsi="Arial"/>
                <w:sz w:val="16"/>
                <w:szCs w:val="16"/>
                <w:color w:val="auto"/>
              </w:rPr>
              <w:t>5,065</w:t>
            </w:r>
          </w:p>
        </w:tc>
        <w:tc>
          <w:tcPr>
            <w:tcW w:w="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197,557</w:t>
            </w:r>
          </w:p>
        </w:tc>
        <w:tc>
          <w:tcPr>
            <w:tcW w:w="0" w:type="dxa"/>
            <w:vAlign w:val="bottom"/>
          </w:tcPr>
          <w:p>
            <w:pPr>
              <w:spacing w:after="0"/>
              <w:rPr>
                <w:sz w:val="1"/>
                <w:szCs w:val="1"/>
                <w:color w:val="auto"/>
              </w:rPr>
            </w:pPr>
          </w:p>
        </w:tc>
      </w:tr>
      <w:tr>
        <w:trPr>
          <w:trHeight w:val="237"/>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Anthony G. Fernandes</w:t>
            </w:r>
          </w:p>
        </w:tc>
        <w:tc>
          <w:tcPr>
            <w:tcW w:w="98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110,000</w:t>
            </w:r>
          </w:p>
        </w:tc>
        <w:tc>
          <w:tcPr>
            <w:tcW w:w="96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89,992</w:t>
            </w:r>
          </w:p>
        </w:tc>
        <w:tc>
          <w:tcPr>
            <w:tcW w:w="1520" w:type="dxa"/>
            <w:vAlign w:val="bottom"/>
            <w:tcBorders>
              <w:bottom w:val="single" w:sz="8" w:color="auto"/>
              <w:right w:val="single" w:sz="8" w:color="auto"/>
            </w:tcBorders>
          </w:tcPr>
          <w:p>
            <w:pPr>
              <w:jc w:val="right"/>
              <w:ind w:right="4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199,992</w:t>
            </w:r>
          </w:p>
        </w:tc>
        <w:tc>
          <w:tcPr>
            <w:tcW w:w="0" w:type="dxa"/>
            <w:vAlign w:val="bottom"/>
          </w:tcPr>
          <w:p>
            <w:pPr>
              <w:spacing w:after="0"/>
              <w:rPr>
                <w:sz w:val="1"/>
                <w:szCs w:val="1"/>
                <w:color w:val="auto"/>
              </w:rPr>
            </w:pPr>
          </w:p>
        </w:tc>
      </w:tr>
      <w:tr>
        <w:trPr>
          <w:trHeight w:val="237"/>
        </w:trPr>
        <w:tc>
          <w:tcPr>
            <w:tcW w:w="400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Luke S. Helms</w:t>
            </w:r>
          </w:p>
        </w:tc>
        <w:tc>
          <w:tcPr>
            <w:tcW w:w="980" w:type="dxa"/>
            <w:vAlign w:val="bottom"/>
            <w:tcBorders>
              <w:bottom w:val="single" w:sz="8" w:color="auto"/>
              <w:right w:val="single" w:sz="8" w:color="auto"/>
            </w:tcBorders>
            <w:shd w:val="clear" w:color="auto" w:fill="E5EDFE"/>
          </w:tcPr>
          <w:p>
            <w:pPr>
              <w:jc w:val="right"/>
              <w:ind w:right="120"/>
              <w:spacing w:after="0"/>
              <w:rPr>
                <w:sz w:val="20"/>
                <w:szCs w:val="20"/>
                <w:color w:val="auto"/>
              </w:rPr>
            </w:pPr>
            <w:r>
              <w:rPr>
                <w:rFonts w:ascii="Arial" w:cs="Arial" w:eastAsia="Arial" w:hAnsi="Arial"/>
                <w:sz w:val="16"/>
                <w:szCs w:val="16"/>
                <w:color w:val="auto"/>
              </w:rPr>
              <w:t>117,500</w:t>
            </w:r>
          </w:p>
        </w:tc>
        <w:tc>
          <w:tcPr>
            <w:tcW w:w="960" w:type="dxa"/>
            <w:vAlign w:val="bottom"/>
            <w:tcBorders>
              <w:bottom w:val="single" w:sz="8" w:color="auto"/>
              <w:right w:val="single" w:sz="8" w:color="auto"/>
            </w:tcBorders>
            <w:shd w:val="clear" w:color="auto" w:fill="E5EDFE"/>
          </w:tcPr>
          <w:p>
            <w:pPr>
              <w:jc w:val="right"/>
              <w:ind w:right="120"/>
              <w:spacing w:after="0"/>
              <w:rPr>
                <w:sz w:val="20"/>
                <w:szCs w:val="20"/>
                <w:color w:val="auto"/>
              </w:rPr>
            </w:pPr>
            <w:r>
              <w:rPr>
                <w:rFonts w:ascii="Arial" w:cs="Arial" w:eastAsia="Arial" w:hAnsi="Arial"/>
                <w:sz w:val="16"/>
                <w:szCs w:val="16"/>
                <w:color w:val="auto"/>
              </w:rPr>
              <w:t>89,992</w:t>
            </w:r>
          </w:p>
        </w:tc>
        <w:tc>
          <w:tcPr>
            <w:tcW w:w="1520" w:type="dxa"/>
            <w:vAlign w:val="bottom"/>
            <w:tcBorders>
              <w:bottom w:val="single" w:sz="8" w:color="auto"/>
              <w:right w:val="single" w:sz="8" w:color="auto"/>
            </w:tcBorders>
            <w:shd w:val="clear" w:color="auto" w:fill="E5EDFE"/>
          </w:tcPr>
          <w:p>
            <w:pPr>
              <w:jc w:val="right"/>
              <w:ind w:right="480"/>
              <w:spacing w:after="0"/>
              <w:rPr>
                <w:sz w:val="20"/>
                <w:szCs w:val="20"/>
                <w:color w:val="auto"/>
              </w:rPr>
            </w:pPr>
            <w:r>
              <w:rPr>
                <w:rFonts w:ascii="Arial" w:cs="Arial" w:eastAsia="Arial" w:hAnsi="Arial"/>
                <w:sz w:val="16"/>
                <w:szCs w:val="16"/>
                <w:color w:val="auto"/>
              </w:rPr>
              <w:t>5,065</w:t>
            </w:r>
          </w:p>
        </w:tc>
        <w:tc>
          <w:tcPr>
            <w:tcW w:w="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212,557</w:t>
            </w:r>
          </w:p>
        </w:tc>
        <w:tc>
          <w:tcPr>
            <w:tcW w:w="0" w:type="dxa"/>
            <w:vAlign w:val="bottom"/>
          </w:tcPr>
          <w:p>
            <w:pPr>
              <w:spacing w:after="0"/>
              <w:rPr>
                <w:sz w:val="1"/>
                <w:szCs w:val="1"/>
                <w:color w:val="auto"/>
              </w:rPr>
            </w:pPr>
          </w:p>
        </w:tc>
      </w:tr>
      <w:tr>
        <w:trPr>
          <w:trHeight w:val="237"/>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Maryellen C. Herringer</w:t>
            </w:r>
          </w:p>
        </w:tc>
        <w:tc>
          <w:tcPr>
            <w:tcW w:w="98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169,500</w:t>
            </w:r>
          </w:p>
        </w:tc>
        <w:tc>
          <w:tcPr>
            <w:tcW w:w="96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89,992</w:t>
            </w:r>
          </w:p>
        </w:tc>
        <w:tc>
          <w:tcPr>
            <w:tcW w:w="1520" w:type="dxa"/>
            <w:vAlign w:val="bottom"/>
            <w:tcBorders>
              <w:bottom w:val="single" w:sz="8" w:color="auto"/>
              <w:right w:val="single" w:sz="8" w:color="auto"/>
            </w:tcBorders>
          </w:tcPr>
          <w:p>
            <w:pPr>
              <w:jc w:val="right"/>
              <w:ind w:right="480"/>
              <w:spacing w:after="0"/>
              <w:rPr>
                <w:sz w:val="20"/>
                <w:szCs w:val="20"/>
                <w:color w:val="auto"/>
              </w:rPr>
            </w:pPr>
            <w:r>
              <w:rPr>
                <w:rFonts w:ascii="Arial" w:cs="Arial" w:eastAsia="Arial" w:hAnsi="Arial"/>
                <w:sz w:val="16"/>
                <w:szCs w:val="16"/>
                <w:color w:val="auto"/>
              </w:rPr>
              <w:t>5,065</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264,557</w:t>
            </w:r>
          </w:p>
        </w:tc>
        <w:tc>
          <w:tcPr>
            <w:tcW w:w="0" w:type="dxa"/>
            <w:vAlign w:val="bottom"/>
          </w:tcPr>
          <w:p>
            <w:pPr>
              <w:spacing w:after="0"/>
              <w:rPr>
                <w:sz w:val="1"/>
                <w:szCs w:val="1"/>
                <w:color w:val="auto"/>
              </w:rPr>
            </w:pPr>
          </w:p>
        </w:tc>
      </w:tr>
      <w:tr>
        <w:trPr>
          <w:trHeight w:val="257"/>
        </w:trPr>
        <w:tc>
          <w:tcPr>
            <w:tcW w:w="4000" w:type="dxa"/>
            <w:vAlign w:val="bottom"/>
            <w:tcBorders>
              <w:left w:val="single" w:sz="8" w:color="auto"/>
              <w:bottom w:val="single" w:sz="8" w:color="auto"/>
              <w:right w:val="single" w:sz="8" w:color="auto"/>
            </w:tcBorders>
            <w:shd w:val="clear" w:color="auto" w:fill="E5EDFE"/>
          </w:tcPr>
          <w:p>
            <w:pPr>
              <w:ind w:left="60"/>
              <w:spacing w:after="0" w:line="257" w:lineRule="exact"/>
              <w:rPr>
                <w:sz w:val="20"/>
                <w:szCs w:val="20"/>
                <w:color w:val="auto"/>
              </w:rPr>
            </w:pPr>
            <w:r>
              <w:rPr>
                <w:rFonts w:ascii="Arial" w:cs="Arial" w:eastAsia="Arial" w:hAnsi="Arial"/>
                <w:sz w:val="16"/>
                <w:szCs w:val="16"/>
                <w:color w:val="auto"/>
              </w:rPr>
              <w:t>Stephen M. Kadenacy</w:t>
            </w:r>
            <w:r>
              <w:rPr>
                <w:rFonts w:ascii="Arial" w:cs="Arial" w:eastAsia="Arial" w:hAnsi="Arial"/>
                <w:sz w:val="25"/>
                <w:szCs w:val="25"/>
                <w:color w:val="auto"/>
                <w:vertAlign w:val="superscript"/>
              </w:rPr>
              <w:t>(1)</w:t>
            </w:r>
          </w:p>
        </w:tc>
        <w:tc>
          <w:tcPr>
            <w:tcW w:w="980" w:type="dxa"/>
            <w:vAlign w:val="bottom"/>
            <w:tcBorders>
              <w:bottom w:val="single" w:sz="8" w:color="auto"/>
              <w:right w:val="single" w:sz="8" w:color="auto"/>
            </w:tcBorders>
            <w:shd w:val="clear" w:color="auto" w:fill="E5EDFE"/>
          </w:tcPr>
          <w:p>
            <w:pPr>
              <w:jc w:val="right"/>
              <w:ind w:right="120"/>
              <w:spacing w:after="0"/>
              <w:rPr>
                <w:sz w:val="20"/>
                <w:szCs w:val="20"/>
                <w:color w:val="auto"/>
              </w:rPr>
            </w:pPr>
            <w:r>
              <w:rPr>
                <w:rFonts w:ascii="Arial" w:cs="Arial" w:eastAsia="Arial" w:hAnsi="Arial"/>
                <w:sz w:val="16"/>
                <w:szCs w:val="16"/>
                <w:color w:val="auto"/>
              </w:rPr>
              <w:t>80,806</w:t>
            </w:r>
          </w:p>
        </w:tc>
        <w:tc>
          <w:tcPr>
            <w:tcW w:w="960" w:type="dxa"/>
            <w:vAlign w:val="bottom"/>
            <w:tcBorders>
              <w:bottom w:val="single" w:sz="8" w:color="auto"/>
              <w:right w:val="single" w:sz="8" w:color="auto"/>
            </w:tcBorders>
            <w:shd w:val="clear" w:color="auto" w:fill="E5EDFE"/>
          </w:tcPr>
          <w:p>
            <w:pPr>
              <w:jc w:val="right"/>
              <w:ind w:right="120"/>
              <w:spacing w:after="0"/>
              <w:rPr>
                <w:sz w:val="20"/>
                <w:szCs w:val="20"/>
                <w:color w:val="auto"/>
              </w:rPr>
            </w:pPr>
            <w:r>
              <w:rPr>
                <w:rFonts w:ascii="Arial" w:cs="Arial" w:eastAsia="Arial" w:hAnsi="Arial"/>
                <w:sz w:val="16"/>
                <w:szCs w:val="16"/>
                <w:color w:val="auto"/>
              </w:rPr>
              <w:t>104,965</w:t>
            </w:r>
          </w:p>
        </w:tc>
        <w:tc>
          <w:tcPr>
            <w:tcW w:w="1520" w:type="dxa"/>
            <w:vAlign w:val="bottom"/>
            <w:tcBorders>
              <w:bottom w:val="single" w:sz="8" w:color="auto"/>
              <w:right w:val="single" w:sz="8" w:color="auto"/>
            </w:tcBorders>
            <w:shd w:val="clear" w:color="auto" w:fill="E5EDFE"/>
          </w:tcPr>
          <w:p>
            <w:pPr>
              <w:jc w:val="right"/>
              <w:ind w:right="480"/>
              <w:spacing w:after="0"/>
              <w:rPr>
                <w:sz w:val="20"/>
                <w:szCs w:val="20"/>
                <w:color w:val="auto"/>
              </w:rPr>
            </w:pPr>
            <w:r>
              <w:rPr>
                <w:rFonts w:ascii="Arial" w:cs="Arial" w:eastAsia="Arial" w:hAnsi="Arial"/>
                <w:sz w:val="16"/>
                <w:szCs w:val="16"/>
                <w:color w:val="auto"/>
              </w:rPr>
              <w:t>28</w:t>
            </w:r>
          </w:p>
        </w:tc>
        <w:tc>
          <w:tcPr>
            <w:tcW w:w="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185,799</w:t>
            </w:r>
          </w:p>
        </w:tc>
        <w:tc>
          <w:tcPr>
            <w:tcW w:w="0" w:type="dxa"/>
            <w:vAlign w:val="bottom"/>
          </w:tcPr>
          <w:p>
            <w:pPr>
              <w:spacing w:after="0"/>
              <w:rPr>
                <w:sz w:val="1"/>
                <w:szCs w:val="1"/>
                <w:color w:val="auto"/>
              </w:rPr>
            </w:pPr>
          </w:p>
        </w:tc>
      </w:tr>
      <w:tr>
        <w:trPr>
          <w:trHeight w:val="230"/>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Sudhakar Kesavan</w:t>
            </w:r>
          </w:p>
        </w:tc>
        <w:tc>
          <w:tcPr>
            <w:tcW w:w="98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92,500</w:t>
            </w:r>
          </w:p>
        </w:tc>
        <w:tc>
          <w:tcPr>
            <w:tcW w:w="96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6"/>
                <w:szCs w:val="16"/>
                <w:color w:val="auto"/>
              </w:rPr>
              <w:t>89,992</w:t>
            </w:r>
          </w:p>
        </w:tc>
        <w:tc>
          <w:tcPr>
            <w:tcW w:w="1520" w:type="dxa"/>
            <w:vAlign w:val="bottom"/>
            <w:tcBorders>
              <w:bottom w:val="single" w:sz="8" w:color="auto"/>
              <w:right w:val="single" w:sz="8" w:color="auto"/>
            </w:tcBorders>
          </w:tcPr>
          <w:p>
            <w:pPr>
              <w:jc w:val="right"/>
              <w:ind w:right="480"/>
              <w:spacing w:after="0"/>
              <w:rPr>
                <w:sz w:val="20"/>
                <w:szCs w:val="20"/>
                <w:color w:val="auto"/>
              </w:rPr>
            </w:pPr>
            <w:r>
              <w:rPr>
                <w:rFonts w:ascii="Arial" w:cs="Arial" w:eastAsia="Arial" w:hAnsi="Arial"/>
                <w:sz w:val="16"/>
                <w:szCs w:val="16"/>
                <w:color w:val="auto"/>
              </w:rPr>
              <w:t>1,688</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184,180</w:t>
            </w:r>
          </w:p>
        </w:tc>
        <w:tc>
          <w:tcPr>
            <w:tcW w:w="0" w:type="dxa"/>
            <w:vAlign w:val="bottom"/>
          </w:tcPr>
          <w:p>
            <w:pPr>
              <w:spacing w:after="0"/>
              <w:rPr>
                <w:sz w:val="1"/>
                <w:szCs w:val="1"/>
                <w:color w:val="auto"/>
              </w:rPr>
            </w:pPr>
          </w:p>
        </w:tc>
      </w:tr>
      <w:tr>
        <w:trPr>
          <w:trHeight w:val="237"/>
        </w:trPr>
        <w:tc>
          <w:tcPr>
            <w:tcW w:w="400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William W. Steele</w:t>
            </w:r>
          </w:p>
        </w:tc>
        <w:tc>
          <w:tcPr>
            <w:tcW w:w="980" w:type="dxa"/>
            <w:vAlign w:val="bottom"/>
            <w:tcBorders>
              <w:bottom w:val="single" w:sz="8" w:color="auto"/>
              <w:right w:val="single" w:sz="8" w:color="auto"/>
            </w:tcBorders>
            <w:shd w:val="clear" w:color="auto" w:fill="E5EDFE"/>
          </w:tcPr>
          <w:p>
            <w:pPr>
              <w:jc w:val="right"/>
              <w:ind w:right="120"/>
              <w:spacing w:after="0"/>
              <w:rPr>
                <w:sz w:val="20"/>
                <w:szCs w:val="20"/>
                <w:color w:val="auto"/>
              </w:rPr>
            </w:pPr>
            <w:r>
              <w:rPr>
                <w:rFonts w:ascii="Arial" w:cs="Arial" w:eastAsia="Arial" w:hAnsi="Arial"/>
                <w:sz w:val="16"/>
                <w:szCs w:val="16"/>
                <w:color w:val="auto"/>
              </w:rPr>
              <w:t>90,000</w:t>
            </w:r>
          </w:p>
        </w:tc>
        <w:tc>
          <w:tcPr>
            <w:tcW w:w="960" w:type="dxa"/>
            <w:vAlign w:val="bottom"/>
            <w:tcBorders>
              <w:bottom w:val="single" w:sz="8" w:color="auto"/>
              <w:right w:val="single" w:sz="8" w:color="auto"/>
            </w:tcBorders>
            <w:shd w:val="clear" w:color="auto" w:fill="E5EDFE"/>
          </w:tcPr>
          <w:p>
            <w:pPr>
              <w:jc w:val="right"/>
              <w:ind w:right="120"/>
              <w:spacing w:after="0"/>
              <w:rPr>
                <w:sz w:val="20"/>
                <w:szCs w:val="20"/>
                <w:color w:val="auto"/>
              </w:rPr>
            </w:pPr>
            <w:r>
              <w:rPr>
                <w:rFonts w:ascii="Arial" w:cs="Arial" w:eastAsia="Arial" w:hAnsi="Arial"/>
                <w:sz w:val="16"/>
                <w:szCs w:val="16"/>
                <w:color w:val="auto"/>
              </w:rPr>
              <w:t>89,992</w:t>
            </w:r>
          </w:p>
        </w:tc>
        <w:tc>
          <w:tcPr>
            <w:tcW w:w="1520" w:type="dxa"/>
            <w:vAlign w:val="bottom"/>
            <w:tcBorders>
              <w:bottom w:val="single" w:sz="8" w:color="auto"/>
              <w:right w:val="single" w:sz="8" w:color="auto"/>
            </w:tcBorders>
            <w:shd w:val="clear" w:color="auto" w:fill="E5EDFE"/>
          </w:tcPr>
          <w:p>
            <w:pPr>
              <w:jc w:val="right"/>
              <w:ind w:right="480"/>
              <w:spacing w:after="0"/>
              <w:rPr>
                <w:sz w:val="20"/>
                <w:szCs w:val="20"/>
                <w:color w:val="auto"/>
              </w:rPr>
            </w:pPr>
            <w:r>
              <w:rPr>
                <w:rFonts w:ascii="Arial" w:cs="Arial" w:eastAsia="Arial" w:hAnsi="Arial"/>
                <w:sz w:val="16"/>
                <w:szCs w:val="16"/>
                <w:color w:val="auto"/>
              </w:rPr>
              <w:t>5,065</w:t>
            </w:r>
          </w:p>
        </w:tc>
        <w:tc>
          <w:tcPr>
            <w:tcW w:w="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185,057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20" w:hanging="352"/>
        <w:spacing w:after="0"/>
        <w:tabs>
          <w:tab w:leader="none" w:pos="16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Kadenacy resigned from the Board in October 2014 to devote his time to his new responsibilities as President and</w:t>
      </w:r>
    </w:p>
    <w:p>
      <w:pPr>
        <w:spacing w:after="0" w:line="15" w:lineRule="exact"/>
        <w:rPr>
          <w:sz w:val="20"/>
          <w:szCs w:val="20"/>
          <w:color w:val="auto"/>
        </w:rPr>
      </w:pPr>
    </w:p>
    <w:p>
      <w:pPr>
        <w:ind w:left="1620" w:right="759"/>
        <w:spacing w:after="0" w:line="278" w:lineRule="auto"/>
        <w:rPr>
          <w:sz w:val="20"/>
          <w:szCs w:val="20"/>
          <w:color w:val="auto"/>
        </w:rPr>
      </w:pPr>
      <w:r>
        <w:rPr>
          <w:rFonts w:ascii="Arial" w:cs="Arial" w:eastAsia="Arial" w:hAnsi="Arial"/>
          <w:sz w:val="14"/>
          <w:szCs w:val="14"/>
          <w:color w:val="auto"/>
        </w:rPr>
        <w:t>Chief Financial Officer of AECOM Technology Corporation. As described in footnotes 3 and 4 below, most of Mr. Kadenacy’s non-cash compensation was forfeited as a result of his resignation.</w:t>
      </w:r>
    </w:p>
    <w:p>
      <w:pPr>
        <w:spacing w:after="0" w:line="100" w:lineRule="exact"/>
        <w:rPr>
          <w:sz w:val="20"/>
          <w:szCs w:val="20"/>
          <w:color w:val="auto"/>
        </w:rPr>
      </w:pPr>
    </w:p>
    <w:p>
      <w:pPr>
        <w:ind w:left="1620" w:right="739" w:hanging="352"/>
        <w:spacing w:after="0" w:line="278" w:lineRule="auto"/>
        <w:tabs>
          <w:tab w:leader="none" w:pos="1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includes retainers and Board and Committee meeting fees as well as amounts paid in connection with the performance of services beyond the normal requirements of Board service, under our policy described above.</w:t>
      </w:r>
    </w:p>
    <w:p>
      <w:pPr>
        <w:spacing w:after="0" w:line="113" w:lineRule="exact"/>
        <w:rPr>
          <w:rFonts w:ascii="Arial" w:cs="Arial" w:eastAsia="Arial" w:hAnsi="Arial"/>
          <w:sz w:val="14"/>
          <w:szCs w:val="14"/>
          <w:color w:val="auto"/>
        </w:rPr>
      </w:pPr>
    </w:p>
    <w:p>
      <w:pPr>
        <w:jc w:val="both"/>
        <w:ind w:left="1620" w:right="739" w:hanging="352"/>
        <w:spacing w:after="0" w:line="263" w:lineRule="auto"/>
        <w:tabs>
          <w:tab w:leader="none" w:pos="1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value of stock awards shown in the “Stock Awards” column is based on grant date fair value computed in accordance with FASB ASC Topic No. 718. The grant date fair value of the equity awards shown in the “Stock Awards” column is based on the closing price of the Company’s common stock on the date of grant of the equity award. A director who becomes a Board member following the date of the last held annual meeting of shareholders receives a grant of restricted stock units (“RSUs”) prorated to the next annual meeting. The grant for 2014 for each director on March 5, 2014 was 3,198 RSUs, which was calculated by dividing $90,000 by $28.14, which was the closing price of ABM common stock on March 5, 2014. Director RSUs vest 33% each on the first, second and third annual meeting of shareholders following the grant date. In connection with his election to the Board in December 2013, Mr. Kadenacy received a pro rata grant of RSUs having a value of $14,973. As of October 31, 2014, the aggregate number of RSUs held by each current director was: Ms. Chavez 8,351; Mr. Ferguson 7,306; Mr. Fernandes 30,327; Mr. Helms 12,830; Ms. Herringer 21,202; Mr. Kesavan 6,808; and Mr. Steele 14,646. Mr. Kadenacy’s unvested RSUs were forfeited upon his resignation. As of October 31, 2014, the aggregate number of stock options held by each current director was: Ms. Chavez 16,000; Mr. Helms 22,000; Ms. Herringer 22,000; and Mr. Steele 10,000.</w:t>
      </w:r>
    </w:p>
    <w:p>
      <w:pPr>
        <w:spacing w:after="0" w:line="300" w:lineRule="exact"/>
        <w:rPr>
          <w:rFonts w:ascii="Arial" w:cs="Arial" w:eastAsia="Arial" w:hAnsi="Arial"/>
          <w:sz w:val="14"/>
          <w:szCs w:val="14"/>
          <w:color w:val="auto"/>
        </w:rPr>
      </w:pPr>
    </w:p>
    <w:p>
      <w:pPr>
        <w:jc w:val="both"/>
        <w:ind w:left="1620" w:right="759" w:hanging="352"/>
        <w:spacing w:after="0" w:line="286" w:lineRule="auto"/>
        <w:tabs>
          <w:tab w:leader="none" w:pos="1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shown represent dividend equivalents paid with respect to prior Director RSU awards that were paid to non-employee directors in fiscal year 2014. Dividend equivalents are settled in Company stock when the underlying RSUs vest. Directors who defer RSUs under the Deferred Compensation Plan for Non-Employee Directors do not receive dividend equivalents on deferred RSUs. Dividend equivalents on deferred RSUs are received when the deferral period ends. Mr. Kadenacy’s dividend equivalents were forfeited upon his resignation.</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004FF9"/>
        </w:rPr>
        <w:t>Director Deferred Compensation Plan</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46" w:lineRule="auto"/>
        <w:rPr>
          <w:sz w:val="20"/>
          <w:szCs w:val="20"/>
          <w:color w:val="auto"/>
        </w:rPr>
      </w:pPr>
      <w:r>
        <w:rPr>
          <w:rFonts w:ascii="Arial" w:cs="Arial" w:eastAsia="Arial" w:hAnsi="Arial"/>
          <w:sz w:val="16"/>
          <w:szCs w:val="16"/>
          <w:color w:val="auto"/>
        </w:rPr>
        <w:t>Non-employee directors are eligible to participate in the ABM Deferred Compensation Plan for Non-</w:t>
      </w:r>
    </w:p>
    <w:p>
      <w:pPr>
        <w:spacing w:after="0" w:line="1"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Employee Directors (“Director Deferred Compensation Plan”). Plan participants may elect to defer receipt of all or any portion of their annual cash retainers and meeting fees (if any) until they cease to be members of the Board, or to specified withdrawal dates (at least three years after their election), in accordance with the terms of the Director Deferred Compensation Plan. The amounts held in each director’s account are credited with interest quarterly at a rate based on the prime interest rate published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last business day coinciding with or next preceding the valuation date. Any prime rate up to 6% will be considered in full and 1/2 of any prime rate over 6% will be considered; except that the interest rate will not exceed 120% of the long-term applicable federal rate as published by the Internal Revenue Service. In addition, this plan permits directors to defer the settlement of Director RSUs to a date later than the vesting date. Values presented in the table on the previous page include any deferred amounts.</w:t>
      </w:r>
    </w:p>
    <w:p>
      <w:pPr>
        <w:spacing w:after="0" w:line="387"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15"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004FF9"/>
        </w:rPr>
        <w:t>Other Arrangements</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ABM has entered into indemnification agreements with its directors. Among other things, these agreements require ABM to indemnify its directors against certain liabilities that may arise in connection with their services as directors to the fullest extent provided by Delaware law. ABM permits non-employee directors who were members of the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Board on or before October 31, 2012 to participate in ABM’s health benefit plans. Directors who elect to participate pay the entire direct costs of participation in such plans. This benefit is not available to directors who join the Board after October 31, 2012. No directors are currently participating in ABM’s health benefit plans.</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EXECUTIVE COMPENSATION</w:t>
      </w:r>
    </w:p>
    <w:p>
      <w:pPr>
        <w:spacing w:after="0" w:line="208"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004FF9"/>
        </w:rPr>
        <w:t>Compensation Discussion and Analysis</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In this section, we discuss the material aspects of our executive compensation program for our named executive officers (“NEOs”), whose compensation is set forth in our 2014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161925</wp:posOffset>
            </wp:positionV>
            <wp:extent cx="5213985" cy="1037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1037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and other tables included in this Proxy Statement. References to years are to our fiscal year ending October 31, in 2014, our NEOs were:</w:t>
      </w:r>
    </w:p>
    <w:p>
      <w:pPr>
        <w:spacing w:after="0" w:line="387"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18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004FF9"/>
        </w:rPr>
        <w:t>NAMED EXECUTIVE OFFICERS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2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8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Henrik C. Slipsager</w:t>
            </w:r>
            <w:r>
              <w:rPr>
                <w:rFonts w:ascii="Arial" w:cs="Arial" w:eastAsia="Arial" w:hAnsi="Arial"/>
                <w:sz w:val="16"/>
                <w:szCs w:val="16"/>
                <w:color w:val="auto"/>
              </w:rPr>
              <w:t>, our President and Chief</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82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Tracy K. Price</w:t>
            </w:r>
            <w:r>
              <w:rPr>
                <w:rFonts w:ascii="Arial" w:cs="Arial" w:eastAsia="Arial" w:hAnsi="Arial"/>
                <w:sz w:val="16"/>
                <w:szCs w:val="16"/>
                <w:color w:val="auto"/>
              </w:rPr>
              <w:t>, our Executive Vice President and</w:t>
            </w:r>
          </w:p>
        </w:tc>
      </w:tr>
      <w:tr>
        <w:trPr>
          <w:trHeight w:val="189"/>
        </w:trPr>
        <w:tc>
          <w:tcPr>
            <w:tcW w:w="280" w:type="dxa"/>
            <w:vAlign w:val="bottom"/>
          </w:tcPr>
          <w:p>
            <w:pPr>
              <w:spacing w:after="0"/>
              <w:rPr>
                <w:sz w:val="16"/>
                <w:szCs w:val="16"/>
                <w:color w:val="auto"/>
              </w:rPr>
            </w:pPr>
          </w:p>
        </w:tc>
        <w:tc>
          <w:tcPr>
            <w:tcW w:w="38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Executive Officer</w:t>
            </w:r>
          </w:p>
        </w:tc>
        <w:tc>
          <w:tcPr>
            <w:tcW w:w="280" w:type="dxa"/>
            <w:vAlign w:val="bottom"/>
          </w:tcPr>
          <w:p>
            <w:pPr>
              <w:spacing w:after="0"/>
              <w:rPr>
                <w:sz w:val="16"/>
                <w:szCs w:val="16"/>
                <w:color w:val="auto"/>
              </w:rPr>
            </w:pPr>
          </w:p>
        </w:tc>
        <w:tc>
          <w:tcPr>
            <w:tcW w:w="3820" w:type="dxa"/>
            <w:vAlign w:val="bottom"/>
          </w:tcPr>
          <w:p>
            <w:pPr>
              <w:ind w:left="160"/>
              <w:spacing w:after="0"/>
              <w:rPr>
                <w:sz w:val="20"/>
                <w:szCs w:val="20"/>
                <w:color w:val="auto"/>
              </w:rPr>
            </w:pPr>
            <w:r>
              <w:rPr>
                <w:rFonts w:ascii="Arial" w:cs="Arial" w:eastAsia="Arial" w:hAnsi="Arial"/>
                <w:sz w:val="16"/>
                <w:szCs w:val="16"/>
                <w:color w:val="auto"/>
              </w:rPr>
              <w:t>business leader for Building &amp; Energy Services</w:t>
            </w:r>
          </w:p>
        </w:tc>
      </w:tr>
      <w:tr>
        <w:trPr>
          <w:trHeight w:val="210"/>
        </w:trPr>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384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James S. Lusk</w:t>
            </w:r>
            <w:r>
              <w:rPr>
                <w:rFonts w:ascii="Arial" w:cs="Arial" w:eastAsia="Arial" w:hAnsi="Arial"/>
                <w:sz w:val="16"/>
                <w:szCs w:val="16"/>
                <w:color w:val="auto"/>
              </w:rPr>
              <w:t>, our Executive Vice President</w:t>
            </w:r>
          </w:p>
        </w:tc>
        <w:tc>
          <w:tcPr>
            <w:tcW w:w="28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6"/>
                <w:szCs w:val="16"/>
                <w:color w:val="auto"/>
              </w:rPr>
              <w:t>and Corporate Sales and Marketing</w:t>
            </w:r>
          </w:p>
        </w:tc>
      </w:tr>
      <w:tr>
        <w:trPr>
          <w:trHeight w:val="209"/>
        </w:trPr>
        <w:tc>
          <w:tcPr>
            <w:tcW w:w="280" w:type="dxa"/>
            <w:vAlign w:val="bottom"/>
          </w:tcPr>
          <w:p>
            <w:pPr>
              <w:spacing w:after="0"/>
              <w:rPr>
                <w:sz w:val="18"/>
                <w:szCs w:val="18"/>
                <w:color w:val="auto"/>
              </w:rPr>
            </w:pPr>
          </w:p>
        </w:tc>
        <w:tc>
          <w:tcPr>
            <w:tcW w:w="38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and Chief Financial Officer</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3820" w:type="dxa"/>
            <w:vAlign w:val="bottom"/>
          </w:tcPr>
          <w:p>
            <w:pPr>
              <w:ind w:left="160"/>
              <w:spacing w:after="0"/>
              <w:rPr>
                <w:sz w:val="20"/>
                <w:szCs w:val="20"/>
                <w:color w:val="auto"/>
              </w:rPr>
            </w:pPr>
            <w:r>
              <w:rPr>
                <w:rFonts w:ascii="Arial" w:cs="Arial" w:eastAsia="Arial" w:hAnsi="Arial"/>
                <w:sz w:val="16"/>
                <w:szCs w:val="16"/>
                <w:b w:val="1"/>
                <w:bCs w:val="1"/>
                <w:color w:val="auto"/>
              </w:rPr>
              <w:t>Sarah Hlavinka McConnell</w:t>
            </w:r>
            <w:r>
              <w:rPr>
                <w:rFonts w:ascii="Arial" w:cs="Arial" w:eastAsia="Arial" w:hAnsi="Arial"/>
                <w:sz w:val="16"/>
                <w:szCs w:val="16"/>
                <w:color w:val="auto"/>
              </w:rPr>
              <w:t>, our Executive Vice</w:t>
            </w:r>
          </w:p>
        </w:tc>
      </w:tr>
      <w:tr>
        <w:trPr>
          <w:trHeight w:val="189"/>
        </w:trPr>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384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James P. McClure</w:t>
            </w:r>
            <w:r>
              <w:rPr>
                <w:rFonts w:ascii="Arial" w:cs="Arial" w:eastAsia="Arial" w:hAnsi="Arial"/>
                <w:sz w:val="16"/>
                <w:szCs w:val="16"/>
                <w:color w:val="auto"/>
              </w:rPr>
              <w:t>, our Executive Vice President</w:t>
            </w:r>
          </w:p>
        </w:tc>
        <w:tc>
          <w:tcPr>
            <w:tcW w:w="280" w:type="dxa"/>
            <w:vAlign w:val="bottom"/>
          </w:tcPr>
          <w:p>
            <w:pPr>
              <w:spacing w:after="0"/>
              <w:rPr>
                <w:sz w:val="16"/>
                <w:szCs w:val="16"/>
                <w:color w:val="auto"/>
              </w:rPr>
            </w:pPr>
          </w:p>
        </w:tc>
        <w:tc>
          <w:tcPr>
            <w:tcW w:w="3820" w:type="dxa"/>
            <w:vAlign w:val="bottom"/>
          </w:tcPr>
          <w:p>
            <w:pPr>
              <w:ind w:left="160"/>
              <w:spacing w:after="0"/>
              <w:rPr>
                <w:sz w:val="20"/>
                <w:szCs w:val="20"/>
                <w:color w:val="auto"/>
              </w:rPr>
            </w:pPr>
            <w:r>
              <w:rPr>
                <w:rFonts w:ascii="Arial" w:cs="Arial" w:eastAsia="Arial" w:hAnsi="Arial"/>
                <w:sz w:val="16"/>
                <w:szCs w:val="16"/>
                <w:color w:val="auto"/>
              </w:rPr>
              <w:t>President,  General  Counsel  and  Corporate</w:t>
            </w:r>
          </w:p>
        </w:tc>
      </w:tr>
      <w:tr>
        <w:trPr>
          <w:trHeight w:val="235"/>
        </w:trPr>
        <w:tc>
          <w:tcPr>
            <w:tcW w:w="280" w:type="dxa"/>
            <w:vAlign w:val="bottom"/>
            <w:tcBorders>
              <w:bottom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and business leader for our Onsite Services</w:t>
            </w:r>
          </w:p>
        </w:tc>
        <w:tc>
          <w:tcPr>
            <w:tcW w:w="2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Secretary</w:t>
            </w:r>
          </w:p>
        </w:tc>
      </w:tr>
    </w:tbl>
    <w:p>
      <w:pPr>
        <w:spacing w:after="0" w:line="252"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004FF9"/>
        </w:rPr>
        <w:t>President and CEO Transition</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On January 12, 2015, the Company announced that, effective March 31, 2015, Henrik Slipsager will step down from his current position as the Company’s President and Chief Executive Officer. Mr. Slipsager provided significant leadership to the Company in his almost 15 years of service as President and Chief Executive Officer. Since November 2000, under Mr. Slipsager’s leadership, ABM has transformed from a company with annual revenues of $1.8 billion and approximately 60,000 employees into a leading provider of facility solutions, with revenues of more than $5.0 billion and approximately 118,000 employees in over 300 offices throughout the United States and various international locations. 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January 12, the Board also named Scott Salmirs to succeed Mr. Slipsager as President and CEO. Mr. Salmirs currently serves as an Executive Vice President of the Company, with global responsibility for the Company’s aviation division and all international activities. The Board believes his expertise and capabilities make him the right person to lead the Company in the years to come. Mr. Salmirs was also appointed to the Board of Directors. A description of the compensation arrangements relating to Messrs. Slipsager and Salmirs in connection with this transition can be found beginning on page 38.</w:t>
      </w:r>
    </w:p>
    <w:p>
      <w:pPr>
        <w:spacing w:after="0" w:line="389"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33" w:lineRule="exact"/>
        <w:rPr>
          <w:sz w:val="20"/>
          <w:szCs w:val="20"/>
          <w:color w:val="auto"/>
        </w:rPr>
      </w:pPr>
    </w:p>
    <w:p>
      <w:pPr>
        <w:ind w:left="4300"/>
        <w:spacing w:after="0"/>
        <w:rPr>
          <w:sz w:val="20"/>
          <w:szCs w:val="20"/>
          <w:color w:val="auto"/>
        </w:rPr>
      </w:pPr>
      <w:r>
        <w:rPr>
          <w:rFonts w:ascii="Arial" w:cs="Arial" w:eastAsia="Arial" w:hAnsi="Arial"/>
          <w:sz w:val="15"/>
          <w:szCs w:val="15"/>
          <w:b w:val="1"/>
          <w:bCs w:val="1"/>
          <w:i w:val="1"/>
          <w:iCs w:val="1"/>
          <w:color w:val="004FF9"/>
        </w:rPr>
        <w:t>2014 — Business Highlights</w:t>
      </w:r>
    </w:p>
    <w:p>
      <w:pPr>
        <w:sectPr>
          <w:pgSz w:w="11900" w:h="16838" w:orient="portrait"/>
          <w:cols w:equalWidth="0" w:num="1">
            <w:col w:w="10219"/>
          </w:cols>
          <w:pgMar w:left="240" w:top="131" w:right="1440" w:bottom="1440" w:gutter="0" w:footer="0" w:header="0"/>
          <w:type w:val="continuous"/>
        </w:sectPr>
      </w:pPr>
    </w:p>
    <w:p>
      <w:pPr>
        <w:spacing w:after="0" w:line="102"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i w:val="1"/>
          <w:iCs w:val="1"/>
          <w:color w:val="auto"/>
        </w:rPr>
        <w:t xml:space="preserve">Our Business. </w:t>
      </w:r>
      <w:r>
        <w:rPr>
          <w:rFonts w:ascii="Arial" w:cs="Arial" w:eastAsia="Arial" w:hAnsi="Arial"/>
          <w:sz w:val="16"/>
          <w:szCs w:val="16"/>
          <w:color w:val="auto"/>
        </w:rPr>
        <w:t>We are a leading provider of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Founded in 1909, today our comprehensive capabilities include facilities engineering, commercial cleaning, energy solutions, HVAC, electrical, landscaping, parking, security, and services in support of commercial aviation. For more information about our business, please see “Business” and “Management’s Discussion and Analysis of Financial Condition and Results of Operations” in our Annual Report on Form 10-K for the year ended October 31, 2014, filed with the SEC on December 17, 2014.</w:t>
      </w:r>
    </w:p>
    <w:p>
      <w:pPr>
        <w:spacing w:after="0" w:line="277"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i w:val="1"/>
          <w:iCs w:val="1"/>
          <w:color w:val="auto"/>
        </w:rPr>
        <w:t xml:space="preserve">2014 Business Highlights. </w:t>
      </w:r>
      <w:r>
        <w:rPr>
          <w:rFonts w:ascii="Arial" w:cs="Arial" w:eastAsia="Arial" w:hAnsi="Arial"/>
          <w:sz w:val="16"/>
          <w:szCs w:val="16"/>
          <w:color w:val="auto"/>
        </w:rPr>
        <w:t>Fiscal 2014 was a year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achieved record revenue and operating profit, reflecting a well-executed growth strategy and solid momentum in our business, largely related to strong organic growth. Our fiscal 2014 revenues increased 4.6% over fiscal 2013, while operating profit before taxes and adjusted operating profit before taxes grew by 8.1% and 9.9%, respectively, over fiscal 2013. Under the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leadership of our executive team, we continued to make progress with initiatives to drive our top and bottom lines while expanding our service offerings within key industry vertical markets. Our adjusted EBITDA increased 5.2% to $216.7 million in fiscal year 2014 over fiscal year 2013.</w:t>
      </w:r>
    </w:p>
    <w:p>
      <w:pPr>
        <w:spacing w:after="0" w:line="97"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The Company generated strong cash flow from operations of approximately $121 million in fiscal year 2014, which enabled us to continue to return value to shareholders through the payment of quarterly cash dividends and share repurchases, as well as to make investments in technology, sales and marketing and other strategic priorities in support of future growth.</w:t>
      </w:r>
    </w:p>
    <w:p>
      <w:pPr>
        <w:spacing w:after="0" w:line="290"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As discussed below, to reinforce alignment of the interests of our executive officers with the interests of our shareholders and other stakeholders, our long-term and short-term performance incentive programs reference net income from continuing operations, operating cash flows and adjusted EBITDA growth as key components of incentive</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14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right="20"/>
        <w:spacing w:after="0" w:line="260" w:lineRule="auto"/>
        <w:rPr>
          <w:sz w:val="20"/>
          <w:szCs w:val="20"/>
          <w:color w:val="auto"/>
        </w:rPr>
      </w:pPr>
      <w:r>
        <w:rPr>
          <w:rFonts w:ascii="Arial" w:cs="Arial" w:eastAsia="Arial" w:hAnsi="Arial"/>
          <w:sz w:val="16"/>
          <w:szCs w:val="16"/>
          <w:color w:val="auto"/>
        </w:rPr>
        <w:t>compensation. We believe that these measures are good gauges of value creation by the Company.</w:t>
      </w:r>
    </w:p>
    <w:p>
      <w:pPr>
        <w:spacing w:after="0" w:line="88"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color w:val="auto"/>
        </w:rPr>
        <w:t>In this Compensation Discussion and Analysis, we refer to certain non-GAAP financial measures described as “Adjusted EBITDA,” “Adjusted net income,” “Adjusted earnings per share,” “Adjusted operating profit,” and “Adjusted operating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The presentation of these non-GAAP financial measures is not meant to be considered in isolation or as a substitute for financial statements prepared in accordance with accounting principles generally accepted in the United States of America. (See Appendix A for reconciliations of non-GAAP financial measures to certain GAAP financial measures.)</w:t>
      </w:r>
    </w:p>
    <w:p>
      <w:pPr>
        <w:spacing w:after="0" w:line="313"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4"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004FF9"/>
        </w:rPr>
        <w:t>Leading Compensation Policies and Practices</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We implement and maintain leading practices in our executive compensation programs, designed to align our executive compensation with long-term shareholder interest, including:</w:t>
      </w:r>
    </w:p>
    <w:p>
      <w:pPr>
        <w:spacing w:after="0" w:line="21" w:lineRule="exact"/>
        <w:rPr>
          <w:sz w:val="20"/>
          <w:szCs w:val="20"/>
          <w:color w:val="auto"/>
        </w:rPr>
      </w:pPr>
    </w:p>
    <w:p>
      <w:pPr>
        <w:jc w:val="both"/>
        <w:ind w:left="1620" w:hanging="352"/>
        <w:spacing w:after="0" w:line="253"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Compensation Tied to Performance.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portion of each executive’s total direct compensation varies with performance. In 2014, we replaced stock options with a performance share program based on relative total shareholder return over a three-year period.</w:t>
      </w:r>
    </w:p>
    <w:p>
      <w:pPr>
        <w:spacing w:after="0" w:line="213" w:lineRule="exact"/>
        <w:rPr>
          <w:rFonts w:ascii="Arial" w:cs="Arial" w:eastAsia="Arial" w:hAnsi="Arial"/>
          <w:sz w:val="16"/>
          <w:szCs w:val="16"/>
          <w:color w:val="auto"/>
        </w:rPr>
      </w:pPr>
    </w:p>
    <w:p>
      <w:pPr>
        <w:jc w:val="both"/>
        <w:ind w:left="1620" w:hanging="352"/>
        <w:spacing w:after="0" w:line="254"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“Clawback” Provision. </w:t>
      </w:r>
      <w:r>
        <w:rPr>
          <w:rFonts w:ascii="Arial" w:cs="Arial" w:eastAsia="Arial" w:hAnsi="Arial"/>
          <w:sz w:val="16"/>
          <w:szCs w:val="16"/>
          <w:color w:val="auto"/>
        </w:rPr>
        <w:t>We have adopted a</w:t>
      </w:r>
      <w:r>
        <w:rPr>
          <w:rFonts w:ascii="Arial" w:cs="Arial" w:eastAsia="Arial" w:hAnsi="Arial"/>
          <w:sz w:val="16"/>
          <w:szCs w:val="16"/>
          <w:b w:val="1"/>
          <w:bCs w:val="1"/>
          <w:color w:val="auto"/>
        </w:rPr>
        <w:t xml:space="preserve"> </w:t>
      </w:r>
      <w:r>
        <w:rPr>
          <w:rFonts w:ascii="Arial" w:cs="Arial" w:eastAsia="Arial" w:hAnsi="Arial"/>
          <w:sz w:val="16"/>
          <w:szCs w:val="16"/>
          <w:color w:val="auto"/>
        </w:rPr>
        <w:t>Recoupment Policy that permits us to recover compensation paid to executives under various circumstances, including those in which compensation is based upon the achievement of specified financial results.</w:t>
      </w:r>
    </w:p>
    <w:p>
      <w:pPr>
        <w:spacing w:after="0" w:line="20" w:lineRule="exact"/>
        <w:rPr>
          <w:rFonts w:ascii="Arial" w:cs="Arial" w:eastAsia="Arial" w:hAnsi="Arial"/>
          <w:sz w:val="16"/>
          <w:szCs w:val="16"/>
          <w:color w:val="auto"/>
        </w:rPr>
      </w:pPr>
    </w:p>
    <w:p>
      <w:pPr>
        <w:jc w:val="both"/>
        <w:ind w:left="1620" w:hanging="352"/>
        <w:spacing w:after="0" w:line="253"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Hedging and Pledging Prohibition. </w:t>
      </w:r>
      <w:r>
        <w:rPr>
          <w:rFonts w:ascii="Arial" w:cs="Arial" w:eastAsia="Arial" w:hAnsi="Arial"/>
          <w:sz w:val="16"/>
          <w:szCs w:val="16"/>
          <w:color w:val="auto"/>
        </w:rPr>
        <w:t>We have</w:t>
      </w:r>
      <w:r>
        <w:rPr>
          <w:rFonts w:ascii="Arial" w:cs="Arial" w:eastAsia="Arial" w:hAnsi="Arial"/>
          <w:sz w:val="16"/>
          <w:szCs w:val="16"/>
          <w:b w:val="1"/>
          <w:bCs w:val="1"/>
          <w:color w:val="auto"/>
        </w:rPr>
        <w:t xml:space="preserve"> </w:t>
      </w:r>
      <w:r>
        <w:rPr>
          <w:rFonts w:ascii="Arial" w:cs="Arial" w:eastAsia="Arial" w:hAnsi="Arial"/>
          <w:sz w:val="16"/>
          <w:szCs w:val="16"/>
          <w:color w:val="auto"/>
        </w:rPr>
        <w:t>a policy prohibiting all employees, including the NEOs and members of our Board, from engaging in any hedging transactions involving our stock. We also prohibit pledging, or using as collateral, Company stock to secure personal loans or other obligations.</w:t>
      </w:r>
    </w:p>
    <w:p>
      <w:pPr>
        <w:spacing w:after="0" w:line="19" w:lineRule="exact"/>
        <w:rPr>
          <w:rFonts w:ascii="Arial" w:cs="Arial" w:eastAsia="Arial" w:hAnsi="Arial"/>
          <w:sz w:val="16"/>
          <w:szCs w:val="16"/>
          <w:color w:val="auto"/>
        </w:rPr>
      </w:pPr>
    </w:p>
    <w:p>
      <w:pPr>
        <w:jc w:val="both"/>
        <w:ind w:left="1620" w:hanging="352"/>
        <w:spacing w:after="0" w:line="266"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and Retention Policy.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have stock ownership requirements for our executive officers, including our NEOs, that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left="369" w:right="739"/>
        <w:spacing w:after="0" w:line="248" w:lineRule="auto"/>
        <w:rPr>
          <w:sz w:val="20"/>
          <w:szCs w:val="20"/>
          <w:color w:val="auto"/>
        </w:rPr>
      </w:pPr>
      <w:r>
        <w:rPr>
          <w:rFonts w:ascii="Arial" w:cs="Arial" w:eastAsia="Arial" w:hAnsi="Arial"/>
          <w:sz w:val="16"/>
          <w:szCs w:val="16"/>
          <w:color w:val="auto"/>
        </w:rPr>
        <w:t>require them to hold equity in an amount relative to their base salaries. In addition, we have retention requirements that that require our executive officers to retain 50% of net shares (after payment of the exercise price and taxes) acquired upon the exercise of stock options or the vesting of any performance shares and restricted stock units (after any withholding for taxes) if stock ownership requirements have not been met within five years of becoming subject to the requirements.</w:t>
      </w:r>
    </w:p>
    <w:p>
      <w:pPr>
        <w:spacing w:after="0" w:line="77" w:lineRule="exact"/>
        <w:rPr>
          <w:sz w:val="20"/>
          <w:szCs w:val="20"/>
          <w:color w:val="auto"/>
        </w:rPr>
      </w:pPr>
    </w:p>
    <w:p>
      <w:pPr>
        <w:ind w:left="9"/>
        <w:spacing w:after="0"/>
        <w:tabs>
          <w:tab w:leader="none" w:pos="348" w:val="left"/>
          <w:tab w:leader="none" w:pos="2348"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Double-Trigger</w:t>
      </w:r>
      <w:r>
        <w:rPr>
          <w:sz w:val="20"/>
          <w:szCs w:val="20"/>
          <w:color w:val="auto"/>
        </w:rPr>
        <w:tab/>
      </w:r>
      <w:r>
        <w:rPr>
          <w:rFonts w:ascii="Arial" w:cs="Arial" w:eastAsia="Arial" w:hAnsi="Arial"/>
          <w:sz w:val="16"/>
          <w:szCs w:val="16"/>
          <w:b w:val="1"/>
          <w:bCs w:val="1"/>
          <w:color w:val="auto"/>
        </w:rPr>
        <w:t>Change-in-Control</w:t>
      </w:r>
    </w:p>
    <w:p>
      <w:pPr>
        <w:spacing w:after="0" w:line="25" w:lineRule="exact"/>
        <w:rPr>
          <w:sz w:val="20"/>
          <w:szCs w:val="20"/>
          <w:color w:val="auto"/>
        </w:rPr>
      </w:pPr>
    </w:p>
    <w:p>
      <w:pPr>
        <w:jc w:val="both"/>
        <w:ind w:left="369" w:right="759"/>
        <w:spacing w:after="0" w:line="248" w:lineRule="auto"/>
        <w:rPr>
          <w:sz w:val="20"/>
          <w:szCs w:val="20"/>
          <w:color w:val="auto"/>
        </w:rPr>
      </w:pPr>
      <w:r>
        <w:rPr>
          <w:rFonts w:ascii="Arial" w:cs="Arial" w:eastAsia="Arial" w:hAnsi="Arial"/>
          <w:sz w:val="16"/>
          <w:szCs w:val="16"/>
          <w:b w:val="1"/>
          <w:bCs w:val="1"/>
          <w:color w:val="auto"/>
        </w:rPr>
        <w:t xml:space="preserve">Provisions. </w:t>
      </w:r>
      <w:r>
        <w:rPr>
          <w:rFonts w:ascii="Arial" w:cs="Arial" w:eastAsia="Arial" w:hAnsi="Arial"/>
          <w:sz w:val="16"/>
          <w:szCs w:val="16"/>
          <w:color w:val="auto"/>
        </w:rPr>
        <w:t>Our equity plan provides for</w:t>
      </w:r>
      <w:r>
        <w:rPr>
          <w:rFonts w:ascii="Arial" w:cs="Arial" w:eastAsia="Arial" w:hAnsi="Arial"/>
          <w:sz w:val="16"/>
          <w:szCs w:val="16"/>
          <w:b w:val="1"/>
          <w:bCs w:val="1"/>
          <w:color w:val="auto"/>
        </w:rPr>
        <w:t xml:space="preserve"> </w:t>
      </w:r>
      <w:r>
        <w:rPr>
          <w:rFonts w:ascii="Arial" w:cs="Arial" w:eastAsia="Arial" w:hAnsi="Arial"/>
          <w:sz w:val="16"/>
          <w:szCs w:val="16"/>
          <w:color w:val="auto"/>
        </w:rPr>
        <w:t>“double-trigger” change-in-control vesting, under which accelerated vesting of equity in connection with a change-in-control can occur only upon both (1) a change-in-control being consummated, and (2) a qualifying termination of employment or the acquirer not assuming the awards. Our change-in-control agreements with our NEOs also have a “double-trigger” provision.</w:t>
      </w:r>
    </w:p>
    <w:p>
      <w:pPr>
        <w:spacing w:after="0" w:line="78" w:lineRule="exact"/>
        <w:rPr>
          <w:sz w:val="20"/>
          <w:szCs w:val="20"/>
          <w:color w:val="auto"/>
        </w:rPr>
      </w:pPr>
    </w:p>
    <w:p>
      <w:pPr>
        <w:jc w:val="both"/>
        <w:ind w:left="369" w:right="759" w:hanging="369"/>
        <w:spacing w:after="0" w:line="256" w:lineRule="auto"/>
        <w:tabs>
          <w:tab w:leader="none" w:pos="369"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No tax gross-ups. </w:t>
      </w:r>
      <w:r>
        <w:rPr>
          <w:rFonts w:ascii="Arial" w:cs="Arial" w:eastAsia="Arial" w:hAnsi="Arial"/>
          <w:sz w:val="16"/>
          <w:szCs w:val="16"/>
          <w:color w:val="auto"/>
        </w:rPr>
        <w:t>Our change-in-control</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do not provide for tax gross-ups in the event that executives become subject to excise taxes as a result of receiving benefits in connection with a change-in-control.</w:t>
      </w:r>
    </w:p>
    <w:p>
      <w:pPr>
        <w:spacing w:after="0" w:line="208" w:lineRule="exact"/>
        <w:rPr>
          <w:sz w:val="20"/>
          <w:szCs w:val="20"/>
          <w:color w:val="auto"/>
        </w:rPr>
      </w:pPr>
    </w:p>
    <w:p>
      <w:pPr>
        <w:sectPr>
          <w:pgSz w:w="11900" w:h="16838" w:orient="portrait"/>
          <w:cols w:equalWidth="0" w:num="2">
            <w:col w:w="5060" w:space="611"/>
            <w:col w:w="4548"/>
          </w:cols>
          <w:pgMar w:left="240" w:top="131" w:right="1440" w:bottom="1440" w:gutter="0" w:footer="0" w:header="0"/>
          <w:type w:val="continuous"/>
        </w:sectPr>
      </w:pPr>
    </w:p>
    <w:p>
      <w:pPr>
        <w:spacing w:after="0" w:line="12"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004FF9"/>
        </w:rPr>
        <w:t>Our Compensation Philosophy and Objectives</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Our compensation philosophy is to align our executive’s compensation with the Company’s short-term and long-term performance, thereby increasing alignment with shareholder interests, while providing the compensation and incentives needed to attract, motivate and retain executives who are key to the Company’s long-term success. To achieve this we:</w:t>
      </w:r>
    </w:p>
    <w:p>
      <w:pPr>
        <w:spacing w:after="0" w:line="60" w:lineRule="exact"/>
        <w:rPr>
          <w:sz w:val="20"/>
          <w:szCs w:val="20"/>
          <w:color w:val="auto"/>
        </w:rPr>
      </w:pPr>
    </w:p>
    <w:p>
      <w:pPr>
        <w:jc w:val="both"/>
        <w:ind w:left="1620" w:right="20" w:hanging="352"/>
        <w:spacing w:after="0" w:line="250"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emphasize performance by designing a program that includes primarily objective financial goals (in the case of our annual cash bonus and the vesting of performance shares) but also subjective evaluation criteria;</w:t>
      </w:r>
    </w:p>
    <w:p>
      <w:pPr>
        <w:spacing w:after="0" w:line="54"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use evaluation criteria that include internally measured performance (represented by our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left="369" w:right="739"/>
        <w:spacing w:after="0" w:line="251" w:lineRule="auto"/>
        <w:rPr>
          <w:sz w:val="20"/>
          <w:szCs w:val="20"/>
          <w:color w:val="auto"/>
        </w:rPr>
      </w:pPr>
      <w:r>
        <w:rPr>
          <w:rFonts w:ascii="Arial" w:cs="Arial" w:eastAsia="Arial" w:hAnsi="Arial"/>
          <w:sz w:val="16"/>
          <w:szCs w:val="16"/>
          <w:color w:val="auto"/>
        </w:rPr>
        <w:t>financial performance against our financial targets) and externally measured performance (represented by stock price and dividends paid); and</w:t>
      </w:r>
    </w:p>
    <w:p>
      <w:pPr>
        <w:spacing w:after="0" w:line="14" w:lineRule="exact"/>
        <w:rPr>
          <w:sz w:val="20"/>
          <w:szCs w:val="20"/>
          <w:color w:val="auto"/>
        </w:rPr>
      </w:pPr>
    </w:p>
    <w:p>
      <w:pPr>
        <w:jc w:val="both"/>
        <w:ind w:left="369" w:right="759" w:hanging="369"/>
        <w:spacing w:after="0" w:line="251" w:lineRule="auto"/>
        <w:tabs>
          <w:tab w:leader="none" w:pos="3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place significant weight on long-term equity compensation, thereby tying the total compensation of our NEOs to the achievement of shareholder value.</w:t>
      </w:r>
    </w:p>
    <w:p>
      <w:pPr>
        <w:spacing w:after="0" w:line="95" w:lineRule="exact"/>
        <w:rPr>
          <w:sz w:val="20"/>
          <w:szCs w:val="20"/>
          <w:color w:val="auto"/>
        </w:rPr>
      </w:pPr>
    </w:p>
    <w:p>
      <w:pPr>
        <w:jc w:val="both"/>
        <w:ind w:left="9" w:right="739"/>
        <w:spacing w:after="0" w:line="248" w:lineRule="auto"/>
        <w:rPr>
          <w:sz w:val="20"/>
          <w:szCs w:val="20"/>
          <w:color w:val="auto"/>
        </w:rPr>
      </w:pPr>
      <w:r>
        <w:rPr>
          <w:rFonts w:ascii="Arial" w:cs="Arial" w:eastAsia="Arial" w:hAnsi="Arial"/>
          <w:sz w:val="16"/>
          <w:szCs w:val="16"/>
          <w:color w:val="auto"/>
        </w:rPr>
        <w:t>Compensation is provided in the form of salary, annual cash performance incentives, equity awards and benefits. A significant portion of the total compensation opportunity for each of our NEOs is directly related to ABM’s stock price performance and to other performance factors that measure our progress against the goals of our short-term and</w:t>
      </w:r>
    </w:p>
    <w:p>
      <w:pPr>
        <w:spacing w:after="0" w:line="200" w:lineRule="exact"/>
        <w:rPr>
          <w:sz w:val="20"/>
          <w:szCs w:val="20"/>
          <w:color w:val="auto"/>
        </w:rPr>
      </w:pPr>
    </w:p>
    <w:p>
      <w:pPr>
        <w:sectPr>
          <w:pgSz w:w="11900" w:h="16838" w:orient="portrait"/>
          <w:cols w:equalWidth="0" w:num="2">
            <w:col w:w="5080" w:space="591"/>
            <w:col w:w="4548"/>
          </w:cols>
          <w:pgMar w:left="240" w:top="131"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long-term performance programs. Generally, total compensation opportunity is weighted toward incentive compensation linked to the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performance of the Company and to individual performance that contributes to the Company’s strategic initiatives.</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2"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004FF9"/>
        </w:rPr>
        <w:t>Role of the Compensation Committee</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Compensation Committee annually reviews and assesses all components of pay in connection with our executive compensation program, including base salary, annual incentives, equity compensation and the value of benefits (including potential severance benefits) and perquisites, while taking into consideration our desire to improve Company profitability and control costs. The Committee also bases its assessment in part on tally sheets prepared by management for each NEO. Tally sheets give the Compensation Committee detail with respect to the totality of each executive’s compensation, and how compensation earned by each executive compares to the compensation earned by others.</w:t>
      </w:r>
    </w:p>
    <w:p>
      <w:pPr>
        <w:spacing w:after="0" w:line="280" w:lineRule="exact"/>
        <w:rPr>
          <w:sz w:val="20"/>
          <w:szCs w:val="20"/>
          <w:color w:val="auto"/>
        </w:rPr>
      </w:pPr>
    </w:p>
    <w:p>
      <w:pPr>
        <w:jc w:val="both"/>
        <w:ind w:left="1260" w:right="20"/>
        <w:spacing w:after="0" w:line="248" w:lineRule="auto"/>
        <w:rPr>
          <w:sz w:val="20"/>
          <w:szCs w:val="20"/>
          <w:color w:val="auto"/>
        </w:rPr>
      </w:pPr>
      <w:r>
        <w:rPr>
          <w:rFonts w:ascii="Arial" w:cs="Arial" w:eastAsia="Arial" w:hAnsi="Arial"/>
          <w:sz w:val="16"/>
          <w:szCs w:val="16"/>
          <w:color w:val="auto"/>
        </w:rPr>
        <w:t>Commencing at the end of each fiscal year, the CEO’s performance is evaluated by the Committee, in consultation with the Board. Our Compensation Committee considers the Board’s assessment and makes recommendations about the CEO’s compensation to the CEO Committee. The CEO Committee is composed of our directors who are both independent and “outside” under Section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162(m) of the Internal Revenue Code. The CEO is not present during deliberations about his performance or compensation.</w:t>
      </w:r>
    </w:p>
    <w:p>
      <w:pPr>
        <w:spacing w:after="0" w:line="93" w:lineRule="exact"/>
        <w:rPr>
          <w:sz w:val="20"/>
          <w:szCs w:val="20"/>
          <w:color w:val="auto"/>
        </w:rPr>
      </w:pPr>
    </w:p>
    <w:p>
      <w:pPr>
        <w:jc w:val="both"/>
        <w:ind w:right="739"/>
        <w:spacing w:after="0" w:line="246" w:lineRule="auto"/>
        <w:rPr>
          <w:sz w:val="20"/>
          <w:szCs w:val="20"/>
          <w:color w:val="auto"/>
        </w:rPr>
      </w:pPr>
      <w:r>
        <w:rPr>
          <w:rFonts w:ascii="Arial" w:cs="Arial" w:eastAsia="Arial" w:hAnsi="Arial"/>
          <w:sz w:val="16"/>
          <w:szCs w:val="16"/>
          <w:color w:val="auto"/>
        </w:rPr>
        <w:t>Annually, our CEO provides the Compensation Committee with a performance assessment and compensation recommendation for each NEO, other than himself. This performance assessment is based on the individual’s self-assessment and the CEO’s assessment of the individual’s achievements, strengths and weaknesses as well as the performance of the individual’s business unit or department and other considerations. The</w:t>
      </w:r>
    </w:p>
    <w:p>
      <w:pPr>
        <w:spacing w:after="0" w:line="4"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Compensation Committee considers the recommendations of the CEO, together with information it may request from its consultant or management, with respect to the level of base salary, the annual cash incentive awards and long-term equity incentive awards for those NEOs. The Compensation Committee approves any changes to levels of compensation for these NEOs, in its sole discretion.</w:t>
      </w:r>
    </w:p>
    <w:p>
      <w:pPr>
        <w:spacing w:after="0" w:line="563"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8"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004FF9"/>
        </w:rPr>
        <w:t>Role of the Compensation Consultant</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Compensation Committee has exclusive authority under its charter to retain and approve fees and other terms of engagement for consultants to assist it in the evaluation of the compensation for our executive officers. The Committee has engaged Semler Brossy, represented by Marc Baranski, as the Committee’s independent compensation consultant. In connection with this engagement, the Compensation Committee reviewed Semler Brossy’s independence under applicable SEC and NYSE rules and concluded that its engagement did not raise any conflicts of interest.</w:t>
      </w:r>
    </w:p>
    <w:p>
      <w:pPr>
        <w:spacing w:after="0" w:line="105"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Committee’s compensation consultant reports directly to the Compensation Committee. Under the direction of the Compensation Committee, the Committee’s compensation consultant may work with management in connection with gathering information and reviewing our compensation programs and compensation levels. The Compensation Committee’s consultant is expected to:</w:t>
      </w:r>
    </w:p>
    <w:p>
      <w:pPr>
        <w:spacing w:after="0" w:line="235" w:lineRule="exact"/>
        <w:rPr>
          <w:sz w:val="20"/>
          <w:szCs w:val="20"/>
          <w:color w:val="auto"/>
        </w:rPr>
      </w:pPr>
    </w:p>
    <w:p>
      <w:pPr>
        <w:ind w:left="1620" w:hanging="352"/>
        <w:spacing w:after="0"/>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attend meetings of the Committee;</w:t>
      </w:r>
    </w:p>
    <w:p>
      <w:pPr>
        <w:spacing w:after="0" w:line="72" w:lineRule="exact"/>
        <w:rPr>
          <w:rFonts w:ascii="Arial" w:cs="Arial" w:eastAsia="Arial" w:hAnsi="Arial"/>
          <w:sz w:val="16"/>
          <w:szCs w:val="16"/>
          <w:color w:val="auto"/>
        </w:rPr>
      </w:pPr>
    </w:p>
    <w:p>
      <w:pPr>
        <w:jc w:val="both"/>
        <w:ind w:left="1620" w:right="20" w:hanging="352"/>
        <w:spacing w:after="0" w:line="251" w:lineRule="auto"/>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advice and ongoing recommendations concerning executive compensation programs, including advice related to employment agreements with the CEO and the other NEOs;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369" w:right="759" w:hanging="369"/>
        <w:spacing w:after="0" w:line="260" w:lineRule="auto"/>
        <w:tabs>
          <w:tab w:leader="none" w:pos="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advise the Committee on management proposals, as requested;</w:t>
      </w:r>
    </w:p>
    <w:p>
      <w:pPr>
        <w:spacing w:after="0" w:line="33" w:lineRule="exact"/>
        <w:rPr>
          <w:rFonts w:ascii="Arial" w:cs="Arial" w:eastAsia="Arial" w:hAnsi="Arial"/>
          <w:sz w:val="16"/>
          <w:szCs w:val="16"/>
          <w:color w:val="auto"/>
        </w:rPr>
      </w:pPr>
    </w:p>
    <w:p>
      <w:pPr>
        <w:ind w:left="369" w:right="759" w:hanging="369"/>
        <w:spacing w:after="0" w:line="260" w:lineRule="auto"/>
        <w:tabs>
          <w:tab w:leader="none" w:pos="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undertake special projects at the request of the Committee;</w:t>
      </w:r>
    </w:p>
    <w:p>
      <w:pPr>
        <w:spacing w:after="0" w:line="33" w:lineRule="exact"/>
        <w:rPr>
          <w:rFonts w:ascii="Arial" w:cs="Arial" w:eastAsia="Arial" w:hAnsi="Arial"/>
          <w:sz w:val="16"/>
          <w:szCs w:val="16"/>
          <w:color w:val="auto"/>
        </w:rPr>
      </w:pPr>
    </w:p>
    <w:p>
      <w:pPr>
        <w:jc w:val="both"/>
        <w:ind w:left="369" w:right="759" w:hanging="369"/>
        <w:spacing w:after="0" w:line="251" w:lineRule="auto"/>
        <w:tabs>
          <w:tab w:leader="none" w:pos="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 the Company’s compensation philosophy, peer group and competitive positioning and advise the Committee on their reasonableness and appropriateness;</w:t>
      </w:r>
    </w:p>
    <w:p>
      <w:pPr>
        <w:spacing w:after="0" w:line="40" w:lineRule="exact"/>
        <w:rPr>
          <w:rFonts w:ascii="Arial" w:cs="Arial" w:eastAsia="Arial" w:hAnsi="Arial"/>
          <w:sz w:val="16"/>
          <w:szCs w:val="16"/>
          <w:color w:val="auto"/>
        </w:rPr>
      </w:pPr>
    </w:p>
    <w:p>
      <w:pPr>
        <w:ind w:left="369" w:right="759" w:hanging="369"/>
        <w:spacing w:after="0" w:line="260" w:lineRule="auto"/>
        <w:tabs>
          <w:tab w:leader="none" w:pos="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communicate with the Chair of the Committee, as requested;</w:t>
      </w:r>
    </w:p>
    <w:p>
      <w:pPr>
        <w:spacing w:after="0" w:line="33" w:lineRule="exact"/>
        <w:rPr>
          <w:rFonts w:ascii="Arial" w:cs="Arial" w:eastAsia="Arial" w:hAnsi="Arial"/>
          <w:sz w:val="16"/>
          <w:szCs w:val="16"/>
          <w:color w:val="auto"/>
        </w:rPr>
      </w:pPr>
    </w:p>
    <w:p>
      <w:pPr>
        <w:jc w:val="both"/>
        <w:ind w:left="369" w:right="759" w:hanging="369"/>
        <w:spacing w:after="0" w:line="253" w:lineRule="auto"/>
        <w:tabs>
          <w:tab w:leader="none" w:pos="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advice and assistance with respect to the design of our executive compensation programs;</w:t>
      </w:r>
    </w:p>
    <w:p>
      <w:pPr>
        <w:spacing w:after="0" w:line="39" w:lineRule="exact"/>
        <w:rPr>
          <w:rFonts w:ascii="Arial" w:cs="Arial" w:eastAsia="Arial" w:hAnsi="Arial"/>
          <w:sz w:val="16"/>
          <w:szCs w:val="16"/>
          <w:color w:val="auto"/>
        </w:rPr>
      </w:pPr>
    </w:p>
    <w:p>
      <w:pPr>
        <w:jc w:val="both"/>
        <w:ind w:left="369" w:right="759" w:hanging="369"/>
        <w:spacing w:after="0" w:line="251" w:lineRule="auto"/>
        <w:tabs>
          <w:tab w:leader="none" w:pos="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support the Committee in its review of equity plan design, including recommendations relating to shares available for issuance under the plan; and</w:t>
      </w:r>
    </w:p>
    <w:p>
      <w:pPr>
        <w:spacing w:after="0" w:line="40" w:lineRule="exact"/>
        <w:rPr>
          <w:rFonts w:ascii="Arial" w:cs="Arial" w:eastAsia="Arial" w:hAnsi="Arial"/>
          <w:sz w:val="16"/>
          <w:szCs w:val="16"/>
          <w:color w:val="auto"/>
        </w:rPr>
      </w:pPr>
    </w:p>
    <w:p>
      <w:pPr>
        <w:jc w:val="both"/>
        <w:ind w:left="369" w:right="759" w:hanging="369"/>
        <w:spacing w:after="0" w:line="253" w:lineRule="auto"/>
        <w:tabs>
          <w:tab w:leader="none" w:pos="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general insight into executive compensation practices across markets that are relevant to the Company.</w:t>
      </w:r>
    </w:p>
    <w:p>
      <w:pPr>
        <w:spacing w:after="0" w:line="93" w:lineRule="exact"/>
        <w:rPr>
          <w:sz w:val="20"/>
          <w:szCs w:val="20"/>
          <w:color w:val="auto"/>
        </w:rPr>
      </w:pPr>
    </w:p>
    <w:p>
      <w:pPr>
        <w:jc w:val="both"/>
        <w:ind w:left="9" w:right="739"/>
        <w:spacing w:after="0" w:line="250" w:lineRule="auto"/>
        <w:rPr>
          <w:sz w:val="20"/>
          <w:szCs w:val="20"/>
          <w:color w:val="auto"/>
        </w:rPr>
      </w:pPr>
      <w:r>
        <w:rPr>
          <w:rFonts w:ascii="Arial" w:cs="Arial" w:eastAsia="Arial" w:hAnsi="Arial"/>
          <w:sz w:val="16"/>
          <w:szCs w:val="16"/>
          <w:color w:val="auto"/>
        </w:rPr>
        <w:t>In 2014, at the request of the Governance Committee, and with the approval of the Compensation Committee, Semler Brossy provided information to the Board related to Board compensation.</w:t>
      </w:r>
    </w:p>
    <w:p>
      <w:pPr>
        <w:spacing w:after="0" w:line="227" w:lineRule="exact"/>
        <w:rPr>
          <w:sz w:val="20"/>
          <w:szCs w:val="20"/>
          <w:color w:val="auto"/>
        </w:rPr>
      </w:pPr>
    </w:p>
    <w:p>
      <w:pPr>
        <w:sectPr>
          <w:pgSz w:w="11900" w:h="16838" w:orient="portrait"/>
          <w:cols w:equalWidth="0" w:num="2">
            <w:col w:w="5080" w:space="591"/>
            <w:col w:w="4548"/>
          </w:cols>
          <w:pgMar w:left="240" w:top="131" w:right="1440" w:bottom="1440" w:gutter="0" w:footer="0" w:header="0"/>
          <w:type w:val="continuous"/>
        </w:sectPr>
      </w:pPr>
    </w:p>
    <w:p>
      <w:pPr>
        <w:spacing w:after="0" w:line="25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The Company retains Towers Watson to advise management on such matters as program design and evolving practices and trends.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Compensation Committee has also considered the independence of Towers Watson under applicable rules of the New York Stock Exchange.</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2"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004FF9"/>
        </w:rPr>
        <w:t>Use of Market Data and Compensation Comparator Group</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Compensation Committee uses compensation comparator group comparisons as one of its tools in connection with its assessment of our executive compensation programs and levels of compensation. Working with Semler Brossy, the Committee regularly reviews the various criteria by which it selects the Company’s Compensation Comparator Group. Companies in our Compensation Comparator Group are generally selected with reference to the following criteria:</w:t>
      </w:r>
    </w:p>
    <w:p>
      <w:pPr>
        <w:spacing w:after="0" w:line="30" w:lineRule="exact"/>
        <w:rPr>
          <w:sz w:val="20"/>
          <w:szCs w:val="20"/>
          <w:color w:val="auto"/>
        </w:rPr>
      </w:pPr>
    </w:p>
    <w:p>
      <w:pPr>
        <w:jc w:val="both"/>
        <w:ind w:left="1620" w:right="20" w:hanging="352"/>
        <w:spacing w:after="0" w:line="251" w:lineRule="auto"/>
        <w:tabs>
          <w:tab w:leader="none" w:pos="1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companies, like ABM, that provide business-to-business services, such as outsourcing, logistics management, food service, staffing, and cleaning;</w:t>
      </w:r>
    </w:p>
    <w:p>
      <w:pPr>
        <w:spacing w:after="0" w:line="40" w:lineRule="exact"/>
        <w:rPr>
          <w:rFonts w:ascii="Arial" w:cs="Arial" w:eastAsia="Arial" w:hAnsi="Arial"/>
          <w:sz w:val="16"/>
          <w:szCs w:val="16"/>
          <w:color w:val="auto"/>
        </w:rPr>
      </w:pPr>
    </w:p>
    <w:p>
      <w:pPr>
        <w:jc w:val="both"/>
        <w:ind w:left="1620" w:right="20" w:hanging="352"/>
        <w:spacing w:after="0" w:line="251" w:lineRule="auto"/>
        <w:tabs>
          <w:tab w:leader="none" w:pos="1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companies in other industries (e.g., restaurant, hotel management) that have a high ratio of employees to revenue or market capitalization; and</w:t>
      </w:r>
    </w:p>
    <w:p>
      <w:pPr>
        <w:spacing w:after="0" w:line="27"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companies that generate between $2.5 billion and $5 billion in annual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97155</wp:posOffset>
            </wp:positionV>
            <wp:extent cx="5213985" cy="12693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1269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In October 2013, as part of its annual assessment of Compensation Comparator Group companies, the Compensation Committee reviewed the companies selected for 2013 compensation decisions and, with the assistance of an analysis by its independent compensation consultant, determined that certain changes in the Compensation Comparator Group were appropriate in connection with 2014 executive compensation practices. The Committee decided that G&amp;K Services, Inc. should be removed from the 2014 Compensation Comparator Group, since its revenues were significantly lower than those of the Company, and that Healthcare Services Group, Inc. should be added as a compensation comparator group company because of its business and revenues.</w:t>
      </w:r>
    </w:p>
    <w:p>
      <w:pPr>
        <w:spacing w:after="0" w:line="29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The following 21 companies were selected by the Compensation Committee as ABM’s 2014 Compensation Comparator Group:</w:t>
      </w:r>
    </w:p>
    <w:p>
      <w:pPr>
        <w:spacing w:after="0" w:line="421"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84"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004FF9"/>
        </w:rPr>
        <w:t>COMPENSATION COMPARATOR GROUP</w:t>
      </w:r>
    </w:p>
    <w:p>
      <w:pPr>
        <w:spacing w:after="0" w:line="66" w:lineRule="exact"/>
        <w:rPr>
          <w:sz w:val="20"/>
          <w:szCs w:val="20"/>
          <w:color w:val="auto"/>
        </w:rPr>
      </w:pPr>
    </w:p>
    <w:tbl>
      <w:tblPr>
        <w:tblLayout w:type="fixed"/>
        <w:tblInd w:w="1340" w:type="dxa"/>
        <w:tblCellMar>
          <w:top w:w="0" w:type="dxa"/>
          <w:left w:w="0" w:type="dxa"/>
          <w:bottom w:w="0" w:type="dxa"/>
          <w:right w:w="0" w:type="dxa"/>
        </w:tblCellMar>
      </w:tblP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Arkansas Best Corporation</w:t>
            </w:r>
          </w:p>
        </w:tc>
        <w:tc>
          <w:tcPr>
            <w:tcW w:w="3240" w:type="dxa"/>
            <w:vAlign w:val="bottom"/>
          </w:tcPr>
          <w:p>
            <w:pPr>
              <w:ind w:left="460"/>
              <w:spacing w:after="0"/>
              <w:rPr>
                <w:sz w:val="20"/>
                <w:szCs w:val="20"/>
                <w:color w:val="auto"/>
              </w:rPr>
            </w:pPr>
            <w:r>
              <w:rPr>
                <w:rFonts w:ascii="Arial" w:cs="Arial" w:eastAsia="Arial" w:hAnsi="Arial"/>
                <w:sz w:val="16"/>
                <w:szCs w:val="16"/>
                <w:color w:val="auto"/>
              </w:rPr>
              <w:t>Corrections Corporation of</w:t>
            </w:r>
          </w:p>
        </w:tc>
        <w:tc>
          <w:tcPr>
            <w:tcW w:w="2420" w:type="dxa"/>
            <w:vAlign w:val="bottom"/>
          </w:tcPr>
          <w:p>
            <w:pPr>
              <w:ind w:left="360"/>
              <w:spacing w:after="0"/>
              <w:rPr>
                <w:sz w:val="20"/>
                <w:szCs w:val="20"/>
                <w:color w:val="auto"/>
              </w:rPr>
            </w:pPr>
            <w:r>
              <w:rPr>
                <w:rFonts w:ascii="Arial" w:cs="Arial" w:eastAsia="Arial" w:hAnsi="Arial"/>
                <w:sz w:val="16"/>
                <w:szCs w:val="16"/>
                <w:color w:val="auto"/>
              </w:rPr>
              <w:t>Rent-A-Center</w:t>
            </w:r>
          </w:p>
        </w:tc>
      </w:t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Brinker International, Inc.</w:t>
            </w:r>
          </w:p>
        </w:tc>
        <w:tc>
          <w:tcPr>
            <w:tcW w:w="3240" w:type="dxa"/>
            <w:vAlign w:val="bottom"/>
          </w:tcPr>
          <w:p>
            <w:pPr>
              <w:ind w:left="460"/>
              <w:spacing w:after="0"/>
              <w:rPr>
                <w:sz w:val="20"/>
                <w:szCs w:val="20"/>
                <w:color w:val="auto"/>
              </w:rPr>
            </w:pPr>
            <w:r>
              <w:rPr>
                <w:rFonts w:ascii="Arial" w:cs="Arial" w:eastAsia="Arial" w:hAnsi="Arial"/>
                <w:sz w:val="16"/>
                <w:szCs w:val="16"/>
                <w:color w:val="auto"/>
              </w:rPr>
              <w:t>America</w:t>
            </w:r>
          </w:p>
        </w:tc>
        <w:tc>
          <w:tcPr>
            <w:tcW w:w="2420" w:type="dxa"/>
            <w:vAlign w:val="bottom"/>
          </w:tcPr>
          <w:p>
            <w:pPr>
              <w:ind w:left="360"/>
              <w:spacing w:after="0"/>
              <w:rPr>
                <w:sz w:val="20"/>
                <w:szCs w:val="20"/>
                <w:color w:val="auto"/>
              </w:rPr>
            </w:pPr>
            <w:r>
              <w:rPr>
                <w:rFonts w:ascii="Arial" w:cs="Arial" w:eastAsia="Arial" w:hAnsi="Arial"/>
                <w:sz w:val="16"/>
                <w:szCs w:val="16"/>
                <w:color w:val="auto"/>
              </w:rPr>
              <w:t>Republic Services, Inc.</w:t>
            </w:r>
          </w:p>
        </w:tc>
      </w:t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The Brink’s Company</w:t>
            </w:r>
          </w:p>
        </w:tc>
        <w:tc>
          <w:tcPr>
            <w:tcW w:w="3240" w:type="dxa"/>
            <w:vAlign w:val="bottom"/>
          </w:tcPr>
          <w:p>
            <w:pPr>
              <w:ind w:left="460"/>
              <w:spacing w:after="0"/>
              <w:rPr>
                <w:sz w:val="20"/>
                <w:szCs w:val="20"/>
                <w:color w:val="auto"/>
              </w:rPr>
            </w:pPr>
            <w:r>
              <w:rPr>
                <w:rFonts w:ascii="Arial" w:cs="Arial" w:eastAsia="Arial" w:hAnsi="Arial"/>
                <w:sz w:val="16"/>
                <w:szCs w:val="16"/>
                <w:color w:val="auto"/>
              </w:rPr>
              <w:t>Emcor Group, Inc.</w:t>
            </w:r>
          </w:p>
        </w:tc>
        <w:tc>
          <w:tcPr>
            <w:tcW w:w="2420" w:type="dxa"/>
            <w:vAlign w:val="bottom"/>
          </w:tcPr>
          <w:p>
            <w:pPr>
              <w:ind w:left="360"/>
              <w:spacing w:after="0"/>
              <w:rPr>
                <w:sz w:val="20"/>
                <w:szCs w:val="20"/>
                <w:color w:val="auto"/>
              </w:rPr>
            </w:pPr>
            <w:r>
              <w:rPr>
                <w:rFonts w:ascii="Arial" w:cs="Arial" w:eastAsia="Arial" w:hAnsi="Arial"/>
                <w:sz w:val="16"/>
                <w:szCs w:val="16"/>
                <w:color w:val="auto"/>
              </w:rPr>
              <w:t>Robert Half International Inc.</w:t>
            </w:r>
          </w:p>
        </w:tc>
      </w:t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C. H. Robinson Worldwide,</w:t>
            </w:r>
          </w:p>
        </w:tc>
        <w:tc>
          <w:tcPr>
            <w:tcW w:w="3240" w:type="dxa"/>
            <w:vAlign w:val="bottom"/>
          </w:tcPr>
          <w:p>
            <w:pPr>
              <w:ind w:left="460"/>
              <w:spacing w:after="0"/>
              <w:rPr>
                <w:sz w:val="20"/>
                <w:szCs w:val="20"/>
                <w:color w:val="auto"/>
              </w:rPr>
            </w:pPr>
            <w:r>
              <w:rPr>
                <w:rFonts w:ascii="Arial" w:cs="Arial" w:eastAsia="Arial" w:hAnsi="Arial"/>
                <w:sz w:val="16"/>
                <w:szCs w:val="16"/>
                <w:color w:val="auto"/>
              </w:rPr>
              <w:t>Healthcare Services Group, Inc.</w:t>
            </w:r>
          </w:p>
        </w:tc>
        <w:tc>
          <w:tcPr>
            <w:tcW w:w="2420" w:type="dxa"/>
            <w:vAlign w:val="bottom"/>
          </w:tcPr>
          <w:p>
            <w:pPr>
              <w:ind w:left="360"/>
              <w:spacing w:after="0"/>
              <w:rPr>
                <w:sz w:val="20"/>
                <w:szCs w:val="20"/>
                <w:color w:val="auto"/>
              </w:rPr>
            </w:pPr>
            <w:r>
              <w:rPr>
                <w:rFonts w:ascii="Arial" w:cs="Arial" w:eastAsia="Arial" w:hAnsi="Arial"/>
                <w:sz w:val="16"/>
                <w:szCs w:val="16"/>
                <w:color w:val="auto"/>
              </w:rPr>
              <w:t>Rollins Inc.</w:t>
            </w:r>
          </w:p>
        </w:tc>
      </w:t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Inc.</w:t>
            </w:r>
          </w:p>
        </w:tc>
        <w:tc>
          <w:tcPr>
            <w:tcW w:w="3240" w:type="dxa"/>
            <w:vAlign w:val="bottom"/>
          </w:tcPr>
          <w:p>
            <w:pPr>
              <w:ind w:left="460"/>
              <w:spacing w:after="0"/>
              <w:rPr>
                <w:sz w:val="20"/>
                <w:szCs w:val="20"/>
                <w:color w:val="auto"/>
              </w:rPr>
            </w:pPr>
            <w:r>
              <w:rPr>
                <w:rFonts w:ascii="Arial" w:cs="Arial" w:eastAsia="Arial" w:hAnsi="Arial"/>
                <w:sz w:val="16"/>
                <w:szCs w:val="16"/>
                <w:color w:val="auto"/>
              </w:rPr>
              <w:t>Insperity, Inc.</w:t>
            </w:r>
          </w:p>
        </w:tc>
        <w:tc>
          <w:tcPr>
            <w:tcW w:w="2420" w:type="dxa"/>
            <w:vAlign w:val="bottom"/>
          </w:tcPr>
          <w:p>
            <w:pPr>
              <w:ind w:left="360"/>
              <w:spacing w:after="0"/>
              <w:rPr>
                <w:sz w:val="20"/>
                <w:szCs w:val="20"/>
                <w:color w:val="auto"/>
              </w:rPr>
            </w:pPr>
            <w:r>
              <w:rPr>
                <w:rFonts w:ascii="Arial" w:cs="Arial" w:eastAsia="Arial" w:hAnsi="Arial"/>
                <w:sz w:val="16"/>
                <w:szCs w:val="16"/>
                <w:color w:val="auto"/>
              </w:rPr>
              <w:t>SP Plus Corporation</w:t>
            </w:r>
          </w:p>
        </w:tc>
      </w:t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Cintas Corporation</w:t>
            </w:r>
          </w:p>
        </w:tc>
        <w:tc>
          <w:tcPr>
            <w:tcW w:w="3240" w:type="dxa"/>
            <w:vAlign w:val="bottom"/>
          </w:tcPr>
          <w:p>
            <w:pPr>
              <w:ind w:left="460"/>
              <w:spacing w:after="0"/>
              <w:rPr>
                <w:sz w:val="20"/>
                <w:szCs w:val="20"/>
                <w:color w:val="auto"/>
              </w:rPr>
            </w:pPr>
            <w:r>
              <w:rPr>
                <w:rFonts w:ascii="Arial" w:cs="Arial" w:eastAsia="Arial" w:hAnsi="Arial"/>
                <w:sz w:val="16"/>
                <w:szCs w:val="16"/>
                <w:color w:val="auto"/>
              </w:rPr>
              <w:t>Iron Mountain Inc.</w:t>
            </w:r>
          </w:p>
        </w:tc>
        <w:tc>
          <w:tcPr>
            <w:tcW w:w="2420" w:type="dxa"/>
            <w:vAlign w:val="bottom"/>
          </w:tcPr>
          <w:p>
            <w:pPr>
              <w:ind w:left="360"/>
              <w:spacing w:after="0"/>
              <w:rPr>
                <w:sz w:val="20"/>
                <w:szCs w:val="20"/>
                <w:color w:val="auto"/>
              </w:rPr>
            </w:pPr>
            <w:r>
              <w:rPr>
                <w:rFonts w:ascii="Arial" w:cs="Arial" w:eastAsia="Arial" w:hAnsi="Arial"/>
                <w:sz w:val="16"/>
                <w:szCs w:val="16"/>
                <w:color w:val="auto"/>
              </w:rPr>
              <w:t>URS Corporation</w:t>
            </w:r>
          </w:p>
        </w:tc>
      </w:tr>
      <w:tr>
        <w:trPr>
          <w:trHeight w:val="189"/>
        </w:trPr>
        <w:tc>
          <w:tcPr>
            <w:tcW w:w="2400" w:type="dxa"/>
            <w:vAlign w:val="bottom"/>
          </w:tcPr>
          <w:p>
            <w:pPr>
              <w:spacing w:after="0"/>
              <w:rPr>
                <w:sz w:val="20"/>
                <w:szCs w:val="20"/>
                <w:color w:val="auto"/>
              </w:rPr>
            </w:pPr>
            <w:r>
              <w:rPr>
                <w:rFonts w:ascii="Arial" w:cs="Arial" w:eastAsia="Arial" w:hAnsi="Arial"/>
                <w:sz w:val="16"/>
                <w:szCs w:val="16"/>
                <w:color w:val="auto"/>
              </w:rPr>
              <w:t>Convergys Corporation</w:t>
            </w:r>
          </w:p>
        </w:tc>
        <w:tc>
          <w:tcPr>
            <w:tcW w:w="3240" w:type="dxa"/>
            <w:vAlign w:val="bottom"/>
          </w:tcPr>
          <w:p>
            <w:pPr>
              <w:ind w:left="460"/>
              <w:spacing w:after="0"/>
              <w:rPr>
                <w:sz w:val="20"/>
                <w:szCs w:val="20"/>
                <w:color w:val="auto"/>
              </w:rPr>
            </w:pPr>
            <w:r>
              <w:rPr>
                <w:rFonts w:ascii="Arial" w:cs="Arial" w:eastAsia="Arial" w:hAnsi="Arial"/>
                <w:sz w:val="16"/>
                <w:szCs w:val="16"/>
                <w:color w:val="auto"/>
              </w:rPr>
              <w:t>J.B. Hunt Transport Services, Inc.</w:t>
            </w:r>
          </w:p>
        </w:tc>
        <w:tc>
          <w:tcPr>
            <w:tcW w:w="2420" w:type="dxa"/>
            <w:vAlign w:val="bottom"/>
          </w:tcPr>
          <w:p>
            <w:pPr>
              <w:ind w:left="360"/>
              <w:spacing w:after="0"/>
              <w:rPr>
                <w:sz w:val="20"/>
                <w:szCs w:val="20"/>
                <w:color w:val="auto"/>
              </w:rPr>
            </w:pPr>
            <w:r>
              <w:rPr>
                <w:rFonts w:ascii="Arial" w:cs="Arial" w:eastAsia="Arial" w:hAnsi="Arial"/>
                <w:sz w:val="16"/>
                <w:szCs w:val="16"/>
                <w:color w:val="auto"/>
              </w:rPr>
              <w:t>Werner Enterprises, Inc.</w:t>
            </w:r>
          </w:p>
        </w:tc>
      </w:tr>
      <w:tr>
        <w:trPr>
          <w:trHeight w:val="195"/>
        </w:trPr>
        <w:tc>
          <w:tcPr>
            <w:tcW w:w="2400" w:type="dxa"/>
            <w:vAlign w:val="bottom"/>
          </w:tcPr>
          <w:p>
            <w:pPr>
              <w:spacing w:after="0"/>
              <w:rPr>
                <w:sz w:val="20"/>
                <w:szCs w:val="20"/>
                <w:color w:val="auto"/>
              </w:rPr>
            </w:pPr>
            <w:r>
              <w:rPr>
                <w:rFonts w:ascii="Arial" w:cs="Arial" w:eastAsia="Arial" w:hAnsi="Arial"/>
                <w:sz w:val="16"/>
                <w:szCs w:val="16"/>
                <w:color w:val="auto"/>
              </w:rPr>
              <w:t>Con-Way Inc.</w:t>
            </w:r>
          </w:p>
        </w:tc>
        <w:tc>
          <w:tcPr>
            <w:tcW w:w="3240" w:type="dxa"/>
            <w:vAlign w:val="bottom"/>
          </w:tcPr>
          <w:p>
            <w:pPr>
              <w:ind w:left="460"/>
              <w:spacing w:after="0"/>
              <w:rPr>
                <w:sz w:val="20"/>
                <w:szCs w:val="20"/>
                <w:color w:val="auto"/>
              </w:rPr>
            </w:pPr>
            <w:r>
              <w:rPr>
                <w:rFonts w:ascii="Arial" w:cs="Arial" w:eastAsia="Arial" w:hAnsi="Arial"/>
                <w:sz w:val="16"/>
                <w:szCs w:val="16"/>
                <w:color w:val="auto"/>
              </w:rPr>
              <w:t>Kelly Services, Inc.</w:t>
            </w:r>
          </w:p>
        </w:tc>
        <w:tc>
          <w:tcPr>
            <w:tcW w:w="2420" w:type="dxa"/>
            <w:vAlign w:val="bottom"/>
          </w:tcPr>
          <w:p>
            <w:pPr>
              <w:spacing w:after="0"/>
              <w:rPr>
                <w:sz w:val="16"/>
                <w:szCs w:val="16"/>
                <w:color w:val="auto"/>
              </w:rPr>
            </w:pPr>
          </w:p>
        </w:tc>
      </w:tr>
    </w:tbl>
    <w:p>
      <w:pPr>
        <w:spacing w:after="0" w:line="17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jc w:val="both"/>
        <w:ind w:left="1260"/>
        <w:spacing w:after="0" w:line="247" w:lineRule="auto"/>
        <w:rPr>
          <w:sz w:val="20"/>
          <w:szCs w:val="20"/>
          <w:color w:val="auto"/>
        </w:rPr>
      </w:pPr>
      <w:r>
        <w:rPr>
          <w:rFonts w:ascii="Arial" w:cs="Arial" w:eastAsia="Arial" w:hAnsi="Arial"/>
          <w:sz w:val="16"/>
          <w:szCs w:val="16"/>
          <w:color w:val="auto"/>
        </w:rPr>
        <w:t>The Compensation Committee’s decisions relating to NEO pay are informed by its review of the compensation practices reported in the proxy statements filed by the companies in the Compensation Comparator Group. The proxy analysis reviewed by the Committee in 2014 compared base salaries, short-term incentives, long-term incentives and total compensation to corresponding practices among companies in the Compensation Comparator Group. Although the results of this analysis are considered important by the Compensation Committee, it does not determine or change compensation in response to market data alone. Instead, it takes this information into account as one of several considerations that it uses to inform its decisions relating to compensation levels.</w:t>
      </w:r>
    </w:p>
    <w:p>
      <w:pPr>
        <w:spacing w:after="0" w:line="104"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color w:val="auto"/>
        </w:rPr>
        <w:t>The Compensation Committee believes that the proxy data reviewed provides a reasonable indicator of total compensation paid by companies that recruit executives with skill sets similar to those which we seek in our executives. Compensation for our</w:t>
      </w:r>
    </w:p>
    <w:p>
      <w:pPr>
        <w:spacing w:after="0" w:line="20" w:lineRule="exact"/>
        <w:rPr>
          <w:sz w:val="20"/>
          <w:szCs w:val="20"/>
          <w:color w:val="auto"/>
        </w:rPr>
      </w:pPr>
      <w:r>
        <w:rPr>
          <w:sz w:val="20"/>
          <w:szCs w:val="20"/>
          <w:color w:val="auto"/>
        </w:rPr>
        <w:br w:type="column"/>
      </w:r>
    </w:p>
    <w:p>
      <w:pPr>
        <w:jc w:val="both"/>
        <w:ind w:right="739"/>
        <w:spacing w:after="0" w:line="247" w:lineRule="auto"/>
        <w:rPr>
          <w:sz w:val="20"/>
          <w:szCs w:val="20"/>
          <w:color w:val="auto"/>
        </w:rPr>
      </w:pPr>
      <w:r>
        <w:rPr>
          <w:rFonts w:ascii="Arial" w:cs="Arial" w:eastAsia="Arial" w:hAnsi="Arial"/>
          <w:sz w:val="16"/>
          <w:szCs w:val="16"/>
          <w:color w:val="auto"/>
        </w:rPr>
        <w:t>executives is generally managed within the ranges of compensation paid by companies in the Compensation Comparator Group and the general industry community. While the Compensation Committee normally references the compensation comparator group median (50th percentile) for each compensation element, the Committee uses its judgment to determine pay levels necessary to pay for performance and attract and retain executive talent. The Committee looks beyond the competitive data and places significant weight on individual job performance, experience, compensation history, future potential, internal comparisons, affordability, retention risk as well as, in the case of executives other than the CEO, the CEO’s recommendations.</w:t>
      </w:r>
    </w:p>
    <w:p>
      <w:pPr>
        <w:spacing w:after="0" w:line="104"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In October 2014, the Committee reviewed the Compensation Comparator Group selected for 2014 compensation comparator purposes, and determined that it was appropriate to retain this Compensation Comparator Group for 2015.</w:t>
      </w:r>
    </w:p>
    <w:p>
      <w:pPr>
        <w:spacing w:after="0" w:line="389"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5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004FF9"/>
        </w:rPr>
        <w:t>“Say on Pay” Vote</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color w:val="auto"/>
        </w:rPr>
        <w:t>Approximately 95% of votes cast in the shareholder advisory vote on executive compensation (“Say on Pay”) that was held at our 2014 Annual Meeting of Shareholders were voted for our 2013 compensation for our NEOs. We believe that this favorable vote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supports our approach to executive compensation. The Committee will continue to consider the outcome of the Say on Pay votes when making future decisions on executive compensation.</w:t>
      </w:r>
    </w:p>
    <w:p>
      <w:pPr>
        <w:spacing w:after="0" w:line="388"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4"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004FF9"/>
        </w:rPr>
        <w:t>Pay for Performance Alignment</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The following graph illustrates three-year realizable compensation of our NEOs in relationship to NEO compensation of our Compensation Comparator Group. Each point on the graph represents three-year realizable compensation of the NEOs in this group relative to his or her company’s three-year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performance in Total Shareholder Return (TSR) over the 2011-2013 year period. ABM’s position in the alignment zone shows that the Company’s pay-for-performance is strongly aligned with that of our Compensation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281940</wp:posOffset>
            </wp:positionV>
            <wp:extent cx="4725035" cy="3207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25035" cy="3207385"/>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060" w:space="620"/>
            <w:col w:w="45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About this graph:</w:t>
      </w:r>
    </w:p>
    <w:p>
      <w:pPr>
        <w:spacing w:after="0" w:line="113" w:lineRule="exact"/>
        <w:rPr>
          <w:sz w:val="20"/>
          <w:szCs w:val="20"/>
          <w:color w:val="auto"/>
        </w:rPr>
      </w:pPr>
    </w:p>
    <w:p>
      <w:pPr>
        <w:ind w:left="1260" w:right="739"/>
        <w:spacing w:after="0" w:line="260" w:lineRule="auto"/>
        <w:rPr>
          <w:sz w:val="20"/>
          <w:szCs w:val="20"/>
          <w:color w:val="auto"/>
        </w:rPr>
      </w:pPr>
      <w:r>
        <w:rPr>
          <w:rFonts w:ascii="Arial" w:cs="Arial" w:eastAsia="Arial" w:hAnsi="Arial"/>
          <w:sz w:val="16"/>
          <w:szCs w:val="16"/>
          <w:color w:val="auto"/>
        </w:rPr>
        <w:t>This graph is based on the 2014 proxy filings reflecting 2013 compensation of our Compensation Comparator Group.</w:t>
      </w:r>
    </w:p>
    <w:p>
      <w:pPr>
        <w:spacing w:after="0" w:line="8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TSR reflects share price appreciation, adjusted for dividends and stock splits.</w:t>
      </w:r>
    </w:p>
    <w:p>
      <w:pPr>
        <w:spacing w:after="0" w:line="113" w:lineRule="exact"/>
        <w:rPr>
          <w:sz w:val="20"/>
          <w:szCs w:val="20"/>
          <w:color w:val="auto"/>
        </w:rPr>
      </w:pPr>
    </w:p>
    <w:p>
      <w:pPr>
        <w:ind w:left="1260" w:right="739"/>
        <w:spacing w:after="0" w:line="260" w:lineRule="auto"/>
        <w:rPr>
          <w:sz w:val="20"/>
          <w:szCs w:val="20"/>
          <w:color w:val="auto"/>
        </w:rPr>
      </w:pPr>
      <w:r>
        <w:rPr>
          <w:rFonts w:ascii="Arial" w:cs="Arial" w:eastAsia="Arial" w:hAnsi="Arial"/>
          <w:sz w:val="16"/>
          <w:szCs w:val="16"/>
          <w:color w:val="auto"/>
        </w:rPr>
        <w:t>Realizable pay consists of: 1) actual base salary paid over the three-year period; 2) actual short-term incentive payouts over the three-year period; and 3) the 12/31/2013 market value of equity grants as listed below:</w:t>
      </w:r>
    </w:p>
    <w:p>
      <w:pPr>
        <w:spacing w:after="0" w:line="115" w:lineRule="exact"/>
        <w:rPr>
          <w:sz w:val="20"/>
          <w:szCs w:val="20"/>
          <w:color w:val="auto"/>
        </w:rPr>
      </w:pPr>
    </w:p>
    <w:p>
      <w:pPr>
        <w:ind w:left="1620" w:hanging="352"/>
        <w:spacing w:after="0"/>
        <w:tabs>
          <w:tab w:leader="none" w:pos="1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in-the-money value of stock options granted over the three-year period;</w:t>
      </w:r>
    </w:p>
    <w:p>
      <w:pPr>
        <w:spacing w:after="0" w:line="126" w:lineRule="exact"/>
        <w:rPr>
          <w:rFonts w:ascii="Arial" w:cs="Arial" w:eastAsia="Arial" w:hAnsi="Arial"/>
          <w:sz w:val="16"/>
          <w:szCs w:val="16"/>
          <w:color w:val="auto"/>
        </w:rPr>
      </w:pPr>
    </w:p>
    <w:p>
      <w:pPr>
        <w:ind w:left="1620" w:hanging="352"/>
        <w:spacing w:after="0"/>
        <w:tabs>
          <w:tab w:leader="none" w:pos="1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service-based restricted stock awards granted over the three-year period; and</w:t>
      </w:r>
    </w:p>
    <w:p>
      <w:pPr>
        <w:spacing w:after="0" w:line="126" w:lineRule="exact"/>
        <w:rPr>
          <w:rFonts w:ascii="Arial" w:cs="Arial" w:eastAsia="Arial" w:hAnsi="Arial"/>
          <w:sz w:val="16"/>
          <w:szCs w:val="16"/>
          <w:color w:val="auto"/>
        </w:rPr>
      </w:pPr>
    </w:p>
    <w:p>
      <w:pPr>
        <w:jc w:val="both"/>
        <w:ind w:left="1620" w:right="759" w:hanging="352"/>
        <w:spacing w:after="0" w:line="253" w:lineRule="auto"/>
        <w:tabs>
          <w:tab w:leader="none" w:pos="1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performance-based incentives: i) as achieved, for performance cycles that have been completed through 2013; and ii) as granted, for performance cycles that have not yet been completed, assuming target performance.</w:t>
      </w:r>
    </w:p>
    <w:p>
      <w:pPr>
        <w:spacing w:after="0" w:line="26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68345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004FF9"/>
        </w:rPr>
        <w:t>Realized Pay</w:t>
      </w:r>
    </w:p>
    <w:p>
      <w:pPr>
        <w:sectPr>
          <w:pgSz w:w="11900" w:h="16838" w:orient="portrait"/>
          <w:cols w:equalWidth="0" w:num="1">
            <w:col w:w="10240"/>
          </w:cols>
          <w:pgMar w:left="240" w:top="131" w:right="1419" w:bottom="1440" w:gutter="0" w:footer="0" w:header="0"/>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following table is intended to supplement the 2014 Summary Compensation Table. The Realized Pay Table shows the compensation actually realized in fiscal years 2014, 2013 and 2012 by our NEOs. We have included the Realized Pay Table to better show how our performance-based equity compensation drives actual or “realized” compensation.</w:t>
      </w:r>
    </w:p>
    <w:p>
      <w:pPr>
        <w:spacing w:after="0" w:line="290"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primary difference between this supplemental table and the 2014 Summary Compensation Table is the method used to value RSUs, performance shares and stock options. SEC rules require that the grant date fair value of all RSUs, performance shares and stock options be reported in the 2014 Summary Compensation Table for the year in which they were granted. As a result, a significant portion of the total compensation amounts reported in the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60"/>
        <w:spacing w:after="0" w:line="247" w:lineRule="auto"/>
        <w:rPr>
          <w:sz w:val="20"/>
          <w:szCs w:val="20"/>
          <w:color w:val="auto"/>
        </w:rPr>
      </w:pPr>
      <w:r>
        <w:rPr>
          <w:rFonts w:ascii="Arial" w:cs="Arial" w:eastAsia="Arial" w:hAnsi="Arial"/>
          <w:sz w:val="16"/>
          <w:szCs w:val="16"/>
          <w:color w:val="auto"/>
        </w:rPr>
        <w:t>2014 Summary Compensation Table relates to equity grants that have not yet vested (and may never be earned) and for which the value is consequently uncertain. In contrast, the supplemental table below includes only performance shares, stock options and RSU awards that vested during the applicable fiscal year and shows the value of those awards as of the applicable vesting date. It should be noted that there is no assurance that the NEOs will actually realize the value attributed to these awards even in this supplemental table, since the value of the stock options will depend on when the stock options are exercised and the underlying shares are sold and the ultimate value of the performance shares and RSUs will depend on when the underlying shares are sold.</w:t>
      </w:r>
    </w:p>
    <w:p>
      <w:pPr>
        <w:spacing w:after="0" w:line="691" w:lineRule="exact"/>
        <w:rPr>
          <w:sz w:val="20"/>
          <w:szCs w:val="20"/>
          <w:color w:val="auto"/>
        </w:rPr>
      </w:pPr>
    </w:p>
    <w:p>
      <w:pPr>
        <w:sectPr>
          <w:pgSz w:w="11900" w:h="16838" w:orient="portrait"/>
          <w:cols w:equalWidth="0" w:num="2">
            <w:col w:w="5080" w:space="600"/>
            <w:col w:w="4560"/>
          </w:cols>
          <w:pgMar w:left="240" w:top="131" w:right="1419" w:bottom="1440" w:gutter="0" w:footer="0" w:header="0"/>
          <w:type w:val="continuous"/>
        </w:sectPr>
      </w:pPr>
    </w:p>
    <w:p>
      <w:pPr>
        <w:spacing w:after="0" w:line="27"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004FF9"/>
        </w:rPr>
        <w:t>Realized Pay Table</w:t>
      </w:r>
    </w:p>
    <w:p>
      <w:pPr>
        <w:spacing w:after="0" w:line="98" w:lineRule="exact"/>
        <w:rPr>
          <w:sz w:val="20"/>
          <w:szCs w:val="20"/>
          <w:color w:val="auto"/>
        </w:rPr>
      </w:pPr>
    </w:p>
    <w:tbl>
      <w:tblPr>
        <w:tblLayout w:type="fixed"/>
        <w:tblInd w:w="510" w:type="dxa"/>
        <w:tblCellMar>
          <w:top w:w="0" w:type="dxa"/>
          <w:left w:w="0" w:type="dxa"/>
          <w:bottom w:w="0" w:type="dxa"/>
          <w:right w:w="0" w:type="dxa"/>
        </w:tblCellMar>
      </w:tblPr>
      <w:tr>
        <w:trPr>
          <w:trHeight w:val="365"/>
        </w:trPr>
        <w:tc>
          <w:tcPr>
            <w:tcW w:w="176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640" w:type="dxa"/>
            <w:vAlign w:val="bottom"/>
            <w:tcBorders>
              <w:top w:val="single" w:sz="8" w:color="auto"/>
              <w:right w:val="single" w:sz="8" w:color="auto"/>
            </w:tcBorders>
            <w:shd w:val="clear" w:color="auto" w:fill="B1C9FD"/>
          </w:tcPr>
          <w:p>
            <w:pPr>
              <w:spacing w:after="0"/>
              <w:rPr>
                <w:sz w:val="24"/>
                <w:szCs w:val="24"/>
                <w:color w:val="auto"/>
              </w:rPr>
            </w:pPr>
          </w:p>
        </w:tc>
        <w:tc>
          <w:tcPr>
            <w:tcW w:w="800" w:type="dxa"/>
            <w:vAlign w:val="bottom"/>
            <w:tcBorders>
              <w:top w:val="single" w:sz="8" w:color="auto"/>
              <w:right w:val="single" w:sz="8" w:color="auto"/>
            </w:tcBorders>
            <w:shd w:val="clear" w:color="auto" w:fill="B1C9FD"/>
          </w:tcPr>
          <w:p>
            <w:pPr>
              <w:spacing w:after="0"/>
              <w:rPr>
                <w:sz w:val="24"/>
                <w:szCs w:val="24"/>
                <w:color w:val="auto"/>
              </w:rPr>
            </w:pPr>
          </w:p>
        </w:tc>
        <w:tc>
          <w:tcPr>
            <w:tcW w:w="1120" w:type="dxa"/>
            <w:vAlign w:val="bottom"/>
            <w:tcBorders>
              <w:top w:val="single" w:sz="8" w:color="auto"/>
              <w:right w:val="single" w:sz="8" w:color="auto"/>
            </w:tcBorders>
            <w:shd w:val="clear" w:color="auto" w:fill="B1C9FD"/>
          </w:tcPr>
          <w:p>
            <w:pPr>
              <w:spacing w:after="0"/>
              <w:rPr>
                <w:sz w:val="24"/>
                <w:szCs w:val="24"/>
                <w:color w:val="auto"/>
              </w:rPr>
            </w:pPr>
          </w:p>
        </w:tc>
        <w:tc>
          <w:tcPr>
            <w:tcW w:w="82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Option</w:t>
            </w:r>
          </w:p>
        </w:tc>
        <w:tc>
          <w:tcPr>
            <w:tcW w:w="840" w:type="dxa"/>
            <w:vAlign w:val="bottom"/>
            <w:tcBorders>
              <w:top w:val="single" w:sz="8" w:color="auto"/>
              <w:right w:val="single" w:sz="8" w:color="auto"/>
            </w:tcBorders>
            <w:shd w:val="clear" w:color="auto" w:fill="B1C9FD"/>
          </w:tcPr>
          <w:p>
            <w:pPr>
              <w:spacing w:after="0"/>
              <w:rPr>
                <w:sz w:val="24"/>
                <w:szCs w:val="24"/>
                <w:color w:val="auto"/>
              </w:rPr>
            </w:pPr>
          </w:p>
        </w:tc>
        <w:tc>
          <w:tcPr>
            <w:tcW w:w="1240" w:type="dxa"/>
            <w:vAlign w:val="bottom"/>
            <w:tcBorders>
              <w:top w:val="single" w:sz="8" w:color="auto"/>
              <w:right w:val="single" w:sz="8" w:color="auto"/>
            </w:tcBorders>
            <w:shd w:val="clear" w:color="auto" w:fill="B1C9FD"/>
          </w:tcPr>
          <w:p>
            <w:pPr>
              <w:spacing w:after="0"/>
              <w:rPr>
                <w:sz w:val="24"/>
                <w:szCs w:val="24"/>
                <w:color w:val="auto"/>
              </w:rPr>
            </w:pPr>
          </w:p>
        </w:tc>
        <w:tc>
          <w:tcPr>
            <w:tcW w:w="1340" w:type="dxa"/>
            <w:vAlign w:val="bottom"/>
            <w:tcBorders>
              <w:top w:val="single" w:sz="8" w:color="auto"/>
              <w:right w:val="single" w:sz="8" w:color="auto"/>
            </w:tcBorders>
            <w:shd w:val="clear" w:color="auto" w:fill="B1C9FD"/>
          </w:tcPr>
          <w:p>
            <w:pPr>
              <w:spacing w:after="0"/>
              <w:rPr>
                <w:sz w:val="24"/>
                <w:szCs w:val="24"/>
                <w:color w:val="auto"/>
              </w:rPr>
            </w:pPr>
          </w:p>
        </w:tc>
        <w:tc>
          <w:tcPr>
            <w:tcW w:w="1200" w:type="dxa"/>
            <w:vAlign w:val="bottom"/>
            <w:tcBorders>
              <w:top w:val="single" w:sz="8" w:color="auto"/>
              <w:right w:val="single" w:sz="8" w:color="auto"/>
            </w:tcBorders>
            <w:shd w:val="clear" w:color="auto" w:fill="B1C9FD"/>
          </w:tcPr>
          <w:p>
            <w:pPr>
              <w:spacing w:after="0"/>
              <w:rPr>
                <w:sz w:val="24"/>
                <w:szCs w:val="24"/>
                <w:color w:val="auto"/>
              </w:rPr>
            </w:pPr>
          </w:p>
        </w:tc>
      </w:tr>
      <w:tr>
        <w:trPr>
          <w:trHeight w:val="162"/>
        </w:trPr>
        <w:tc>
          <w:tcPr>
            <w:tcW w:w="1760" w:type="dxa"/>
            <w:vAlign w:val="bottom"/>
            <w:tcBorders>
              <w:left w:val="single" w:sz="8" w:color="auto"/>
              <w:right w:val="single" w:sz="8" w:color="auto"/>
            </w:tcBorders>
            <w:shd w:val="clear" w:color="auto" w:fill="B1C9FD"/>
          </w:tcPr>
          <w:p>
            <w:pPr>
              <w:spacing w:after="0"/>
              <w:rPr>
                <w:sz w:val="14"/>
                <w:szCs w:val="14"/>
                <w:color w:val="auto"/>
              </w:rPr>
            </w:pPr>
          </w:p>
        </w:tc>
        <w:tc>
          <w:tcPr>
            <w:tcW w:w="640" w:type="dxa"/>
            <w:vAlign w:val="bottom"/>
            <w:tcBorders>
              <w:right w:val="single" w:sz="8" w:color="auto"/>
            </w:tcBorders>
            <w:shd w:val="clear" w:color="auto" w:fill="B1C9FD"/>
          </w:tcPr>
          <w:p>
            <w:pPr>
              <w:spacing w:after="0"/>
              <w:rPr>
                <w:sz w:val="14"/>
                <w:szCs w:val="14"/>
                <w:color w:val="auto"/>
              </w:rPr>
            </w:pPr>
          </w:p>
        </w:tc>
        <w:tc>
          <w:tcPr>
            <w:tcW w:w="800" w:type="dxa"/>
            <w:vAlign w:val="bottom"/>
            <w:tcBorders>
              <w:right w:val="single" w:sz="8" w:color="auto"/>
            </w:tcBorders>
            <w:shd w:val="clear" w:color="auto" w:fill="B1C9FD"/>
          </w:tcPr>
          <w:p>
            <w:pPr>
              <w:spacing w:after="0"/>
              <w:rPr>
                <w:sz w:val="14"/>
                <w:szCs w:val="14"/>
                <w:color w:val="auto"/>
              </w:rPr>
            </w:pP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Performance</w:t>
            </w: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8"/>
              </w:rPr>
              <w:t>Awards</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RSU</w:t>
            </w:r>
          </w:p>
        </w:tc>
        <w:tc>
          <w:tcPr>
            <w:tcW w:w="1240" w:type="dxa"/>
            <w:vAlign w:val="bottom"/>
            <w:tcBorders>
              <w:right w:val="single" w:sz="8" w:color="auto"/>
            </w:tcBorders>
            <w:shd w:val="clear" w:color="auto" w:fill="B1C9FD"/>
          </w:tcPr>
          <w:p>
            <w:pPr>
              <w:spacing w:after="0"/>
              <w:rPr>
                <w:sz w:val="14"/>
                <w:szCs w:val="14"/>
                <w:color w:val="auto"/>
              </w:rPr>
            </w:pPr>
          </w:p>
        </w:tc>
        <w:tc>
          <w:tcPr>
            <w:tcW w:w="1340" w:type="dxa"/>
            <w:vAlign w:val="bottom"/>
            <w:tcBorders>
              <w:right w:val="single" w:sz="8" w:color="auto"/>
            </w:tcBorders>
            <w:shd w:val="clear" w:color="auto" w:fill="B1C9FD"/>
          </w:tcPr>
          <w:p>
            <w:pPr>
              <w:spacing w:after="0"/>
              <w:rPr>
                <w:sz w:val="14"/>
                <w:szCs w:val="14"/>
                <w:color w:val="auto"/>
              </w:rPr>
            </w:pPr>
          </w:p>
        </w:tc>
        <w:tc>
          <w:tcPr>
            <w:tcW w:w="1200" w:type="dxa"/>
            <w:vAlign w:val="bottom"/>
            <w:tcBorders>
              <w:right w:val="single" w:sz="8" w:color="auto"/>
            </w:tcBorders>
            <w:shd w:val="clear" w:color="auto" w:fill="B1C9FD"/>
          </w:tcPr>
          <w:p>
            <w:pPr>
              <w:spacing w:after="0"/>
              <w:rPr>
                <w:sz w:val="14"/>
                <w:szCs w:val="14"/>
                <w:color w:val="auto"/>
              </w:rPr>
            </w:pPr>
          </w:p>
        </w:tc>
      </w:tr>
      <w:tr>
        <w:trPr>
          <w:trHeight w:val="162"/>
        </w:trPr>
        <w:tc>
          <w:tcPr>
            <w:tcW w:w="1760" w:type="dxa"/>
            <w:vAlign w:val="bottom"/>
            <w:tcBorders>
              <w:left w:val="single" w:sz="8" w:color="auto"/>
              <w:right w:val="single" w:sz="8" w:color="auto"/>
            </w:tcBorders>
            <w:shd w:val="clear" w:color="auto" w:fill="B1C9FD"/>
          </w:tcPr>
          <w:p>
            <w:pPr>
              <w:spacing w:after="0"/>
              <w:rPr>
                <w:sz w:val="14"/>
                <w:szCs w:val="14"/>
                <w:color w:val="auto"/>
              </w:rPr>
            </w:pPr>
          </w:p>
        </w:tc>
        <w:tc>
          <w:tcPr>
            <w:tcW w:w="640" w:type="dxa"/>
            <w:vAlign w:val="bottom"/>
            <w:tcBorders>
              <w:right w:val="single" w:sz="8" w:color="auto"/>
            </w:tcBorders>
            <w:shd w:val="clear" w:color="auto" w:fill="B1C9FD"/>
          </w:tcPr>
          <w:p>
            <w:pPr>
              <w:spacing w:after="0"/>
              <w:rPr>
                <w:sz w:val="14"/>
                <w:szCs w:val="14"/>
                <w:color w:val="auto"/>
              </w:rPr>
            </w:pPr>
          </w:p>
        </w:tc>
        <w:tc>
          <w:tcPr>
            <w:tcW w:w="800" w:type="dxa"/>
            <w:vAlign w:val="bottom"/>
            <w:tcBorders>
              <w:right w:val="single" w:sz="8" w:color="auto"/>
            </w:tcBorders>
            <w:shd w:val="clear" w:color="auto" w:fill="B1C9FD"/>
          </w:tcPr>
          <w:p>
            <w:pPr>
              <w:spacing w:after="0"/>
              <w:rPr>
                <w:sz w:val="14"/>
                <w:szCs w:val="14"/>
                <w:color w:val="auto"/>
              </w:rPr>
            </w:pP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Share</w:t>
            </w: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Vested</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Awards</w:t>
            </w:r>
          </w:p>
        </w:tc>
        <w:tc>
          <w:tcPr>
            <w:tcW w:w="1240" w:type="dxa"/>
            <w:vAlign w:val="bottom"/>
            <w:tcBorders>
              <w:right w:val="single" w:sz="8" w:color="auto"/>
            </w:tcBorders>
            <w:shd w:val="clear" w:color="auto" w:fill="B1C9FD"/>
          </w:tcPr>
          <w:p>
            <w:pPr>
              <w:spacing w:after="0"/>
              <w:rPr>
                <w:sz w:val="14"/>
                <w:szCs w:val="14"/>
                <w:color w:val="auto"/>
              </w:rPr>
            </w:pPr>
          </w:p>
        </w:tc>
        <w:tc>
          <w:tcPr>
            <w:tcW w:w="1340" w:type="dxa"/>
            <w:vAlign w:val="bottom"/>
            <w:tcBorders>
              <w:right w:val="single" w:sz="8" w:color="auto"/>
            </w:tcBorders>
            <w:shd w:val="clear" w:color="auto" w:fill="B1C9FD"/>
          </w:tcPr>
          <w:p>
            <w:pPr>
              <w:spacing w:after="0"/>
              <w:rPr>
                <w:sz w:val="14"/>
                <w:szCs w:val="14"/>
                <w:color w:val="auto"/>
              </w:rPr>
            </w:pPr>
          </w:p>
        </w:tc>
        <w:tc>
          <w:tcPr>
            <w:tcW w:w="1200" w:type="dxa"/>
            <w:vAlign w:val="bottom"/>
            <w:tcBorders>
              <w:right w:val="single" w:sz="8" w:color="auto"/>
            </w:tcBorders>
            <w:shd w:val="clear" w:color="auto" w:fill="B1C9FD"/>
          </w:tcPr>
          <w:p>
            <w:pPr>
              <w:spacing w:after="0"/>
              <w:rPr>
                <w:sz w:val="14"/>
                <w:szCs w:val="14"/>
                <w:color w:val="auto"/>
              </w:rPr>
            </w:pPr>
          </w:p>
        </w:tc>
      </w:tr>
      <w:tr>
        <w:trPr>
          <w:trHeight w:val="175"/>
        </w:trPr>
        <w:tc>
          <w:tcPr>
            <w:tcW w:w="1760" w:type="dxa"/>
            <w:vAlign w:val="bottom"/>
            <w:tcBorders>
              <w:left w:val="single" w:sz="8" w:color="auto"/>
              <w:right w:val="single" w:sz="8" w:color="auto"/>
            </w:tcBorders>
            <w:shd w:val="clear" w:color="auto" w:fill="B1C9FD"/>
          </w:tcPr>
          <w:p>
            <w:pPr>
              <w:spacing w:after="0"/>
              <w:rPr>
                <w:sz w:val="15"/>
                <w:szCs w:val="15"/>
                <w:color w:val="auto"/>
              </w:rPr>
            </w:pPr>
          </w:p>
        </w:tc>
        <w:tc>
          <w:tcPr>
            <w:tcW w:w="640" w:type="dxa"/>
            <w:vAlign w:val="bottom"/>
            <w:tcBorders>
              <w:right w:val="single" w:sz="8" w:color="auto"/>
            </w:tcBorders>
            <w:shd w:val="clear" w:color="auto" w:fill="B1C9FD"/>
          </w:tcPr>
          <w:p>
            <w:pPr>
              <w:spacing w:after="0"/>
              <w:rPr>
                <w:sz w:val="15"/>
                <w:szCs w:val="15"/>
                <w:color w:val="auto"/>
              </w:rPr>
            </w:pPr>
          </w:p>
        </w:tc>
        <w:tc>
          <w:tcPr>
            <w:tcW w:w="800" w:type="dxa"/>
            <w:vAlign w:val="bottom"/>
            <w:tcBorders>
              <w:right w:val="single" w:sz="8" w:color="auto"/>
            </w:tcBorders>
            <w:shd w:val="clear" w:color="auto" w:fill="B1C9FD"/>
          </w:tcPr>
          <w:p>
            <w:pPr>
              <w:spacing w:after="0"/>
              <w:rPr>
                <w:sz w:val="15"/>
                <w:szCs w:val="15"/>
                <w:color w:val="auto"/>
              </w:rPr>
            </w:pP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Awards</w:t>
            </w: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in</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Vested in</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Non-Equity</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All</w:t>
            </w: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5"/>
              </w:rPr>
              <w:t>Total</w:t>
            </w:r>
          </w:p>
        </w:tc>
      </w:tr>
      <w:tr>
        <w:trPr>
          <w:trHeight w:val="162"/>
        </w:trPr>
        <w:tc>
          <w:tcPr>
            <w:tcW w:w="1760" w:type="dxa"/>
            <w:vAlign w:val="bottom"/>
            <w:tcBorders>
              <w:left w:val="single" w:sz="8" w:color="auto"/>
              <w:right w:val="single" w:sz="8" w:color="auto"/>
            </w:tcBorders>
            <w:shd w:val="clear" w:color="auto" w:fill="B1C9FD"/>
          </w:tcPr>
          <w:p>
            <w:pPr>
              <w:spacing w:after="0"/>
              <w:rPr>
                <w:sz w:val="14"/>
                <w:szCs w:val="14"/>
                <w:color w:val="auto"/>
              </w:rPr>
            </w:pPr>
          </w:p>
        </w:tc>
        <w:tc>
          <w:tcPr>
            <w:tcW w:w="640" w:type="dxa"/>
            <w:vAlign w:val="bottom"/>
            <w:tcBorders>
              <w:right w:val="single" w:sz="8" w:color="auto"/>
            </w:tcBorders>
            <w:shd w:val="clear" w:color="auto" w:fill="B1C9FD"/>
          </w:tcPr>
          <w:p>
            <w:pPr>
              <w:spacing w:after="0"/>
              <w:rPr>
                <w:sz w:val="14"/>
                <w:szCs w:val="14"/>
                <w:color w:val="auto"/>
              </w:rPr>
            </w:pPr>
          </w:p>
        </w:tc>
        <w:tc>
          <w:tcPr>
            <w:tcW w:w="8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Base</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Vested in</w:t>
            </w: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Fiscal</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Fiscal</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Incentive Plan</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Other</w:t>
            </w: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Compensation</w:t>
            </w:r>
          </w:p>
        </w:tc>
      </w:tr>
      <w:tr>
        <w:trPr>
          <w:trHeight w:val="176"/>
        </w:trPr>
        <w:tc>
          <w:tcPr>
            <w:tcW w:w="1760" w:type="dxa"/>
            <w:vAlign w:val="bottom"/>
            <w:tcBorders>
              <w:left w:val="single" w:sz="8" w:color="auto"/>
              <w:right w:val="single" w:sz="8" w:color="auto"/>
            </w:tcBorders>
            <w:shd w:val="clear" w:color="auto" w:fill="B1C9FD"/>
          </w:tcPr>
          <w:p>
            <w:pPr>
              <w:spacing w:after="0"/>
              <w:rPr>
                <w:sz w:val="15"/>
                <w:szCs w:val="15"/>
                <w:color w:val="auto"/>
              </w:rPr>
            </w:pPr>
          </w:p>
        </w:tc>
        <w:tc>
          <w:tcPr>
            <w:tcW w:w="6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Fiscal</w:t>
            </w:r>
          </w:p>
        </w:tc>
        <w:tc>
          <w:tcPr>
            <w:tcW w:w="8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Salary</w:t>
            </w:r>
          </w:p>
        </w:tc>
        <w:tc>
          <w:tcPr>
            <w:tcW w:w="112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Fiscal Year</w:t>
            </w:r>
            <w:r>
              <w:rPr>
                <w:rFonts w:ascii="Arial" w:cs="Arial" w:eastAsia="Arial" w:hAnsi="Arial"/>
                <w:sz w:val="20"/>
                <w:szCs w:val="20"/>
                <w:b w:val="1"/>
                <w:bCs w:val="1"/>
                <w:color w:val="004FF9"/>
                <w:w w:val="97"/>
                <w:vertAlign w:val="superscript"/>
              </w:rPr>
              <w:t>(1)</w:t>
            </w:r>
          </w:p>
        </w:tc>
        <w:tc>
          <w:tcPr>
            <w:tcW w:w="82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89"/>
              </w:rPr>
              <w:t>Year</w:t>
            </w:r>
            <w:r>
              <w:rPr>
                <w:rFonts w:ascii="Arial" w:cs="Arial" w:eastAsia="Arial" w:hAnsi="Arial"/>
                <w:sz w:val="20"/>
                <w:szCs w:val="20"/>
                <w:b w:val="1"/>
                <w:bCs w:val="1"/>
                <w:color w:val="004FF9"/>
                <w:w w:val="89"/>
                <w:vertAlign w:val="superscript"/>
              </w:rPr>
              <w:t>(2)</w:t>
            </w:r>
          </w:p>
        </w:tc>
        <w:tc>
          <w:tcPr>
            <w:tcW w:w="84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4"/>
              </w:rPr>
              <w:t>Year</w:t>
            </w:r>
            <w:r>
              <w:rPr>
                <w:rFonts w:ascii="Arial" w:cs="Arial" w:eastAsia="Arial" w:hAnsi="Arial"/>
                <w:sz w:val="20"/>
                <w:szCs w:val="20"/>
                <w:b w:val="1"/>
                <w:bCs w:val="1"/>
                <w:color w:val="004FF9"/>
                <w:w w:val="94"/>
                <w:vertAlign w:val="superscript"/>
              </w:rPr>
              <w:t>(3)</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Compensation</w:t>
            </w:r>
          </w:p>
        </w:tc>
        <w:tc>
          <w:tcPr>
            <w:tcW w:w="134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rPr>
              <w:t>Compensation</w:t>
            </w:r>
            <w:r>
              <w:rPr>
                <w:rFonts w:ascii="Arial" w:cs="Arial" w:eastAsia="Arial" w:hAnsi="Arial"/>
                <w:sz w:val="20"/>
                <w:szCs w:val="20"/>
                <w:b w:val="1"/>
                <w:bCs w:val="1"/>
                <w:color w:val="004FF9"/>
                <w:vertAlign w:val="superscript"/>
              </w:rPr>
              <w:t>(4)</w:t>
            </w: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Realized</w:t>
            </w:r>
          </w:p>
        </w:tc>
      </w:tr>
      <w:tr>
        <w:trPr>
          <w:trHeight w:val="175"/>
        </w:trPr>
        <w:tc>
          <w:tcPr>
            <w:tcW w:w="1760" w:type="dxa"/>
            <w:vAlign w:val="bottom"/>
            <w:tcBorders>
              <w:left w:val="single" w:sz="8" w:color="auto"/>
              <w:bottom w:val="single" w:sz="8" w:color="auto"/>
              <w:right w:val="single" w:sz="8" w:color="auto"/>
            </w:tcBorders>
            <w:shd w:val="clear" w:color="auto" w:fill="B1C9FD"/>
          </w:tcPr>
          <w:p>
            <w:pPr>
              <w:ind w:left="60"/>
              <w:spacing w:after="0"/>
              <w:rPr>
                <w:sz w:val="20"/>
                <w:szCs w:val="20"/>
                <w:color w:val="auto"/>
              </w:rPr>
            </w:pPr>
            <w:r>
              <w:rPr>
                <w:rFonts w:ascii="Arial" w:cs="Arial" w:eastAsia="Arial" w:hAnsi="Arial"/>
                <w:sz w:val="14"/>
                <w:szCs w:val="14"/>
                <w:b w:val="1"/>
                <w:bCs w:val="1"/>
                <w:color w:val="004FF9"/>
              </w:rPr>
              <w:t>Name</w:t>
            </w:r>
          </w:p>
        </w:tc>
        <w:tc>
          <w:tcPr>
            <w:tcW w:w="6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8"/>
              </w:rPr>
              <w:t>Year</w:t>
            </w:r>
          </w:p>
        </w:tc>
        <w:tc>
          <w:tcPr>
            <w:tcW w:w="8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11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8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8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12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13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2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r>
      <w:tr>
        <w:trPr>
          <w:trHeight w:val="190"/>
        </w:trPr>
        <w:tc>
          <w:tcPr>
            <w:tcW w:w="1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Henrik C. Slipsager</w:t>
            </w:r>
          </w:p>
        </w:tc>
        <w:tc>
          <w:tcPr>
            <w:tcW w:w="6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2014</w:t>
            </w:r>
          </w:p>
        </w:tc>
        <w:tc>
          <w:tcPr>
            <w:tcW w:w="80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888,666</w:t>
            </w:r>
          </w:p>
        </w:tc>
        <w:tc>
          <w:tcPr>
            <w:tcW w:w="1120" w:type="dxa"/>
            <w:vAlign w:val="bottom"/>
            <w:tcBorders>
              <w:bottom w:val="single" w:sz="8" w:color="E5EDFE"/>
              <w:right w:val="single" w:sz="8" w:color="auto"/>
            </w:tcBorders>
            <w:shd w:val="clear" w:color="auto" w:fill="E5EDFE"/>
          </w:tcPr>
          <w:p>
            <w:pPr>
              <w:jc w:val="right"/>
              <w:ind w:right="202"/>
              <w:spacing w:after="0"/>
              <w:rPr>
                <w:sz w:val="20"/>
                <w:szCs w:val="20"/>
                <w:color w:val="auto"/>
              </w:rPr>
            </w:pPr>
            <w:r>
              <w:rPr>
                <w:rFonts w:ascii="Arial" w:cs="Arial" w:eastAsia="Arial" w:hAnsi="Arial"/>
                <w:sz w:val="16"/>
                <w:szCs w:val="16"/>
                <w:color w:val="auto"/>
              </w:rPr>
              <w:t>661,203</w:t>
            </w:r>
          </w:p>
        </w:tc>
        <w:tc>
          <w:tcPr>
            <w:tcW w:w="820" w:type="dxa"/>
            <w:vAlign w:val="bottom"/>
            <w:tcBorders>
              <w:bottom w:val="single" w:sz="8" w:color="E5EDFE"/>
              <w:right w:val="single" w:sz="8" w:color="auto"/>
            </w:tcBorders>
            <w:shd w:val="clear" w:color="auto" w:fill="E5EDFE"/>
          </w:tcPr>
          <w:p>
            <w:pPr>
              <w:jc w:val="right"/>
              <w:ind w:right="42"/>
              <w:spacing w:after="0"/>
              <w:rPr>
                <w:sz w:val="20"/>
                <w:szCs w:val="20"/>
                <w:color w:val="auto"/>
              </w:rPr>
            </w:pPr>
            <w:r>
              <w:rPr>
                <w:rFonts w:ascii="Arial" w:cs="Arial" w:eastAsia="Arial" w:hAnsi="Arial"/>
                <w:sz w:val="16"/>
                <w:szCs w:val="16"/>
                <w:color w:val="auto"/>
              </w:rPr>
              <w:t>304,836</w:t>
            </w:r>
          </w:p>
        </w:tc>
        <w:tc>
          <w:tcPr>
            <w:tcW w:w="840" w:type="dxa"/>
            <w:vAlign w:val="bottom"/>
            <w:tcBorders>
              <w:bottom w:val="single" w:sz="8" w:color="E5EDFE"/>
              <w:right w:val="single" w:sz="8" w:color="auto"/>
            </w:tcBorders>
            <w:shd w:val="clear" w:color="auto" w:fill="E5EDFE"/>
          </w:tcPr>
          <w:p>
            <w:pPr>
              <w:jc w:val="right"/>
              <w:ind w:right="62"/>
              <w:spacing w:after="0"/>
              <w:rPr>
                <w:sz w:val="20"/>
                <w:szCs w:val="20"/>
                <w:color w:val="auto"/>
              </w:rPr>
            </w:pPr>
            <w:r>
              <w:rPr>
                <w:rFonts w:ascii="Arial" w:cs="Arial" w:eastAsia="Arial" w:hAnsi="Arial"/>
                <w:sz w:val="16"/>
                <w:szCs w:val="16"/>
                <w:color w:val="auto"/>
              </w:rPr>
              <w:t>253,312</w:t>
            </w:r>
          </w:p>
        </w:tc>
        <w:tc>
          <w:tcPr>
            <w:tcW w:w="1240" w:type="dxa"/>
            <w:vAlign w:val="bottom"/>
            <w:tcBorders>
              <w:bottom w:val="single" w:sz="8" w:color="E5EDFE"/>
              <w:right w:val="single" w:sz="8" w:color="auto"/>
            </w:tcBorders>
            <w:shd w:val="clear" w:color="auto" w:fill="E5EDFE"/>
          </w:tcPr>
          <w:p>
            <w:pPr>
              <w:jc w:val="right"/>
              <w:ind w:right="201"/>
              <w:spacing w:after="0"/>
              <w:rPr>
                <w:sz w:val="20"/>
                <w:szCs w:val="20"/>
                <w:color w:val="auto"/>
              </w:rPr>
            </w:pPr>
            <w:r>
              <w:rPr>
                <w:rFonts w:ascii="Arial" w:cs="Arial" w:eastAsia="Arial" w:hAnsi="Arial"/>
                <w:sz w:val="16"/>
                <w:szCs w:val="16"/>
                <w:color w:val="auto"/>
              </w:rPr>
              <w:t>1,048,806</w:t>
            </w:r>
          </w:p>
        </w:tc>
        <w:tc>
          <w:tcPr>
            <w:tcW w:w="13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69,073</w:t>
            </w:r>
          </w:p>
        </w:tc>
        <w:tc>
          <w:tcPr>
            <w:tcW w:w="1200" w:type="dxa"/>
            <w:vAlign w:val="bottom"/>
            <w:tcBorders>
              <w:bottom w:val="single" w:sz="8" w:color="E5EDFE"/>
              <w:right w:val="single" w:sz="8" w:color="auto"/>
            </w:tcBorders>
            <w:shd w:val="clear" w:color="auto" w:fill="E5EDFE"/>
          </w:tcPr>
          <w:p>
            <w:pPr>
              <w:jc w:val="right"/>
              <w:ind w:right="161"/>
              <w:spacing w:after="0"/>
              <w:rPr>
                <w:sz w:val="20"/>
                <w:szCs w:val="20"/>
                <w:color w:val="auto"/>
              </w:rPr>
            </w:pPr>
            <w:r>
              <w:rPr>
                <w:rFonts w:ascii="Arial" w:cs="Arial" w:eastAsia="Arial" w:hAnsi="Arial"/>
                <w:sz w:val="16"/>
                <w:szCs w:val="16"/>
                <w:color w:val="auto"/>
              </w:rPr>
              <w:t>3,225,896</w:t>
            </w:r>
          </w:p>
        </w:tc>
      </w:tr>
      <w:tr>
        <w:trPr>
          <w:trHeight w:val="164"/>
        </w:trPr>
        <w:tc>
          <w:tcPr>
            <w:tcW w:w="1760" w:type="dxa"/>
            <w:vAlign w:val="bottom"/>
            <w:tcBorders>
              <w:left w:val="single" w:sz="8" w:color="auto"/>
              <w:right w:val="single" w:sz="8" w:color="auto"/>
            </w:tcBorders>
          </w:tcPr>
          <w:p>
            <w:pPr>
              <w:ind w:left="220"/>
              <w:spacing w:after="0" w:line="164" w:lineRule="exact"/>
              <w:rPr>
                <w:sz w:val="20"/>
                <w:szCs w:val="20"/>
                <w:color w:val="auto"/>
              </w:rPr>
            </w:pPr>
            <w:r>
              <w:rPr>
                <w:rFonts w:ascii="Arial" w:cs="Arial" w:eastAsia="Arial" w:hAnsi="Arial"/>
                <w:sz w:val="16"/>
                <w:szCs w:val="16"/>
                <w:color w:val="auto"/>
              </w:rPr>
              <w:t>President &amp; Chief</w:t>
            </w:r>
          </w:p>
        </w:tc>
        <w:tc>
          <w:tcPr>
            <w:tcW w:w="6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2013</w:t>
            </w:r>
          </w:p>
        </w:tc>
        <w:tc>
          <w:tcPr>
            <w:tcW w:w="8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864,166</w:t>
            </w:r>
          </w:p>
        </w:tc>
        <w:tc>
          <w:tcPr>
            <w:tcW w:w="1120" w:type="dxa"/>
            <w:vAlign w:val="bottom"/>
            <w:tcBorders>
              <w:right w:val="single" w:sz="8" w:color="auto"/>
            </w:tcBorders>
          </w:tcPr>
          <w:p>
            <w:pPr>
              <w:jc w:val="right"/>
              <w:ind w:right="202"/>
              <w:spacing w:after="0" w:line="164" w:lineRule="exact"/>
              <w:rPr>
                <w:sz w:val="20"/>
                <w:szCs w:val="20"/>
                <w:color w:val="auto"/>
              </w:rPr>
            </w:pPr>
            <w:r>
              <w:rPr>
                <w:rFonts w:ascii="Arial" w:cs="Arial" w:eastAsia="Arial" w:hAnsi="Arial"/>
                <w:sz w:val="16"/>
                <w:szCs w:val="16"/>
                <w:color w:val="auto"/>
              </w:rPr>
              <w:t>415,870</w:t>
            </w:r>
          </w:p>
        </w:tc>
        <w:tc>
          <w:tcPr>
            <w:tcW w:w="820" w:type="dxa"/>
            <w:vAlign w:val="bottom"/>
            <w:tcBorders>
              <w:right w:val="single" w:sz="8" w:color="auto"/>
            </w:tcBorders>
          </w:tcPr>
          <w:p>
            <w:pPr>
              <w:jc w:val="right"/>
              <w:ind w:right="42"/>
              <w:spacing w:after="0" w:line="164" w:lineRule="exact"/>
              <w:rPr>
                <w:sz w:val="20"/>
                <w:szCs w:val="20"/>
                <w:color w:val="auto"/>
              </w:rPr>
            </w:pPr>
            <w:r>
              <w:rPr>
                <w:rFonts w:ascii="Arial" w:cs="Arial" w:eastAsia="Arial" w:hAnsi="Arial"/>
                <w:sz w:val="16"/>
                <w:szCs w:val="16"/>
                <w:color w:val="auto"/>
              </w:rPr>
              <w:t>199,565</w:t>
            </w:r>
          </w:p>
        </w:tc>
        <w:tc>
          <w:tcPr>
            <w:tcW w:w="840" w:type="dxa"/>
            <w:vAlign w:val="bottom"/>
            <w:tcBorders>
              <w:right w:val="single" w:sz="8" w:color="auto"/>
            </w:tcBorders>
          </w:tcPr>
          <w:p>
            <w:pPr>
              <w:jc w:val="right"/>
              <w:ind w:right="62"/>
              <w:spacing w:after="0" w:line="164" w:lineRule="exact"/>
              <w:rPr>
                <w:sz w:val="20"/>
                <w:szCs w:val="20"/>
                <w:color w:val="auto"/>
              </w:rPr>
            </w:pPr>
            <w:r>
              <w:rPr>
                <w:rFonts w:ascii="Arial" w:cs="Arial" w:eastAsia="Arial" w:hAnsi="Arial"/>
                <w:sz w:val="16"/>
                <w:szCs w:val="16"/>
                <w:color w:val="auto"/>
              </w:rPr>
              <w:t>402,651</w:t>
            </w:r>
          </w:p>
        </w:tc>
        <w:tc>
          <w:tcPr>
            <w:tcW w:w="1240" w:type="dxa"/>
            <w:vAlign w:val="bottom"/>
            <w:tcBorders>
              <w:right w:val="single" w:sz="8" w:color="auto"/>
            </w:tcBorders>
          </w:tcPr>
          <w:p>
            <w:pPr>
              <w:jc w:val="right"/>
              <w:ind w:right="201"/>
              <w:spacing w:after="0" w:line="164" w:lineRule="exact"/>
              <w:rPr>
                <w:sz w:val="20"/>
                <w:szCs w:val="20"/>
                <w:color w:val="auto"/>
              </w:rPr>
            </w:pPr>
            <w:r>
              <w:rPr>
                <w:rFonts w:ascii="Arial" w:cs="Arial" w:eastAsia="Arial" w:hAnsi="Arial"/>
                <w:sz w:val="16"/>
                <w:szCs w:val="16"/>
                <w:color w:val="auto"/>
              </w:rPr>
              <w:t>1,303,448</w:t>
            </w: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37,453</w:t>
            </w:r>
          </w:p>
        </w:tc>
        <w:tc>
          <w:tcPr>
            <w:tcW w:w="1200" w:type="dxa"/>
            <w:vAlign w:val="bottom"/>
            <w:tcBorders>
              <w:right w:val="single" w:sz="8" w:color="auto"/>
            </w:tcBorders>
          </w:tcPr>
          <w:p>
            <w:pPr>
              <w:jc w:val="right"/>
              <w:ind w:right="161"/>
              <w:spacing w:after="0" w:line="164" w:lineRule="exact"/>
              <w:rPr>
                <w:sz w:val="20"/>
                <w:szCs w:val="20"/>
                <w:color w:val="auto"/>
              </w:rPr>
            </w:pPr>
            <w:r>
              <w:rPr>
                <w:rFonts w:ascii="Arial" w:cs="Arial" w:eastAsia="Arial" w:hAnsi="Arial"/>
                <w:sz w:val="16"/>
                <w:szCs w:val="16"/>
                <w:color w:val="auto"/>
              </w:rPr>
              <w:t>3,223,153</w:t>
            </w:r>
          </w:p>
        </w:tc>
      </w:tr>
      <w:tr>
        <w:trPr>
          <w:trHeight w:val="198"/>
        </w:trPr>
        <w:tc>
          <w:tcPr>
            <w:tcW w:w="17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Executive Officer</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2012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847,898</w:t>
            </w:r>
          </w:p>
        </w:tc>
        <w:tc>
          <w:tcPr>
            <w:tcW w:w="112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rPr>
              <w:t>511,521</w:t>
            </w:r>
          </w:p>
        </w:tc>
        <w:tc>
          <w:tcPr>
            <w:tcW w:w="82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color w:val="auto"/>
              </w:rPr>
              <w:t>63,934</w:t>
            </w:r>
          </w:p>
        </w:tc>
        <w:tc>
          <w:tcPr>
            <w:tcW w:w="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490,452</w:t>
            </w:r>
          </w:p>
        </w:tc>
        <w:tc>
          <w:tcPr>
            <w:tcW w:w="124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16"/>
                <w:szCs w:val="16"/>
                <w:color w:val="auto"/>
              </w:rPr>
              <w:t>646,000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57,976</w:t>
            </w:r>
          </w:p>
        </w:tc>
        <w:tc>
          <w:tcPr>
            <w:tcW w:w="120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6"/>
                <w:szCs w:val="16"/>
                <w:color w:val="auto"/>
              </w:rPr>
              <w:t>2,617,781</w:t>
            </w:r>
          </w:p>
        </w:tc>
      </w:tr>
      <w:tr>
        <w:trPr>
          <w:trHeight w:val="199"/>
        </w:trPr>
        <w:tc>
          <w:tcPr>
            <w:tcW w:w="1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S. Lusk</w:t>
            </w:r>
          </w:p>
        </w:tc>
        <w:tc>
          <w:tcPr>
            <w:tcW w:w="64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2014</w:t>
            </w:r>
          </w:p>
        </w:tc>
        <w:tc>
          <w:tcPr>
            <w:tcW w:w="80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559,342</w:t>
            </w:r>
          </w:p>
        </w:tc>
        <w:tc>
          <w:tcPr>
            <w:tcW w:w="1120" w:type="dxa"/>
            <w:vAlign w:val="bottom"/>
            <w:tcBorders>
              <w:right w:val="single" w:sz="8" w:color="auto"/>
            </w:tcBorders>
            <w:shd w:val="clear" w:color="auto" w:fill="E5EDFE"/>
          </w:tcPr>
          <w:p>
            <w:pPr>
              <w:jc w:val="right"/>
              <w:ind w:right="202"/>
              <w:spacing w:after="0"/>
              <w:rPr>
                <w:sz w:val="20"/>
                <w:szCs w:val="20"/>
                <w:color w:val="auto"/>
              </w:rPr>
            </w:pPr>
            <w:r>
              <w:rPr>
                <w:rFonts w:ascii="Arial" w:cs="Arial" w:eastAsia="Arial" w:hAnsi="Arial"/>
                <w:sz w:val="16"/>
                <w:szCs w:val="16"/>
                <w:color w:val="auto"/>
              </w:rPr>
              <w:t>191,690</w:t>
            </w:r>
          </w:p>
        </w:tc>
        <w:tc>
          <w:tcPr>
            <w:tcW w:w="820" w:type="dxa"/>
            <w:vAlign w:val="bottom"/>
            <w:tcBorders>
              <w:right w:val="single" w:sz="8" w:color="auto"/>
            </w:tcBorders>
            <w:shd w:val="clear" w:color="auto" w:fill="E5EDFE"/>
          </w:tcPr>
          <w:p>
            <w:pPr>
              <w:jc w:val="right"/>
              <w:ind w:right="42"/>
              <w:spacing w:after="0"/>
              <w:rPr>
                <w:sz w:val="20"/>
                <w:szCs w:val="20"/>
                <w:color w:val="auto"/>
              </w:rPr>
            </w:pPr>
            <w:r>
              <w:rPr>
                <w:rFonts w:ascii="Arial" w:cs="Arial" w:eastAsia="Arial" w:hAnsi="Arial"/>
                <w:sz w:val="16"/>
                <w:szCs w:val="16"/>
                <w:color w:val="auto"/>
              </w:rPr>
              <w:t>134,338</w:t>
            </w:r>
          </w:p>
        </w:tc>
        <w:tc>
          <w:tcPr>
            <w:tcW w:w="840" w:type="dxa"/>
            <w:vAlign w:val="bottom"/>
            <w:tcBorders>
              <w:right w:val="single" w:sz="8" w:color="auto"/>
            </w:tcBorders>
            <w:shd w:val="clear" w:color="auto" w:fill="E5EDFE"/>
          </w:tcPr>
          <w:p>
            <w:pPr>
              <w:jc w:val="right"/>
              <w:ind w:right="62"/>
              <w:spacing w:after="0"/>
              <w:rPr>
                <w:sz w:val="20"/>
                <w:szCs w:val="20"/>
                <w:color w:val="auto"/>
              </w:rPr>
            </w:pPr>
            <w:r>
              <w:rPr>
                <w:rFonts w:ascii="Arial" w:cs="Arial" w:eastAsia="Arial" w:hAnsi="Arial"/>
                <w:sz w:val="16"/>
                <w:szCs w:val="16"/>
                <w:color w:val="auto"/>
              </w:rPr>
              <w:t>164,126</w:t>
            </w:r>
          </w:p>
        </w:tc>
        <w:tc>
          <w:tcPr>
            <w:tcW w:w="1240" w:type="dxa"/>
            <w:vAlign w:val="bottom"/>
            <w:tcBorders>
              <w:right w:val="single" w:sz="8" w:color="auto"/>
            </w:tcBorders>
            <w:shd w:val="clear" w:color="auto" w:fill="E5EDFE"/>
          </w:tcPr>
          <w:p>
            <w:pPr>
              <w:jc w:val="right"/>
              <w:ind w:right="201"/>
              <w:spacing w:after="0"/>
              <w:rPr>
                <w:sz w:val="20"/>
                <w:szCs w:val="20"/>
                <w:color w:val="auto"/>
              </w:rPr>
            </w:pPr>
            <w:r>
              <w:rPr>
                <w:rFonts w:ascii="Arial" w:cs="Arial" w:eastAsia="Arial" w:hAnsi="Arial"/>
                <w:sz w:val="16"/>
                <w:szCs w:val="16"/>
                <w:color w:val="auto"/>
              </w:rPr>
              <w:t>455,221</w:t>
            </w:r>
          </w:p>
        </w:tc>
        <w:tc>
          <w:tcPr>
            <w:tcW w:w="134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26,257</w:t>
            </w:r>
          </w:p>
        </w:tc>
        <w:tc>
          <w:tcPr>
            <w:tcW w:w="1200" w:type="dxa"/>
            <w:vAlign w:val="bottom"/>
            <w:tcBorders>
              <w:right w:val="single" w:sz="8" w:color="auto"/>
            </w:tcBorders>
            <w:shd w:val="clear" w:color="auto" w:fill="E5EDFE"/>
          </w:tcPr>
          <w:p>
            <w:pPr>
              <w:jc w:val="right"/>
              <w:ind w:right="161"/>
              <w:spacing w:after="0"/>
              <w:rPr>
                <w:sz w:val="20"/>
                <w:szCs w:val="20"/>
                <w:color w:val="auto"/>
              </w:rPr>
            </w:pPr>
            <w:r>
              <w:rPr>
                <w:rFonts w:ascii="Arial" w:cs="Arial" w:eastAsia="Arial" w:hAnsi="Arial"/>
                <w:sz w:val="16"/>
                <w:szCs w:val="16"/>
                <w:color w:val="auto"/>
              </w:rPr>
              <w:t>1,530,974</w:t>
            </w:r>
          </w:p>
        </w:tc>
      </w:tr>
      <w:tr>
        <w:trPr>
          <w:trHeight w:val="164"/>
        </w:trPr>
        <w:tc>
          <w:tcPr>
            <w:tcW w:w="1760" w:type="dxa"/>
            <w:vAlign w:val="bottom"/>
            <w:tcBorders>
              <w:left w:val="single" w:sz="8" w:color="auto"/>
              <w:right w:val="single" w:sz="8" w:color="auto"/>
            </w:tcBorders>
          </w:tcPr>
          <w:p>
            <w:pPr>
              <w:ind w:left="220"/>
              <w:spacing w:after="0" w:line="164" w:lineRule="exact"/>
              <w:rPr>
                <w:sz w:val="20"/>
                <w:szCs w:val="20"/>
                <w:color w:val="auto"/>
              </w:rPr>
            </w:pPr>
            <w:r>
              <w:rPr>
                <w:rFonts w:ascii="Arial" w:cs="Arial" w:eastAsia="Arial" w:hAnsi="Arial"/>
                <w:sz w:val="16"/>
                <w:szCs w:val="16"/>
                <w:color w:val="auto"/>
              </w:rPr>
              <w:t>Executive Vice</w:t>
            </w:r>
          </w:p>
        </w:tc>
        <w:tc>
          <w:tcPr>
            <w:tcW w:w="6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2013</w:t>
            </w:r>
          </w:p>
        </w:tc>
        <w:tc>
          <w:tcPr>
            <w:tcW w:w="8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543,916</w:t>
            </w:r>
          </w:p>
        </w:tc>
        <w:tc>
          <w:tcPr>
            <w:tcW w:w="1120" w:type="dxa"/>
            <w:vAlign w:val="bottom"/>
            <w:tcBorders>
              <w:right w:val="single" w:sz="8" w:color="auto"/>
            </w:tcBorders>
          </w:tcPr>
          <w:p>
            <w:pPr>
              <w:jc w:val="right"/>
              <w:ind w:right="202"/>
              <w:spacing w:after="0" w:line="164" w:lineRule="exact"/>
              <w:rPr>
                <w:sz w:val="20"/>
                <w:szCs w:val="20"/>
                <w:color w:val="auto"/>
              </w:rPr>
            </w:pPr>
            <w:r>
              <w:rPr>
                <w:rFonts w:ascii="Arial" w:cs="Arial" w:eastAsia="Arial" w:hAnsi="Arial"/>
                <w:sz w:val="16"/>
                <w:szCs w:val="16"/>
                <w:color w:val="auto"/>
              </w:rPr>
              <w:t>127,848</w:t>
            </w:r>
          </w:p>
        </w:tc>
        <w:tc>
          <w:tcPr>
            <w:tcW w:w="820" w:type="dxa"/>
            <w:vAlign w:val="bottom"/>
            <w:tcBorders>
              <w:right w:val="single" w:sz="8" w:color="auto"/>
            </w:tcBorders>
          </w:tcPr>
          <w:p>
            <w:pPr>
              <w:jc w:val="right"/>
              <w:ind w:right="42"/>
              <w:spacing w:after="0" w:line="164" w:lineRule="exact"/>
              <w:rPr>
                <w:sz w:val="20"/>
                <w:szCs w:val="20"/>
                <w:color w:val="auto"/>
              </w:rPr>
            </w:pPr>
            <w:r>
              <w:rPr>
                <w:rFonts w:ascii="Arial" w:cs="Arial" w:eastAsia="Arial" w:hAnsi="Arial"/>
                <w:sz w:val="16"/>
                <w:szCs w:val="16"/>
                <w:color w:val="auto"/>
              </w:rPr>
              <w:t>113,828</w:t>
            </w:r>
          </w:p>
        </w:tc>
        <w:tc>
          <w:tcPr>
            <w:tcW w:w="840" w:type="dxa"/>
            <w:vAlign w:val="bottom"/>
            <w:tcBorders>
              <w:right w:val="single" w:sz="8" w:color="auto"/>
            </w:tcBorders>
          </w:tcPr>
          <w:p>
            <w:pPr>
              <w:jc w:val="right"/>
              <w:ind w:right="62"/>
              <w:spacing w:after="0" w:line="164" w:lineRule="exact"/>
              <w:rPr>
                <w:sz w:val="20"/>
                <w:szCs w:val="20"/>
                <w:color w:val="auto"/>
              </w:rPr>
            </w:pPr>
            <w:r>
              <w:rPr>
                <w:rFonts w:ascii="Arial" w:cs="Arial" w:eastAsia="Arial" w:hAnsi="Arial"/>
                <w:sz w:val="16"/>
                <w:szCs w:val="16"/>
                <w:color w:val="auto"/>
              </w:rPr>
              <w:t>116,588</w:t>
            </w:r>
          </w:p>
        </w:tc>
        <w:tc>
          <w:tcPr>
            <w:tcW w:w="1240" w:type="dxa"/>
            <w:vAlign w:val="bottom"/>
            <w:tcBorders>
              <w:right w:val="single" w:sz="8" w:color="auto"/>
            </w:tcBorders>
          </w:tcPr>
          <w:p>
            <w:pPr>
              <w:jc w:val="right"/>
              <w:ind w:right="201"/>
              <w:spacing w:after="0" w:line="164" w:lineRule="exact"/>
              <w:rPr>
                <w:sz w:val="20"/>
                <w:szCs w:val="20"/>
                <w:color w:val="auto"/>
              </w:rPr>
            </w:pPr>
            <w:r>
              <w:rPr>
                <w:rFonts w:ascii="Arial" w:cs="Arial" w:eastAsia="Arial" w:hAnsi="Arial"/>
                <w:sz w:val="16"/>
                <w:szCs w:val="16"/>
                <w:color w:val="auto"/>
              </w:rPr>
              <w:t>537,078</w:t>
            </w: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18,292</w:t>
            </w:r>
          </w:p>
        </w:tc>
        <w:tc>
          <w:tcPr>
            <w:tcW w:w="1200" w:type="dxa"/>
            <w:vAlign w:val="bottom"/>
            <w:tcBorders>
              <w:right w:val="single" w:sz="8" w:color="auto"/>
            </w:tcBorders>
          </w:tcPr>
          <w:p>
            <w:pPr>
              <w:jc w:val="right"/>
              <w:ind w:right="161"/>
              <w:spacing w:after="0" w:line="164" w:lineRule="exact"/>
              <w:rPr>
                <w:sz w:val="20"/>
                <w:szCs w:val="20"/>
                <w:color w:val="auto"/>
              </w:rPr>
            </w:pPr>
            <w:r>
              <w:rPr>
                <w:rFonts w:ascii="Arial" w:cs="Arial" w:eastAsia="Arial" w:hAnsi="Arial"/>
                <w:sz w:val="16"/>
                <w:szCs w:val="16"/>
                <w:color w:val="auto"/>
              </w:rPr>
              <w:t>1,457,550</w:t>
            </w:r>
          </w:p>
        </w:tc>
      </w:tr>
      <w:tr>
        <w:trPr>
          <w:trHeight w:val="203"/>
        </w:trPr>
        <w:tc>
          <w:tcPr>
            <w:tcW w:w="1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President &amp; Chief</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2012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526,763</w:t>
            </w:r>
          </w:p>
        </w:tc>
        <w:tc>
          <w:tcPr>
            <w:tcW w:w="1120" w:type="dxa"/>
            <w:vAlign w:val="bottom"/>
            <w:tcBorders>
              <w:right w:val="single" w:sz="8" w:color="auto"/>
            </w:tcBorders>
          </w:tcPr>
          <w:p>
            <w:pPr>
              <w:jc w:val="right"/>
              <w:ind w:right="202"/>
              <w:spacing w:after="0"/>
              <w:rPr>
                <w:sz w:val="20"/>
                <w:szCs w:val="20"/>
                <w:color w:val="auto"/>
              </w:rPr>
            </w:pPr>
            <w:r>
              <w:rPr>
                <w:rFonts w:ascii="Arial" w:cs="Arial" w:eastAsia="Arial" w:hAnsi="Arial"/>
                <w:sz w:val="16"/>
                <w:szCs w:val="16"/>
                <w:color w:val="auto"/>
              </w:rPr>
              <w:t>145,313</w:t>
            </w:r>
          </w:p>
        </w:tc>
        <w:tc>
          <w:tcPr>
            <w:tcW w:w="82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color w:val="auto"/>
              </w:rPr>
              <w:t>12,874</w:t>
            </w:r>
          </w:p>
        </w:tc>
        <w:tc>
          <w:tcPr>
            <w:tcW w:w="840" w:type="dxa"/>
            <w:vAlign w:val="bottom"/>
            <w:tcBorders>
              <w:right w:val="single" w:sz="8" w:color="auto"/>
            </w:tcBorders>
          </w:tcPr>
          <w:p>
            <w:pPr>
              <w:jc w:val="right"/>
              <w:ind w:right="62"/>
              <w:spacing w:after="0"/>
              <w:rPr>
                <w:sz w:val="20"/>
                <w:szCs w:val="20"/>
                <w:color w:val="auto"/>
              </w:rPr>
            </w:pPr>
            <w:r>
              <w:rPr>
                <w:rFonts w:ascii="Arial" w:cs="Arial" w:eastAsia="Arial" w:hAnsi="Arial"/>
                <w:sz w:val="16"/>
                <w:szCs w:val="16"/>
                <w:color w:val="auto"/>
              </w:rPr>
              <w:t>115,766</w:t>
            </w:r>
          </w:p>
        </w:tc>
        <w:tc>
          <w:tcPr>
            <w:tcW w:w="1240" w:type="dxa"/>
            <w:vAlign w:val="bottom"/>
            <w:tcBorders>
              <w:right w:val="single" w:sz="8" w:color="auto"/>
            </w:tcBorders>
          </w:tcPr>
          <w:p>
            <w:pPr>
              <w:jc w:val="right"/>
              <w:ind w:right="201"/>
              <w:spacing w:after="0"/>
              <w:rPr>
                <w:sz w:val="20"/>
                <w:szCs w:val="20"/>
                <w:color w:val="auto"/>
              </w:rPr>
            </w:pPr>
            <w:r>
              <w:rPr>
                <w:rFonts w:ascii="Arial" w:cs="Arial" w:eastAsia="Arial" w:hAnsi="Arial"/>
                <w:sz w:val="16"/>
                <w:szCs w:val="16"/>
                <w:color w:val="auto"/>
              </w:rPr>
              <w:t>304,843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28,580</w:t>
            </w:r>
          </w:p>
        </w:tc>
        <w:tc>
          <w:tcPr>
            <w:tcW w:w="1200" w:type="dxa"/>
            <w:vAlign w:val="bottom"/>
            <w:tcBorders>
              <w:right w:val="single" w:sz="8" w:color="auto"/>
            </w:tcBorders>
          </w:tcPr>
          <w:p>
            <w:pPr>
              <w:jc w:val="right"/>
              <w:ind w:right="161"/>
              <w:spacing w:after="0"/>
              <w:rPr>
                <w:sz w:val="20"/>
                <w:szCs w:val="20"/>
                <w:color w:val="auto"/>
              </w:rPr>
            </w:pPr>
            <w:r>
              <w:rPr>
                <w:rFonts w:ascii="Arial" w:cs="Arial" w:eastAsia="Arial" w:hAnsi="Arial"/>
                <w:sz w:val="16"/>
                <w:szCs w:val="16"/>
                <w:color w:val="auto"/>
              </w:rPr>
              <w:t>1,134,139</w:t>
            </w:r>
          </w:p>
        </w:tc>
      </w:tr>
      <w:tr>
        <w:trPr>
          <w:trHeight w:val="208"/>
        </w:trPr>
        <w:tc>
          <w:tcPr>
            <w:tcW w:w="17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Financial Officer</w:t>
            </w:r>
          </w:p>
        </w:tc>
        <w:tc>
          <w:tcPr>
            <w:tcW w:w="6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196"/>
        </w:trPr>
        <w:tc>
          <w:tcPr>
            <w:tcW w:w="1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P. McClure</w:t>
            </w:r>
          </w:p>
        </w:tc>
        <w:tc>
          <w:tcPr>
            <w:tcW w:w="6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2014</w:t>
            </w:r>
          </w:p>
        </w:tc>
        <w:tc>
          <w:tcPr>
            <w:tcW w:w="80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674,347</w:t>
            </w:r>
          </w:p>
        </w:tc>
        <w:tc>
          <w:tcPr>
            <w:tcW w:w="1120" w:type="dxa"/>
            <w:vAlign w:val="bottom"/>
            <w:tcBorders>
              <w:bottom w:val="single" w:sz="8" w:color="E5EDFE"/>
              <w:right w:val="single" w:sz="8" w:color="auto"/>
            </w:tcBorders>
            <w:shd w:val="clear" w:color="auto" w:fill="E5EDFE"/>
          </w:tcPr>
          <w:p>
            <w:pPr>
              <w:jc w:val="right"/>
              <w:ind w:right="202"/>
              <w:spacing w:after="0"/>
              <w:rPr>
                <w:sz w:val="20"/>
                <w:szCs w:val="20"/>
                <w:color w:val="auto"/>
              </w:rPr>
            </w:pPr>
            <w:r>
              <w:rPr>
                <w:rFonts w:ascii="Arial" w:cs="Arial" w:eastAsia="Arial" w:hAnsi="Arial"/>
                <w:sz w:val="16"/>
                <w:szCs w:val="16"/>
                <w:color w:val="auto"/>
              </w:rPr>
              <w:t>264,311</w:t>
            </w:r>
          </w:p>
        </w:tc>
        <w:tc>
          <w:tcPr>
            <w:tcW w:w="820" w:type="dxa"/>
            <w:vAlign w:val="bottom"/>
            <w:tcBorders>
              <w:bottom w:val="single" w:sz="8" w:color="E5EDFE"/>
              <w:right w:val="single" w:sz="8" w:color="auto"/>
            </w:tcBorders>
            <w:shd w:val="clear" w:color="auto" w:fill="E5EDFE"/>
          </w:tcPr>
          <w:p>
            <w:pPr>
              <w:jc w:val="right"/>
              <w:ind w:right="42"/>
              <w:spacing w:after="0"/>
              <w:rPr>
                <w:sz w:val="20"/>
                <w:szCs w:val="20"/>
                <w:color w:val="auto"/>
              </w:rPr>
            </w:pPr>
            <w:r>
              <w:rPr>
                <w:rFonts w:ascii="Arial" w:cs="Arial" w:eastAsia="Arial" w:hAnsi="Arial"/>
                <w:sz w:val="16"/>
                <w:szCs w:val="16"/>
                <w:color w:val="auto"/>
              </w:rPr>
              <w:t>181,584</w:t>
            </w:r>
          </w:p>
        </w:tc>
        <w:tc>
          <w:tcPr>
            <w:tcW w:w="840" w:type="dxa"/>
            <w:vAlign w:val="bottom"/>
            <w:tcBorders>
              <w:bottom w:val="single" w:sz="8" w:color="E5EDFE"/>
              <w:right w:val="single" w:sz="8" w:color="auto"/>
            </w:tcBorders>
            <w:shd w:val="clear" w:color="auto" w:fill="E5EDFE"/>
          </w:tcPr>
          <w:p>
            <w:pPr>
              <w:jc w:val="right"/>
              <w:ind w:right="62"/>
              <w:spacing w:after="0"/>
              <w:rPr>
                <w:sz w:val="20"/>
                <w:szCs w:val="20"/>
                <w:color w:val="auto"/>
              </w:rPr>
            </w:pPr>
            <w:r>
              <w:rPr>
                <w:rFonts w:ascii="Arial" w:cs="Arial" w:eastAsia="Arial" w:hAnsi="Arial"/>
                <w:sz w:val="16"/>
                <w:szCs w:val="16"/>
                <w:color w:val="auto"/>
              </w:rPr>
              <w:t>243,906</w:t>
            </w:r>
          </w:p>
        </w:tc>
        <w:tc>
          <w:tcPr>
            <w:tcW w:w="1240" w:type="dxa"/>
            <w:vAlign w:val="bottom"/>
            <w:tcBorders>
              <w:bottom w:val="single" w:sz="8" w:color="E5EDFE"/>
              <w:right w:val="single" w:sz="8" w:color="auto"/>
            </w:tcBorders>
            <w:shd w:val="clear" w:color="auto" w:fill="E5EDFE"/>
          </w:tcPr>
          <w:p>
            <w:pPr>
              <w:jc w:val="right"/>
              <w:ind w:right="201"/>
              <w:spacing w:after="0"/>
              <w:rPr>
                <w:sz w:val="20"/>
                <w:szCs w:val="20"/>
                <w:color w:val="auto"/>
              </w:rPr>
            </w:pPr>
            <w:r>
              <w:rPr>
                <w:rFonts w:ascii="Arial" w:cs="Arial" w:eastAsia="Arial" w:hAnsi="Arial"/>
                <w:sz w:val="16"/>
                <w:szCs w:val="16"/>
                <w:color w:val="auto"/>
              </w:rPr>
              <w:t>572,773</w:t>
            </w:r>
          </w:p>
        </w:tc>
        <w:tc>
          <w:tcPr>
            <w:tcW w:w="13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14,176</w:t>
            </w:r>
          </w:p>
        </w:tc>
        <w:tc>
          <w:tcPr>
            <w:tcW w:w="1200" w:type="dxa"/>
            <w:vAlign w:val="bottom"/>
            <w:tcBorders>
              <w:bottom w:val="single" w:sz="8" w:color="E5EDFE"/>
              <w:right w:val="single" w:sz="8" w:color="auto"/>
            </w:tcBorders>
            <w:shd w:val="clear" w:color="auto" w:fill="E5EDFE"/>
          </w:tcPr>
          <w:p>
            <w:pPr>
              <w:jc w:val="right"/>
              <w:ind w:right="161"/>
              <w:spacing w:after="0"/>
              <w:rPr>
                <w:sz w:val="20"/>
                <w:szCs w:val="20"/>
                <w:color w:val="auto"/>
              </w:rPr>
            </w:pPr>
            <w:r>
              <w:rPr>
                <w:rFonts w:ascii="Arial" w:cs="Arial" w:eastAsia="Arial" w:hAnsi="Arial"/>
                <w:sz w:val="16"/>
                <w:szCs w:val="16"/>
                <w:color w:val="auto"/>
              </w:rPr>
              <w:t>1,951,097</w:t>
            </w:r>
          </w:p>
        </w:tc>
      </w:tr>
      <w:tr>
        <w:trPr>
          <w:trHeight w:val="164"/>
        </w:trPr>
        <w:tc>
          <w:tcPr>
            <w:tcW w:w="1760" w:type="dxa"/>
            <w:vAlign w:val="bottom"/>
            <w:tcBorders>
              <w:left w:val="single" w:sz="8" w:color="auto"/>
              <w:right w:val="single" w:sz="8" w:color="auto"/>
            </w:tcBorders>
          </w:tcPr>
          <w:p>
            <w:pPr>
              <w:ind w:left="220"/>
              <w:spacing w:after="0" w:line="164" w:lineRule="exact"/>
              <w:rPr>
                <w:sz w:val="20"/>
                <w:szCs w:val="20"/>
                <w:color w:val="auto"/>
              </w:rPr>
            </w:pPr>
            <w:r>
              <w:rPr>
                <w:rFonts w:ascii="Arial" w:cs="Arial" w:eastAsia="Arial" w:hAnsi="Arial"/>
                <w:sz w:val="16"/>
                <w:szCs w:val="16"/>
                <w:color w:val="auto"/>
              </w:rPr>
              <w:t>Executive Vice</w:t>
            </w:r>
          </w:p>
        </w:tc>
        <w:tc>
          <w:tcPr>
            <w:tcW w:w="6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2013</w:t>
            </w:r>
          </w:p>
        </w:tc>
        <w:tc>
          <w:tcPr>
            <w:tcW w:w="8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655,750</w:t>
            </w:r>
          </w:p>
        </w:tc>
        <w:tc>
          <w:tcPr>
            <w:tcW w:w="1120" w:type="dxa"/>
            <w:vAlign w:val="bottom"/>
            <w:tcBorders>
              <w:right w:val="single" w:sz="8" w:color="auto"/>
            </w:tcBorders>
          </w:tcPr>
          <w:p>
            <w:pPr>
              <w:jc w:val="right"/>
              <w:ind w:right="202"/>
              <w:spacing w:after="0" w:line="164" w:lineRule="exact"/>
              <w:rPr>
                <w:sz w:val="20"/>
                <w:szCs w:val="20"/>
                <w:color w:val="auto"/>
              </w:rPr>
            </w:pPr>
            <w:r>
              <w:rPr>
                <w:rFonts w:ascii="Arial" w:cs="Arial" w:eastAsia="Arial" w:hAnsi="Arial"/>
                <w:sz w:val="16"/>
                <w:szCs w:val="16"/>
                <w:color w:val="auto"/>
              </w:rPr>
              <w:t>162,465</w:t>
            </w:r>
          </w:p>
        </w:tc>
        <w:tc>
          <w:tcPr>
            <w:tcW w:w="820" w:type="dxa"/>
            <w:vAlign w:val="bottom"/>
            <w:tcBorders>
              <w:right w:val="single" w:sz="8" w:color="auto"/>
            </w:tcBorders>
          </w:tcPr>
          <w:p>
            <w:pPr>
              <w:jc w:val="right"/>
              <w:ind w:right="42"/>
              <w:spacing w:after="0" w:line="164" w:lineRule="exact"/>
              <w:rPr>
                <w:sz w:val="20"/>
                <w:szCs w:val="20"/>
                <w:color w:val="auto"/>
              </w:rPr>
            </w:pPr>
            <w:r>
              <w:rPr>
                <w:rFonts w:ascii="Arial" w:cs="Arial" w:eastAsia="Arial" w:hAnsi="Arial"/>
                <w:sz w:val="16"/>
                <w:szCs w:val="16"/>
                <w:color w:val="auto"/>
              </w:rPr>
              <w:t>153,501</w:t>
            </w:r>
          </w:p>
        </w:tc>
        <w:tc>
          <w:tcPr>
            <w:tcW w:w="840" w:type="dxa"/>
            <w:vAlign w:val="bottom"/>
            <w:tcBorders>
              <w:right w:val="single" w:sz="8" w:color="auto"/>
            </w:tcBorders>
          </w:tcPr>
          <w:p>
            <w:pPr>
              <w:jc w:val="right"/>
              <w:ind w:right="62"/>
              <w:spacing w:after="0" w:line="164" w:lineRule="exact"/>
              <w:rPr>
                <w:sz w:val="20"/>
                <w:szCs w:val="20"/>
                <w:color w:val="auto"/>
              </w:rPr>
            </w:pPr>
            <w:r>
              <w:rPr>
                <w:rFonts w:ascii="Arial" w:cs="Arial" w:eastAsia="Arial" w:hAnsi="Arial"/>
                <w:sz w:val="16"/>
                <w:szCs w:val="16"/>
                <w:color w:val="auto"/>
              </w:rPr>
              <w:t>164,708</w:t>
            </w:r>
          </w:p>
        </w:tc>
        <w:tc>
          <w:tcPr>
            <w:tcW w:w="1240" w:type="dxa"/>
            <w:vAlign w:val="bottom"/>
            <w:tcBorders>
              <w:right w:val="single" w:sz="8" w:color="auto"/>
            </w:tcBorders>
          </w:tcPr>
          <w:p>
            <w:pPr>
              <w:jc w:val="right"/>
              <w:ind w:right="201"/>
              <w:spacing w:after="0" w:line="164" w:lineRule="exact"/>
              <w:rPr>
                <w:sz w:val="20"/>
                <w:szCs w:val="20"/>
                <w:color w:val="auto"/>
              </w:rPr>
            </w:pPr>
            <w:r>
              <w:rPr>
                <w:rFonts w:ascii="Arial" w:cs="Arial" w:eastAsia="Arial" w:hAnsi="Arial"/>
                <w:sz w:val="16"/>
                <w:szCs w:val="16"/>
                <w:color w:val="auto"/>
              </w:rPr>
              <w:t>683,657</w:t>
            </w: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14,815</w:t>
            </w:r>
          </w:p>
        </w:tc>
        <w:tc>
          <w:tcPr>
            <w:tcW w:w="1200" w:type="dxa"/>
            <w:vAlign w:val="bottom"/>
            <w:tcBorders>
              <w:right w:val="single" w:sz="8" w:color="auto"/>
            </w:tcBorders>
          </w:tcPr>
          <w:p>
            <w:pPr>
              <w:jc w:val="right"/>
              <w:ind w:right="161"/>
              <w:spacing w:after="0" w:line="164" w:lineRule="exact"/>
              <w:rPr>
                <w:sz w:val="20"/>
                <w:szCs w:val="20"/>
                <w:color w:val="auto"/>
              </w:rPr>
            </w:pPr>
            <w:r>
              <w:rPr>
                <w:rFonts w:ascii="Arial" w:cs="Arial" w:eastAsia="Arial" w:hAnsi="Arial"/>
                <w:sz w:val="16"/>
                <w:szCs w:val="16"/>
                <w:color w:val="auto"/>
              </w:rPr>
              <w:t>1,834,896</w:t>
            </w:r>
          </w:p>
        </w:tc>
      </w:tr>
      <w:tr>
        <w:trPr>
          <w:trHeight w:val="198"/>
        </w:trPr>
        <w:tc>
          <w:tcPr>
            <w:tcW w:w="17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President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2012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637,324</w:t>
            </w:r>
          </w:p>
        </w:tc>
        <w:tc>
          <w:tcPr>
            <w:tcW w:w="112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rPr>
              <w:t>202,258</w:t>
            </w:r>
          </w:p>
        </w:tc>
        <w:tc>
          <w:tcPr>
            <w:tcW w:w="82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color w:val="auto"/>
              </w:rPr>
              <w:t>17,712</w:t>
            </w:r>
          </w:p>
        </w:tc>
        <w:tc>
          <w:tcPr>
            <w:tcW w:w="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158,779</w:t>
            </w:r>
          </w:p>
        </w:tc>
        <w:tc>
          <w:tcPr>
            <w:tcW w:w="124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16"/>
                <w:szCs w:val="16"/>
                <w:color w:val="auto"/>
              </w:rPr>
              <w:t>403,931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49,167</w:t>
            </w:r>
          </w:p>
        </w:tc>
        <w:tc>
          <w:tcPr>
            <w:tcW w:w="120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6"/>
                <w:szCs w:val="16"/>
                <w:color w:val="auto"/>
              </w:rPr>
              <w:t>1,469,171</w:t>
            </w:r>
          </w:p>
        </w:tc>
      </w:tr>
      <w:tr>
        <w:trPr>
          <w:trHeight w:val="193"/>
        </w:trPr>
        <w:tc>
          <w:tcPr>
            <w:tcW w:w="1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Tracy K. Price</w:t>
            </w:r>
          </w:p>
        </w:tc>
        <w:tc>
          <w:tcPr>
            <w:tcW w:w="6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2014</w:t>
            </w:r>
          </w:p>
        </w:tc>
        <w:tc>
          <w:tcPr>
            <w:tcW w:w="80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674,347</w:t>
            </w:r>
          </w:p>
        </w:tc>
        <w:tc>
          <w:tcPr>
            <w:tcW w:w="1120" w:type="dxa"/>
            <w:vAlign w:val="bottom"/>
            <w:tcBorders>
              <w:bottom w:val="single" w:sz="8" w:color="E5EDFE"/>
              <w:right w:val="single" w:sz="8" w:color="auto"/>
            </w:tcBorders>
            <w:shd w:val="clear" w:color="auto" w:fill="E5EDFE"/>
          </w:tcPr>
          <w:p>
            <w:pPr>
              <w:jc w:val="right"/>
              <w:ind w:right="202"/>
              <w:spacing w:after="0"/>
              <w:rPr>
                <w:sz w:val="20"/>
                <w:szCs w:val="20"/>
                <w:color w:val="auto"/>
              </w:rPr>
            </w:pPr>
            <w:r>
              <w:rPr>
                <w:rFonts w:ascii="Arial" w:cs="Arial" w:eastAsia="Arial" w:hAnsi="Arial"/>
                <w:sz w:val="16"/>
                <w:szCs w:val="16"/>
                <w:color w:val="auto"/>
              </w:rPr>
              <w:t>264,311</w:t>
            </w:r>
          </w:p>
        </w:tc>
        <w:tc>
          <w:tcPr>
            <w:tcW w:w="820" w:type="dxa"/>
            <w:vAlign w:val="bottom"/>
            <w:tcBorders>
              <w:bottom w:val="single" w:sz="8" w:color="E5EDFE"/>
              <w:right w:val="single" w:sz="8" w:color="auto"/>
            </w:tcBorders>
            <w:shd w:val="clear" w:color="auto" w:fill="E5EDFE"/>
          </w:tcPr>
          <w:p>
            <w:pPr>
              <w:jc w:val="right"/>
              <w:ind w:right="42"/>
              <w:spacing w:after="0"/>
              <w:rPr>
                <w:sz w:val="20"/>
                <w:szCs w:val="20"/>
                <w:color w:val="auto"/>
              </w:rPr>
            </w:pPr>
            <w:r>
              <w:rPr>
                <w:rFonts w:ascii="Arial" w:cs="Arial" w:eastAsia="Arial" w:hAnsi="Arial"/>
                <w:sz w:val="16"/>
                <w:szCs w:val="16"/>
                <w:color w:val="auto"/>
              </w:rPr>
              <w:t>146,227</w:t>
            </w:r>
          </w:p>
        </w:tc>
        <w:tc>
          <w:tcPr>
            <w:tcW w:w="840" w:type="dxa"/>
            <w:vAlign w:val="bottom"/>
            <w:tcBorders>
              <w:bottom w:val="single" w:sz="8" w:color="E5EDFE"/>
              <w:right w:val="single" w:sz="8" w:color="auto"/>
            </w:tcBorders>
            <w:shd w:val="clear" w:color="auto" w:fill="E5EDFE"/>
          </w:tcPr>
          <w:p>
            <w:pPr>
              <w:jc w:val="right"/>
              <w:ind w:right="62"/>
              <w:spacing w:after="0"/>
              <w:rPr>
                <w:sz w:val="20"/>
                <w:szCs w:val="20"/>
                <w:color w:val="auto"/>
              </w:rPr>
            </w:pPr>
            <w:r>
              <w:rPr>
                <w:rFonts w:ascii="Arial" w:cs="Arial" w:eastAsia="Arial" w:hAnsi="Arial"/>
                <w:sz w:val="16"/>
                <w:szCs w:val="16"/>
                <w:color w:val="auto"/>
              </w:rPr>
              <w:t>122,638</w:t>
            </w:r>
          </w:p>
        </w:tc>
        <w:tc>
          <w:tcPr>
            <w:tcW w:w="1240" w:type="dxa"/>
            <w:vAlign w:val="bottom"/>
            <w:tcBorders>
              <w:bottom w:val="single" w:sz="8" w:color="E5EDFE"/>
              <w:right w:val="single" w:sz="8" w:color="auto"/>
            </w:tcBorders>
            <w:shd w:val="clear" w:color="auto" w:fill="E5EDFE"/>
          </w:tcPr>
          <w:p>
            <w:pPr>
              <w:jc w:val="right"/>
              <w:ind w:right="201"/>
              <w:spacing w:after="0"/>
              <w:rPr>
                <w:sz w:val="20"/>
                <w:szCs w:val="20"/>
                <w:color w:val="auto"/>
              </w:rPr>
            </w:pPr>
            <w:r>
              <w:rPr>
                <w:rFonts w:ascii="Arial" w:cs="Arial" w:eastAsia="Arial" w:hAnsi="Arial"/>
                <w:sz w:val="16"/>
                <w:szCs w:val="16"/>
                <w:color w:val="auto"/>
              </w:rPr>
              <w:t>683,129</w:t>
            </w:r>
          </w:p>
        </w:tc>
        <w:tc>
          <w:tcPr>
            <w:tcW w:w="13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44,648</w:t>
            </w:r>
          </w:p>
        </w:tc>
        <w:tc>
          <w:tcPr>
            <w:tcW w:w="1200" w:type="dxa"/>
            <w:vAlign w:val="bottom"/>
            <w:tcBorders>
              <w:bottom w:val="single" w:sz="8" w:color="E5EDFE"/>
              <w:right w:val="single" w:sz="8" w:color="auto"/>
            </w:tcBorders>
            <w:shd w:val="clear" w:color="auto" w:fill="E5EDFE"/>
          </w:tcPr>
          <w:p>
            <w:pPr>
              <w:jc w:val="right"/>
              <w:ind w:right="161"/>
              <w:spacing w:after="0"/>
              <w:rPr>
                <w:sz w:val="20"/>
                <w:szCs w:val="20"/>
                <w:color w:val="auto"/>
              </w:rPr>
            </w:pPr>
            <w:r>
              <w:rPr>
                <w:rFonts w:ascii="Arial" w:cs="Arial" w:eastAsia="Arial" w:hAnsi="Arial"/>
                <w:sz w:val="16"/>
                <w:szCs w:val="16"/>
                <w:color w:val="auto"/>
              </w:rPr>
              <w:t>1,935,300</w:t>
            </w:r>
          </w:p>
        </w:tc>
      </w:tr>
      <w:tr>
        <w:trPr>
          <w:trHeight w:val="164"/>
        </w:trPr>
        <w:tc>
          <w:tcPr>
            <w:tcW w:w="1760" w:type="dxa"/>
            <w:vAlign w:val="bottom"/>
            <w:tcBorders>
              <w:left w:val="single" w:sz="8" w:color="auto"/>
              <w:right w:val="single" w:sz="8" w:color="auto"/>
            </w:tcBorders>
          </w:tcPr>
          <w:p>
            <w:pPr>
              <w:ind w:left="220"/>
              <w:spacing w:after="0" w:line="164" w:lineRule="exact"/>
              <w:rPr>
                <w:sz w:val="20"/>
                <w:szCs w:val="20"/>
                <w:color w:val="auto"/>
              </w:rPr>
            </w:pPr>
            <w:r>
              <w:rPr>
                <w:rFonts w:ascii="Arial" w:cs="Arial" w:eastAsia="Arial" w:hAnsi="Arial"/>
                <w:sz w:val="16"/>
                <w:szCs w:val="16"/>
                <w:color w:val="auto"/>
              </w:rPr>
              <w:t>Executive Vice</w:t>
            </w:r>
          </w:p>
        </w:tc>
        <w:tc>
          <w:tcPr>
            <w:tcW w:w="6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2013</w:t>
            </w:r>
          </w:p>
        </w:tc>
        <w:tc>
          <w:tcPr>
            <w:tcW w:w="8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655,750</w:t>
            </w:r>
          </w:p>
        </w:tc>
        <w:tc>
          <w:tcPr>
            <w:tcW w:w="1120" w:type="dxa"/>
            <w:vAlign w:val="bottom"/>
            <w:tcBorders>
              <w:right w:val="single" w:sz="8" w:color="auto"/>
            </w:tcBorders>
          </w:tcPr>
          <w:p>
            <w:pPr>
              <w:jc w:val="right"/>
              <w:ind w:right="202"/>
              <w:spacing w:after="0" w:line="164" w:lineRule="exact"/>
              <w:rPr>
                <w:sz w:val="20"/>
                <w:szCs w:val="20"/>
                <w:color w:val="auto"/>
              </w:rPr>
            </w:pPr>
            <w:r>
              <w:rPr>
                <w:rFonts w:ascii="Arial" w:cs="Arial" w:eastAsia="Arial" w:hAnsi="Arial"/>
                <w:sz w:val="16"/>
                <w:szCs w:val="16"/>
                <w:color w:val="auto"/>
              </w:rPr>
              <w:t>0</w:t>
            </w:r>
          </w:p>
        </w:tc>
        <w:tc>
          <w:tcPr>
            <w:tcW w:w="820" w:type="dxa"/>
            <w:vAlign w:val="bottom"/>
            <w:tcBorders>
              <w:right w:val="single" w:sz="8" w:color="auto"/>
            </w:tcBorders>
          </w:tcPr>
          <w:p>
            <w:pPr>
              <w:jc w:val="right"/>
              <w:ind w:right="42"/>
              <w:spacing w:after="0" w:line="164" w:lineRule="exact"/>
              <w:rPr>
                <w:sz w:val="20"/>
                <w:szCs w:val="20"/>
                <w:color w:val="auto"/>
              </w:rPr>
            </w:pPr>
            <w:r>
              <w:rPr>
                <w:rFonts w:ascii="Arial" w:cs="Arial" w:eastAsia="Arial" w:hAnsi="Arial"/>
                <w:sz w:val="16"/>
                <w:szCs w:val="16"/>
                <w:color w:val="auto"/>
              </w:rPr>
              <w:t>126,380</w:t>
            </w:r>
          </w:p>
        </w:tc>
        <w:tc>
          <w:tcPr>
            <w:tcW w:w="840" w:type="dxa"/>
            <w:vAlign w:val="bottom"/>
            <w:tcBorders>
              <w:right w:val="single" w:sz="8" w:color="auto"/>
            </w:tcBorders>
          </w:tcPr>
          <w:p>
            <w:pPr>
              <w:jc w:val="right"/>
              <w:ind w:right="62"/>
              <w:spacing w:after="0" w:line="164" w:lineRule="exact"/>
              <w:rPr>
                <w:sz w:val="20"/>
                <w:szCs w:val="20"/>
                <w:color w:val="auto"/>
              </w:rPr>
            </w:pPr>
            <w:r>
              <w:rPr>
                <w:rFonts w:ascii="Arial" w:cs="Arial" w:eastAsia="Arial" w:hAnsi="Arial"/>
                <w:sz w:val="16"/>
                <w:szCs w:val="16"/>
                <w:color w:val="auto"/>
              </w:rPr>
              <w:t>117,535</w:t>
            </w:r>
          </w:p>
        </w:tc>
        <w:tc>
          <w:tcPr>
            <w:tcW w:w="1240" w:type="dxa"/>
            <w:vAlign w:val="bottom"/>
            <w:tcBorders>
              <w:right w:val="single" w:sz="8" w:color="auto"/>
            </w:tcBorders>
          </w:tcPr>
          <w:p>
            <w:pPr>
              <w:jc w:val="right"/>
              <w:ind w:right="201"/>
              <w:spacing w:after="0" w:line="164" w:lineRule="exact"/>
              <w:rPr>
                <w:sz w:val="20"/>
                <w:szCs w:val="20"/>
                <w:color w:val="auto"/>
              </w:rPr>
            </w:pPr>
            <w:r>
              <w:rPr>
                <w:rFonts w:ascii="Arial" w:cs="Arial" w:eastAsia="Arial" w:hAnsi="Arial"/>
                <w:sz w:val="16"/>
                <w:szCs w:val="16"/>
                <w:color w:val="auto"/>
              </w:rPr>
              <w:t>682,900</w:t>
            </w: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42,673</w:t>
            </w:r>
          </w:p>
        </w:tc>
        <w:tc>
          <w:tcPr>
            <w:tcW w:w="1200" w:type="dxa"/>
            <w:vAlign w:val="bottom"/>
            <w:tcBorders>
              <w:right w:val="single" w:sz="8" w:color="auto"/>
            </w:tcBorders>
          </w:tcPr>
          <w:p>
            <w:pPr>
              <w:jc w:val="right"/>
              <w:ind w:right="161"/>
              <w:spacing w:after="0" w:line="164" w:lineRule="exact"/>
              <w:rPr>
                <w:sz w:val="20"/>
                <w:szCs w:val="20"/>
                <w:color w:val="auto"/>
              </w:rPr>
            </w:pPr>
            <w:r>
              <w:rPr>
                <w:rFonts w:ascii="Arial" w:cs="Arial" w:eastAsia="Arial" w:hAnsi="Arial"/>
                <w:sz w:val="16"/>
                <w:szCs w:val="16"/>
                <w:color w:val="auto"/>
              </w:rPr>
              <w:t>1,625,238</w:t>
            </w:r>
          </w:p>
        </w:tc>
      </w:tr>
      <w:tr>
        <w:trPr>
          <w:trHeight w:val="198"/>
        </w:trPr>
        <w:tc>
          <w:tcPr>
            <w:tcW w:w="17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President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2012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643,247</w:t>
            </w:r>
          </w:p>
        </w:tc>
        <w:tc>
          <w:tcPr>
            <w:tcW w:w="112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0</w:t>
            </w:r>
          </w:p>
        </w:tc>
        <w:tc>
          <w:tcPr>
            <w:tcW w:w="124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16"/>
                <w:szCs w:val="16"/>
                <w:color w:val="auto"/>
              </w:rPr>
              <w:t>384,581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41,543</w:t>
            </w:r>
          </w:p>
        </w:tc>
        <w:tc>
          <w:tcPr>
            <w:tcW w:w="120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6"/>
                <w:szCs w:val="16"/>
                <w:color w:val="auto"/>
              </w:rPr>
              <w:t>1,069,371</w:t>
            </w:r>
          </w:p>
        </w:tc>
      </w:tr>
      <w:tr>
        <w:trPr>
          <w:trHeight w:val="193"/>
        </w:trPr>
        <w:tc>
          <w:tcPr>
            <w:tcW w:w="1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Sarah H. McConnell</w:t>
            </w:r>
          </w:p>
        </w:tc>
        <w:tc>
          <w:tcPr>
            <w:tcW w:w="6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2014</w:t>
            </w:r>
          </w:p>
        </w:tc>
        <w:tc>
          <w:tcPr>
            <w:tcW w:w="80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470,475</w:t>
            </w:r>
          </w:p>
        </w:tc>
        <w:tc>
          <w:tcPr>
            <w:tcW w:w="1120" w:type="dxa"/>
            <w:vAlign w:val="bottom"/>
            <w:tcBorders>
              <w:bottom w:val="single" w:sz="8" w:color="E5EDFE"/>
              <w:right w:val="single" w:sz="8" w:color="auto"/>
            </w:tcBorders>
            <w:shd w:val="clear" w:color="auto" w:fill="E5EDFE"/>
          </w:tcPr>
          <w:p>
            <w:pPr>
              <w:jc w:val="right"/>
              <w:ind w:right="202"/>
              <w:spacing w:after="0"/>
              <w:rPr>
                <w:sz w:val="20"/>
                <w:szCs w:val="20"/>
                <w:color w:val="auto"/>
              </w:rPr>
            </w:pPr>
            <w:r>
              <w:rPr>
                <w:rFonts w:ascii="Arial" w:cs="Arial" w:eastAsia="Arial" w:hAnsi="Arial"/>
                <w:sz w:val="16"/>
                <w:szCs w:val="16"/>
                <w:color w:val="auto"/>
              </w:rPr>
              <w:t>189,816</w:t>
            </w:r>
          </w:p>
        </w:tc>
        <w:tc>
          <w:tcPr>
            <w:tcW w:w="820" w:type="dxa"/>
            <w:vAlign w:val="bottom"/>
            <w:tcBorders>
              <w:bottom w:val="single" w:sz="8" w:color="E5EDFE"/>
              <w:right w:val="single" w:sz="8" w:color="auto"/>
            </w:tcBorders>
            <w:shd w:val="clear" w:color="auto" w:fill="E5EDFE"/>
          </w:tcPr>
          <w:p>
            <w:pPr>
              <w:jc w:val="right"/>
              <w:ind w:right="42"/>
              <w:spacing w:after="0"/>
              <w:rPr>
                <w:sz w:val="20"/>
                <w:szCs w:val="20"/>
                <w:color w:val="auto"/>
              </w:rPr>
            </w:pPr>
            <w:r>
              <w:rPr>
                <w:rFonts w:ascii="Arial" w:cs="Arial" w:eastAsia="Arial" w:hAnsi="Arial"/>
                <w:sz w:val="16"/>
                <w:szCs w:val="16"/>
                <w:color w:val="auto"/>
              </w:rPr>
              <w:t>66,250</w:t>
            </w:r>
          </w:p>
        </w:tc>
        <w:tc>
          <w:tcPr>
            <w:tcW w:w="840" w:type="dxa"/>
            <w:vAlign w:val="bottom"/>
            <w:tcBorders>
              <w:bottom w:val="single" w:sz="8" w:color="E5EDFE"/>
              <w:right w:val="single" w:sz="8" w:color="auto"/>
            </w:tcBorders>
            <w:shd w:val="clear" w:color="auto" w:fill="E5EDFE"/>
          </w:tcPr>
          <w:p>
            <w:pPr>
              <w:jc w:val="right"/>
              <w:ind w:right="62"/>
              <w:spacing w:after="0"/>
              <w:rPr>
                <w:sz w:val="20"/>
                <w:szCs w:val="20"/>
                <w:color w:val="auto"/>
              </w:rPr>
            </w:pPr>
            <w:r>
              <w:rPr>
                <w:rFonts w:ascii="Arial" w:cs="Arial" w:eastAsia="Arial" w:hAnsi="Arial"/>
                <w:sz w:val="16"/>
                <w:szCs w:val="16"/>
                <w:color w:val="auto"/>
              </w:rPr>
              <w:t>87,773</w:t>
            </w:r>
          </w:p>
        </w:tc>
        <w:tc>
          <w:tcPr>
            <w:tcW w:w="1240" w:type="dxa"/>
            <w:vAlign w:val="bottom"/>
            <w:tcBorders>
              <w:bottom w:val="single" w:sz="8" w:color="E5EDFE"/>
              <w:right w:val="single" w:sz="8" w:color="auto"/>
            </w:tcBorders>
            <w:shd w:val="clear" w:color="auto" w:fill="E5EDFE"/>
          </w:tcPr>
          <w:p>
            <w:pPr>
              <w:jc w:val="right"/>
              <w:ind w:right="201"/>
              <w:spacing w:after="0"/>
              <w:rPr>
                <w:sz w:val="20"/>
                <w:szCs w:val="20"/>
                <w:color w:val="auto"/>
              </w:rPr>
            </w:pPr>
            <w:r>
              <w:rPr>
                <w:rFonts w:ascii="Arial" w:cs="Arial" w:eastAsia="Arial" w:hAnsi="Arial"/>
                <w:sz w:val="16"/>
                <w:szCs w:val="16"/>
                <w:color w:val="auto"/>
              </w:rPr>
              <w:t>375,928</w:t>
            </w:r>
          </w:p>
        </w:tc>
        <w:tc>
          <w:tcPr>
            <w:tcW w:w="13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13,818</w:t>
            </w:r>
          </w:p>
        </w:tc>
        <w:tc>
          <w:tcPr>
            <w:tcW w:w="1200" w:type="dxa"/>
            <w:vAlign w:val="bottom"/>
            <w:tcBorders>
              <w:bottom w:val="single" w:sz="8" w:color="E5EDFE"/>
              <w:right w:val="single" w:sz="8" w:color="auto"/>
            </w:tcBorders>
            <w:shd w:val="clear" w:color="auto" w:fill="E5EDFE"/>
          </w:tcPr>
          <w:p>
            <w:pPr>
              <w:jc w:val="right"/>
              <w:ind w:right="161"/>
              <w:spacing w:after="0"/>
              <w:rPr>
                <w:sz w:val="20"/>
                <w:szCs w:val="20"/>
                <w:color w:val="auto"/>
              </w:rPr>
            </w:pPr>
            <w:r>
              <w:rPr>
                <w:rFonts w:ascii="Arial" w:cs="Arial" w:eastAsia="Arial" w:hAnsi="Arial"/>
                <w:sz w:val="16"/>
                <w:szCs w:val="16"/>
                <w:color w:val="auto"/>
              </w:rPr>
              <w:t>1,204,060</w:t>
            </w:r>
          </w:p>
        </w:tc>
      </w:tr>
      <w:tr>
        <w:trPr>
          <w:trHeight w:val="164"/>
        </w:trPr>
        <w:tc>
          <w:tcPr>
            <w:tcW w:w="1760" w:type="dxa"/>
            <w:vAlign w:val="bottom"/>
            <w:tcBorders>
              <w:left w:val="single" w:sz="8" w:color="auto"/>
              <w:right w:val="single" w:sz="8" w:color="auto"/>
            </w:tcBorders>
          </w:tcPr>
          <w:p>
            <w:pPr>
              <w:ind w:left="220"/>
              <w:spacing w:after="0" w:line="164" w:lineRule="exact"/>
              <w:rPr>
                <w:sz w:val="20"/>
                <w:szCs w:val="20"/>
                <w:color w:val="auto"/>
              </w:rPr>
            </w:pPr>
            <w:r>
              <w:rPr>
                <w:rFonts w:ascii="Arial" w:cs="Arial" w:eastAsia="Arial" w:hAnsi="Arial"/>
                <w:sz w:val="16"/>
                <w:szCs w:val="16"/>
                <w:color w:val="auto"/>
              </w:rPr>
              <w:t>Executive Vice</w:t>
            </w:r>
          </w:p>
        </w:tc>
        <w:tc>
          <w:tcPr>
            <w:tcW w:w="6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2013</w:t>
            </w:r>
          </w:p>
        </w:tc>
        <w:tc>
          <w:tcPr>
            <w:tcW w:w="80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457,500</w:t>
            </w:r>
          </w:p>
        </w:tc>
        <w:tc>
          <w:tcPr>
            <w:tcW w:w="1120" w:type="dxa"/>
            <w:vAlign w:val="bottom"/>
            <w:tcBorders>
              <w:right w:val="single" w:sz="8" w:color="auto"/>
            </w:tcBorders>
          </w:tcPr>
          <w:p>
            <w:pPr>
              <w:jc w:val="right"/>
              <w:ind w:right="202"/>
              <w:spacing w:after="0" w:line="164" w:lineRule="exact"/>
              <w:rPr>
                <w:sz w:val="20"/>
                <w:szCs w:val="20"/>
                <w:color w:val="auto"/>
              </w:rPr>
            </w:pPr>
            <w:r>
              <w:rPr>
                <w:rFonts w:ascii="Arial" w:cs="Arial" w:eastAsia="Arial" w:hAnsi="Arial"/>
                <w:sz w:val="16"/>
                <w:szCs w:val="16"/>
                <w:color w:val="auto"/>
              </w:rPr>
              <w:t>57,374</w:t>
            </w:r>
          </w:p>
        </w:tc>
        <w:tc>
          <w:tcPr>
            <w:tcW w:w="820" w:type="dxa"/>
            <w:vAlign w:val="bottom"/>
            <w:tcBorders>
              <w:right w:val="single" w:sz="8" w:color="auto"/>
            </w:tcBorders>
          </w:tcPr>
          <w:p>
            <w:pPr>
              <w:jc w:val="right"/>
              <w:ind w:right="42"/>
              <w:spacing w:after="0" w:line="164" w:lineRule="exact"/>
              <w:rPr>
                <w:sz w:val="20"/>
                <w:szCs w:val="20"/>
                <w:color w:val="auto"/>
              </w:rPr>
            </w:pPr>
            <w:r>
              <w:rPr>
                <w:rFonts w:ascii="Arial" w:cs="Arial" w:eastAsia="Arial" w:hAnsi="Arial"/>
                <w:sz w:val="16"/>
                <w:szCs w:val="16"/>
                <w:color w:val="auto"/>
              </w:rPr>
              <w:t>55,842</w:t>
            </w:r>
          </w:p>
        </w:tc>
        <w:tc>
          <w:tcPr>
            <w:tcW w:w="840" w:type="dxa"/>
            <w:vAlign w:val="bottom"/>
            <w:tcBorders>
              <w:right w:val="single" w:sz="8" w:color="auto"/>
            </w:tcBorders>
          </w:tcPr>
          <w:p>
            <w:pPr>
              <w:jc w:val="right"/>
              <w:ind w:right="62"/>
              <w:spacing w:after="0" w:line="164" w:lineRule="exact"/>
              <w:rPr>
                <w:sz w:val="20"/>
                <w:szCs w:val="20"/>
                <w:color w:val="auto"/>
              </w:rPr>
            </w:pPr>
            <w:r>
              <w:rPr>
                <w:rFonts w:ascii="Arial" w:cs="Arial" w:eastAsia="Arial" w:hAnsi="Arial"/>
                <w:sz w:val="16"/>
                <w:szCs w:val="16"/>
                <w:color w:val="auto"/>
              </w:rPr>
              <w:t>57,842</w:t>
            </w:r>
          </w:p>
        </w:tc>
        <w:tc>
          <w:tcPr>
            <w:tcW w:w="1240" w:type="dxa"/>
            <w:vAlign w:val="bottom"/>
            <w:tcBorders>
              <w:right w:val="single" w:sz="8" w:color="auto"/>
            </w:tcBorders>
          </w:tcPr>
          <w:p>
            <w:pPr>
              <w:jc w:val="right"/>
              <w:ind w:right="201"/>
              <w:spacing w:after="0" w:line="164" w:lineRule="exact"/>
              <w:rPr>
                <w:sz w:val="20"/>
                <w:szCs w:val="20"/>
                <w:color w:val="auto"/>
              </w:rPr>
            </w:pPr>
            <w:r>
              <w:rPr>
                <w:rFonts w:ascii="Arial" w:cs="Arial" w:eastAsia="Arial" w:hAnsi="Arial"/>
                <w:sz w:val="16"/>
                <w:szCs w:val="16"/>
                <w:color w:val="auto"/>
              </w:rPr>
              <w:t>370,688</w:t>
            </w:r>
          </w:p>
        </w:tc>
        <w:tc>
          <w:tcPr>
            <w:tcW w:w="1340" w:type="dxa"/>
            <w:vAlign w:val="bottom"/>
            <w:tcBorders>
              <w:right w:val="single" w:sz="8" w:color="auto"/>
            </w:tcBorders>
          </w:tcPr>
          <w:p>
            <w:pPr>
              <w:jc w:val="center"/>
              <w:spacing w:after="0" w:line="164" w:lineRule="exact"/>
              <w:rPr>
                <w:sz w:val="20"/>
                <w:szCs w:val="20"/>
                <w:color w:val="auto"/>
              </w:rPr>
            </w:pPr>
            <w:r>
              <w:rPr>
                <w:rFonts w:ascii="Arial" w:cs="Arial" w:eastAsia="Arial" w:hAnsi="Arial"/>
                <w:sz w:val="16"/>
                <w:szCs w:val="16"/>
                <w:color w:val="auto"/>
              </w:rPr>
              <w:t>11,841</w:t>
            </w:r>
          </w:p>
        </w:tc>
        <w:tc>
          <w:tcPr>
            <w:tcW w:w="1200" w:type="dxa"/>
            <w:vAlign w:val="bottom"/>
            <w:tcBorders>
              <w:right w:val="single" w:sz="8" w:color="auto"/>
            </w:tcBorders>
          </w:tcPr>
          <w:p>
            <w:pPr>
              <w:jc w:val="right"/>
              <w:ind w:right="161"/>
              <w:spacing w:after="0" w:line="164" w:lineRule="exact"/>
              <w:rPr>
                <w:sz w:val="20"/>
                <w:szCs w:val="20"/>
                <w:color w:val="auto"/>
              </w:rPr>
            </w:pPr>
            <w:r>
              <w:rPr>
                <w:rFonts w:ascii="Arial" w:cs="Arial" w:eastAsia="Arial" w:hAnsi="Arial"/>
                <w:sz w:val="16"/>
                <w:szCs w:val="16"/>
                <w:color w:val="auto"/>
              </w:rPr>
              <w:t>1,009,165</w:t>
            </w:r>
          </w:p>
        </w:tc>
      </w:tr>
      <w:tr>
        <w:trPr>
          <w:trHeight w:val="198"/>
        </w:trPr>
        <w:tc>
          <w:tcPr>
            <w:tcW w:w="17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President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2012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441,778</w:t>
            </w:r>
          </w:p>
        </w:tc>
        <w:tc>
          <w:tcPr>
            <w:tcW w:w="112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rPr>
              <w:t>57,237</w:t>
            </w:r>
          </w:p>
        </w:tc>
        <w:tc>
          <w:tcPr>
            <w:tcW w:w="820" w:type="dxa"/>
            <w:vAlign w:val="bottom"/>
            <w:tcBorders>
              <w:bottom w:val="single" w:sz="8" w:color="auto"/>
              <w:right w:val="single" w:sz="8" w:color="auto"/>
            </w:tcBorders>
          </w:tcPr>
          <w:p>
            <w:pPr>
              <w:jc w:val="right"/>
              <w:ind w:right="42"/>
              <w:spacing w:after="0"/>
              <w:rPr>
                <w:sz w:val="20"/>
                <w:szCs w:val="20"/>
                <w:color w:val="auto"/>
              </w:rPr>
            </w:pPr>
            <w:r>
              <w:rPr>
                <w:rFonts w:ascii="Arial" w:cs="Arial" w:eastAsia="Arial" w:hAnsi="Arial"/>
                <w:sz w:val="16"/>
                <w:szCs w:val="16"/>
                <w:color w:val="auto"/>
              </w:rPr>
              <w:t>4,114</w:t>
            </w:r>
          </w:p>
        </w:tc>
        <w:tc>
          <w:tcPr>
            <w:tcW w:w="8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39,163</w:t>
            </w:r>
          </w:p>
        </w:tc>
        <w:tc>
          <w:tcPr>
            <w:tcW w:w="124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16"/>
                <w:szCs w:val="16"/>
                <w:color w:val="auto"/>
              </w:rPr>
              <w:t>234,090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13,855</w:t>
            </w:r>
          </w:p>
        </w:tc>
        <w:tc>
          <w:tcPr>
            <w:tcW w:w="120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6"/>
                <w:szCs w:val="16"/>
                <w:color w:val="auto"/>
              </w:rPr>
              <w:t>790,237</w:t>
            </w:r>
          </w:p>
        </w:tc>
      </w:tr>
    </w:tbl>
    <w:p>
      <w:pPr>
        <w:spacing w:after="0" w:line="200" w:lineRule="exact"/>
        <w:rPr>
          <w:sz w:val="20"/>
          <w:szCs w:val="20"/>
          <w:color w:val="auto"/>
        </w:rPr>
      </w:pPr>
    </w:p>
    <w:p>
      <w:pPr>
        <w:spacing w:after="0" w:line="223" w:lineRule="exact"/>
        <w:rPr>
          <w:sz w:val="20"/>
          <w:szCs w:val="20"/>
          <w:color w:val="auto"/>
        </w:rPr>
      </w:pPr>
    </w:p>
    <w:p>
      <w:pPr>
        <w:jc w:val="both"/>
        <w:ind w:left="1620" w:right="780" w:hanging="352"/>
        <w:spacing w:after="0" w:line="267" w:lineRule="auto"/>
        <w:tabs>
          <w:tab w:leader="none" w:pos="1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represent the aggregate value of all earned performance shares that vested during fiscal years 2012, 2013, and 2014 (excluding the value of dividend equivalents vested and distributed in the fiscal year as this value is included in “All Other Compensation”). The value of vested performance shares is calculated by multiplying the number of shares vested by the closing price of ABM’s common stock on the date that the shares vested.</w:t>
      </w:r>
    </w:p>
    <w:p>
      <w:pPr>
        <w:spacing w:after="0" w:line="39" w:lineRule="exact"/>
        <w:rPr>
          <w:rFonts w:ascii="Arial" w:cs="Arial" w:eastAsia="Arial" w:hAnsi="Arial"/>
          <w:sz w:val="14"/>
          <w:szCs w:val="14"/>
          <w:color w:val="auto"/>
        </w:rPr>
      </w:pPr>
    </w:p>
    <w:p>
      <w:pPr>
        <w:jc w:val="both"/>
        <w:ind w:left="1620" w:right="780" w:hanging="352"/>
        <w:spacing w:after="0" w:line="270" w:lineRule="auto"/>
        <w:tabs>
          <w:tab w:leader="none" w:pos="1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represent the aggregate value of all stock options that vested during the applicable fiscal year. The value of vested stock options is calculated by multiplying the number of shares vested by the difference between the closing price of ABM’s common stock on the vesting date and the exercise price without regard to actual option exercise activity.</w:t>
      </w:r>
    </w:p>
    <w:p>
      <w:pPr>
        <w:spacing w:after="0" w:line="37" w:lineRule="exact"/>
        <w:rPr>
          <w:rFonts w:ascii="Arial" w:cs="Arial" w:eastAsia="Arial" w:hAnsi="Arial"/>
          <w:sz w:val="14"/>
          <w:szCs w:val="14"/>
          <w:color w:val="auto"/>
        </w:rPr>
      </w:pPr>
    </w:p>
    <w:p>
      <w:pPr>
        <w:jc w:val="both"/>
        <w:ind w:left="1620" w:right="780" w:hanging="352"/>
        <w:spacing w:after="0" w:line="267" w:lineRule="auto"/>
        <w:tabs>
          <w:tab w:leader="none" w:pos="1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represent the aggregate value of all RSU awards that vested during the applicable fiscal year (excluding the value of dividend equivalents vested and distributed in the fiscal year as this value is included in “All Other Compensation”). The value of vested RSUs is calculated by multiplying the number of shares vested by the closing price of ABM’s common stock on the vesting date.</w:t>
      </w:r>
    </w:p>
    <w:p>
      <w:pPr>
        <w:spacing w:after="0" w:line="39" w:lineRule="exact"/>
        <w:rPr>
          <w:rFonts w:ascii="Arial" w:cs="Arial" w:eastAsia="Arial" w:hAnsi="Arial"/>
          <w:sz w:val="14"/>
          <w:szCs w:val="14"/>
          <w:color w:val="auto"/>
        </w:rPr>
      </w:pPr>
    </w:p>
    <w:p>
      <w:pPr>
        <w:ind w:left="1620" w:hanging="352"/>
        <w:spacing w:after="0"/>
        <w:tabs>
          <w:tab w:leader="none" w:pos="1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shown equal the amounts reported in the “All Other Compensation” column of the Summary Compensation Table.</w:t>
      </w: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68345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004FF9"/>
        </w:rPr>
        <w:t>Elements of Compensation</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We design the mix of short- and long-term incentives to reward and motivate short-term performance, while at the same time providing significant incentives to keep our executives focused 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longer-term corporate objectives that drive shareholder value. The material components of our executive compensation program and their purposes and characteristics are summarized below.</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35" w:lineRule="exact"/>
        <w:rPr>
          <w:sz w:val="20"/>
          <w:szCs w:val="20"/>
          <w:color w:val="auto"/>
        </w:rPr>
      </w:pPr>
    </w:p>
    <w:tbl>
      <w:tblPr>
        <w:tblLayout w:type="fixed"/>
        <w:tblInd w:w="1270" w:type="dxa"/>
        <w:tblCellMar>
          <w:top w:w="0" w:type="dxa"/>
          <w:left w:w="0" w:type="dxa"/>
          <w:bottom w:w="0" w:type="dxa"/>
          <w:right w:w="0" w:type="dxa"/>
        </w:tblCellMar>
      </w:tblPr>
      <w:tr>
        <w:trPr>
          <w:trHeight w:val="358"/>
        </w:trPr>
        <w:tc>
          <w:tcPr>
            <w:tcW w:w="2460" w:type="dxa"/>
            <w:vAlign w:val="bottom"/>
            <w:tcBorders>
              <w:top w:val="single" w:sz="8" w:color="auto"/>
              <w:left w:val="single" w:sz="8" w:color="auto"/>
              <w:bottom w:val="single" w:sz="8" w:color="auto"/>
              <w:right w:val="single" w:sz="8" w:color="auto"/>
            </w:tcBorders>
            <w:shd w:val="clear" w:color="auto" w:fill="B1C9FD"/>
          </w:tcPr>
          <w:p>
            <w:pPr>
              <w:ind w:left="580"/>
              <w:spacing w:after="0"/>
              <w:rPr>
                <w:sz w:val="20"/>
                <w:szCs w:val="20"/>
                <w:color w:val="auto"/>
              </w:rPr>
            </w:pPr>
            <w:r>
              <w:rPr>
                <w:rFonts w:ascii="Arial" w:cs="Arial" w:eastAsia="Arial" w:hAnsi="Arial"/>
                <w:sz w:val="16"/>
                <w:szCs w:val="16"/>
                <w:b w:val="1"/>
                <w:bCs w:val="1"/>
                <w:color w:val="004FF9"/>
              </w:rPr>
              <w:t>Reward Element</w:t>
            </w:r>
          </w:p>
        </w:tc>
        <w:tc>
          <w:tcPr>
            <w:tcW w:w="2420" w:type="dxa"/>
            <w:vAlign w:val="bottom"/>
            <w:tcBorders>
              <w:top w:val="single" w:sz="8" w:color="auto"/>
              <w:bottom w:val="single" w:sz="8" w:color="auto"/>
              <w:right w:val="single" w:sz="8" w:color="auto"/>
            </w:tcBorders>
            <w:shd w:val="clear" w:color="auto" w:fill="B1C9FD"/>
          </w:tcPr>
          <w:p>
            <w:pPr>
              <w:ind w:left="1000"/>
              <w:spacing w:after="0"/>
              <w:rPr>
                <w:sz w:val="20"/>
                <w:szCs w:val="20"/>
                <w:color w:val="auto"/>
              </w:rPr>
            </w:pPr>
            <w:r>
              <w:rPr>
                <w:rFonts w:ascii="Arial" w:cs="Arial" w:eastAsia="Arial" w:hAnsi="Arial"/>
                <w:sz w:val="16"/>
                <w:szCs w:val="16"/>
                <w:b w:val="1"/>
                <w:bCs w:val="1"/>
                <w:color w:val="004FF9"/>
              </w:rPr>
              <w:t>Form</w:t>
            </w:r>
          </w:p>
        </w:tc>
        <w:tc>
          <w:tcPr>
            <w:tcW w:w="3340" w:type="dxa"/>
            <w:vAlign w:val="bottom"/>
            <w:tcBorders>
              <w:top w:val="single" w:sz="8" w:color="auto"/>
              <w:bottom w:val="single" w:sz="8" w:color="auto"/>
              <w:right w:val="single" w:sz="8" w:color="auto"/>
            </w:tcBorders>
            <w:shd w:val="clear" w:color="auto" w:fill="B1C9FD"/>
          </w:tcPr>
          <w:p>
            <w:pPr>
              <w:ind w:left="1360"/>
              <w:spacing w:after="0"/>
              <w:rPr>
                <w:sz w:val="20"/>
                <w:szCs w:val="20"/>
                <w:color w:val="auto"/>
              </w:rPr>
            </w:pPr>
            <w:r>
              <w:rPr>
                <w:rFonts w:ascii="Arial" w:cs="Arial" w:eastAsia="Arial" w:hAnsi="Arial"/>
                <w:sz w:val="16"/>
                <w:szCs w:val="16"/>
                <w:b w:val="1"/>
                <w:bCs w:val="1"/>
                <w:color w:val="004FF9"/>
              </w:rPr>
              <w:t>Purpose</w:t>
            </w:r>
          </w:p>
        </w:tc>
      </w:tr>
      <w:tr>
        <w:trPr>
          <w:trHeight w:val="204"/>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Base Salary</w:t>
            </w:r>
          </w:p>
        </w:tc>
        <w:tc>
          <w:tcPr>
            <w:tcW w:w="24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Cash</w:t>
            </w:r>
          </w:p>
        </w:tc>
        <w:tc>
          <w:tcPr>
            <w:tcW w:w="33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Provide a fixed level of competitive base</w:t>
            </w:r>
          </w:p>
        </w:tc>
      </w:tr>
      <w:tr>
        <w:trPr>
          <w:trHeight w:val="189"/>
        </w:trPr>
        <w:tc>
          <w:tcPr>
            <w:tcW w:w="2460" w:type="dxa"/>
            <w:vAlign w:val="bottom"/>
            <w:tcBorders>
              <w:left w:val="single" w:sz="8" w:color="auto"/>
              <w:right w:val="single" w:sz="8" w:color="auto"/>
            </w:tcBorders>
          </w:tcPr>
          <w:p>
            <w:pPr>
              <w:spacing w:after="0"/>
              <w:rPr>
                <w:sz w:val="16"/>
                <w:szCs w:val="16"/>
                <w:color w:val="auto"/>
              </w:rPr>
            </w:pPr>
          </w:p>
        </w:tc>
        <w:tc>
          <w:tcPr>
            <w:tcW w:w="2420" w:type="dxa"/>
            <w:vAlign w:val="bottom"/>
            <w:tcBorders>
              <w:right w:val="single" w:sz="8" w:color="auto"/>
            </w:tcBorders>
          </w:tcPr>
          <w:p>
            <w:pPr>
              <w:spacing w:after="0"/>
              <w:rPr>
                <w:sz w:val="16"/>
                <w:szCs w:val="16"/>
                <w:color w:val="auto"/>
              </w:rPr>
            </w:pPr>
          </w:p>
        </w:tc>
        <w:tc>
          <w:tcPr>
            <w:tcW w:w="33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pay to help us attract and retain strong</w:t>
            </w:r>
          </w:p>
        </w:tc>
      </w:tr>
      <w:tr>
        <w:trPr>
          <w:trHeight w:val="208"/>
        </w:trPr>
        <w:tc>
          <w:tcPr>
            <w:tcW w:w="2460" w:type="dxa"/>
            <w:vAlign w:val="bottom"/>
            <w:tcBorders>
              <w:left w:val="single" w:sz="8" w:color="auto"/>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executive talent through a full career</w:t>
            </w:r>
          </w:p>
        </w:tc>
      </w:tr>
      <w:tr>
        <w:trPr>
          <w:trHeight w:val="204"/>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Annual Short-Term Incentive</w:t>
            </w:r>
          </w:p>
        </w:tc>
        <w:tc>
          <w:tcPr>
            <w:tcW w:w="24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Cash</w:t>
            </w:r>
          </w:p>
        </w:tc>
        <w:tc>
          <w:tcPr>
            <w:tcW w:w="33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Reward NEOs for annual Company,</w:t>
            </w:r>
          </w:p>
        </w:tc>
      </w:tr>
      <w:tr>
        <w:trPr>
          <w:trHeight w:val="208"/>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Plan</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business unit, and individual performance</w:t>
            </w:r>
          </w:p>
        </w:tc>
      </w:tr>
      <w:tr>
        <w:trPr>
          <w:trHeight w:val="204"/>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Long-Term Incentive Plan</w:t>
            </w:r>
          </w:p>
        </w:tc>
        <w:tc>
          <w:tcPr>
            <w:tcW w:w="24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Performance shares</w:t>
            </w:r>
          </w:p>
        </w:tc>
        <w:tc>
          <w:tcPr>
            <w:tcW w:w="33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Reward creation of long-term shareholder</w:t>
            </w:r>
          </w:p>
        </w:tc>
      </w:tr>
      <w:tr>
        <w:trPr>
          <w:trHeight w:val="208"/>
        </w:trPr>
        <w:tc>
          <w:tcPr>
            <w:tcW w:w="2460" w:type="dxa"/>
            <w:vAlign w:val="bottom"/>
            <w:tcBorders>
              <w:left w:val="single" w:sz="8" w:color="auto"/>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Restricted Stock Units</w:t>
            </w:r>
          </w:p>
        </w:tc>
        <w:tc>
          <w:tcPr>
            <w:tcW w:w="3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value</w:t>
            </w:r>
          </w:p>
        </w:tc>
      </w:tr>
      <w:tr>
        <w:trPr>
          <w:trHeight w:val="237"/>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Savings Plans</w:t>
            </w:r>
          </w:p>
        </w:tc>
        <w:tc>
          <w:tcPr>
            <w:tcW w:w="2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Savings Plan</w:t>
            </w:r>
          </w:p>
        </w:tc>
        <w:tc>
          <w:tcPr>
            <w:tcW w:w="3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Provide retirement benefits</w:t>
            </w:r>
          </w:p>
        </w:tc>
      </w:tr>
    </w:tbl>
    <w:p>
      <w:pPr>
        <w:spacing w:after="0" w:line="252"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004FF9"/>
        </w:rPr>
        <w:t>2014 Base Salary</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The Compensation Committee reviews total compensation, including base salaries, for executives in the first quarter of each fiscal year and, as needed, in connection with recruitment, promotions or other changes in responsibilities. Base salary amounts affect potential annual cash</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performance incentive payments and equity awards, since these other elements are based on a percentage of base salary. The following table shows, for each NEO, the 2013 base salary and 2014 base salary. Each NEO’s base salary increased by approximately 3%.</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37"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272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276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2013 Annual</w:t>
            </w:r>
          </w:p>
        </w:tc>
        <w:tc>
          <w:tcPr>
            <w:tcW w:w="274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2014 Annual</w:t>
            </w:r>
          </w:p>
        </w:tc>
      </w:tr>
      <w:tr>
        <w:trPr>
          <w:trHeight w:val="196"/>
        </w:trPr>
        <w:tc>
          <w:tcPr>
            <w:tcW w:w="2720" w:type="dxa"/>
            <w:vAlign w:val="bottom"/>
            <w:tcBorders>
              <w:left w:val="single" w:sz="8" w:color="auto"/>
              <w:bottom w:val="single" w:sz="8" w:color="auto"/>
              <w:right w:val="single" w:sz="8" w:color="auto"/>
            </w:tcBorders>
            <w:shd w:val="clear" w:color="auto" w:fill="B1C9FD"/>
          </w:tcPr>
          <w:p>
            <w:pPr>
              <w:ind w:left="1180"/>
              <w:spacing w:after="0"/>
              <w:rPr>
                <w:sz w:val="20"/>
                <w:szCs w:val="20"/>
                <w:color w:val="auto"/>
              </w:rPr>
            </w:pPr>
            <w:r>
              <w:rPr>
                <w:rFonts w:ascii="Arial" w:cs="Arial" w:eastAsia="Arial" w:hAnsi="Arial"/>
                <w:sz w:val="14"/>
                <w:szCs w:val="14"/>
                <w:b w:val="1"/>
                <w:bCs w:val="1"/>
                <w:color w:val="004FF9"/>
              </w:rPr>
              <w:t>NEO</w:t>
            </w:r>
          </w:p>
        </w:tc>
        <w:tc>
          <w:tcPr>
            <w:tcW w:w="27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Base Salary</w:t>
            </w:r>
          </w:p>
        </w:tc>
        <w:tc>
          <w:tcPr>
            <w:tcW w:w="27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Base Salary</w:t>
            </w:r>
          </w:p>
        </w:tc>
      </w:tr>
      <w:tr>
        <w:trPr>
          <w:trHeight w:val="236"/>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Henrik C. Slipsager</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$867,000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$893,000</w:t>
            </w:r>
          </w:p>
        </w:tc>
      </w:tr>
      <w:tr>
        <w:trPr>
          <w:trHeight w:val="237"/>
        </w:trPr>
        <w:tc>
          <w:tcPr>
            <w:tcW w:w="272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James S. Lusk</w:t>
            </w:r>
          </w:p>
        </w:tc>
        <w:tc>
          <w:tcPr>
            <w:tcW w:w="2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$545,700</w:t>
            </w:r>
          </w:p>
        </w:tc>
        <w:tc>
          <w:tcPr>
            <w:tcW w:w="274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$562,071</w:t>
            </w:r>
          </w:p>
        </w:tc>
      </w:tr>
      <w:tr>
        <w:trPr>
          <w:trHeight w:val="237"/>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P. McClure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$657,900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$677,637</w:t>
            </w:r>
          </w:p>
        </w:tc>
      </w:tr>
      <w:tr>
        <w:trPr>
          <w:trHeight w:val="237"/>
        </w:trPr>
        <w:tc>
          <w:tcPr>
            <w:tcW w:w="272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Tracy K. Price</w:t>
            </w:r>
          </w:p>
        </w:tc>
        <w:tc>
          <w:tcPr>
            <w:tcW w:w="2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$657,900</w:t>
            </w:r>
          </w:p>
        </w:tc>
        <w:tc>
          <w:tcPr>
            <w:tcW w:w="274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$677,637</w:t>
            </w:r>
          </w:p>
        </w:tc>
      </w:tr>
      <w:tr>
        <w:trPr>
          <w:trHeight w:val="237"/>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Sarah H. McConnell</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$459,000</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$472,770</w:t>
            </w:r>
          </w:p>
        </w:tc>
      </w:tr>
    </w:tbl>
    <w:p>
      <w:pPr>
        <w:spacing w:after="0" w:line="252"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004FF9"/>
        </w:rPr>
        <w:t>2014 Annual Cash Incentive Overview</w:t>
      </w:r>
    </w:p>
    <w:p>
      <w:pPr>
        <w:sectPr>
          <w:pgSz w:w="11900" w:h="16838" w:orient="portrait"/>
          <w:cols w:equalWidth="0" w:num="1">
            <w:col w:w="10219"/>
          </w:cols>
          <w:pgMar w:left="240" w:top="131" w:right="1440" w:bottom="1440" w:gutter="0" w:footer="0" w:header="0"/>
          <w:type w:val="continuous"/>
        </w:sectPr>
      </w:pPr>
    </w:p>
    <w:p>
      <w:pPr>
        <w:spacing w:after="0" w:line="106"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Committee determines each NEO’s target bonus and maximum bonus opportunity in light of the NEO’s role and responsibilities. The CEO has the highest target bonus because the Committee believes that the CEO’s compensation should be most heavily weighted toward performance. The Committee also references the Compensation Comparator Group median when it establishes the target bonus. The Committee believes that each</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NEO’s annual incentive cash payment should be significantly weighted toward objective financial performance metrics which are reflected in the NEO’s overall bonus targets and weightings.</w:t>
      </w:r>
    </w:p>
    <w:p>
      <w:pPr>
        <w:spacing w:after="0" w:line="95"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The target bonuses, maximum bonuses, performance factors and weightings, along with the actual 2014 bonus awards for the NEOs, are set forth in the table below.</w:t>
      </w:r>
    </w:p>
    <w:p>
      <w:pPr>
        <w:spacing w:after="0" w:line="277"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320"/>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004FF9"/>
        </w:rPr>
        <w:t>Fiscal Year 2014 Bonus Targets, Weighting, and Awards</w:t>
      </w:r>
    </w:p>
    <w:p>
      <w:pPr>
        <w:spacing w:after="0" w:line="98" w:lineRule="exact"/>
        <w:rPr>
          <w:sz w:val="20"/>
          <w:szCs w:val="20"/>
          <w:color w:val="auto"/>
        </w:rPr>
      </w:pPr>
    </w:p>
    <w:tbl>
      <w:tblPr>
        <w:tblLayout w:type="fixed"/>
        <w:tblInd w:w="510" w:type="dxa"/>
        <w:tblCellMar>
          <w:top w:w="0" w:type="dxa"/>
          <w:left w:w="0" w:type="dxa"/>
          <w:bottom w:w="0" w:type="dxa"/>
          <w:right w:w="0" w:type="dxa"/>
        </w:tblCellMar>
      </w:tblPr>
      <w:tr>
        <w:trPr>
          <w:trHeight w:val="343"/>
        </w:trPr>
        <w:tc>
          <w:tcPr>
            <w:tcW w:w="140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740" w:type="dxa"/>
            <w:vAlign w:val="bottom"/>
            <w:tcBorders>
              <w:top w:val="single" w:sz="8" w:color="auto"/>
              <w:right w:val="single" w:sz="8" w:color="auto"/>
            </w:tcBorders>
            <w:shd w:val="clear" w:color="auto" w:fill="B1C9FD"/>
          </w:tcPr>
          <w:p>
            <w:pPr>
              <w:spacing w:after="0"/>
              <w:rPr>
                <w:sz w:val="24"/>
                <w:szCs w:val="24"/>
                <w:color w:val="auto"/>
              </w:rPr>
            </w:pPr>
          </w:p>
        </w:tc>
        <w:tc>
          <w:tcPr>
            <w:tcW w:w="86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5"/>
              </w:rPr>
              <w:t>Target</w:t>
            </w:r>
          </w:p>
        </w:tc>
        <w:tc>
          <w:tcPr>
            <w:tcW w:w="720" w:type="dxa"/>
            <w:vAlign w:val="bottom"/>
            <w:tcBorders>
              <w:top w:val="single" w:sz="8" w:color="auto"/>
              <w:right w:val="single" w:sz="8" w:color="auto"/>
            </w:tcBorders>
            <w:shd w:val="clear" w:color="auto" w:fill="B1C9FD"/>
          </w:tcPr>
          <w:p>
            <w:pPr>
              <w:spacing w:after="0"/>
              <w:rPr>
                <w:sz w:val="24"/>
                <w:szCs w:val="24"/>
                <w:color w:val="auto"/>
              </w:rPr>
            </w:pPr>
          </w:p>
        </w:tc>
        <w:tc>
          <w:tcPr>
            <w:tcW w:w="960" w:type="dxa"/>
            <w:vAlign w:val="bottom"/>
            <w:tcBorders>
              <w:top w:val="single" w:sz="8" w:color="auto"/>
              <w:right w:val="single" w:sz="8" w:color="auto"/>
            </w:tcBorders>
            <w:shd w:val="clear" w:color="auto" w:fill="B1C9FD"/>
          </w:tcPr>
          <w:p>
            <w:pPr>
              <w:spacing w:after="0"/>
              <w:rPr>
                <w:sz w:val="24"/>
                <w:szCs w:val="24"/>
                <w:color w:val="auto"/>
              </w:rPr>
            </w:pPr>
          </w:p>
        </w:tc>
        <w:tc>
          <w:tcPr>
            <w:tcW w:w="100" w:type="dxa"/>
            <w:vAlign w:val="bottom"/>
            <w:tcBorders>
              <w:top w:val="single" w:sz="8" w:color="auto"/>
            </w:tcBorders>
            <w:shd w:val="clear" w:color="auto" w:fill="B1C9FD"/>
          </w:tcPr>
          <w:p>
            <w:pPr>
              <w:spacing w:after="0"/>
              <w:rPr>
                <w:sz w:val="24"/>
                <w:szCs w:val="24"/>
                <w:color w:val="auto"/>
              </w:rPr>
            </w:pPr>
          </w:p>
        </w:tc>
        <w:tc>
          <w:tcPr>
            <w:tcW w:w="2140" w:type="dxa"/>
            <w:vAlign w:val="bottom"/>
            <w:tcBorders>
              <w:top w:val="single" w:sz="8" w:color="auto"/>
            </w:tcBorders>
            <w:shd w:val="clear" w:color="auto" w:fill="B1C9FD"/>
          </w:tcPr>
          <w:p>
            <w:pPr>
              <w:spacing w:after="0"/>
              <w:rPr>
                <w:sz w:val="24"/>
                <w:szCs w:val="24"/>
                <w:color w:val="auto"/>
              </w:rPr>
            </w:pPr>
          </w:p>
        </w:tc>
        <w:tc>
          <w:tcPr>
            <w:tcW w:w="120" w:type="dxa"/>
            <w:vAlign w:val="bottom"/>
            <w:tcBorders>
              <w:top w:val="single" w:sz="8" w:color="auto"/>
              <w:right w:val="single" w:sz="8" w:color="auto"/>
            </w:tcBorders>
            <w:shd w:val="clear" w:color="auto" w:fill="B1C9FD"/>
          </w:tcPr>
          <w:p>
            <w:pPr>
              <w:spacing w:after="0"/>
              <w:rPr>
                <w:sz w:val="24"/>
                <w:szCs w:val="24"/>
                <w:color w:val="auto"/>
              </w:rPr>
            </w:pPr>
          </w:p>
        </w:tc>
        <w:tc>
          <w:tcPr>
            <w:tcW w:w="280" w:type="dxa"/>
            <w:vAlign w:val="bottom"/>
            <w:tcBorders>
              <w:top w:val="single" w:sz="8" w:color="auto"/>
            </w:tcBorders>
            <w:shd w:val="clear" w:color="auto" w:fill="B1C9FD"/>
          </w:tcPr>
          <w:p>
            <w:pPr>
              <w:spacing w:after="0"/>
              <w:rPr>
                <w:sz w:val="24"/>
                <w:szCs w:val="24"/>
                <w:color w:val="auto"/>
              </w:rPr>
            </w:pPr>
          </w:p>
        </w:tc>
        <w:tc>
          <w:tcPr>
            <w:tcW w:w="720" w:type="dxa"/>
            <w:vAlign w:val="bottom"/>
            <w:tcBorders>
              <w:top w:val="single" w:sz="8" w:color="auto"/>
              <w:right w:val="single" w:sz="8" w:color="auto"/>
            </w:tcBorders>
            <w:shd w:val="clear" w:color="auto" w:fill="B1C9FD"/>
          </w:tcPr>
          <w:p>
            <w:pPr>
              <w:spacing w:after="0"/>
              <w:rPr>
                <w:sz w:val="24"/>
                <w:szCs w:val="24"/>
                <w:color w:val="auto"/>
              </w:rPr>
            </w:pPr>
          </w:p>
        </w:tc>
        <w:tc>
          <w:tcPr>
            <w:tcW w:w="88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7"/>
              </w:rPr>
              <w:t>Fiscal</w:t>
            </w:r>
          </w:p>
        </w:tc>
        <w:tc>
          <w:tcPr>
            <w:tcW w:w="840" w:type="dxa"/>
            <w:vAlign w:val="bottom"/>
            <w:tcBorders>
              <w:top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right w:val="single" w:sz="8" w:color="auto"/>
            </w:tcBorders>
            <w:shd w:val="clear" w:color="auto" w:fill="B1C9FD"/>
          </w:tcPr>
          <w:p>
            <w:pPr>
              <w:spacing w:after="0"/>
              <w:rPr>
                <w:sz w:val="14"/>
                <w:szCs w:val="14"/>
                <w:color w:val="auto"/>
              </w:rPr>
            </w:pPr>
          </w:p>
        </w:tc>
        <w:tc>
          <w:tcPr>
            <w:tcW w:w="740" w:type="dxa"/>
            <w:vAlign w:val="bottom"/>
            <w:tcBorders>
              <w:right w:val="single" w:sz="8" w:color="auto"/>
            </w:tcBorders>
            <w:shd w:val="clear" w:color="auto" w:fill="B1C9FD"/>
          </w:tcPr>
          <w:p>
            <w:pPr>
              <w:spacing w:after="0"/>
              <w:rPr>
                <w:sz w:val="14"/>
                <w:szCs w:val="14"/>
                <w:color w:val="auto"/>
              </w:rPr>
            </w:pPr>
          </w:p>
        </w:tc>
        <w:tc>
          <w:tcPr>
            <w:tcW w:w="8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3"/>
              </w:rPr>
              <w:t>Bonus</w:t>
            </w:r>
          </w:p>
        </w:tc>
        <w:tc>
          <w:tcPr>
            <w:tcW w:w="720" w:type="dxa"/>
            <w:vAlign w:val="bottom"/>
            <w:tcBorders>
              <w:right w:val="single" w:sz="8" w:color="auto"/>
            </w:tcBorders>
            <w:shd w:val="clear" w:color="auto" w:fill="B1C9FD"/>
          </w:tcPr>
          <w:p>
            <w:pPr>
              <w:spacing w:after="0"/>
              <w:rPr>
                <w:sz w:val="14"/>
                <w:szCs w:val="14"/>
                <w:color w:val="auto"/>
              </w:rPr>
            </w:pPr>
          </w:p>
        </w:tc>
        <w:tc>
          <w:tcPr>
            <w:tcW w:w="960" w:type="dxa"/>
            <w:vAlign w:val="bottom"/>
            <w:tcBorders>
              <w:right w:val="single" w:sz="8" w:color="auto"/>
            </w:tcBorders>
            <w:shd w:val="clear" w:color="auto" w:fill="B1C9FD"/>
          </w:tcPr>
          <w:p>
            <w:pPr>
              <w:spacing w:after="0"/>
              <w:rPr>
                <w:sz w:val="14"/>
                <w:szCs w:val="14"/>
                <w:color w:val="auto"/>
              </w:rPr>
            </w:pPr>
          </w:p>
        </w:tc>
        <w:tc>
          <w:tcPr>
            <w:tcW w:w="100" w:type="dxa"/>
            <w:vAlign w:val="bottom"/>
            <w:shd w:val="clear" w:color="auto" w:fill="B1C9FD"/>
          </w:tcPr>
          <w:p>
            <w:pPr>
              <w:spacing w:after="0"/>
              <w:rPr>
                <w:sz w:val="14"/>
                <w:szCs w:val="14"/>
                <w:color w:val="auto"/>
              </w:rPr>
            </w:pPr>
          </w:p>
        </w:tc>
        <w:tc>
          <w:tcPr>
            <w:tcW w:w="2140" w:type="dxa"/>
            <w:vAlign w:val="bottom"/>
            <w:shd w:val="clear" w:color="auto" w:fill="B1C9FD"/>
          </w:tcPr>
          <w:p>
            <w:pPr>
              <w:spacing w:after="0"/>
              <w:rPr>
                <w:sz w:val="14"/>
                <w:szCs w:val="14"/>
                <w:color w:val="auto"/>
              </w:rPr>
            </w:pPr>
          </w:p>
        </w:tc>
        <w:tc>
          <w:tcPr>
            <w:tcW w:w="120" w:type="dxa"/>
            <w:vAlign w:val="bottom"/>
            <w:tcBorders>
              <w:right w:val="single" w:sz="8" w:color="auto"/>
            </w:tcBorders>
            <w:shd w:val="clear" w:color="auto" w:fill="B1C9FD"/>
          </w:tcPr>
          <w:p>
            <w:pPr>
              <w:spacing w:after="0"/>
              <w:rPr>
                <w:sz w:val="14"/>
                <w:szCs w:val="14"/>
                <w:color w:val="auto"/>
              </w:rPr>
            </w:pPr>
          </w:p>
        </w:tc>
        <w:tc>
          <w:tcPr>
            <w:tcW w:w="280" w:type="dxa"/>
            <w:vAlign w:val="bottom"/>
            <w:shd w:val="clear" w:color="auto" w:fill="B1C9FD"/>
          </w:tcPr>
          <w:p>
            <w:pPr>
              <w:spacing w:after="0"/>
              <w:rPr>
                <w:sz w:val="14"/>
                <w:szCs w:val="14"/>
                <w:color w:val="auto"/>
              </w:rPr>
            </w:pPr>
          </w:p>
        </w:tc>
        <w:tc>
          <w:tcPr>
            <w:tcW w:w="720" w:type="dxa"/>
            <w:vAlign w:val="bottom"/>
            <w:tcBorders>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5"/>
              </w:rPr>
              <w:t>Year 2014</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7"/>
              </w:rPr>
              <w:t>Fiscal</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right w:val="single" w:sz="8" w:color="auto"/>
            </w:tcBorders>
            <w:shd w:val="clear" w:color="auto" w:fill="B1C9FD"/>
          </w:tcPr>
          <w:p>
            <w:pPr>
              <w:spacing w:after="0"/>
              <w:rPr>
                <w:sz w:val="14"/>
                <w:szCs w:val="14"/>
                <w:color w:val="auto"/>
              </w:rPr>
            </w:pPr>
          </w:p>
        </w:tc>
        <w:tc>
          <w:tcPr>
            <w:tcW w:w="740" w:type="dxa"/>
            <w:vAlign w:val="bottom"/>
            <w:tcBorders>
              <w:right w:val="single" w:sz="8" w:color="auto"/>
            </w:tcBorders>
            <w:shd w:val="clear" w:color="auto" w:fill="B1C9FD"/>
          </w:tcPr>
          <w:p>
            <w:pPr>
              <w:spacing w:after="0"/>
              <w:rPr>
                <w:sz w:val="14"/>
                <w:szCs w:val="14"/>
                <w:color w:val="auto"/>
              </w:rPr>
            </w:pPr>
          </w:p>
        </w:tc>
        <w:tc>
          <w:tcPr>
            <w:tcW w:w="860" w:type="dxa"/>
            <w:vAlign w:val="bottom"/>
            <w:tcBorders>
              <w:right w:val="single" w:sz="8" w:color="auto"/>
            </w:tcBorders>
            <w:shd w:val="clear" w:color="auto" w:fill="B1C9FD"/>
          </w:tcPr>
          <w:p>
            <w:pPr>
              <w:jc w:val="center"/>
              <w:ind w:right="13"/>
              <w:spacing w:after="0"/>
              <w:rPr>
                <w:sz w:val="20"/>
                <w:szCs w:val="20"/>
                <w:color w:val="auto"/>
              </w:rPr>
            </w:pPr>
            <w:r>
              <w:rPr>
                <w:rFonts w:ascii="Arial" w:cs="Arial" w:eastAsia="Arial" w:hAnsi="Arial"/>
                <w:sz w:val="13"/>
                <w:szCs w:val="13"/>
                <w:b w:val="1"/>
                <w:bCs w:val="1"/>
                <w:color w:val="004FF9"/>
                <w:w w:val="95"/>
              </w:rPr>
              <w:t>(as</w:t>
            </w:r>
          </w:p>
        </w:tc>
        <w:tc>
          <w:tcPr>
            <w:tcW w:w="720" w:type="dxa"/>
            <w:vAlign w:val="bottom"/>
            <w:tcBorders>
              <w:right w:val="single" w:sz="8" w:color="auto"/>
            </w:tcBorders>
            <w:shd w:val="clear" w:color="auto" w:fill="B1C9FD"/>
          </w:tcPr>
          <w:p>
            <w:pPr>
              <w:spacing w:after="0"/>
              <w:rPr>
                <w:sz w:val="14"/>
                <w:szCs w:val="14"/>
                <w:color w:val="auto"/>
              </w:rPr>
            </w:pPr>
          </w:p>
        </w:tc>
        <w:tc>
          <w:tcPr>
            <w:tcW w:w="960" w:type="dxa"/>
            <w:vAlign w:val="bottom"/>
            <w:tcBorders>
              <w:right w:val="single" w:sz="8" w:color="auto"/>
            </w:tcBorders>
            <w:shd w:val="clear" w:color="auto" w:fill="B1C9FD"/>
          </w:tcPr>
          <w:p>
            <w:pPr>
              <w:spacing w:after="0"/>
              <w:rPr>
                <w:sz w:val="14"/>
                <w:szCs w:val="14"/>
                <w:color w:val="auto"/>
              </w:rPr>
            </w:pPr>
          </w:p>
        </w:tc>
        <w:tc>
          <w:tcPr>
            <w:tcW w:w="100" w:type="dxa"/>
            <w:vAlign w:val="bottom"/>
            <w:shd w:val="clear" w:color="auto" w:fill="B1C9FD"/>
          </w:tcPr>
          <w:p>
            <w:pPr>
              <w:spacing w:after="0"/>
              <w:rPr>
                <w:sz w:val="14"/>
                <w:szCs w:val="14"/>
                <w:color w:val="auto"/>
              </w:rPr>
            </w:pPr>
          </w:p>
        </w:tc>
        <w:tc>
          <w:tcPr>
            <w:tcW w:w="2140" w:type="dxa"/>
            <w:vAlign w:val="bottom"/>
            <w:shd w:val="clear" w:color="auto" w:fill="B1C9FD"/>
          </w:tcPr>
          <w:p>
            <w:pPr>
              <w:spacing w:after="0"/>
              <w:rPr>
                <w:sz w:val="14"/>
                <w:szCs w:val="14"/>
                <w:color w:val="auto"/>
              </w:rPr>
            </w:pPr>
          </w:p>
        </w:tc>
        <w:tc>
          <w:tcPr>
            <w:tcW w:w="120" w:type="dxa"/>
            <w:vAlign w:val="bottom"/>
            <w:tcBorders>
              <w:right w:val="single" w:sz="8" w:color="auto"/>
            </w:tcBorders>
            <w:shd w:val="clear" w:color="auto" w:fill="B1C9FD"/>
          </w:tcPr>
          <w:p>
            <w:pPr>
              <w:spacing w:after="0"/>
              <w:rPr>
                <w:sz w:val="14"/>
                <w:szCs w:val="14"/>
                <w:color w:val="auto"/>
              </w:rPr>
            </w:pPr>
          </w:p>
        </w:tc>
        <w:tc>
          <w:tcPr>
            <w:tcW w:w="280" w:type="dxa"/>
            <w:vAlign w:val="bottom"/>
            <w:shd w:val="clear" w:color="auto" w:fill="B1C9FD"/>
          </w:tcPr>
          <w:p>
            <w:pPr>
              <w:spacing w:after="0"/>
              <w:rPr>
                <w:sz w:val="14"/>
                <w:szCs w:val="14"/>
                <w:color w:val="auto"/>
              </w:rPr>
            </w:pPr>
          </w:p>
        </w:tc>
        <w:tc>
          <w:tcPr>
            <w:tcW w:w="720" w:type="dxa"/>
            <w:vAlign w:val="bottom"/>
            <w:tcBorders>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5"/>
              </w:rPr>
              <w:t>Bonus as</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2"/>
              </w:rPr>
              <w:t>Year</w:t>
            </w: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B1C9FD"/>
          </w:tcPr>
          <w:p>
            <w:pPr>
              <w:spacing w:after="0"/>
              <w:rPr>
                <w:sz w:val="12"/>
                <w:szCs w:val="12"/>
                <w:color w:val="auto"/>
              </w:rPr>
            </w:pPr>
          </w:p>
        </w:tc>
        <w:tc>
          <w:tcPr>
            <w:tcW w:w="740" w:type="dxa"/>
            <w:vAlign w:val="bottom"/>
            <w:tcBorders>
              <w:right w:val="single" w:sz="8" w:color="auto"/>
            </w:tcBorders>
            <w:shd w:val="clear" w:color="auto" w:fill="B1C9FD"/>
          </w:tcPr>
          <w:p>
            <w:pPr>
              <w:jc w:val="center"/>
              <w:spacing w:after="0" w:line="144" w:lineRule="exact"/>
              <w:rPr>
                <w:sz w:val="20"/>
                <w:szCs w:val="20"/>
                <w:color w:val="auto"/>
              </w:rPr>
            </w:pPr>
            <w:r>
              <w:rPr>
                <w:rFonts w:ascii="Arial" w:cs="Arial" w:eastAsia="Arial" w:hAnsi="Arial"/>
                <w:sz w:val="13"/>
                <w:szCs w:val="13"/>
                <w:b w:val="1"/>
                <w:bCs w:val="1"/>
                <w:color w:val="004FF9"/>
                <w:w w:val="96"/>
              </w:rPr>
              <w:t>Base</w:t>
            </w:r>
          </w:p>
        </w:tc>
        <w:tc>
          <w:tcPr>
            <w:tcW w:w="860" w:type="dxa"/>
            <w:vAlign w:val="bottom"/>
            <w:tcBorders>
              <w:right w:val="single" w:sz="8" w:color="auto"/>
            </w:tcBorders>
            <w:shd w:val="clear" w:color="auto" w:fill="B1C9FD"/>
          </w:tcPr>
          <w:p>
            <w:pPr>
              <w:jc w:val="center"/>
              <w:spacing w:after="0" w:line="144" w:lineRule="exact"/>
              <w:rPr>
                <w:sz w:val="20"/>
                <w:szCs w:val="20"/>
                <w:color w:val="auto"/>
              </w:rPr>
            </w:pPr>
            <w:r>
              <w:rPr>
                <w:rFonts w:ascii="Arial" w:cs="Arial" w:eastAsia="Arial" w:hAnsi="Arial"/>
                <w:sz w:val="13"/>
                <w:szCs w:val="13"/>
                <w:b w:val="1"/>
                <w:bCs w:val="1"/>
                <w:color w:val="004FF9"/>
                <w:w w:val="96"/>
              </w:rPr>
              <w:t>Percentage</w:t>
            </w:r>
          </w:p>
        </w:tc>
        <w:tc>
          <w:tcPr>
            <w:tcW w:w="720" w:type="dxa"/>
            <w:vAlign w:val="bottom"/>
            <w:tcBorders>
              <w:right w:val="single" w:sz="8" w:color="auto"/>
            </w:tcBorders>
            <w:shd w:val="clear" w:color="auto" w:fill="B1C9FD"/>
          </w:tcPr>
          <w:p>
            <w:pPr>
              <w:ind w:left="160"/>
              <w:spacing w:after="0" w:line="144" w:lineRule="exact"/>
              <w:rPr>
                <w:sz w:val="20"/>
                <w:szCs w:val="20"/>
                <w:color w:val="auto"/>
              </w:rPr>
            </w:pPr>
            <w:r>
              <w:rPr>
                <w:rFonts w:ascii="Arial" w:cs="Arial" w:eastAsia="Arial" w:hAnsi="Arial"/>
                <w:sz w:val="13"/>
                <w:szCs w:val="13"/>
                <w:b w:val="1"/>
                <w:bCs w:val="1"/>
                <w:color w:val="004FF9"/>
              </w:rPr>
              <w:t>Target</w:t>
            </w:r>
          </w:p>
        </w:tc>
        <w:tc>
          <w:tcPr>
            <w:tcW w:w="960" w:type="dxa"/>
            <w:vAlign w:val="bottom"/>
            <w:tcBorders>
              <w:right w:val="single" w:sz="8" w:color="auto"/>
            </w:tcBorders>
            <w:shd w:val="clear" w:color="auto" w:fill="B1C9FD"/>
          </w:tcPr>
          <w:p>
            <w:pPr>
              <w:jc w:val="center"/>
              <w:spacing w:after="0" w:line="144" w:lineRule="exact"/>
              <w:rPr>
                <w:sz w:val="20"/>
                <w:szCs w:val="20"/>
                <w:color w:val="auto"/>
              </w:rPr>
            </w:pPr>
            <w:r>
              <w:rPr>
                <w:rFonts w:ascii="Arial" w:cs="Arial" w:eastAsia="Arial" w:hAnsi="Arial"/>
                <w:sz w:val="13"/>
                <w:szCs w:val="13"/>
                <w:b w:val="1"/>
                <w:bCs w:val="1"/>
                <w:color w:val="004FF9"/>
                <w:w w:val="96"/>
              </w:rPr>
              <w:t>Maximum</w:t>
            </w:r>
          </w:p>
        </w:tc>
        <w:tc>
          <w:tcPr>
            <w:tcW w:w="100" w:type="dxa"/>
            <w:vAlign w:val="bottom"/>
            <w:shd w:val="clear" w:color="auto" w:fill="B1C9FD"/>
          </w:tcPr>
          <w:p>
            <w:pPr>
              <w:spacing w:after="0"/>
              <w:rPr>
                <w:sz w:val="12"/>
                <w:szCs w:val="12"/>
                <w:color w:val="auto"/>
              </w:rPr>
            </w:pPr>
          </w:p>
        </w:tc>
        <w:tc>
          <w:tcPr>
            <w:tcW w:w="2140" w:type="dxa"/>
            <w:vAlign w:val="bottom"/>
            <w:shd w:val="clear" w:color="auto" w:fill="B1C9FD"/>
          </w:tcPr>
          <w:p>
            <w:pPr>
              <w:spacing w:after="0"/>
              <w:rPr>
                <w:sz w:val="12"/>
                <w:szCs w:val="12"/>
                <w:color w:val="auto"/>
              </w:rPr>
            </w:pPr>
          </w:p>
        </w:tc>
        <w:tc>
          <w:tcPr>
            <w:tcW w:w="120" w:type="dxa"/>
            <w:vAlign w:val="bottom"/>
            <w:tcBorders>
              <w:right w:val="single" w:sz="8" w:color="auto"/>
            </w:tcBorders>
            <w:shd w:val="clear" w:color="auto" w:fill="B1C9FD"/>
          </w:tcPr>
          <w:p>
            <w:pPr>
              <w:spacing w:after="0"/>
              <w:rPr>
                <w:sz w:val="12"/>
                <w:szCs w:val="12"/>
                <w:color w:val="auto"/>
              </w:rPr>
            </w:pPr>
          </w:p>
        </w:tc>
        <w:tc>
          <w:tcPr>
            <w:tcW w:w="280" w:type="dxa"/>
            <w:vAlign w:val="bottom"/>
            <w:shd w:val="clear" w:color="auto" w:fill="B1C9FD"/>
          </w:tcPr>
          <w:p>
            <w:pPr>
              <w:spacing w:after="0"/>
              <w:rPr>
                <w:sz w:val="12"/>
                <w:szCs w:val="12"/>
                <w:color w:val="auto"/>
              </w:rPr>
            </w:pPr>
          </w:p>
        </w:tc>
        <w:tc>
          <w:tcPr>
            <w:tcW w:w="720" w:type="dxa"/>
            <w:vAlign w:val="bottom"/>
            <w:tcBorders>
              <w:right w:val="single" w:sz="8" w:color="auto"/>
            </w:tcBorders>
            <w:shd w:val="clear" w:color="auto" w:fill="B1C9FD"/>
          </w:tcPr>
          <w:p>
            <w:pPr>
              <w:spacing w:after="0"/>
              <w:rPr>
                <w:sz w:val="12"/>
                <w:szCs w:val="12"/>
                <w:color w:val="auto"/>
              </w:rPr>
            </w:pPr>
          </w:p>
        </w:tc>
        <w:tc>
          <w:tcPr>
            <w:tcW w:w="880" w:type="dxa"/>
            <w:vAlign w:val="bottom"/>
            <w:tcBorders>
              <w:right w:val="single" w:sz="8" w:color="auto"/>
            </w:tcBorders>
            <w:shd w:val="clear" w:color="auto" w:fill="B1C9FD"/>
          </w:tcPr>
          <w:p>
            <w:pPr>
              <w:jc w:val="center"/>
              <w:spacing w:after="0" w:line="144" w:lineRule="exact"/>
              <w:rPr>
                <w:sz w:val="20"/>
                <w:szCs w:val="20"/>
                <w:color w:val="auto"/>
              </w:rPr>
            </w:pPr>
            <w:r>
              <w:rPr>
                <w:rFonts w:ascii="Arial" w:cs="Arial" w:eastAsia="Arial" w:hAnsi="Arial"/>
                <w:sz w:val="13"/>
                <w:szCs w:val="13"/>
                <w:b w:val="1"/>
                <w:bCs w:val="1"/>
                <w:color w:val="004FF9"/>
                <w:w w:val="96"/>
              </w:rPr>
              <w:t>Percentage</w:t>
            </w:r>
          </w:p>
        </w:tc>
        <w:tc>
          <w:tcPr>
            <w:tcW w:w="840" w:type="dxa"/>
            <w:vAlign w:val="bottom"/>
            <w:tcBorders>
              <w:right w:val="single" w:sz="8" w:color="auto"/>
            </w:tcBorders>
            <w:shd w:val="clear" w:color="auto" w:fill="B1C9FD"/>
          </w:tcPr>
          <w:p>
            <w:pPr>
              <w:jc w:val="center"/>
              <w:spacing w:after="0" w:line="144" w:lineRule="exact"/>
              <w:rPr>
                <w:sz w:val="20"/>
                <w:szCs w:val="20"/>
                <w:color w:val="auto"/>
              </w:rPr>
            </w:pPr>
            <w:r>
              <w:rPr>
                <w:rFonts w:ascii="Arial" w:cs="Arial" w:eastAsia="Arial" w:hAnsi="Arial"/>
                <w:sz w:val="13"/>
                <w:szCs w:val="13"/>
                <w:b w:val="1"/>
                <w:bCs w:val="1"/>
                <w:color w:val="004FF9"/>
                <w:w w:val="96"/>
              </w:rPr>
              <w:t>2014</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right w:val="single" w:sz="8" w:color="auto"/>
            </w:tcBorders>
            <w:shd w:val="clear" w:color="auto" w:fill="B1C9FD"/>
          </w:tcPr>
          <w:p>
            <w:pPr>
              <w:ind w:left="60"/>
              <w:spacing w:after="0"/>
              <w:rPr>
                <w:sz w:val="20"/>
                <w:szCs w:val="20"/>
                <w:color w:val="auto"/>
              </w:rPr>
            </w:pPr>
            <w:r>
              <w:rPr>
                <w:rFonts w:ascii="Arial" w:cs="Arial" w:eastAsia="Arial" w:hAnsi="Arial"/>
                <w:sz w:val="13"/>
                <w:szCs w:val="13"/>
                <w:b w:val="1"/>
                <w:bCs w:val="1"/>
                <w:color w:val="004FF9"/>
              </w:rPr>
              <w:t>Named Executive</w:t>
            </w:r>
          </w:p>
        </w:tc>
        <w:tc>
          <w:tcPr>
            <w:tcW w:w="7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7"/>
              </w:rPr>
              <w:t>Salary</w:t>
            </w:r>
          </w:p>
        </w:tc>
        <w:tc>
          <w:tcPr>
            <w:tcW w:w="8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7"/>
              </w:rPr>
              <w:t>of Salary)</w:t>
            </w:r>
          </w:p>
        </w:tc>
        <w:tc>
          <w:tcPr>
            <w:tcW w:w="720" w:type="dxa"/>
            <w:vAlign w:val="bottom"/>
            <w:tcBorders>
              <w:right w:val="single" w:sz="8" w:color="auto"/>
            </w:tcBorders>
            <w:shd w:val="clear" w:color="auto" w:fill="B1C9FD"/>
          </w:tcPr>
          <w:p>
            <w:pPr>
              <w:ind w:left="140"/>
              <w:spacing w:after="0"/>
              <w:rPr>
                <w:sz w:val="20"/>
                <w:szCs w:val="20"/>
                <w:color w:val="auto"/>
              </w:rPr>
            </w:pPr>
            <w:r>
              <w:rPr>
                <w:rFonts w:ascii="Arial" w:cs="Arial" w:eastAsia="Arial" w:hAnsi="Arial"/>
                <w:sz w:val="13"/>
                <w:szCs w:val="13"/>
                <w:b w:val="1"/>
                <w:bCs w:val="1"/>
                <w:color w:val="004FF9"/>
              </w:rPr>
              <w:t>Bonus</w:t>
            </w:r>
          </w:p>
        </w:tc>
        <w:tc>
          <w:tcPr>
            <w:tcW w:w="96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2"/>
                <w:szCs w:val="12"/>
                <w:b w:val="1"/>
                <w:bCs w:val="1"/>
                <w:color w:val="004FF9"/>
                <w:w w:val="96"/>
              </w:rPr>
              <w:t>Bonus</w:t>
            </w:r>
            <w:r>
              <w:rPr>
                <w:rFonts w:ascii="Arial" w:cs="Arial" w:eastAsia="Arial" w:hAnsi="Arial"/>
                <w:sz w:val="18"/>
                <w:szCs w:val="18"/>
                <w:b w:val="1"/>
                <w:bCs w:val="1"/>
                <w:color w:val="004FF9"/>
                <w:w w:val="96"/>
                <w:vertAlign w:val="superscript"/>
              </w:rPr>
              <w:t>(1)</w:t>
            </w:r>
          </w:p>
        </w:tc>
        <w:tc>
          <w:tcPr>
            <w:tcW w:w="100" w:type="dxa"/>
            <w:vAlign w:val="bottom"/>
            <w:shd w:val="clear" w:color="auto" w:fill="B1C9FD"/>
          </w:tcPr>
          <w:p>
            <w:pPr>
              <w:spacing w:after="0"/>
              <w:rPr>
                <w:sz w:val="14"/>
                <w:szCs w:val="14"/>
                <w:color w:val="auto"/>
              </w:rPr>
            </w:pPr>
          </w:p>
        </w:tc>
        <w:tc>
          <w:tcPr>
            <w:tcW w:w="2260" w:type="dxa"/>
            <w:vAlign w:val="bottom"/>
            <w:tcBorders>
              <w:right w:val="single" w:sz="8" w:color="auto"/>
            </w:tcBorders>
            <w:gridSpan w:val="2"/>
            <w:shd w:val="clear" w:color="auto" w:fill="B1C9FD"/>
          </w:tcPr>
          <w:p>
            <w:pPr>
              <w:ind w:left="440"/>
              <w:spacing w:after="0"/>
              <w:rPr>
                <w:sz w:val="20"/>
                <w:szCs w:val="20"/>
                <w:color w:val="auto"/>
              </w:rPr>
            </w:pPr>
            <w:r>
              <w:rPr>
                <w:rFonts w:ascii="Arial" w:cs="Arial" w:eastAsia="Arial" w:hAnsi="Arial"/>
                <w:sz w:val="13"/>
                <w:szCs w:val="13"/>
                <w:b w:val="1"/>
                <w:bCs w:val="1"/>
                <w:color w:val="004FF9"/>
              </w:rPr>
              <w:t>Performance Factors</w:t>
            </w:r>
          </w:p>
        </w:tc>
        <w:tc>
          <w:tcPr>
            <w:tcW w:w="1000" w:type="dxa"/>
            <w:vAlign w:val="bottom"/>
            <w:tcBorders>
              <w:right w:val="single" w:sz="8" w:color="auto"/>
            </w:tcBorders>
            <w:gridSpan w:val="2"/>
            <w:shd w:val="clear" w:color="auto" w:fill="B1C9FD"/>
          </w:tcPr>
          <w:p>
            <w:pPr>
              <w:ind w:left="80"/>
              <w:spacing w:after="0"/>
              <w:rPr>
                <w:sz w:val="20"/>
                <w:szCs w:val="20"/>
                <w:color w:val="auto"/>
              </w:rPr>
            </w:pPr>
            <w:r>
              <w:rPr>
                <w:rFonts w:ascii="Arial" w:cs="Arial" w:eastAsia="Arial" w:hAnsi="Arial"/>
                <w:sz w:val="13"/>
                <w:szCs w:val="13"/>
                <w:b w:val="1"/>
                <w:bCs w:val="1"/>
                <w:color w:val="004FF9"/>
              </w:rPr>
              <w:t>Achievement</w:t>
            </w: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3"/>
              </w:rPr>
              <w:t>of Target</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8"/>
              </w:rPr>
              <w:t>Bonus</w:t>
            </w: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bottom w:val="single" w:sz="8" w:color="auto"/>
              <w:right w:val="single" w:sz="8" w:color="auto"/>
            </w:tcBorders>
            <w:shd w:val="clear" w:color="auto" w:fill="B1C9FD"/>
          </w:tcPr>
          <w:p>
            <w:pPr>
              <w:ind w:left="220"/>
              <w:spacing w:after="0"/>
              <w:rPr>
                <w:sz w:val="20"/>
                <w:szCs w:val="20"/>
                <w:color w:val="auto"/>
              </w:rPr>
            </w:pPr>
            <w:r>
              <w:rPr>
                <w:rFonts w:ascii="Arial" w:cs="Arial" w:eastAsia="Arial" w:hAnsi="Arial"/>
                <w:sz w:val="13"/>
                <w:szCs w:val="13"/>
                <w:b w:val="1"/>
                <w:bCs w:val="1"/>
                <w:color w:val="004FF9"/>
              </w:rPr>
              <w:t>Officer</w:t>
            </w:r>
          </w:p>
        </w:tc>
        <w:tc>
          <w:tcPr>
            <w:tcW w:w="7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87"/>
              </w:rPr>
              <w:t>($)</w:t>
            </w:r>
          </w:p>
        </w:tc>
        <w:tc>
          <w:tcPr>
            <w:tcW w:w="8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88"/>
              </w:rPr>
              <w:t>(%)</w:t>
            </w:r>
          </w:p>
        </w:tc>
        <w:tc>
          <w:tcPr>
            <w:tcW w:w="7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rPr>
              <w:t>($)</w:t>
            </w:r>
          </w:p>
        </w:tc>
        <w:tc>
          <w:tcPr>
            <w:tcW w:w="9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87"/>
              </w:rPr>
              <w:t>($)</w:t>
            </w:r>
          </w:p>
        </w:tc>
        <w:tc>
          <w:tcPr>
            <w:tcW w:w="100" w:type="dxa"/>
            <w:vAlign w:val="bottom"/>
            <w:tcBorders>
              <w:bottom w:val="single" w:sz="8" w:color="auto"/>
            </w:tcBorders>
            <w:shd w:val="clear" w:color="auto" w:fill="B1C9FD"/>
          </w:tcPr>
          <w:p>
            <w:pPr>
              <w:spacing w:after="0"/>
              <w:rPr>
                <w:sz w:val="17"/>
                <w:szCs w:val="17"/>
                <w:color w:val="auto"/>
              </w:rPr>
            </w:pPr>
          </w:p>
        </w:tc>
        <w:tc>
          <w:tcPr>
            <w:tcW w:w="2260" w:type="dxa"/>
            <w:vAlign w:val="bottom"/>
            <w:tcBorders>
              <w:bottom w:val="single" w:sz="8" w:color="auto"/>
              <w:right w:val="single" w:sz="8" w:color="auto"/>
            </w:tcBorders>
            <w:gridSpan w:val="2"/>
            <w:shd w:val="clear" w:color="auto" w:fill="B1C9FD"/>
          </w:tcPr>
          <w:p>
            <w:pPr>
              <w:ind w:left="640"/>
              <w:spacing w:after="0"/>
              <w:rPr>
                <w:sz w:val="20"/>
                <w:szCs w:val="20"/>
                <w:color w:val="auto"/>
              </w:rPr>
            </w:pPr>
            <w:r>
              <w:rPr>
                <w:rFonts w:ascii="Arial" w:cs="Arial" w:eastAsia="Arial" w:hAnsi="Arial"/>
                <w:sz w:val="13"/>
                <w:szCs w:val="13"/>
                <w:b w:val="1"/>
                <w:bCs w:val="1"/>
                <w:color w:val="004FF9"/>
              </w:rPr>
              <w:t>and Weighting</w:t>
            </w:r>
          </w:p>
        </w:tc>
        <w:tc>
          <w:tcPr>
            <w:tcW w:w="1000" w:type="dxa"/>
            <w:vAlign w:val="bottom"/>
            <w:tcBorders>
              <w:bottom w:val="single" w:sz="8" w:color="auto"/>
              <w:right w:val="single" w:sz="8" w:color="auto"/>
            </w:tcBorders>
            <w:gridSpan w:val="2"/>
            <w:shd w:val="clear" w:color="auto" w:fill="B1C9FD"/>
          </w:tcPr>
          <w:p>
            <w:pPr>
              <w:jc w:val="center"/>
              <w:spacing w:after="0"/>
              <w:rPr>
                <w:sz w:val="20"/>
                <w:szCs w:val="20"/>
                <w:color w:val="auto"/>
              </w:rPr>
            </w:pPr>
            <w:r>
              <w:rPr>
                <w:rFonts w:ascii="Arial" w:cs="Arial" w:eastAsia="Arial" w:hAnsi="Arial"/>
                <w:sz w:val="13"/>
                <w:szCs w:val="13"/>
                <w:b w:val="1"/>
                <w:bCs w:val="1"/>
                <w:color w:val="004FF9"/>
                <w:w w:val="98"/>
              </w:rPr>
              <w:t>(%)</w:t>
            </w:r>
          </w:p>
        </w:tc>
        <w:tc>
          <w:tcPr>
            <w:tcW w:w="880" w:type="dxa"/>
            <w:vAlign w:val="bottom"/>
            <w:tcBorders>
              <w:bottom w:val="single" w:sz="8" w:color="auto"/>
              <w:right w:val="single" w:sz="8" w:color="auto"/>
            </w:tcBorders>
            <w:shd w:val="clear" w:color="auto" w:fill="B1C9FD"/>
          </w:tcPr>
          <w:p>
            <w:pPr>
              <w:jc w:val="center"/>
              <w:spacing w:after="0" w:line="202" w:lineRule="exact"/>
              <w:rPr>
                <w:sz w:val="20"/>
                <w:szCs w:val="20"/>
                <w:color w:val="auto"/>
              </w:rPr>
            </w:pPr>
            <w:r>
              <w:rPr>
                <w:rFonts w:ascii="Arial" w:cs="Arial" w:eastAsia="Arial" w:hAnsi="Arial"/>
                <w:sz w:val="23"/>
                <w:szCs w:val="23"/>
                <w:b w:val="1"/>
                <w:bCs w:val="1"/>
                <w:color w:val="004FF9"/>
                <w:w w:val="95"/>
                <w:vertAlign w:val="subscript"/>
              </w:rPr>
              <w:t>(%)</w:t>
            </w:r>
            <w:r>
              <w:rPr>
                <w:rFonts w:ascii="Arial" w:cs="Arial" w:eastAsia="Arial" w:hAnsi="Arial"/>
                <w:sz w:val="9"/>
                <w:szCs w:val="9"/>
                <w:b w:val="1"/>
                <w:bCs w:val="1"/>
                <w:color w:val="004FF9"/>
                <w:w w:val="95"/>
              </w:rPr>
              <w:t>(2)(3)</w:t>
            </w:r>
          </w:p>
        </w:tc>
        <w:tc>
          <w:tcPr>
            <w:tcW w:w="840" w:type="dxa"/>
            <w:vAlign w:val="bottom"/>
            <w:tcBorders>
              <w:bottom w:val="single" w:sz="8" w:color="auto"/>
              <w:right w:val="single" w:sz="8" w:color="auto"/>
            </w:tcBorders>
            <w:shd w:val="clear" w:color="auto" w:fill="B1C9FD"/>
          </w:tcPr>
          <w:p>
            <w:pPr>
              <w:jc w:val="center"/>
              <w:spacing w:after="0" w:line="203" w:lineRule="exact"/>
              <w:rPr>
                <w:sz w:val="20"/>
                <w:szCs w:val="20"/>
                <w:color w:val="auto"/>
              </w:rPr>
            </w:pPr>
            <w:r>
              <w:rPr>
                <w:rFonts w:ascii="Arial" w:cs="Arial" w:eastAsia="Arial" w:hAnsi="Arial"/>
                <w:sz w:val="13"/>
                <w:szCs w:val="13"/>
                <w:b w:val="1"/>
                <w:bCs w:val="1"/>
                <w:color w:val="004FF9"/>
                <w:w w:val="89"/>
              </w:rPr>
              <w:t>($)</w:t>
            </w:r>
            <w:r>
              <w:rPr>
                <w:rFonts w:ascii="Arial" w:cs="Arial" w:eastAsia="Arial" w:hAnsi="Arial"/>
                <w:sz w:val="19"/>
                <w:szCs w:val="19"/>
                <w:b w:val="1"/>
                <w:bCs w:val="1"/>
                <w:color w:val="004FF9"/>
                <w:w w:val="89"/>
                <w:vertAlign w:val="superscript"/>
              </w:rPr>
              <w:t>(3)</w:t>
            </w: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Henrik C.</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893,000</w:t>
            </w:r>
          </w:p>
        </w:tc>
        <w:tc>
          <w:tcPr>
            <w:tcW w:w="860" w:type="dxa"/>
            <w:vAlign w:val="bottom"/>
            <w:tcBorders>
              <w:right w:val="single" w:sz="8" w:color="auto"/>
            </w:tcBorders>
          </w:tcPr>
          <w:p>
            <w:pPr>
              <w:jc w:val="right"/>
              <w:ind w:right="273"/>
              <w:spacing w:after="0"/>
              <w:rPr>
                <w:sz w:val="20"/>
                <w:szCs w:val="20"/>
                <w:color w:val="auto"/>
              </w:rPr>
            </w:pPr>
            <w:r>
              <w:rPr>
                <w:rFonts w:ascii="Arial" w:cs="Arial" w:eastAsia="Arial" w:hAnsi="Arial"/>
                <w:sz w:val="14"/>
                <w:szCs w:val="14"/>
                <w:color w:val="auto"/>
              </w:rPr>
              <w:t>100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893,000</w:t>
            </w:r>
          </w:p>
        </w:tc>
        <w:tc>
          <w:tcPr>
            <w:tcW w:w="96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1,652,050</w:t>
            </w:r>
          </w:p>
        </w:tc>
        <w:tc>
          <w:tcPr>
            <w:tcW w:w="236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CEO Financial Objectives, 70%</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103.0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117.4</w:t>
            </w:r>
          </w:p>
        </w:tc>
        <w:tc>
          <w:tcPr>
            <w:tcW w:w="840" w:type="dxa"/>
            <w:vAlign w:val="bottom"/>
            <w:tcBorders>
              <w:right w:val="single" w:sz="8" w:color="auto"/>
            </w:tcBorders>
          </w:tcPr>
          <w:p>
            <w:pPr>
              <w:jc w:val="right"/>
              <w:ind w:right="13"/>
              <w:spacing w:after="0"/>
              <w:rPr>
                <w:sz w:val="20"/>
                <w:szCs w:val="20"/>
                <w:color w:val="auto"/>
              </w:rPr>
            </w:pPr>
            <w:r>
              <w:rPr>
                <w:rFonts w:ascii="Arial" w:cs="Arial" w:eastAsia="Arial" w:hAnsi="Arial"/>
                <w:sz w:val="14"/>
                <w:szCs w:val="14"/>
                <w:color w:val="auto"/>
              </w:rPr>
              <w:t>1,048,806</w:t>
            </w: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Slipsager,</w:t>
            </w:r>
          </w:p>
        </w:tc>
        <w:tc>
          <w:tcPr>
            <w:tcW w:w="7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CEO Nonfinancial Objectives,</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150.0</w:t>
            </w: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President</w:t>
            </w:r>
          </w:p>
        </w:tc>
        <w:tc>
          <w:tcPr>
            <w:tcW w:w="7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240" w:type="dxa"/>
            <w:vAlign w:val="bottom"/>
            <w:gridSpan w:val="2"/>
          </w:tcPr>
          <w:p>
            <w:pPr>
              <w:jc w:val="right"/>
              <w:ind w:right="1790"/>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&amp; CEO</w:t>
            </w:r>
          </w:p>
        </w:tc>
        <w:tc>
          <w:tcPr>
            <w:tcW w:w="7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0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4"/>
                <w:szCs w:val="14"/>
                <w:color w:val="auto"/>
              </w:rPr>
              <w:t>James S. Lusk,</w:t>
            </w:r>
          </w:p>
        </w:tc>
        <w:tc>
          <w:tcPr>
            <w:tcW w:w="74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562,071</w:t>
            </w:r>
          </w:p>
        </w:tc>
        <w:tc>
          <w:tcPr>
            <w:tcW w:w="860" w:type="dxa"/>
            <w:vAlign w:val="bottom"/>
            <w:tcBorders>
              <w:right w:val="single" w:sz="8" w:color="auto"/>
            </w:tcBorders>
            <w:shd w:val="clear" w:color="auto" w:fill="E5EDFE"/>
          </w:tcPr>
          <w:p>
            <w:pPr>
              <w:jc w:val="right"/>
              <w:ind w:right="273"/>
              <w:spacing w:after="0"/>
              <w:rPr>
                <w:sz w:val="20"/>
                <w:szCs w:val="20"/>
                <w:color w:val="auto"/>
              </w:rPr>
            </w:pPr>
            <w:r>
              <w:rPr>
                <w:rFonts w:ascii="Arial" w:cs="Arial" w:eastAsia="Arial" w:hAnsi="Arial"/>
                <w:sz w:val="14"/>
                <w:szCs w:val="14"/>
                <w:color w:val="auto"/>
              </w:rPr>
              <w:t>70</w:t>
            </w:r>
          </w:p>
        </w:tc>
        <w:tc>
          <w:tcPr>
            <w:tcW w:w="72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393,449</w:t>
            </w:r>
          </w:p>
        </w:tc>
        <w:tc>
          <w:tcPr>
            <w:tcW w:w="960" w:type="dxa"/>
            <w:vAlign w:val="bottom"/>
            <w:tcBorders>
              <w:right w:val="single" w:sz="8" w:color="auto"/>
            </w:tcBorders>
            <w:shd w:val="clear" w:color="auto" w:fill="E5EDFE"/>
          </w:tcPr>
          <w:p>
            <w:pPr>
              <w:jc w:val="right"/>
              <w:ind w:right="92"/>
              <w:spacing w:after="0"/>
              <w:rPr>
                <w:sz w:val="20"/>
                <w:szCs w:val="20"/>
                <w:color w:val="auto"/>
              </w:rPr>
            </w:pPr>
            <w:r>
              <w:rPr>
                <w:rFonts w:ascii="Arial" w:cs="Arial" w:eastAsia="Arial" w:hAnsi="Arial"/>
                <w:sz w:val="14"/>
                <w:szCs w:val="14"/>
                <w:color w:val="auto"/>
              </w:rPr>
              <w:t>727,881</w:t>
            </w:r>
          </w:p>
        </w:tc>
        <w:tc>
          <w:tcPr>
            <w:tcW w:w="100" w:type="dxa"/>
            <w:vAlign w:val="bottom"/>
            <w:shd w:val="clear" w:color="auto" w:fill="E5EDFE"/>
          </w:tcPr>
          <w:p>
            <w:pPr>
              <w:spacing w:after="0"/>
              <w:rPr>
                <w:sz w:val="15"/>
                <w:szCs w:val="15"/>
                <w:color w:val="auto"/>
              </w:rPr>
            </w:pPr>
          </w:p>
        </w:tc>
        <w:tc>
          <w:tcPr>
            <w:tcW w:w="2260" w:type="dxa"/>
            <w:vAlign w:val="bottom"/>
            <w:tcBorders>
              <w:right w:val="single" w:sz="8" w:color="auto"/>
            </w:tcBorders>
            <w:gridSpan w:val="2"/>
            <w:shd w:val="clear" w:color="auto" w:fill="E5EDFE"/>
          </w:tcPr>
          <w:p>
            <w:pPr>
              <w:spacing w:after="0"/>
              <w:rPr>
                <w:sz w:val="20"/>
                <w:szCs w:val="20"/>
                <w:color w:val="auto"/>
              </w:rPr>
            </w:pPr>
            <w:r>
              <w:rPr>
                <w:rFonts w:ascii="Arial" w:cs="Arial" w:eastAsia="Arial" w:hAnsi="Arial"/>
                <w:sz w:val="14"/>
                <w:szCs w:val="14"/>
                <w:color w:val="auto"/>
              </w:rPr>
              <w:t>Company Results, 70%</w:t>
            </w:r>
          </w:p>
        </w:tc>
        <w:tc>
          <w:tcPr>
            <w:tcW w:w="1000" w:type="dxa"/>
            <w:vAlign w:val="bottom"/>
            <w:tcBorders>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112.7</w:t>
            </w:r>
          </w:p>
        </w:tc>
        <w:tc>
          <w:tcPr>
            <w:tcW w:w="88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115.7</w:t>
            </w:r>
          </w:p>
        </w:tc>
        <w:tc>
          <w:tcPr>
            <w:tcW w:w="840" w:type="dxa"/>
            <w:vAlign w:val="bottom"/>
            <w:tcBorders>
              <w:right w:val="single" w:sz="8" w:color="auto"/>
            </w:tcBorders>
            <w:shd w:val="clear" w:color="auto" w:fill="E5EDFE"/>
          </w:tcPr>
          <w:p>
            <w:pPr>
              <w:jc w:val="right"/>
              <w:ind w:right="13"/>
              <w:spacing w:after="0"/>
              <w:rPr>
                <w:sz w:val="20"/>
                <w:szCs w:val="20"/>
                <w:color w:val="auto"/>
              </w:rPr>
            </w:pPr>
            <w:r>
              <w:rPr>
                <w:rFonts w:ascii="Arial" w:cs="Arial" w:eastAsia="Arial" w:hAnsi="Arial"/>
                <w:sz w:val="14"/>
                <w:szCs w:val="14"/>
                <w:color w:val="auto"/>
              </w:rPr>
              <w:t>455,221</w:t>
            </w:r>
          </w:p>
        </w:tc>
        <w:tc>
          <w:tcPr>
            <w:tcW w:w="0" w:type="dxa"/>
            <w:vAlign w:val="bottom"/>
          </w:tcPr>
          <w:p>
            <w:pPr>
              <w:spacing w:after="0"/>
              <w:rPr>
                <w:sz w:val="1"/>
                <w:szCs w:val="1"/>
                <w:color w:val="auto"/>
              </w:rPr>
            </w:pPr>
          </w:p>
        </w:tc>
      </w:tr>
      <w:tr>
        <w:trPr>
          <w:trHeight w:val="204"/>
        </w:trPr>
        <w:tc>
          <w:tcPr>
            <w:tcW w:w="1400" w:type="dxa"/>
            <w:vAlign w:val="bottom"/>
            <w:tcBorders>
              <w:left w:val="single" w:sz="8" w:color="auto"/>
              <w:right w:val="single" w:sz="8" w:color="auto"/>
            </w:tcBorders>
            <w:shd w:val="clear" w:color="auto" w:fill="E5EDFE"/>
          </w:tcPr>
          <w:p>
            <w:pPr>
              <w:ind w:left="220"/>
              <w:spacing w:after="0"/>
              <w:rPr>
                <w:sz w:val="20"/>
                <w:szCs w:val="20"/>
                <w:color w:val="auto"/>
              </w:rPr>
            </w:pPr>
            <w:r>
              <w:rPr>
                <w:rFonts w:ascii="Arial" w:cs="Arial" w:eastAsia="Arial" w:hAnsi="Arial"/>
                <w:sz w:val="14"/>
                <w:szCs w:val="14"/>
                <w:color w:val="auto"/>
              </w:rPr>
              <w:t>Executive Vice</w:t>
            </w:r>
          </w:p>
        </w:tc>
        <w:tc>
          <w:tcPr>
            <w:tcW w:w="740" w:type="dxa"/>
            <w:vAlign w:val="bottom"/>
            <w:tcBorders>
              <w:right w:val="single" w:sz="8" w:color="auto"/>
            </w:tcBorders>
            <w:shd w:val="clear" w:color="auto" w:fill="E5EDFE"/>
          </w:tcPr>
          <w:p>
            <w:pPr>
              <w:spacing w:after="0"/>
              <w:rPr>
                <w:sz w:val="17"/>
                <w:szCs w:val="17"/>
                <w:color w:val="auto"/>
              </w:rPr>
            </w:pPr>
          </w:p>
        </w:tc>
        <w:tc>
          <w:tcPr>
            <w:tcW w:w="860" w:type="dxa"/>
            <w:vAlign w:val="bottom"/>
            <w:tcBorders>
              <w:right w:val="single" w:sz="8" w:color="auto"/>
            </w:tcBorders>
            <w:shd w:val="clear" w:color="auto" w:fill="E5EDFE"/>
          </w:tcPr>
          <w:p>
            <w:pPr>
              <w:spacing w:after="0"/>
              <w:rPr>
                <w:sz w:val="17"/>
                <w:szCs w:val="17"/>
                <w:color w:val="auto"/>
              </w:rPr>
            </w:pPr>
          </w:p>
        </w:tc>
        <w:tc>
          <w:tcPr>
            <w:tcW w:w="720" w:type="dxa"/>
            <w:vAlign w:val="bottom"/>
            <w:tcBorders>
              <w:right w:val="single" w:sz="8" w:color="auto"/>
            </w:tcBorders>
            <w:shd w:val="clear" w:color="auto" w:fill="E5EDFE"/>
          </w:tcPr>
          <w:p>
            <w:pPr>
              <w:spacing w:after="0"/>
              <w:rPr>
                <w:sz w:val="17"/>
                <w:szCs w:val="17"/>
                <w:color w:val="auto"/>
              </w:rPr>
            </w:pPr>
          </w:p>
        </w:tc>
        <w:tc>
          <w:tcPr>
            <w:tcW w:w="960" w:type="dxa"/>
            <w:vAlign w:val="bottom"/>
            <w:tcBorders>
              <w:right w:val="single" w:sz="8" w:color="auto"/>
            </w:tcBorders>
            <w:shd w:val="clear" w:color="auto" w:fill="E5EDFE"/>
          </w:tcPr>
          <w:p>
            <w:pPr>
              <w:spacing w:after="0"/>
              <w:rPr>
                <w:sz w:val="17"/>
                <w:szCs w:val="17"/>
                <w:color w:val="auto"/>
              </w:rPr>
            </w:pPr>
          </w:p>
        </w:tc>
        <w:tc>
          <w:tcPr>
            <w:tcW w:w="100" w:type="dxa"/>
            <w:vAlign w:val="bottom"/>
            <w:shd w:val="clear" w:color="auto" w:fill="E5EDFE"/>
          </w:tcPr>
          <w:p>
            <w:pPr>
              <w:spacing w:after="0"/>
              <w:rPr>
                <w:sz w:val="17"/>
                <w:szCs w:val="17"/>
                <w:color w:val="auto"/>
              </w:rPr>
            </w:pPr>
          </w:p>
        </w:tc>
        <w:tc>
          <w:tcPr>
            <w:tcW w:w="2140" w:type="dxa"/>
            <w:vAlign w:val="bottom"/>
            <w:shd w:val="clear" w:color="auto" w:fill="E5EDFE"/>
          </w:tcPr>
          <w:p>
            <w:pPr>
              <w:spacing w:after="0"/>
              <w:rPr>
                <w:sz w:val="20"/>
                <w:szCs w:val="20"/>
                <w:color w:val="auto"/>
              </w:rPr>
            </w:pPr>
            <w:r>
              <w:rPr>
                <w:rFonts w:ascii="Arial" w:cs="Arial" w:eastAsia="Arial" w:hAnsi="Arial"/>
                <w:sz w:val="14"/>
                <w:szCs w:val="14"/>
                <w:color w:val="auto"/>
              </w:rPr>
              <w:t>Department/Function Results,</w:t>
            </w:r>
          </w:p>
        </w:tc>
        <w:tc>
          <w:tcPr>
            <w:tcW w:w="120" w:type="dxa"/>
            <w:vAlign w:val="bottom"/>
            <w:tcBorders>
              <w:right w:val="single" w:sz="8" w:color="auto"/>
            </w:tcBorders>
            <w:shd w:val="clear" w:color="auto" w:fill="E5EDFE"/>
          </w:tcPr>
          <w:p>
            <w:pPr>
              <w:spacing w:after="0"/>
              <w:rPr>
                <w:sz w:val="17"/>
                <w:szCs w:val="17"/>
                <w:color w:val="auto"/>
              </w:rPr>
            </w:pPr>
          </w:p>
        </w:tc>
        <w:tc>
          <w:tcPr>
            <w:tcW w:w="280" w:type="dxa"/>
            <w:vAlign w:val="bottom"/>
            <w:shd w:val="clear" w:color="auto" w:fill="E5EDFE"/>
          </w:tcPr>
          <w:p>
            <w:pPr>
              <w:spacing w:after="0"/>
              <w:rPr>
                <w:sz w:val="17"/>
                <w:szCs w:val="17"/>
                <w:color w:val="auto"/>
              </w:rPr>
            </w:pPr>
          </w:p>
        </w:tc>
        <w:tc>
          <w:tcPr>
            <w:tcW w:w="720" w:type="dxa"/>
            <w:vAlign w:val="bottom"/>
            <w:tcBorders>
              <w:right w:val="single" w:sz="8" w:color="auto"/>
            </w:tcBorders>
            <w:shd w:val="clear" w:color="auto" w:fill="E5EDFE"/>
          </w:tcPr>
          <w:p>
            <w:pPr>
              <w:jc w:val="center"/>
              <w:ind w:right="248"/>
              <w:spacing w:after="0"/>
              <w:rPr>
                <w:sz w:val="20"/>
                <w:szCs w:val="20"/>
                <w:color w:val="auto"/>
              </w:rPr>
            </w:pPr>
            <w:r>
              <w:rPr>
                <w:rFonts w:ascii="Arial" w:cs="Arial" w:eastAsia="Arial" w:hAnsi="Arial"/>
                <w:sz w:val="14"/>
                <w:szCs w:val="14"/>
                <w:color w:val="auto"/>
              </w:rPr>
              <w:t>125.0</w:t>
            </w:r>
          </w:p>
        </w:tc>
        <w:tc>
          <w:tcPr>
            <w:tcW w:w="880" w:type="dxa"/>
            <w:vAlign w:val="bottom"/>
            <w:tcBorders>
              <w:right w:val="single" w:sz="8" w:color="auto"/>
            </w:tcBorders>
            <w:shd w:val="clear" w:color="auto" w:fill="E5EDFE"/>
          </w:tcPr>
          <w:p>
            <w:pPr>
              <w:spacing w:after="0"/>
              <w:rPr>
                <w:sz w:val="17"/>
                <w:szCs w:val="17"/>
                <w:color w:val="auto"/>
              </w:rPr>
            </w:pPr>
          </w:p>
        </w:tc>
        <w:tc>
          <w:tcPr>
            <w:tcW w:w="840" w:type="dxa"/>
            <w:vAlign w:val="bottom"/>
            <w:tcBorders>
              <w:right w:val="single" w:sz="8" w:color="auto"/>
            </w:tcBorders>
            <w:shd w:val="clear" w:color="auto" w:fill="E5EDF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00" w:type="dxa"/>
            <w:vAlign w:val="bottom"/>
            <w:tcBorders>
              <w:left w:val="single" w:sz="8" w:color="auto"/>
              <w:right w:val="single" w:sz="8" w:color="auto"/>
            </w:tcBorders>
            <w:shd w:val="clear" w:color="auto" w:fill="E5EDFE"/>
          </w:tcPr>
          <w:p>
            <w:pPr>
              <w:ind w:left="220"/>
              <w:spacing w:after="0"/>
              <w:rPr>
                <w:sz w:val="20"/>
                <w:szCs w:val="20"/>
                <w:color w:val="auto"/>
              </w:rPr>
            </w:pPr>
            <w:r>
              <w:rPr>
                <w:rFonts w:ascii="Arial" w:cs="Arial" w:eastAsia="Arial" w:hAnsi="Arial"/>
                <w:sz w:val="14"/>
                <w:szCs w:val="14"/>
                <w:color w:val="auto"/>
              </w:rPr>
              <w:t>President</w:t>
            </w:r>
          </w:p>
        </w:tc>
        <w:tc>
          <w:tcPr>
            <w:tcW w:w="740" w:type="dxa"/>
            <w:vAlign w:val="bottom"/>
            <w:tcBorders>
              <w:right w:val="single" w:sz="8" w:color="auto"/>
            </w:tcBorders>
            <w:shd w:val="clear" w:color="auto" w:fill="E5EDFE"/>
          </w:tcPr>
          <w:p>
            <w:pPr>
              <w:spacing w:after="0"/>
              <w:rPr>
                <w:sz w:val="16"/>
                <w:szCs w:val="16"/>
                <w:color w:val="auto"/>
              </w:rPr>
            </w:pPr>
          </w:p>
        </w:tc>
        <w:tc>
          <w:tcPr>
            <w:tcW w:w="860" w:type="dxa"/>
            <w:vAlign w:val="bottom"/>
            <w:tcBorders>
              <w:right w:val="single" w:sz="8" w:color="auto"/>
            </w:tcBorders>
            <w:shd w:val="clear" w:color="auto" w:fill="E5EDFE"/>
          </w:tcPr>
          <w:p>
            <w:pPr>
              <w:spacing w:after="0"/>
              <w:rPr>
                <w:sz w:val="16"/>
                <w:szCs w:val="16"/>
                <w:color w:val="auto"/>
              </w:rPr>
            </w:pPr>
          </w:p>
        </w:tc>
        <w:tc>
          <w:tcPr>
            <w:tcW w:w="720" w:type="dxa"/>
            <w:vAlign w:val="bottom"/>
            <w:tcBorders>
              <w:right w:val="single" w:sz="8" w:color="auto"/>
            </w:tcBorders>
            <w:shd w:val="clear" w:color="auto" w:fill="E5EDFE"/>
          </w:tcPr>
          <w:p>
            <w:pPr>
              <w:spacing w:after="0"/>
              <w:rPr>
                <w:sz w:val="16"/>
                <w:szCs w:val="16"/>
                <w:color w:val="auto"/>
              </w:rPr>
            </w:pPr>
          </w:p>
        </w:tc>
        <w:tc>
          <w:tcPr>
            <w:tcW w:w="96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2140" w:type="dxa"/>
            <w:vAlign w:val="bottom"/>
            <w:shd w:val="clear" w:color="auto" w:fill="E5EDFE"/>
          </w:tcPr>
          <w:p>
            <w:pPr>
              <w:jc w:val="right"/>
              <w:ind w:right="1790"/>
              <w:spacing w:after="0"/>
              <w:rPr>
                <w:sz w:val="20"/>
                <w:szCs w:val="20"/>
                <w:color w:val="auto"/>
              </w:rPr>
            </w:pPr>
            <w:r>
              <w:rPr>
                <w:rFonts w:ascii="Arial" w:cs="Arial" w:eastAsia="Arial" w:hAnsi="Arial"/>
                <w:sz w:val="14"/>
                <w:szCs w:val="14"/>
                <w:color w:val="auto"/>
                <w:w w:val="92"/>
              </w:rPr>
              <w:t>15%</w:t>
            </w:r>
          </w:p>
        </w:tc>
        <w:tc>
          <w:tcPr>
            <w:tcW w:w="120" w:type="dxa"/>
            <w:vAlign w:val="bottom"/>
            <w:tcBorders>
              <w:right w:val="single" w:sz="8" w:color="auto"/>
            </w:tcBorders>
            <w:shd w:val="clear" w:color="auto" w:fill="E5EDFE"/>
          </w:tcPr>
          <w:p>
            <w:pPr>
              <w:spacing w:after="0"/>
              <w:rPr>
                <w:sz w:val="16"/>
                <w:szCs w:val="16"/>
                <w:color w:val="auto"/>
              </w:rPr>
            </w:pPr>
          </w:p>
        </w:tc>
        <w:tc>
          <w:tcPr>
            <w:tcW w:w="280" w:type="dxa"/>
            <w:vAlign w:val="bottom"/>
            <w:shd w:val="clear" w:color="auto" w:fill="E5EDFE"/>
          </w:tcPr>
          <w:p>
            <w:pPr>
              <w:spacing w:after="0"/>
              <w:rPr>
                <w:sz w:val="16"/>
                <w:szCs w:val="16"/>
                <w:color w:val="auto"/>
              </w:rPr>
            </w:pPr>
          </w:p>
        </w:tc>
        <w:tc>
          <w:tcPr>
            <w:tcW w:w="720" w:type="dxa"/>
            <w:vAlign w:val="bottom"/>
            <w:tcBorders>
              <w:right w:val="single" w:sz="8" w:color="auto"/>
            </w:tcBorders>
            <w:shd w:val="clear" w:color="auto" w:fill="E5EDFE"/>
          </w:tcPr>
          <w:p>
            <w:pPr>
              <w:spacing w:after="0"/>
              <w:rPr>
                <w:sz w:val="16"/>
                <w:szCs w:val="16"/>
                <w:color w:val="auto"/>
              </w:rPr>
            </w:pPr>
          </w:p>
        </w:tc>
        <w:tc>
          <w:tcPr>
            <w:tcW w:w="880" w:type="dxa"/>
            <w:vAlign w:val="bottom"/>
            <w:tcBorders>
              <w:right w:val="single" w:sz="8" w:color="auto"/>
            </w:tcBorders>
            <w:shd w:val="clear" w:color="auto" w:fill="E5EDFE"/>
          </w:tcPr>
          <w:p>
            <w:pPr>
              <w:spacing w:after="0"/>
              <w:rPr>
                <w:sz w:val="16"/>
                <w:szCs w:val="16"/>
                <w:color w:val="auto"/>
              </w:rPr>
            </w:pPr>
          </w:p>
        </w:tc>
        <w:tc>
          <w:tcPr>
            <w:tcW w:w="84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shd w:val="clear" w:color="auto" w:fill="E5EDFE"/>
          </w:tcPr>
          <w:p>
            <w:pPr>
              <w:ind w:left="220"/>
              <w:spacing w:after="0"/>
              <w:rPr>
                <w:sz w:val="20"/>
                <w:szCs w:val="20"/>
                <w:color w:val="auto"/>
              </w:rPr>
            </w:pPr>
            <w:r>
              <w:rPr>
                <w:rFonts w:ascii="Arial" w:cs="Arial" w:eastAsia="Arial" w:hAnsi="Arial"/>
                <w:sz w:val="14"/>
                <w:szCs w:val="14"/>
                <w:color w:val="auto"/>
              </w:rPr>
              <w:t>&amp; CFO</w:t>
            </w:r>
          </w:p>
        </w:tc>
        <w:tc>
          <w:tcPr>
            <w:tcW w:w="740" w:type="dxa"/>
            <w:vAlign w:val="bottom"/>
            <w:tcBorders>
              <w:bottom w:val="single" w:sz="8" w:color="auto"/>
              <w:right w:val="single" w:sz="8" w:color="auto"/>
            </w:tcBorders>
            <w:shd w:val="clear" w:color="auto" w:fill="E5EDFE"/>
          </w:tcPr>
          <w:p>
            <w:pPr>
              <w:spacing w:after="0"/>
              <w:rPr>
                <w:sz w:val="16"/>
                <w:szCs w:val="16"/>
                <w:color w:val="auto"/>
              </w:rPr>
            </w:pPr>
          </w:p>
        </w:tc>
        <w:tc>
          <w:tcPr>
            <w:tcW w:w="860" w:type="dxa"/>
            <w:vAlign w:val="bottom"/>
            <w:tcBorders>
              <w:bottom w:val="single" w:sz="8" w:color="auto"/>
              <w:right w:val="single" w:sz="8" w:color="auto"/>
            </w:tcBorders>
            <w:shd w:val="clear" w:color="auto" w:fill="E5EDFE"/>
          </w:tcPr>
          <w:p>
            <w:pPr>
              <w:spacing w:after="0"/>
              <w:rPr>
                <w:sz w:val="16"/>
                <w:szCs w:val="16"/>
                <w:color w:val="auto"/>
              </w:rPr>
            </w:pPr>
          </w:p>
        </w:tc>
        <w:tc>
          <w:tcPr>
            <w:tcW w:w="720" w:type="dxa"/>
            <w:vAlign w:val="bottom"/>
            <w:tcBorders>
              <w:bottom w:val="single" w:sz="8" w:color="auto"/>
              <w:right w:val="single" w:sz="8" w:color="auto"/>
            </w:tcBorders>
            <w:shd w:val="clear" w:color="auto" w:fill="E5EDFE"/>
          </w:tcPr>
          <w:p>
            <w:pPr>
              <w:spacing w:after="0"/>
              <w:rPr>
                <w:sz w:val="16"/>
                <w:szCs w:val="16"/>
                <w:color w:val="auto"/>
              </w:rPr>
            </w:pPr>
          </w:p>
        </w:tc>
        <w:tc>
          <w:tcPr>
            <w:tcW w:w="960" w:type="dxa"/>
            <w:vAlign w:val="bottom"/>
            <w:tcBorders>
              <w:bottom w:val="single" w:sz="8" w:color="auto"/>
              <w:right w:val="single" w:sz="8" w:color="auto"/>
            </w:tcBorders>
            <w:shd w:val="clear" w:color="auto" w:fill="E5EDFE"/>
          </w:tcPr>
          <w:p>
            <w:pPr>
              <w:spacing w:after="0"/>
              <w:rPr>
                <w:sz w:val="16"/>
                <w:szCs w:val="16"/>
                <w:color w:val="auto"/>
              </w:rPr>
            </w:pPr>
          </w:p>
        </w:tc>
        <w:tc>
          <w:tcPr>
            <w:tcW w:w="100" w:type="dxa"/>
            <w:vAlign w:val="bottom"/>
            <w:tcBorders>
              <w:bottom w:val="single" w:sz="8" w:color="auto"/>
            </w:tcBorders>
            <w:shd w:val="clear" w:color="auto" w:fill="E5EDFE"/>
          </w:tcPr>
          <w:p>
            <w:pPr>
              <w:spacing w:after="0"/>
              <w:rPr>
                <w:sz w:val="16"/>
                <w:szCs w:val="16"/>
                <w:color w:val="auto"/>
              </w:rPr>
            </w:pPr>
          </w:p>
        </w:tc>
        <w:tc>
          <w:tcPr>
            <w:tcW w:w="2140" w:type="dxa"/>
            <w:vAlign w:val="bottom"/>
            <w:tcBorders>
              <w:bottom w:val="single" w:sz="8" w:color="auto"/>
            </w:tcBorders>
            <w:shd w:val="clear" w:color="auto" w:fill="E5EDFE"/>
          </w:tcPr>
          <w:p>
            <w:pPr>
              <w:spacing w:after="0"/>
              <w:rPr>
                <w:sz w:val="20"/>
                <w:szCs w:val="20"/>
                <w:color w:val="auto"/>
              </w:rPr>
            </w:pPr>
            <w:r>
              <w:rPr>
                <w:rFonts w:ascii="Arial" w:cs="Arial" w:eastAsia="Arial" w:hAnsi="Arial"/>
                <w:sz w:val="14"/>
                <w:szCs w:val="14"/>
                <w:color w:val="auto"/>
              </w:rPr>
              <w:t>Individual Results, 15%</w:t>
            </w:r>
          </w:p>
        </w:tc>
        <w:tc>
          <w:tcPr>
            <w:tcW w:w="120" w:type="dxa"/>
            <w:vAlign w:val="bottom"/>
            <w:tcBorders>
              <w:bottom w:val="single" w:sz="8" w:color="auto"/>
              <w:right w:val="single" w:sz="8" w:color="auto"/>
            </w:tcBorders>
            <w:shd w:val="clear" w:color="auto" w:fill="E5EDFE"/>
          </w:tcPr>
          <w:p>
            <w:pPr>
              <w:spacing w:after="0"/>
              <w:rPr>
                <w:sz w:val="16"/>
                <w:szCs w:val="16"/>
                <w:color w:val="auto"/>
              </w:rPr>
            </w:pPr>
          </w:p>
        </w:tc>
        <w:tc>
          <w:tcPr>
            <w:tcW w:w="280" w:type="dxa"/>
            <w:vAlign w:val="bottom"/>
            <w:tcBorders>
              <w:bottom w:val="single" w:sz="8" w:color="auto"/>
            </w:tcBorders>
            <w:shd w:val="clear" w:color="auto" w:fill="E5EDFE"/>
          </w:tcPr>
          <w:p>
            <w:pPr>
              <w:spacing w:after="0"/>
              <w:rPr>
                <w:sz w:val="16"/>
                <w:szCs w:val="16"/>
                <w:color w:val="auto"/>
              </w:rPr>
            </w:pPr>
          </w:p>
        </w:tc>
        <w:tc>
          <w:tcPr>
            <w:tcW w:w="720" w:type="dxa"/>
            <w:vAlign w:val="bottom"/>
            <w:tcBorders>
              <w:bottom w:val="single" w:sz="8" w:color="auto"/>
              <w:right w:val="single" w:sz="8" w:color="auto"/>
            </w:tcBorders>
            <w:shd w:val="clear" w:color="auto" w:fill="E5EDFE"/>
          </w:tcPr>
          <w:p>
            <w:pPr>
              <w:jc w:val="center"/>
              <w:ind w:right="248"/>
              <w:spacing w:after="0"/>
              <w:rPr>
                <w:sz w:val="20"/>
                <w:szCs w:val="20"/>
                <w:color w:val="auto"/>
              </w:rPr>
            </w:pPr>
            <w:r>
              <w:rPr>
                <w:rFonts w:ascii="Arial" w:cs="Arial" w:eastAsia="Arial" w:hAnsi="Arial"/>
                <w:sz w:val="14"/>
                <w:szCs w:val="14"/>
                <w:color w:val="auto"/>
              </w:rPr>
              <w:t>120.0</w:t>
            </w:r>
          </w:p>
        </w:tc>
        <w:tc>
          <w:tcPr>
            <w:tcW w:w="880" w:type="dxa"/>
            <w:vAlign w:val="bottom"/>
            <w:tcBorders>
              <w:bottom w:val="single" w:sz="8" w:color="auto"/>
              <w:right w:val="single" w:sz="8" w:color="auto"/>
            </w:tcBorders>
            <w:shd w:val="clear" w:color="auto" w:fill="E5EDFE"/>
          </w:tcPr>
          <w:p>
            <w:pPr>
              <w:spacing w:after="0"/>
              <w:rPr>
                <w:sz w:val="16"/>
                <w:szCs w:val="16"/>
                <w:color w:val="auto"/>
              </w:rPr>
            </w:pPr>
          </w:p>
        </w:tc>
        <w:tc>
          <w:tcPr>
            <w:tcW w:w="840" w:type="dxa"/>
            <w:vAlign w:val="bottom"/>
            <w:tcBorders>
              <w:bottom w:val="single" w:sz="8" w:color="auto"/>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James P. McClure,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677,637</w:t>
            </w:r>
          </w:p>
        </w:tc>
        <w:tc>
          <w:tcPr>
            <w:tcW w:w="860" w:type="dxa"/>
            <w:vAlign w:val="bottom"/>
            <w:tcBorders>
              <w:right w:val="single" w:sz="8" w:color="auto"/>
            </w:tcBorders>
          </w:tcPr>
          <w:p>
            <w:pPr>
              <w:jc w:val="right"/>
              <w:ind w:right="273"/>
              <w:spacing w:after="0"/>
              <w:rPr>
                <w:sz w:val="20"/>
                <w:szCs w:val="20"/>
                <w:color w:val="auto"/>
              </w:rPr>
            </w:pPr>
            <w:r>
              <w:rPr>
                <w:rFonts w:ascii="Arial" w:cs="Arial" w:eastAsia="Arial" w:hAnsi="Arial"/>
                <w:sz w:val="14"/>
                <w:szCs w:val="14"/>
                <w:color w:val="auto"/>
              </w:rPr>
              <w:t>75</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508,227</w:t>
            </w:r>
          </w:p>
        </w:tc>
        <w:tc>
          <w:tcPr>
            <w:tcW w:w="96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952,926</w:t>
            </w:r>
          </w:p>
        </w:tc>
        <w:tc>
          <w:tcPr>
            <w:tcW w:w="236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Company Results, 50%</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112.7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112.7</w:t>
            </w:r>
          </w:p>
        </w:tc>
        <w:tc>
          <w:tcPr>
            <w:tcW w:w="840" w:type="dxa"/>
            <w:vAlign w:val="bottom"/>
            <w:tcBorders>
              <w:right w:val="single" w:sz="8" w:color="auto"/>
            </w:tcBorders>
          </w:tcPr>
          <w:p>
            <w:pPr>
              <w:jc w:val="right"/>
              <w:ind w:right="13"/>
              <w:spacing w:after="0"/>
              <w:rPr>
                <w:sz w:val="20"/>
                <w:szCs w:val="20"/>
                <w:color w:val="auto"/>
              </w:rPr>
            </w:pPr>
            <w:r>
              <w:rPr>
                <w:rFonts w:ascii="Arial" w:cs="Arial" w:eastAsia="Arial" w:hAnsi="Arial"/>
                <w:sz w:val="14"/>
                <w:szCs w:val="14"/>
                <w:color w:val="auto"/>
              </w:rPr>
              <w:t>572,773</w:t>
            </w: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Executive Vice</w:t>
            </w:r>
          </w:p>
        </w:tc>
        <w:tc>
          <w:tcPr>
            <w:tcW w:w="7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Business Unit Results, 25%</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105.2</w:t>
            </w: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4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President</w:t>
            </w: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Individual Results, 25%</w:t>
            </w: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120.0</w:t>
            </w:r>
          </w:p>
        </w:tc>
        <w:tc>
          <w:tcPr>
            <w:tcW w:w="88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4"/>
                <w:szCs w:val="14"/>
                <w:color w:val="auto"/>
              </w:rPr>
              <w:t>Tracy K. Price,</w:t>
            </w:r>
          </w:p>
        </w:tc>
        <w:tc>
          <w:tcPr>
            <w:tcW w:w="74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677,637</w:t>
            </w:r>
          </w:p>
        </w:tc>
        <w:tc>
          <w:tcPr>
            <w:tcW w:w="860" w:type="dxa"/>
            <w:vAlign w:val="bottom"/>
            <w:tcBorders>
              <w:right w:val="single" w:sz="8" w:color="auto"/>
            </w:tcBorders>
            <w:shd w:val="clear" w:color="auto" w:fill="E5EDFE"/>
          </w:tcPr>
          <w:p>
            <w:pPr>
              <w:jc w:val="right"/>
              <w:ind w:right="273"/>
              <w:spacing w:after="0"/>
              <w:rPr>
                <w:sz w:val="20"/>
                <w:szCs w:val="20"/>
                <w:color w:val="auto"/>
              </w:rPr>
            </w:pPr>
            <w:r>
              <w:rPr>
                <w:rFonts w:ascii="Arial" w:cs="Arial" w:eastAsia="Arial" w:hAnsi="Arial"/>
                <w:sz w:val="14"/>
                <w:szCs w:val="14"/>
                <w:color w:val="auto"/>
              </w:rPr>
              <w:t>75</w:t>
            </w:r>
          </w:p>
        </w:tc>
        <w:tc>
          <w:tcPr>
            <w:tcW w:w="72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508,227</w:t>
            </w:r>
          </w:p>
        </w:tc>
        <w:tc>
          <w:tcPr>
            <w:tcW w:w="960" w:type="dxa"/>
            <w:vAlign w:val="bottom"/>
            <w:tcBorders>
              <w:right w:val="single" w:sz="8" w:color="auto"/>
            </w:tcBorders>
            <w:shd w:val="clear" w:color="auto" w:fill="E5EDFE"/>
          </w:tcPr>
          <w:p>
            <w:pPr>
              <w:jc w:val="right"/>
              <w:ind w:right="92"/>
              <w:spacing w:after="0"/>
              <w:rPr>
                <w:sz w:val="20"/>
                <w:szCs w:val="20"/>
                <w:color w:val="auto"/>
              </w:rPr>
            </w:pPr>
            <w:r>
              <w:rPr>
                <w:rFonts w:ascii="Arial" w:cs="Arial" w:eastAsia="Arial" w:hAnsi="Arial"/>
                <w:sz w:val="14"/>
                <w:szCs w:val="14"/>
                <w:color w:val="auto"/>
              </w:rPr>
              <w:t>952,926</w:t>
            </w:r>
          </w:p>
        </w:tc>
        <w:tc>
          <w:tcPr>
            <w:tcW w:w="100" w:type="dxa"/>
            <w:vAlign w:val="bottom"/>
            <w:shd w:val="clear" w:color="auto" w:fill="E5EDFE"/>
          </w:tcPr>
          <w:p>
            <w:pPr>
              <w:spacing w:after="0"/>
              <w:rPr>
                <w:sz w:val="16"/>
                <w:szCs w:val="16"/>
                <w:color w:val="auto"/>
              </w:rPr>
            </w:pPr>
          </w:p>
        </w:tc>
        <w:tc>
          <w:tcPr>
            <w:tcW w:w="2260" w:type="dxa"/>
            <w:vAlign w:val="bottom"/>
            <w:tcBorders>
              <w:right w:val="single" w:sz="8" w:color="auto"/>
            </w:tcBorders>
            <w:gridSpan w:val="2"/>
            <w:shd w:val="clear" w:color="auto" w:fill="E5EDFE"/>
          </w:tcPr>
          <w:p>
            <w:pPr>
              <w:spacing w:after="0"/>
              <w:rPr>
                <w:sz w:val="20"/>
                <w:szCs w:val="20"/>
                <w:color w:val="auto"/>
              </w:rPr>
            </w:pPr>
            <w:r>
              <w:rPr>
                <w:rFonts w:ascii="Arial" w:cs="Arial" w:eastAsia="Arial" w:hAnsi="Arial"/>
                <w:sz w:val="14"/>
                <w:szCs w:val="14"/>
                <w:color w:val="auto"/>
              </w:rPr>
              <w:t>Company Results, 50%</w:t>
            </w:r>
          </w:p>
        </w:tc>
        <w:tc>
          <w:tcPr>
            <w:tcW w:w="1000" w:type="dxa"/>
            <w:vAlign w:val="bottom"/>
            <w:tcBorders>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112.7</w:t>
            </w:r>
          </w:p>
        </w:tc>
        <w:tc>
          <w:tcPr>
            <w:tcW w:w="88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134.4</w:t>
            </w:r>
          </w:p>
        </w:tc>
        <w:tc>
          <w:tcPr>
            <w:tcW w:w="840" w:type="dxa"/>
            <w:vAlign w:val="bottom"/>
            <w:tcBorders>
              <w:right w:val="single" w:sz="8" w:color="auto"/>
            </w:tcBorders>
            <w:shd w:val="clear" w:color="auto" w:fill="E5EDFE"/>
          </w:tcPr>
          <w:p>
            <w:pPr>
              <w:jc w:val="right"/>
              <w:ind w:right="13"/>
              <w:spacing w:after="0"/>
              <w:rPr>
                <w:sz w:val="20"/>
                <w:szCs w:val="20"/>
                <w:color w:val="auto"/>
              </w:rPr>
            </w:pPr>
            <w:r>
              <w:rPr>
                <w:rFonts w:ascii="Arial" w:cs="Arial" w:eastAsia="Arial" w:hAnsi="Arial"/>
                <w:sz w:val="14"/>
                <w:szCs w:val="14"/>
                <w:color w:val="auto"/>
              </w:rPr>
              <w:t>683,129</w:t>
            </w:r>
          </w:p>
        </w:tc>
        <w:tc>
          <w:tcPr>
            <w:tcW w:w="0" w:type="dxa"/>
            <w:vAlign w:val="bottom"/>
          </w:tcPr>
          <w:p>
            <w:pPr>
              <w:spacing w:after="0"/>
              <w:rPr>
                <w:sz w:val="1"/>
                <w:szCs w:val="1"/>
                <w:color w:val="auto"/>
              </w:rPr>
            </w:pPr>
          </w:p>
        </w:tc>
      </w:tr>
      <w:tr>
        <w:trPr>
          <w:trHeight w:val="26"/>
        </w:trPr>
        <w:tc>
          <w:tcPr>
            <w:tcW w:w="1400" w:type="dxa"/>
            <w:vAlign w:val="bottom"/>
            <w:tcBorders>
              <w:left w:val="single" w:sz="8" w:color="auto"/>
              <w:right w:val="single" w:sz="8" w:color="auto"/>
            </w:tcBorders>
            <w:vMerge w:val="restart"/>
            <w:shd w:val="clear" w:color="auto" w:fill="E5EDFE"/>
          </w:tcPr>
          <w:p>
            <w:pPr>
              <w:ind w:left="220"/>
              <w:spacing w:after="0"/>
              <w:rPr>
                <w:sz w:val="20"/>
                <w:szCs w:val="20"/>
                <w:color w:val="auto"/>
              </w:rPr>
            </w:pPr>
            <w:r>
              <w:rPr>
                <w:rFonts w:ascii="Arial" w:cs="Arial" w:eastAsia="Arial" w:hAnsi="Arial"/>
                <w:sz w:val="14"/>
                <w:szCs w:val="14"/>
                <w:color w:val="auto"/>
              </w:rPr>
              <w:t>Executive Vice</w:t>
            </w:r>
          </w:p>
        </w:tc>
        <w:tc>
          <w:tcPr>
            <w:tcW w:w="740" w:type="dxa"/>
            <w:vAlign w:val="bottom"/>
            <w:tcBorders>
              <w:right w:val="single" w:sz="8" w:color="auto"/>
            </w:tcBorders>
            <w:shd w:val="clear" w:color="auto" w:fill="E5EDFE"/>
          </w:tcPr>
          <w:p>
            <w:pPr>
              <w:spacing w:after="0"/>
              <w:rPr>
                <w:sz w:val="2"/>
                <w:szCs w:val="2"/>
                <w:color w:val="auto"/>
              </w:rPr>
            </w:pPr>
          </w:p>
        </w:tc>
        <w:tc>
          <w:tcPr>
            <w:tcW w:w="860" w:type="dxa"/>
            <w:vAlign w:val="bottom"/>
            <w:tcBorders>
              <w:right w:val="single" w:sz="8" w:color="auto"/>
            </w:tcBorders>
            <w:shd w:val="clear" w:color="auto" w:fill="E5EDFE"/>
          </w:tcPr>
          <w:p>
            <w:pPr>
              <w:spacing w:after="0"/>
              <w:rPr>
                <w:sz w:val="2"/>
                <w:szCs w:val="2"/>
                <w:color w:val="auto"/>
              </w:rPr>
            </w:pPr>
          </w:p>
        </w:tc>
        <w:tc>
          <w:tcPr>
            <w:tcW w:w="720" w:type="dxa"/>
            <w:vAlign w:val="bottom"/>
            <w:tcBorders>
              <w:right w:val="single" w:sz="8" w:color="auto"/>
            </w:tcBorders>
            <w:shd w:val="clear" w:color="auto" w:fill="E5EDFE"/>
          </w:tcPr>
          <w:p>
            <w:pPr>
              <w:spacing w:after="0"/>
              <w:rPr>
                <w:sz w:val="2"/>
                <w:szCs w:val="2"/>
                <w:color w:val="auto"/>
              </w:rPr>
            </w:pPr>
          </w:p>
        </w:tc>
        <w:tc>
          <w:tcPr>
            <w:tcW w:w="960" w:type="dxa"/>
            <w:vAlign w:val="bottom"/>
            <w:tcBorders>
              <w:right w:val="single" w:sz="8" w:color="auto"/>
            </w:tcBorders>
            <w:shd w:val="clear" w:color="auto" w:fill="E5EDFE"/>
          </w:tcPr>
          <w:p>
            <w:pPr>
              <w:spacing w:after="0"/>
              <w:rPr>
                <w:sz w:val="2"/>
                <w:szCs w:val="2"/>
                <w:color w:val="auto"/>
              </w:rPr>
            </w:pPr>
          </w:p>
        </w:tc>
        <w:tc>
          <w:tcPr>
            <w:tcW w:w="100" w:type="dxa"/>
            <w:vAlign w:val="bottom"/>
            <w:shd w:val="clear" w:color="auto" w:fill="E5EDFE"/>
          </w:tcPr>
          <w:p>
            <w:pPr>
              <w:spacing w:after="0"/>
              <w:rPr>
                <w:sz w:val="2"/>
                <w:szCs w:val="2"/>
                <w:color w:val="auto"/>
              </w:rPr>
            </w:pPr>
          </w:p>
        </w:tc>
        <w:tc>
          <w:tcPr>
            <w:tcW w:w="2140" w:type="dxa"/>
            <w:vAlign w:val="bottom"/>
            <w:vMerge w:val="restart"/>
            <w:shd w:val="clear" w:color="auto" w:fill="E5EDFE"/>
          </w:tcPr>
          <w:p>
            <w:pPr>
              <w:spacing w:after="0"/>
              <w:rPr>
                <w:sz w:val="20"/>
                <w:szCs w:val="20"/>
                <w:color w:val="auto"/>
              </w:rPr>
            </w:pPr>
            <w:r>
              <w:rPr>
                <w:rFonts w:ascii="Arial" w:cs="Arial" w:eastAsia="Arial" w:hAnsi="Arial"/>
                <w:sz w:val="14"/>
                <w:szCs w:val="14"/>
                <w:color w:val="auto"/>
              </w:rPr>
              <w:t>Business Unit Results, 25%</w:t>
            </w:r>
          </w:p>
        </w:tc>
        <w:tc>
          <w:tcPr>
            <w:tcW w:w="120" w:type="dxa"/>
            <w:vAlign w:val="bottom"/>
            <w:tcBorders>
              <w:right w:val="single" w:sz="8" w:color="auto"/>
            </w:tcBorders>
            <w:shd w:val="clear" w:color="auto" w:fill="E5EDFE"/>
          </w:tcPr>
          <w:p>
            <w:pPr>
              <w:spacing w:after="0"/>
              <w:rPr>
                <w:sz w:val="2"/>
                <w:szCs w:val="2"/>
                <w:color w:val="auto"/>
              </w:rPr>
            </w:pPr>
          </w:p>
        </w:tc>
        <w:tc>
          <w:tcPr>
            <w:tcW w:w="280" w:type="dxa"/>
            <w:vAlign w:val="bottom"/>
            <w:shd w:val="clear" w:color="auto" w:fill="E5EDFE"/>
          </w:tcPr>
          <w:p>
            <w:pPr>
              <w:spacing w:after="0"/>
              <w:rPr>
                <w:sz w:val="2"/>
                <w:szCs w:val="2"/>
                <w:color w:val="auto"/>
              </w:rPr>
            </w:pPr>
          </w:p>
        </w:tc>
        <w:tc>
          <w:tcPr>
            <w:tcW w:w="720" w:type="dxa"/>
            <w:vAlign w:val="bottom"/>
            <w:tcBorders>
              <w:right w:val="single" w:sz="8" w:color="auto"/>
            </w:tcBorders>
            <w:vMerge w:val="restart"/>
            <w:shd w:val="clear" w:color="auto" w:fill="E5EDFE"/>
          </w:tcPr>
          <w:p>
            <w:pPr>
              <w:jc w:val="center"/>
              <w:ind w:right="248"/>
              <w:spacing w:after="0"/>
              <w:rPr>
                <w:sz w:val="20"/>
                <w:szCs w:val="20"/>
                <w:color w:val="auto"/>
              </w:rPr>
            </w:pPr>
            <w:r>
              <w:rPr>
                <w:rFonts w:ascii="Arial" w:cs="Arial" w:eastAsia="Arial" w:hAnsi="Arial"/>
                <w:sz w:val="14"/>
                <w:szCs w:val="14"/>
                <w:color w:val="auto"/>
              </w:rPr>
              <w:t>143.5</w:t>
            </w:r>
          </w:p>
        </w:tc>
        <w:tc>
          <w:tcPr>
            <w:tcW w:w="880" w:type="dxa"/>
            <w:vAlign w:val="bottom"/>
            <w:tcBorders>
              <w:right w:val="single" w:sz="8" w:color="auto"/>
            </w:tcBorders>
            <w:shd w:val="clear" w:color="auto" w:fill="E5EDFE"/>
          </w:tcPr>
          <w:p>
            <w:pPr>
              <w:spacing w:after="0"/>
              <w:rPr>
                <w:sz w:val="2"/>
                <w:szCs w:val="2"/>
                <w:color w:val="auto"/>
              </w:rPr>
            </w:pPr>
          </w:p>
        </w:tc>
        <w:tc>
          <w:tcPr>
            <w:tcW w:w="840" w:type="dxa"/>
            <w:vAlign w:val="bottom"/>
            <w:tcBorders>
              <w:right w:val="single" w:sz="8" w:color="auto"/>
            </w:tcBorders>
            <w:shd w:val="clear" w:color="auto" w:fill="E5EDF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400" w:type="dxa"/>
            <w:vAlign w:val="bottom"/>
            <w:tcBorders>
              <w:left w:val="single" w:sz="8" w:color="auto"/>
              <w:right w:val="single" w:sz="8" w:color="auto"/>
            </w:tcBorders>
            <w:vMerge w:val="continue"/>
            <w:shd w:val="clear" w:color="auto" w:fill="E5EDFE"/>
          </w:tcPr>
          <w:p>
            <w:pPr>
              <w:spacing w:after="0"/>
              <w:rPr>
                <w:sz w:val="15"/>
                <w:szCs w:val="15"/>
                <w:color w:val="auto"/>
              </w:rPr>
            </w:pPr>
          </w:p>
        </w:tc>
        <w:tc>
          <w:tcPr>
            <w:tcW w:w="740" w:type="dxa"/>
            <w:vAlign w:val="bottom"/>
            <w:tcBorders>
              <w:right w:val="single" w:sz="8" w:color="auto"/>
            </w:tcBorders>
            <w:shd w:val="clear" w:color="auto" w:fill="E5EDFE"/>
          </w:tcPr>
          <w:p>
            <w:pPr>
              <w:spacing w:after="0"/>
              <w:rPr>
                <w:sz w:val="15"/>
                <w:szCs w:val="15"/>
                <w:color w:val="auto"/>
              </w:rPr>
            </w:pPr>
          </w:p>
        </w:tc>
        <w:tc>
          <w:tcPr>
            <w:tcW w:w="860" w:type="dxa"/>
            <w:vAlign w:val="bottom"/>
            <w:tcBorders>
              <w:right w:val="single" w:sz="8" w:color="auto"/>
            </w:tcBorders>
            <w:shd w:val="clear" w:color="auto" w:fill="E5EDFE"/>
          </w:tcPr>
          <w:p>
            <w:pPr>
              <w:spacing w:after="0"/>
              <w:rPr>
                <w:sz w:val="15"/>
                <w:szCs w:val="15"/>
                <w:color w:val="auto"/>
              </w:rPr>
            </w:pPr>
          </w:p>
        </w:tc>
        <w:tc>
          <w:tcPr>
            <w:tcW w:w="720" w:type="dxa"/>
            <w:vAlign w:val="bottom"/>
            <w:tcBorders>
              <w:right w:val="single" w:sz="8" w:color="auto"/>
            </w:tcBorders>
            <w:shd w:val="clear" w:color="auto" w:fill="E5EDFE"/>
          </w:tcPr>
          <w:p>
            <w:pPr>
              <w:spacing w:after="0"/>
              <w:rPr>
                <w:sz w:val="15"/>
                <w:szCs w:val="15"/>
                <w:color w:val="auto"/>
              </w:rPr>
            </w:pPr>
          </w:p>
        </w:tc>
        <w:tc>
          <w:tcPr>
            <w:tcW w:w="960" w:type="dxa"/>
            <w:vAlign w:val="bottom"/>
            <w:tcBorders>
              <w:right w:val="single" w:sz="8" w:color="auto"/>
            </w:tcBorders>
            <w:shd w:val="clear" w:color="auto" w:fill="E5EDFE"/>
          </w:tcPr>
          <w:p>
            <w:pPr>
              <w:spacing w:after="0"/>
              <w:rPr>
                <w:sz w:val="15"/>
                <w:szCs w:val="15"/>
                <w:color w:val="auto"/>
              </w:rPr>
            </w:pPr>
          </w:p>
        </w:tc>
        <w:tc>
          <w:tcPr>
            <w:tcW w:w="100" w:type="dxa"/>
            <w:vAlign w:val="bottom"/>
            <w:shd w:val="clear" w:color="auto" w:fill="E5EDFE"/>
          </w:tcPr>
          <w:p>
            <w:pPr>
              <w:spacing w:after="0"/>
              <w:rPr>
                <w:sz w:val="15"/>
                <w:szCs w:val="15"/>
                <w:color w:val="auto"/>
              </w:rPr>
            </w:pPr>
          </w:p>
        </w:tc>
        <w:tc>
          <w:tcPr>
            <w:tcW w:w="2140" w:type="dxa"/>
            <w:vAlign w:val="bottom"/>
            <w:vMerge w:val="continue"/>
            <w:shd w:val="clear" w:color="auto" w:fill="E5EDFE"/>
          </w:tcPr>
          <w:p>
            <w:pPr>
              <w:spacing w:after="0"/>
              <w:rPr>
                <w:sz w:val="15"/>
                <w:szCs w:val="15"/>
                <w:color w:val="auto"/>
              </w:rPr>
            </w:pPr>
          </w:p>
        </w:tc>
        <w:tc>
          <w:tcPr>
            <w:tcW w:w="120" w:type="dxa"/>
            <w:vAlign w:val="bottom"/>
            <w:tcBorders>
              <w:right w:val="single" w:sz="8" w:color="auto"/>
            </w:tcBorders>
            <w:shd w:val="clear" w:color="auto" w:fill="E5EDFE"/>
          </w:tcPr>
          <w:p>
            <w:pPr>
              <w:spacing w:after="0"/>
              <w:rPr>
                <w:sz w:val="15"/>
                <w:szCs w:val="15"/>
                <w:color w:val="auto"/>
              </w:rPr>
            </w:pPr>
          </w:p>
        </w:tc>
        <w:tc>
          <w:tcPr>
            <w:tcW w:w="280" w:type="dxa"/>
            <w:vAlign w:val="bottom"/>
            <w:shd w:val="clear" w:color="auto" w:fill="E5EDFE"/>
          </w:tcPr>
          <w:p>
            <w:pPr>
              <w:spacing w:after="0"/>
              <w:rPr>
                <w:sz w:val="15"/>
                <w:szCs w:val="15"/>
                <w:color w:val="auto"/>
              </w:rPr>
            </w:pPr>
          </w:p>
        </w:tc>
        <w:tc>
          <w:tcPr>
            <w:tcW w:w="720" w:type="dxa"/>
            <w:vAlign w:val="bottom"/>
            <w:tcBorders>
              <w:right w:val="single" w:sz="8" w:color="auto"/>
            </w:tcBorders>
            <w:vMerge w:val="continue"/>
            <w:shd w:val="clear" w:color="auto" w:fill="E5EDFE"/>
          </w:tcPr>
          <w:p>
            <w:pPr>
              <w:spacing w:after="0"/>
              <w:rPr>
                <w:sz w:val="15"/>
                <w:szCs w:val="15"/>
                <w:color w:val="auto"/>
              </w:rPr>
            </w:pPr>
          </w:p>
        </w:tc>
        <w:tc>
          <w:tcPr>
            <w:tcW w:w="880" w:type="dxa"/>
            <w:vAlign w:val="bottom"/>
            <w:tcBorders>
              <w:right w:val="single" w:sz="8" w:color="auto"/>
            </w:tcBorders>
            <w:shd w:val="clear" w:color="auto" w:fill="E5EDFE"/>
          </w:tcPr>
          <w:p>
            <w:pPr>
              <w:spacing w:after="0"/>
              <w:rPr>
                <w:sz w:val="15"/>
                <w:szCs w:val="15"/>
                <w:color w:val="auto"/>
              </w:rPr>
            </w:pPr>
          </w:p>
        </w:tc>
        <w:tc>
          <w:tcPr>
            <w:tcW w:w="840" w:type="dxa"/>
            <w:vAlign w:val="bottom"/>
            <w:tcBorders>
              <w:right w:val="single" w:sz="8" w:color="auto"/>
            </w:tcBorders>
            <w:shd w:val="clear" w:color="auto" w:fill="E5EDF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0" w:type="dxa"/>
            <w:vAlign w:val="bottom"/>
            <w:tcBorders>
              <w:left w:val="single" w:sz="8" w:color="auto"/>
              <w:bottom w:val="single" w:sz="8" w:color="auto"/>
              <w:right w:val="single" w:sz="8" w:color="auto"/>
            </w:tcBorders>
            <w:shd w:val="clear" w:color="auto" w:fill="E5EDFE"/>
          </w:tcPr>
          <w:p>
            <w:pPr>
              <w:ind w:left="220"/>
              <w:spacing w:after="0"/>
              <w:rPr>
                <w:sz w:val="20"/>
                <w:szCs w:val="20"/>
                <w:color w:val="auto"/>
              </w:rPr>
            </w:pPr>
            <w:r>
              <w:rPr>
                <w:rFonts w:ascii="Arial" w:cs="Arial" w:eastAsia="Arial" w:hAnsi="Arial"/>
                <w:sz w:val="14"/>
                <w:szCs w:val="14"/>
                <w:color w:val="auto"/>
              </w:rPr>
              <w:t>President</w:t>
            </w:r>
          </w:p>
        </w:tc>
        <w:tc>
          <w:tcPr>
            <w:tcW w:w="740" w:type="dxa"/>
            <w:vAlign w:val="bottom"/>
            <w:tcBorders>
              <w:bottom w:val="single" w:sz="8" w:color="auto"/>
              <w:right w:val="single" w:sz="8" w:color="auto"/>
            </w:tcBorders>
            <w:shd w:val="clear" w:color="auto" w:fill="E5EDFE"/>
          </w:tcPr>
          <w:p>
            <w:pPr>
              <w:spacing w:after="0"/>
              <w:rPr>
                <w:sz w:val="15"/>
                <w:szCs w:val="15"/>
                <w:color w:val="auto"/>
              </w:rPr>
            </w:pPr>
          </w:p>
        </w:tc>
        <w:tc>
          <w:tcPr>
            <w:tcW w:w="860" w:type="dxa"/>
            <w:vAlign w:val="bottom"/>
            <w:tcBorders>
              <w:bottom w:val="single" w:sz="8" w:color="auto"/>
              <w:right w:val="single" w:sz="8" w:color="auto"/>
            </w:tcBorders>
            <w:shd w:val="clear" w:color="auto" w:fill="E5EDFE"/>
          </w:tcPr>
          <w:p>
            <w:pPr>
              <w:spacing w:after="0"/>
              <w:rPr>
                <w:sz w:val="15"/>
                <w:szCs w:val="15"/>
                <w:color w:val="auto"/>
              </w:rPr>
            </w:pPr>
          </w:p>
        </w:tc>
        <w:tc>
          <w:tcPr>
            <w:tcW w:w="720" w:type="dxa"/>
            <w:vAlign w:val="bottom"/>
            <w:tcBorders>
              <w:bottom w:val="single" w:sz="8" w:color="auto"/>
              <w:right w:val="single" w:sz="8" w:color="auto"/>
            </w:tcBorders>
            <w:shd w:val="clear" w:color="auto" w:fill="E5EDFE"/>
          </w:tcPr>
          <w:p>
            <w:pPr>
              <w:spacing w:after="0"/>
              <w:rPr>
                <w:sz w:val="15"/>
                <w:szCs w:val="15"/>
                <w:color w:val="auto"/>
              </w:rPr>
            </w:pPr>
          </w:p>
        </w:tc>
        <w:tc>
          <w:tcPr>
            <w:tcW w:w="960" w:type="dxa"/>
            <w:vAlign w:val="bottom"/>
            <w:tcBorders>
              <w:bottom w:val="single" w:sz="8" w:color="auto"/>
              <w:right w:val="single" w:sz="8" w:color="auto"/>
            </w:tcBorders>
            <w:shd w:val="clear" w:color="auto" w:fill="E5EDFE"/>
          </w:tcPr>
          <w:p>
            <w:pPr>
              <w:spacing w:after="0"/>
              <w:rPr>
                <w:sz w:val="15"/>
                <w:szCs w:val="15"/>
                <w:color w:val="auto"/>
              </w:rPr>
            </w:pPr>
          </w:p>
        </w:tc>
        <w:tc>
          <w:tcPr>
            <w:tcW w:w="100" w:type="dxa"/>
            <w:vAlign w:val="bottom"/>
            <w:tcBorders>
              <w:bottom w:val="single" w:sz="8" w:color="auto"/>
            </w:tcBorders>
            <w:shd w:val="clear" w:color="auto" w:fill="E5EDFE"/>
          </w:tcPr>
          <w:p>
            <w:pPr>
              <w:spacing w:after="0"/>
              <w:rPr>
                <w:sz w:val="15"/>
                <w:szCs w:val="15"/>
                <w:color w:val="auto"/>
              </w:rPr>
            </w:pPr>
          </w:p>
        </w:tc>
        <w:tc>
          <w:tcPr>
            <w:tcW w:w="2140" w:type="dxa"/>
            <w:vAlign w:val="bottom"/>
            <w:tcBorders>
              <w:bottom w:val="single" w:sz="8" w:color="auto"/>
            </w:tcBorders>
            <w:shd w:val="clear" w:color="auto" w:fill="E5EDFE"/>
          </w:tcPr>
          <w:p>
            <w:pPr>
              <w:spacing w:after="0"/>
              <w:rPr>
                <w:sz w:val="20"/>
                <w:szCs w:val="20"/>
                <w:color w:val="auto"/>
              </w:rPr>
            </w:pPr>
            <w:r>
              <w:rPr>
                <w:rFonts w:ascii="Arial" w:cs="Arial" w:eastAsia="Arial" w:hAnsi="Arial"/>
                <w:sz w:val="14"/>
                <w:szCs w:val="14"/>
                <w:color w:val="auto"/>
              </w:rPr>
              <w:t>Individual Results, 25%</w:t>
            </w:r>
          </w:p>
        </w:tc>
        <w:tc>
          <w:tcPr>
            <w:tcW w:w="120" w:type="dxa"/>
            <w:vAlign w:val="bottom"/>
            <w:tcBorders>
              <w:bottom w:val="single" w:sz="8" w:color="auto"/>
              <w:right w:val="single" w:sz="8" w:color="auto"/>
            </w:tcBorders>
            <w:shd w:val="clear" w:color="auto" w:fill="E5EDFE"/>
          </w:tcPr>
          <w:p>
            <w:pPr>
              <w:spacing w:after="0"/>
              <w:rPr>
                <w:sz w:val="15"/>
                <w:szCs w:val="15"/>
                <w:color w:val="auto"/>
              </w:rPr>
            </w:pPr>
          </w:p>
        </w:tc>
        <w:tc>
          <w:tcPr>
            <w:tcW w:w="280" w:type="dxa"/>
            <w:vAlign w:val="bottom"/>
            <w:tcBorders>
              <w:bottom w:val="single" w:sz="8" w:color="auto"/>
            </w:tcBorders>
            <w:shd w:val="clear" w:color="auto" w:fill="E5EDFE"/>
          </w:tcPr>
          <w:p>
            <w:pPr>
              <w:spacing w:after="0"/>
              <w:rPr>
                <w:sz w:val="15"/>
                <w:szCs w:val="15"/>
                <w:color w:val="auto"/>
              </w:rPr>
            </w:pPr>
          </w:p>
        </w:tc>
        <w:tc>
          <w:tcPr>
            <w:tcW w:w="720" w:type="dxa"/>
            <w:vAlign w:val="bottom"/>
            <w:tcBorders>
              <w:bottom w:val="single" w:sz="8" w:color="auto"/>
              <w:right w:val="single" w:sz="8" w:color="auto"/>
            </w:tcBorders>
            <w:shd w:val="clear" w:color="auto" w:fill="E5EDFE"/>
          </w:tcPr>
          <w:p>
            <w:pPr>
              <w:jc w:val="center"/>
              <w:ind w:right="248"/>
              <w:spacing w:after="0"/>
              <w:rPr>
                <w:sz w:val="20"/>
                <w:szCs w:val="20"/>
                <w:color w:val="auto"/>
              </w:rPr>
            </w:pPr>
            <w:r>
              <w:rPr>
                <w:rFonts w:ascii="Arial" w:cs="Arial" w:eastAsia="Arial" w:hAnsi="Arial"/>
                <w:sz w:val="14"/>
                <w:szCs w:val="14"/>
                <w:color w:val="auto"/>
              </w:rPr>
              <w:t>130.0</w:t>
            </w:r>
          </w:p>
        </w:tc>
        <w:tc>
          <w:tcPr>
            <w:tcW w:w="880" w:type="dxa"/>
            <w:vAlign w:val="bottom"/>
            <w:tcBorders>
              <w:bottom w:val="single" w:sz="8" w:color="auto"/>
              <w:right w:val="single" w:sz="8" w:color="auto"/>
            </w:tcBorders>
            <w:shd w:val="clear" w:color="auto" w:fill="E5EDFE"/>
          </w:tcPr>
          <w:p>
            <w:pPr>
              <w:spacing w:after="0"/>
              <w:rPr>
                <w:sz w:val="15"/>
                <w:szCs w:val="15"/>
                <w:color w:val="auto"/>
              </w:rPr>
            </w:pPr>
          </w:p>
        </w:tc>
        <w:tc>
          <w:tcPr>
            <w:tcW w:w="840" w:type="dxa"/>
            <w:vAlign w:val="bottom"/>
            <w:tcBorders>
              <w:bottom w:val="single" w:sz="8" w:color="auto"/>
              <w:right w:val="single" w:sz="8" w:color="auto"/>
            </w:tcBorders>
            <w:shd w:val="clear" w:color="auto" w:fill="E5EDF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Sarah H.</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472,770</w:t>
            </w:r>
          </w:p>
        </w:tc>
        <w:tc>
          <w:tcPr>
            <w:tcW w:w="860" w:type="dxa"/>
            <w:vAlign w:val="bottom"/>
            <w:tcBorders>
              <w:right w:val="single" w:sz="8" w:color="auto"/>
            </w:tcBorders>
          </w:tcPr>
          <w:p>
            <w:pPr>
              <w:jc w:val="right"/>
              <w:ind w:right="273"/>
              <w:spacing w:after="0"/>
              <w:rPr>
                <w:sz w:val="20"/>
                <w:szCs w:val="20"/>
                <w:color w:val="auto"/>
              </w:rPr>
            </w:pPr>
            <w:r>
              <w:rPr>
                <w:rFonts w:ascii="Arial" w:cs="Arial" w:eastAsia="Arial" w:hAnsi="Arial"/>
                <w:sz w:val="14"/>
                <w:szCs w:val="14"/>
                <w:color w:val="auto"/>
              </w:rPr>
              <w:t>60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283,662</w:t>
            </w:r>
          </w:p>
        </w:tc>
        <w:tc>
          <w:tcPr>
            <w:tcW w:w="960" w:type="dxa"/>
            <w:vAlign w:val="bottom"/>
            <w:tcBorders>
              <w:right w:val="single" w:sz="8" w:color="auto"/>
            </w:tcBorders>
          </w:tcPr>
          <w:p>
            <w:pPr>
              <w:jc w:val="right"/>
              <w:ind w:right="92"/>
              <w:spacing w:after="0"/>
              <w:rPr>
                <w:sz w:val="20"/>
                <w:szCs w:val="20"/>
                <w:color w:val="auto"/>
              </w:rPr>
            </w:pPr>
            <w:r>
              <w:rPr>
                <w:rFonts w:ascii="Arial" w:cs="Arial" w:eastAsia="Arial" w:hAnsi="Arial"/>
                <w:sz w:val="14"/>
                <w:szCs w:val="14"/>
                <w:color w:val="auto"/>
              </w:rPr>
              <w:t>524,775</w:t>
            </w:r>
          </w:p>
        </w:tc>
        <w:tc>
          <w:tcPr>
            <w:tcW w:w="236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Company Results 70%</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112.7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132.5</w:t>
            </w:r>
          </w:p>
        </w:tc>
        <w:tc>
          <w:tcPr>
            <w:tcW w:w="840" w:type="dxa"/>
            <w:vAlign w:val="bottom"/>
            <w:tcBorders>
              <w:right w:val="single" w:sz="8" w:color="auto"/>
            </w:tcBorders>
          </w:tcPr>
          <w:p>
            <w:pPr>
              <w:jc w:val="right"/>
              <w:ind w:right="13"/>
              <w:spacing w:after="0"/>
              <w:rPr>
                <w:sz w:val="20"/>
                <w:szCs w:val="20"/>
                <w:color w:val="auto"/>
              </w:rPr>
            </w:pPr>
            <w:r>
              <w:rPr>
                <w:rFonts w:ascii="Arial" w:cs="Arial" w:eastAsia="Arial" w:hAnsi="Arial"/>
                <w:sz w:val="14"/>
                <w:szCs w:val="14"/>
                <w:color w:val="auto"/>
              </w:rPr>
              <w:t>375,928</w:t>
            </w:r>
          </w:p>
        </w:tc>
        <w:tc>
          <w:tcPr>
            <w:tcW w:w="0" w:type="dxa"/>
            <w:vAlign w:val="bottom"/>
          </w:tcPr>
          <w:p>
            <w:pPr>
              <w:spacing w:after="0"/>
              <w:rPr>
                <w:sz w:val="1"/>
                <w:szCs w:val="1"/>
                <w:color w:val="auto"/>
              </w:rPr>
            </w:pPr>
          </w:p>
        </w:tc>
      </w:tr>
      <w:tr>
        <w:trPr>
          <w:trHeight w:val="203"/>
        </w:trPr>
        <w:tc>
          <w:tcPr>
            <w:tcW w:w="1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McConnell,</w:t>
            </w:r>
          </w:p>
        </w:tc>
        <w:tc>
          <w:tcPr>
            <w:tcW w:w="7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Department/Function Results,</w:t>
            </w:r>
          </w:p>
        </w:tc>
        <w:tc>
          <w:tcPr>
            <w:tcW w:w="10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120.0</w:t>
            </w: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Executive Vice</w:t>
            </w:r>
          </w:p>
        </w:tc>
        <w:tc>
          <w:tcPr>
            <w:tcW w:w="7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240" w:type="dxa"/>
            <w:vAlign w:val="bottom"/>
            <w:gridSpan w:val="2"/>
          </w:tcPr>
          <w:p>
            <w:pPr>
              <w:jc w:val="right"/>
              <w:ind w:right="1790"/>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President</w:t>
            </w: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23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Individual Results, 15%</w:t>
            </w: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120.0</w:t>
            </w:r>
          </w:p>
        </w:tc>
        <w:tc>
          <w:tcPr>
            <w:tcW w:w="88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-376555</wp:posOffset>
            </wp:positionV>
            <wp:extent cx="5232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-1122680</wp:posOffset>
            </wp:positionV>
            <wp:extent cx="5232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-2134870</wp:posOffset>
            </wp:positionV>
            <wp:extent cx="5232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1620" w:right="760" w:hanging="352"/>
        <w:spacing w:after="0" w:line="270" w:lineRule="auto"/>
        <w:tabs>
          <w:tab w:leader="none" w:pos="16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Due to the relative weightings of the financial and nonfinancial objectives, the maximum bonus for the CEO, CFO and Executive Vice President, General Counsel and Corporate Secretary is 185% of target, while the maximum bonus for each of the other Executive Vice Presidents is 187.5% of target.</w:t>
      </w:r>
    </w:p>
    <w:p>
      <w:pPr>
        <w:spacing w:after="0" w:line="104" w:lineRule="exact"/>
        <w:rPr>
          <w:rFonts w:ascii="Arial" w:cs="Arial" w:eastAsia="Arial" w:hAnsi="Arial"/>
          <w:sz w:val="14"/>
          <w:szCs w:val="14"/>
          <w:color w:val="auto"/>
        </w:rPr>
      </w:pPr>
    </w:p>
    <w:p>
      <w:pPr>
        <w:ind w:left="1620" w:hanging="352"/>
        <w:spacing w:after="0"/>
        <w:tabs>
          <w:tab w:leader="none" w:pos="16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Percentages are rounded to the nearest tenth of a percent.</w:t>
      </w:r>
    </w:p>
    <w:p>
      <w:pPr>
        <w:spacing w:after="0" w:line="149" w:lineRule="exact"/>
        <w:rPr>
          <w:rFonts w:ascii="Arial" w:cs="Arial" w:eastAsia="Arial" w:hAnsi="Arial"/>
          <w:sz w:val="14"/>
          <w:szCs w:val="14"/>
          <w:color w:val="auto"/>
        </w:rPr>
      </w:pPr>
    </w:p>
    <w:p>
      <w:pPr>
        <w:ind w:left="1620" w:right="780" w:hanging="352"/>
        <w:spacing w:after="0" w:line="278" w:lineRule="auto"/>
        <w:tabs>
          <w:tab w:leader="none" w:pos="16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set forth with respect to Ms. McConnell and Mr. Price also include discretionary incentive awards of $50,000 and $48,860, respectively.</w:t>
      </w:r>
    </w:p>
    <w:p>
      <w:pPr>
        <w:spacing w:after="0" w:line="83"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004FF9"/>
        </w:rPr>
        <w:t>Annual Cash Incentive Award Decisions for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66040</wp:posOffset>
            </wp:positionV>
            <wp:extent cx="608965" cy="917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8965" cy="91757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194" w:lineRule="exact"/>
        <w:rPr>
          <w:sz w:val="20"/>
          <w:szCs w:val="20"/>
          <w:color w:val="auto"/>
        </w:rPr>
      </w:pPr>
    </w:p>
    <w:p>
      <w:pPr>
        <w:ind w:left="2340" w:right="100"/>
        <w:spacing w:after="0" w:line="269" w:lineRule="auto"/>
        <w:rPr>
          <w:sz w:val="20"/>
          <w:szCs w:val="20"/>
          <w:color w:val="auto"/>
        </w:rPr>
      </w:pPr>
      <w:r>
        <w:rPr>
          <w:rFonts w:ascii="Arial" w:cs="Arial" w:eastAsia="Arial" w:hAnsi="Arial"/>
          <w:sz w:val="16"/>
          <w:szCs w:val="16"/>
          <w:b w:val="1"/>
          <w:bCs w:val="1"/>
          <w:color w:val="004FF9"/>
        </w:rPr>
        <w:t>Henrik C. Slipsager, President and CEO</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 assessing the performance of Mr.</w:t>
      </w:r>
    </w:p>
    <w:p>
      <w:pPr>
        <w:spacing w:after="0" w:line="5" w:lineRule="exact"/>
        <w:rPr>
          <w:sz w:val="20"/>
          <w:szCs w:val="20"/>
          <w:color w:val="auto"/>
        </w:rPr>
      </w:pPr>
    </w:p>
    <w:p>
      <w:pPr>
        <w:jc w:val="both"/>
        <w:ind w:left="2340"/>
        <w:spacing w:after="0" w:line="246" w:lineRule="auto"/>
        <w:rPr>
          <w:sz w:val="20"/>
          <w:szCs w:val="20"/>
          <w:color w:val="auto"/>
        </w:rPr>
      </w:pPr>
      <w:r>
        <w:rPr>
          <w:rFonts w:ascii="Arial" w:cs="Arial" w:eastAsia="Arial" w:hAnsi="Arial"/>
          <w:sz w:val="16"/>
          <w:szCs w:val="16"/>
          <w:color w:val="auto"/>
        </w:rPr>
        <w:t>Slipsager, the Compensation Committee bases its recommend-ations with respect to his annual incentive compensation on financial</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and individual performance objectives.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The Committee also considers the advice of its compensation consultant with respect to Mr. Slipsager’s objectives and it may make changes to these objectives during the year or at the end of the year to take into consideration other factors that the Committee believes are important to a consideration of the CEO’s annual cash incentive compensation. In general, the financial objectives are selected to align with the Company’s business plan and Board-approved priorities for the year.</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6"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004FF9"/>
        </w:rPr>
        <w:t>CEO’s 2014 Financial Objectives</w:t>
      </w:r>
    </w:p>
    <w:p>
      <w:pPr>
        <w:sectPr>
          <w:pgSz w:w="11900" w:h="16838" w:orient="portrait"/>
          <w:cols w:equalWidth="0" w:num="1">
            <w:col w:w="10219"/>
          </w:cols>
          <w:pgMar w:left="240" w:top="131" w:right="1440" w:bottom="1440" w:gutter="0" w:footer="0" w:header="0"/>
          <w:type w:val="continuous"/>
        </w:sectPr>
      </w:pPr>
    </w:p>
    <w:p>
      <w:pPr>
        <w:spacing w:after="0" w:line="106"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In 2014, to increase transparency and alignment of objectives with performance, the Committee refined certain components relating to the CEO’s financial performance objectives. When developing the performance objectives, the Committee determined in advance of results to apply specific weightings to the financial objectives instead of weighting all objectives equally. In addition, in order to more directly align the leverage between performance on the financial measures to incentive outcomes with the leverage ratios in the Company’s Performance Incentive Program (“PIP”), which applies to the other NEOs and other key executives in the Company, the Committee decided that it was appropriate to use the same leverage ratios when determining the achievement of the CEO’s performance objectives.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The financial results derived by this calculation can be modified at the Committee’s discretion by a factor ranging from 0.8 and 1.2 to account for the quality and depth of the results, the sustainability of the results, or other factors that the Committee believes contributed to the overall results.</w:t>
      </w:r>
    </w:p>
    <w:p>
      <w:pPr>
        <w:spacing w:after="0" w:line="97"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Seventy percent (70%) of Mr. Slipsager’s 2014 annual cash incentive award was based on the achievement of certain financial objectives, and was further subject to a threshold condition that 2014 actual income from continuing operations before taxes exceed 80% of the 2014 budget for income from continuing operations before taxes and exceed 80% of actual fiscal year 2013 results. This threshold achievement level was met in 2014.</w:t>
      </w:r>
    </w:p>
    <w:p>
      <w:pPr>
        <w:spacing w:after="0" w:line="276"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004FF9"/>
        </w:rPr>
        <w:t>CEO 2014 Financial Performance Objectives, Targets and Results</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189"/>
        </w:trPr>
        <w:tc>
          <w:tcPr>
            <w:tcW w:w="2160" w:type="dxa"/>
            <w:vAlign w:val="bottom"/>
            <w:tcBorders>
              <w:top w:val="single" w:sz="8" w:color="auto"/>
              <w:left w:val="single" w:sz="8" w:color="auto"/>
              <w:right w:val="single" w:sz="8" w:color="auto"/>
            </w:tcBorders>
            <w:shd w:val="clear" w:color="auto" w:fill="B1C9FD"/>
          </w:tcPr>
          <w:p>
            <w:pPr>
              <w:spacing w:after="0"/>
              <w:rPr>
                <w:sz w:val="16"/>
                <w:szCs w:val="16"/>
                <w:color w:val="auto"/>
              </w:rPr>
            </w:pPr>
          </w:p>
        </w:tc>
        <w:tc>
          <w:tcPr>
            <w:tcW w:w="1180" w:type="dxa"/>
            <w:vAlign w:val="bottom"/>
            <w:tcBorders>
              <w:top w:val="single" w:sz="8" w:color="auto"/>
              <w:right w:val="single" w:sz="8" w:color="auto"/>
            </w:tcBorders>
            <w:shd w:val="clear" w:color="auto" w:fill="B1C9FD"/>
          </w:tcPr>
          <w:p>
            <w:pPr>
              <w:spacing w:after="0"/>
              <w:rPr>
                <w:sz w:val="16"/>
                <w:szCs w:val="16"/>
                <w:color w:val="auto"/>
              </w:rPr>
            </w:pPr>
          </w:p>
        </w:tc>
        <w:tc>
          <w:tcPr>
            <w:tcW w:w="1200" w:type="dxa"/>
            <w:vAlign w:val="bottom"/>
            <w:tcBorders>
              <w:top w:val="single" w:sz="8" w:color="auto"/>
              <w:right w:val="single" w:sz="8" w:color="auto"/>
            </w:tcBorders>
            <w:shd w:val="clear" w:color="auto" w:fill="B1C9FD"/>
          </w:tcPr>
          <w:p>
            <w:pPr>
              <w:spacing w:after="0"/>
              <w:rPr>
                <w:sz w:val="16"/>
                <w:szCs w:val="16"/>
                <w:color w:val="auto"/>
              </w:rPr>
            </w:pPr>
          </w:p>
        </w:tc>
        <w:tc>
          <w:tcPr>
            <w:tcW w:w="1140" w:type="dxa"/>
            <w:vAlign w:val="bottom"/>
            <w:tcBorders>
              <w:top w:val="single" w:sz="8" w:color="auto"/>
              <w:right w:val="single" w:sz="8" w:color="auto"/>
            </w:tcBorders>
            <w:shd w:val="clear" w:color="auto" w:fill="B1C9FD"/>
          </w:tcPr>
          <w:p>
            <w:pPr>
              <w:spacing w:after="0"/>
              <w:rPr>
                <w:sz w:val="16"/>
                <w:szCs w:val="16"/>
                <w:color w:val="auto"/>
              </w:rPr>
            </w:pPr>
          </w:p>
        </w:tc>
        <w:tc>
          <w:tcPr>
            <w:tcW w:w="780" w:type="dxa"/>
            <w:vAlign w:val="bottom"/>
            <w:tcBorders>
              <w:top w:val="single" w:sz="8" w:color="auto"/>
              <w:right w:val="single" w:sz="8" w:color="auto"/>
            </w:tcBorders>
            <w:vMerge w:val="restart"/>
            <w:shd w:val="clear" w:color="auto" w:fill="B1C9FD"/>
          </w:tcPr>
          <w:p>
            <w:pPr>
              <w:jc w:val="right"/>
              <w:ind w:right="45"/>
              <w:spacing w:after="0"/>
              <w:rPr>
                <w:sz w:val="20"/>
                <w:szCs w:val="20"/>
                <w:color w:val="auto"/>
              </w:rPr>
            </w:pPr>
            <w:r>
              <w:rPr>
                <w:rFonts w:ascii="Arial" w:cs="Arial" w:eastAsia="Arial" w:hAnsi="Arial"/>
                <w:sz w:val="14"/>
                <w:szCs w:val="14"/>
                <w:b w:val="1"/>
                <w:bCs w:val="1"/>
                <w:color w:val="004FF9"/>
              </w:rPr>
              <w:t>Funding</w:t>
            </w:r>
          </w:p>
        </w:tc>
        <w:tc>
          <w:tcPr>
            <w:tcW w:w="940" w:type="dxa"/>
            <w:vAlign w:val="bottom"/>
            <w:tcBorders>
              <w:top w:val="single" w:sz="8" w:color="auto"/>
              <w:right w:val="single" w:sz="8" w:color="auto"/>
            </w:tcBorders>
            <w:shd w:val="clear" w:color="auto" w:fill="B1C9FD"/>
          </w:tcPr>
          <w:p>
            <w:pPr>
              <w:spacing w:after="0"/>
              <w:rPr>
                <w:sz w:val="16"/>
                <w:szCs w:val="16"/>
                <w:color w:val="auto"/>
              </w:rPr>
            </w:pPr>
          </w:p>
        </w:tc>
        <w:tc>
          <w:tcPr>
            <w:tcW w:w="82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Weighted</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shd w:val="clear" w:color="auto" w:fill="B1C9FD"/>
          </w:tcPr>
          <w:p>
            <w:pPr>
              <w:spacing w:after="0"/>
              <w:rPr>
                <w:sz w:val="12"/>
                <w:szCs w:val="12"/>
                <w:color w:val="auto"/>
              </w:rPr>
            </w:pPr>
          </w:p>
        </w:tc>
        <w:tc>
          <w:tcPr>
            <w:tcW w:w="1180" w:type="dxa"/>
            <w:vAlign w:val="bottom"/>
            <w:tcBorders>
              <w:right w:val="single" w:sz="8" w:color="auto"/>
            </w:tcBorders>
            <w:shd w:val="clear" w:color="auto" w:fill="B1C9FD"/>
          </w:tcPr>
          <w:p>
            <w:pPr>
              <w:spacing w:after="0"/>
              <w:rPr>
                <w:sz w:val="12"/>
                <w:szCs w:val="12"/>
                <w:color w:val="auto"/>
              </w:rPr>
            </w:pPr>
          </w:p>
        </w:tc>
        <w:tc>
          <w:tcPr>
            <w:tcW w:w="1200" w:type="dxa"/>
            <w:vAlign w:val="bottom"/>
            <w:tcBorders>
              <w:right w:val="single" w:sz="8" w:color="auto"/>
            </w:tcBorders>
            <w:vMerge w:val="restart"/>
            <w:shd w:val="clear" w:color="auto" w:fill="B1C9FD"/>
          </w:tcPr>
          <w:p>
            <w:pPr>
              <w:jc w:val="right"/>
              <w:ind w:right="200"/>
              <w:spacing w:after="0"/>
              <w:rPr>
                <w:sz w:val="20"/>
                <w:szCs w:val="20"/>
                <w:color w:val="auto"/>
              </w:rPr>
            </w:pPr>
            <w:r>
              <w:rPr>
                <w:rFonts w:ascii="Arial" w:cs="Arial" w:eastAsia="Arial" w:hAnsi="Arial"/>
                <w:sz w:val="14"/>
                <w:szCs w:val="14"/>
                <w:b w:val="1"/>
                <w:bCs w:val="1"/>
                <w:color w:val="004FF9"/>
              </w:rPr>
              <w:t>Results</w:t>
            </w:r>
            <w:r>
              <w:rPr>
                <w:rFonts w:ascii="Arial" w:cs="Arial" w:eastAsia="Arial" w:hAnsi="Arial"/>
                <w:sz w:val="21"/>
                <w:szCs w:val="21"/>
                <w:b w:val="1"/>
                <w:bCs w:val="1"/>
                <w:color w:val="004FF9"/>
                <w:vertAlign w:val="superscript"/>
              </w:rPr>
              <w:t>(1)</w:t>
            </w:r>
          </w:p>
        </w:tc>
        <w:tc>
          <w:tcPr>
            <w:tcW w:w="1140" w:type="dxa"/>
            <w:vAlign w:val="bottom"/>
            <w:tcBorders>
              <w:right w:val="single" w:sz="8" w:color="auto"/>
            </w:tcBorders>
            <w:shd w:val="clear" w:color="auto" w:fill="B1C9FD"/>
          </w:tcPr>
          <w:p>
            <w:pPr>
              <w:jc w:val="right"/>
              <w:ind w:right="422"/>
              <w:spacing w:after="0" w:line="149" w:lineRule="exact"/>
              <w:rPr>
                <w:sz w:val="20"/>
                <w:szCs w:val="20"/>
                <w:color w:val="auto"/>
              </w:rPr>
            </w:pPr>
            <w:r>
              <w:rPr>
                <w:rFonts w:ascii="Arial" w:cs="Arial" w:eastAsia="Arial" w:hAnsi="Arial"/>
                <w:sz w:val="14"/>
                <w:szCs w:val="14"/>
                <w:b w:val="1"/>
                <w:bCs w:val="1"/>
                <w:color w:val="004FF9"/>
              </w:rPr>
              <w:t>%</w:t>
            </w:r>
          </w:p>
        </w:tc>
        <w:tc>
          <w:tcPr>
            <w:tcW w:w="780" w:type="dxa"/>
            <w:vAlign w:val="bottom"/>
            <w:tcBorders>
              <w:right w:val="single" w:sz="8" w:color="auto"/>
            </w:tcBorders>
            <w:vMerge w:val="continue"/>
            <w:shd w:val="clear" w:color="auto" w:fill="B1C9FD"/>
          </w:tcPr>
          <w:p>
            <w:pPr>
              <w:spacing w:after="0"/>
              <w:rPr>
                <w:sz w:val="12"/>
                <w:szCs w:val="12"/>
                <w:color w:val="auto"/>
              </w:rPr>
            </w:pPr>
          </w:p>
        </w:tc>
        <w:tc>
          <w:tcPr>
            <w:tcW w:w="940" w:type="dxa"/>
            <w:vAlign w:val="bottom"/>
            <w:tcBorders>
              <w:right w:val="single" w:sz="8" w:color="auto"/>
            </w:tcBorders>
            <w:shd w:val="clear" w:color="auto" w:fill="B1C9FD"/>
          </w:tcPr>
          <w:p>
            <w:pPr>
              <w:jc w:val="right"/>
              <w:ind w:right="62"/>
              <w:spacing w:after="0" w:line="149" w:lineRule="exact"/>
              <w:rPr>
                <w:sz w:val="20"/>
                <w:szCs w:val="20"/>
                <w:color w:val="auto"/>
              </w:rPr>
            </w:pPr>
            <w:r>
              <w:rPr>
                <w:rFonts w:ascii="Arial" w:cs="Arial" w:eastAsia="Arial" w:hAnsi="Arial"/>
                <w:sz w:val="14"/>
                <w:szCs w:val="14"/>
                <w:b w:val="1"/>
                <w:bCs w:val="1"/>
                <w:color w:val="004FF9"/>
              </w:rPr>
              <w:t>Weighting</w:t>
            </w:r>
          </w:p>
        </w:tc>
        <w:tc>
          <w:tcPr>
            <w:tcW w:w="82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4"/>
                <w:szCs w:val="14"/>
                <w:b w:val="1"/>
                <w:bCs w:val="1"/>
                <w:color w:val="004FF9"/>
              </w:rPr>
              <w:t>Funding</w:t>
            </w:r>
          </w:p>
        </w:tc>
        <w:tc>
          <w:tcPr>
            <w:tcW w:w="0" w:type="dxa"/>
            <w:vAlign w:val="bottom"/>
          </w:tcPr>
          <w:p>
            <w:pPr>
              <w:spacing w:after="0"/>
              <w:rPr>
                <w:sz w:val="1"/>
                <w:szCs w:val="1"/>
                <w:color w:val="auto"/>
              </w:rPr>
            </w:pPr>
          </w:p>
        </w:tc>
      </w:tr>
      <w:tr>
        <w:trPr>
          <w:trHeight w:val="189"/>
        </w:trPr>
        <w:tc>
          <w:tcPr>
            <w:tcW w:w="2160" w:type="dxa"/>
            <w:vAlign w:val="bottom"/>
            <w:tcBorders>
              <w:left w:val="single" w:sz="8" w:color="auto"/>
              <w:bottom w:val="single" w:sz="8" w:color="auto"/>
              <w:right w:val="single" w:sz="8" w:color="auto"/>
            </w:tcBorders>
            <w:shd w:val="clear" w:color="auto" w:fill="B1C9FD"/>
          </w:tcPr>
          <w:p>
            <w:pPr>
              <w:ind w:left="60"/>
              <w:spacing w:after="0"/>
              <w:rPr>
                <w:sz w:val="20"/>
                <w:szCs w:val="20"/>
                <w:color w:val="auto"/>
              </w:rPr>
            </w:pPr>
            <w:r>
              <w:rPr>
                <w:rFonts w:ascii="Arial" w:cs="Arial" w:eastAsia="Arial" w:hAnsi="Arial"/>
                <w:sz w:val="14"/>
                <w:szCs w:val="14"/>
                <w:b w:val="1"/>
                <w:bCs w:val="1"/>
                <w:color w:val="004FF9"/>
              </w:rPr>
              <w:t>CEO Financial Objectives</w:t>
            </w:r>
          </w:p>
        </w:tc>
        <w:tc>
          <w:tcPr>
            <w:tcW w:w="1180" w:type="dxa"/>
            <w:vAlign w:val="bottom"/>
            <w:tcBorders>
              <w:bottom w:val="single" w:sz="8" w:color="auto"/>
              <w:right w:val="single" w:sz="8" w:color="auto"/>
            </w:tcBorders>
            <w:shd w:val="clear" w:color="auto" w:fill="B1C9FD"/>
          </w:tcPr>
          <w:p>
            <w:pPr>
              <w:jc w:val="right"/>
              <w:ind w:right="300"/>
              <w:spacing w:after="0"/>
              <w:rPr>
                <w:sz w:val="20"/>
                <w:szCs w:val="20"/>
                <w:color w:val="auto"/>
              </w:rPr>
            </w:pPr>
            <w:r>
              <w:rPr>
                <w:rFonts w:ascii="Arial" w:cs="Arial" w:eastAsia="Arial" w:hAnsi="Arial"/>
                <w:sz w:val="14"/>
                <w:szCs w:val="14"/>
                <w:b w:val="1"/>
                <w:bCs w:val="1"/>
                <w:color w:val="004FF9"/>
              </w:rPr>
              <w:t>Target</w:t>
            </w:r>
          </w:p>
        </w:tc>
        <w:tc>
          <w:tcPr>
            <w:tcW w:w="1200" w:type="dxa"/>
            <w:vAlign w:val="bottom"/>
            <w:tcBorders>
              <w:bottom w:val="single" w:sz="8" w:color="auto"/>
              <w:right w:val="single" w:sz="8" w:color="auto"/>
            </w:tcBorders>
            <w:vMerge w:val="continue"/>
            <w:shd w:val="clear" w:color="auto" w:fill="B1C9FD"/>
          </w:tcPr>
          <w:p>
            <w:pPr>
              <w:spacing w:after="0"/>
              <w:rPr>
                <w:sz w:val="16"/>
                <w:szCs w:val="16"/>
                <w:color w:val="auto"/>
              </w:rPr>
            </w:pPr>
          </w:p>
        </w:tc>
        <w:tc>
          <w:tcPr>
            <w:tcW w:w="1140" w:type="dxa"/>
            <w:vAlign w:val="bottom"/>
            <w:tcBorders>
              <w:bottom w:val="single" w:sz="8" w:color="auto"/>
              <w:right w:val="single" w:sz="8" w:color="auto"/>
            </w:tcBorders>
            <w:shd w:val="clear" w:color="auto" w:fill="B1C9FD"/>
          </w:tcPr>
          <w:p>
            <w:pPr>
              <w:jc w:val="right"/>
              <w:ind w:right="42"/>
              <w:spacing w:after="0"/>
              <w:rPr>
                <w:sz w:val="20"/>
                <w:szCs w:val="20"/>
                <w:color w:val="auto"/>
              </w:rPr>
            </w:pPr>
            <w:r>
              <w:rPr>
                <w:rFonts w:ascii="Arial" w:cs="Arial" w:eastAsia="Arial" w:hAnsi="Arial"/>
                <w:sz w:val="14"/>
                <w:szCs w:val="14"/>
                <w:b w:val="1"/>
                <w:bCs w:val="1"/>
                <w:color w:val="004FF9"/>
              </w:rPr>
              <w:t>Achievement</w:t>
            </w:r>
          </w:p>
        </w:tc>
        <w:tc>
          <w:tcPr>
            <w:tcW w:w="780" w:type="dxa"/>
            <w:vAlign w:val="bottom"/>
            <w:tcBorders>
              <w:bottom w:val="single" w:sz="8" w:color="auto"/>
              <w:right w:val="single" w:sz="8" w:color="auto"/>
            </w:tcBorders>
            <w:shd w:val="clear" w:color="auto" w:fill="B1C9FD"/>
          </w:tcPr>
          <w:p>
            <w:pPr>
              <w:jc w:val="right"/>
              <w:ind w:right="185"/>
              <w:spacing w:after="0" w:line="189" w:lineRule="exact"/>
              <w:rPr>
                <w:sz w:val="20"/>
                <w:szCs w:val="20"/>
                <w:color w:val="auto"/>
              </w:rPr>
            </w:pPr>
            <w:r>
              <w:rPr>
                <w:rFonts w:ascii="Arial" w:cs="Arial" w:eastAsia="Arial" w:hAnsi="Arial"/>
                <w:sz w:val="21"/>
                <w:szCs w:val="21"/>
                <w:b w:val="1"/>
                <w:bCs w:val="1"/>
                <w:color w:val="004FF9"/>
                <w:vertAlign w:val="subscript"/>
              </w:rPr>
              <w:t>%</w:t>
            </w:r>
            <w:r>
              <w:rPr>
                <w:rFonts w:ascii="Arial" w:cs="Arial" w:eastAsia="Arial" w:hAnsi="Arial"/>
                <w:sz w:val="9"/>
                <w:szCs w:val="9"/>
                <w:b w:val="1"/>
                <w:bCs w:val="1"/>
                <w:color w:val="004FF9"/>
              </w:rPr>
              <w:t>(2)</w:t>
            </w:r>
          </w:p>
        </w:tc>
        <w:tc>
          <w:tcPr>
            <w:tcW w:w="940" w:type="dxa"/>
            <w:vAlign w:val="bottom"/>
            <w:tcBorders>
              <w:bottom w:val="single" w:sz="8" w:color="auto"/>
              <w:right w:val="single" w:sz="8" w:color="auto"/>
            </w:tcBorders>
            <w:shd w:val="clear" w:color="auto" w:fill="B1C9FD"/>
          </w:tcPr>
          <w:p>
            <w:pPr>
              <w:jc w:val="right"/>
              <w:ind w:right="342"/>
              <w:spacing w:after="0"/>
              <w:rPr>
                <w:sz w:val="20"/>
                <w:szCs w:val="20"/>
                <w:color w:val="auto"/>
              </w:rPr>
            </w:pPr>
            <w:r>
              <w:rPr>
                <w:rFonts w:ascii="Arial" w:cs="Arial" w:eastAsia="Arial" w:hAnsi="Arial"/>
                <w:sz w:val="14"/>
                <w:szCs w:val="14"/>
                <w:b w:val="1"/>
                <w:bCs w:val="1"/>
                <w:color w:val="004FF9"/>
              </w:rPr>
              <w:t>%</w:t>
            </w:r>
          </w:p>
        </w:tc>
        <w:tc>
          <w:tcPr>
            <w:tcW w:w="8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6"/>
              </w:rPr>
              <w:t>%</w:t>
            </w:r>
          </w:p>
        </w:tc>
        <w:tc>
          <w:tcPr>
            <w:tcW w:w="0" w:type="dxa"/>
            <w:vAlign w:val="bottom"/>
          </w:tcPr>
          <w:p>
            <w:pPr>
              <w:spacing w:after="0"/>
              <w:rPr>
                <w:sz w:val="1"/>
                <w:szCs w:val="1"/>
                <w:color w:val="auto"/>
              </w:rPr>
            </w:pPr>
          </w:p>
        </w:tc>
      </w:tr>
      <w:tr>
        <w:trPr>
          <w:trHeight w:val="196"/>
        </w:trPr>
        <w:tc>
          <w:tcPr>
            <w:tcW w:w="2160" w:type="dxa"/>
            <w:vAlign w:val="bottom"/>
            <w:tcBorders>
              <w:left w:val="single" w:sz="8" w:color="auto"/>
              <w:bottom w:val="single" w:sz="8" w:color="auto"/>
              <w:right w:val="single" w:sz="8" w:color="auto"/>
            </w:tcBorders>
          </w:tcPr>
          <w:p>
            <w:pPr>
              <w:ind w:left="60"/>
              <w:spacing w:after="0" w:line="197" w:lineRule="exact"/>
              <w:rPr>
                <w:sz w:val="20"/>
                <w:szCs w:val="20"/>
                <w:color w:val="auto"/>
              </w:rPr>
            </w:pPr>
            <w:r>
              <w:rPr>
                <w:rFonts w:ascii="Arial" w:cs="Arial" w:eastAsia="Arial" w:hAnsi="Arial"/>
                <w:sz w:val="15"/>
                <w:szCs w:val="15"/>
                <w:color w:val="auto"/>
              </w:rPr>
              <w:t>EBITDA margin</w:t>
            </w:r>
            <w:r>
              <w:rPr>
                <w:rFonts w:ascii="Arial" w:cs="Arial" w:eastAsia="Arial" w:hAnsi="Arial"/>
                <w:sz w:val="22"/>
                <w:szCs w:val="22"/>
                <w:color w:val="auto"/>
                <w:vertAlign w:val="superscript"/>
              </w:rPr>
              <w:t>(3)</w:t>
            </w:r>
          </w:p>
        </w:tc>
        <w:tc>
          <w:tcPr>
            <w:tcW w:w="118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3.9%</w:t>
            </w:r>
          </w:p>
        </w:tc>
        <w:tc>
          <w:tcPr>
            <w:tcW w:w="120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6"/>
                <w:szCs w:val="16"/>
                <w:color w:val="auto"/>
              </w:rPr>
              <w:t>3.8%</w:t>
            </w:r>
          </w:p>
        </w:tc>
        <w:tc>
          <w:tcPr>
            <w:tcW w:w="114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rPr>
              <w:t>97%</w:t>
            </w:r>
          </w:p>
        </w:tc>
        <w:tc>
          <w:tcPr>
            <w:tcW w:w="780" w:type="dxa"/>
            <w:vAlign w:val="bottom"/>
            <w:tcBorders>
              <w:bottom w:val="single" w:sz="8" w:color="auto"/>
              <w:right w:val="single" w:sz="8" w:color="auto"/>
            </w:tcBorders>
          </w:tcPr>
          <w:p>
            <w:pPr>
              <w:jc w:val="right"/>
              <w:ind w:right="185"/>
              <w:spacing w:after="0"/>
              <w:rPr>
                <w:sz w:val="20"/>
                <w:szCs w:val="20"/>
                <w:color w:val="auto"/>
              </w:rPr>
            </w:pPr>
            <w:r>
              <w:rPr>
                <w:rFonts w:ascii="Arial" w:cs="Arial" w:eastAsia="Arial" w:hAnsi="Arial"/>
                <w:sz w:val="16"/>
                <w:szCs w:val="16"/>
                <w:color w:val="auto"/>
              </w:rPr>
              <w:t>94</w:t>
            </w:r>
          </w:p>
        </w:tc>
        <w:tc>
          <w:tcPr>
            <w:tcW w:w="94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6"/>
                <w:szCs w:val="16"/>
                <w:color w:val="auto"/>
              </w:rPr>
              <w:t>30</w:t>
            </w:r>
          </w:p>
        </w:tc>
        <w:tc>
          <w:tcPr>
            <w:tcW w:w="82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84"/>
        </w:trPr>
        <w:tc>
          <w:tcPr>
            <w:tcW w:w="216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Adjusted earnings per</w:t>
            </w:r>
          </w:p>
        </w:tc>
        <w:tc>
          <w:tcPr>
            <w:tcW w:w="1180" w:type="dxa"/>
            <w:vAlign w:val="bottom"/>
            <w:tcBorders>
              <w:right w:val="single" w:sz="8" w:color="auto"/>
            </w:tcBorders>
            <w:shd w:val="clear" w:color="auto" w:fill="E5EDFE"/>
          </w:tcPr>
          <w:p>
            <w:pPr>
              <w:spacing w:after="0"/>
              <w:rPr>
                <w:sz w:val="16"/>
                <w:szCs w:val="16"/>
                <w:color w:val="auto"/>
              </w:rPr>
            </w:pPr>
          </w:p>
        </w:tc>
        <w:tc>
          <w:tcPr>
            <w:tcW w:w="1200" w:type="dxa"/>
            <w:vAlign w:val="bottom"/>
            <w:tcBorders>
              <w:right w:val="single" w:sz="8" w:color="auto"/>
            </w:tcBorders>
            <w:shd w:val="clear" w:color="auto" w:fill="E5EDFE"/>
          </w:tcPr>
          <w:p>
            <w:pPr>
              <w:spacing w:after="0"/>
              <w:rPr>
                <w:sz w:val="16"/>
                <w:szCs w:val="16"/>
                <w:color w:val="auto"/>
              </w:rPr>
            </w:pPr>
          </w:p>
        </w:tc>
        <w:tc>
          <w:tcPr>
            <w:tcW w:w="1140" w:type="dxa"/>
            <w:vAlign w:val="bottom"/>
            <w:tcBorders>
              <w:right w:val="single" w:sz="8" w:color="auto"/>
            </w:tcBorders>
            <w:shd w:val="clear" w:color="auto" w:fill="E5EDFE"/>
          </w:tcPr>
          <w:p>
            <w:pPr>
              <w:spacing w:after="0"/>
              <w:rPr>
                <w:sz w:val="16"/>
                <w:szCs w:val="16"/>
                <w:color w:val="auto"/>
              </w:rPr>
            </w:pPr>
          </w:p>
        </w:tc>
        <w:tc>
          <w:tcPr>
            <w:tcW w:w="780" w:type="dxa"/>
            <w:vAlign w:val="bottom"/>
            <w:tcBorders>
              <w:right w:val="single" w:sz="8" w:color="auto"/>
            </w:tcBorders>
            <w:shd w:val="clear" w:color="auto" w:fill="E5EDFE"/>
          </w:tcPr>
          <w:p>
            <w:pPr>
              <w:spacing w:after="0"/>
              <w:rPr>
                <w:sz w:val="16"/>
                <w:szCs w:val="16"/>
                <w:color w:val="auto"/>
              </w:rPr>
            </w:pPr>
          </w:p>
        </w:tc>
        <w:tc>
          <w:tcPr>
            <w:tcW w:w="940" w:type="dxa"/>
            <w:vAlign w:val="bottom"/>
            <w:tcBorders>
              <w:right w:val="single" w:sz="8" w:color="auto"/>
            </w:tcBorders>
            <w:shd w:val="clear" w:color="auto" w:fill="E5EDFE"/>
          </w:tcPr>
          <w:p>
            <w:pPr>
              <w:spacing w:after="0"/>
              <w:rPr>
                <w:sz w:val="16"/>
                <w:szCs w:val="16"/>
                <w:color w:val="auto"/>
              </w:rPr>
            </w:pPr>
          </w:p>
        </w:tc>
        <w:tc>
          <w:tcPr>
            <w:tcW w:w="82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160" w:type="dxa"/>
            <w:vAlign w:val="bottom"/>
            <w:tcBorders>
              <w:left w:val="single" w:sz="8" w:color="auto"/>
              <w:right w:val="single" w:sz="8" w:color="auto"/>
            </w:tcBorders>
            <w:shd w:val="clear" w:color="auto" w:fill="E5EDFE"/>
          </w:tcPr>
          <w:p>
            <w:pPr>
              <w:ind w:left="60"/>
              <w:spacing w:after="0" w:line="155" w:lineRule="exact"/>
              <w:rPr>
                <w:sz w:val="20"/>
                <w:szCs w:val="20"/>
                <w:color w:val="auto"/>
              </w:rPr>
            </w:pPr>
            <w:r>
              <w:rPr>
                <w:rFonts w:ascii="Arial" w:cs="Arial" w:eastAsia="Arial" w:hAnsi="Arial"/>
                <w:sz w:val="16"/>
                <w:szCs w:val="16"/>
                <w:color w:val="auto"/>
              </w:rPr>
              <w:t>share from continuing</w:t>
            </w:r>
          </w:p>
        </w:tc>
        <w:tc>
          <w:tcPr>
            <w:tcW w:w="1180" w:type="dxa"/>
            <w:vAlign w:val="bottom"/>
            <w:tcBorders>
              <w:right w:val="single" w:sz="8" w:color="auto"/>
            </w:tcBorders>
            <w:shd w:val="clear" w:color="auto" w:fill="E5EDFE"/>
          </w:tcPr>
          <w:p>
            <w:pPr>
              <w:spacing w:after="0"/>
              <w:rPr>
                <w:sz w:val="13"/>
                <w:szCs w:val="13"/>
                <w:color w:val="auto"/>
              </w:rPr>
            </w:pPr>
          </w:p>
        </w:tc>
        <w:tc>
          <w:tcPr>
            <w:tcW w:w="1200" w:type="dxa"/>
            <w:vAlign w:val="bottom"/>
            <w:tcBorders>
              <w:right w:val="single" w:sz="8" w:color="auto"/>
            </w:tcBorders>
            <w:shd w:val="clear" w:color="auto" w:fill="E5EDFE"/>
          </w:tcPr>
          <w:p>
            <w:pPr>
              <w:spacing w:after="0"/>
              <w:rPr>
                <w:sz w:val="13"/>
                <w:szCs w:val="13"/>
                <w:color w:val="auto"/>
              </w:rPr>
            </w:pPr>
          </w:p>
        </w:tc>
        <w:tc>
          <w:tcPr>
            <w:tcW w:w="1140" w:type="dxa"/>
            <w:vAlign w:val="bottom"/>
            <w:tcBorders>
              <w:right w:val="single" w:sz="8" w:color="auto"/>
            </w:tcBorders>
            <w:shd w:val="clear" w:color="auto" w:fill="E5EDFE"/>
          </w:tcPr>
          <w:p>
            <w:pPr>
              <w:spacing w:after="0"/>
              <w:rPr>
                <w:sz w:val="13"/>
                <w:szCs w:val="13"/>
                <w:color w:val="auto"/>
              </w:rPr>
            </w:pPr>
          </w:p>
        </w:tc>
        <w:tc>
          <w:tcPr>
            <w:tcW w:w="780" w:type="dxa"/>
            <w:vAlign w:val="bottom"/>
            <w:tcBorders>
              <w:right w:val="single" w:sz="8" w:color="auto"/>
            </w:tcBorders>
            <w:shd w:val="clear" w:color="auto" w:fill="E5EDFE"/>
          </w:tcPr>
          <w:p>
            <w:pPr>
              <w:spacing w:after="0"/>
              <w:rPr>
                <w:sz w:val="13"/>
                <w:szCs w:val="13"/>
                <w:color w:val="auto"/>
              </w:rPr>
            </w:pPr>
          </w:p>
        </w:tc>
        <w:tc>
          <w:tcPr>
            <w:tcW w:w="940" w:type="dxa"/>
            <w:vAlign w:val="bottom"/>
            <w:tcBorders>
              <w:right w:val="single" w:sz="8" w:color="auto"/>
            </w:tcBorders>
            <w:shd w:val="clear" w:color="auto" w:fill="E5EDFE"/>
          </w:tcPr>
          <w:p>
            <w:pPr>
              <w:spacing w:after="0"/>
              <w:rPr>
                <w:sz w:val="13"/>
                <w:szCs w:val="13"/>
                <w:color w:val="auto"/>
              </w:rPr>
            </w:pPr>
          </w:p>
        </w:tc>
        <w:tc>
          <w:tcPr>
            <w:tcW w:w="820" w:type="dxa"/>
            <w:vAlign w:val="bottom"/>
            <w:tcBorders>
              <w:right w:val="single" w:sz="8" w:color="auto"/>
            </w:tcBorders>
            <w:shd w:val="clear" w:color="auto" w:fill="E5EDF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160" w:type="dxa"/>
            <w:vAlign w:val="bottom"/>
            <w:tcBorders>
              <w:left w:val="single" w:sz="8" w:color="auto"/>
              <w:bottom w:val="single" w:sz="8" w:color="auto"/>
              <w:right w:val="single" w:sz="8" w:color="auto"/>
            </w:tcBorders>
            <w:shd w:val="clear" w:color="auto" w:fill="E5EDFE"/>
          </w:tcPr>
          <w:p>
            <w:pPr>
              <w:ind w:left="60"/>
              <w:spacing w:after="0" w:line="235" w:lineRule="exact"/>
              <w:rPr>
                <w:sz w:val="20"/>
                <w:szCs w:val="20"/>
                <w:color w:val="auto"/>
              </w:rPr>
            </w:pPr>
            <w:r>
              <w:rPr>
                <w:rFonts w:ascii="Arial" w:cs="Arial" w:eastAsia="Arial" w:hAnsi="Arial"/>
                <w:sz w:val="16"/>
                <w:szCs w:val="16"/>
                <w:color w:val="auto"/>
              </w:rPr>
              <w:t>operations – Diluted</w:t>
            </w:r>
            <w:r>
              <w:rPr>
                <w:rFonts w:ascii="Arial" w:cs="Arial" w:eastAsia="Arial" w:hAnsi="Arial"/>
                <w:sz w:val="25"/>
                <w:szCs w:val="25"/>
                <w:color w:val="auto"/>
                <w:vertAlign w:val="superscript"/>
              </w:rPr>
              <w:t>(4)</w:t>
            </w:r>
          </w:p>
        </w:tc>
        <w:tc>
          <w:tcPr>
            <w:tcW w:w="1180" w:type="dxa"/>
            <w:vAlign w:val="bottom"/>
            <w:tcBorders>
              <w:bottom w:val="single" w:sz="8" w:color="auto"/>
              <w:right w:val="single" w:sz="8" w:color="auto"/>
            </w:tcBorders>
            <w:shd w:val="clear" w:color="auto" w:fill="E5EDFE"/>
          </w:tcPr>
          <w:p>
            <w:pPr>
              <w:jc w:val="right"/>
              <w:ind w:right="300"/>
              <w:spacing w:after="0"/>
              <w:rPr>
                <w:sz w:val="20"/>
                <w:szCs w:val="20"/>
                <w:color w:val="auto"/>
              </w:rPr>
            </w:pPr>
            <w:r>
              <w:rPr>
                <w:rFonts w:ascii="Arial" w:cs="Arial" w:eastAsia="Arial" w:hAnsi="Arial"/>
                <w:sz w:val="16"/>
                <w:szCs w:val="16"/>
                <w:color w:val="auto"/>
              </w:rPr>
              <w:t>$1.63</w:t>
            </w:r>
          </w:p>
        </w:tc>
        <w:tc>
          <w:tcPr>
            <w:tcW w:w="1200" w:type="dxa"/>
            <w:vAlign w:val="bottom"/>
            <w:tcBorders>
              <w:bottom w:val="single" w:sz="8" w:color="auto"/>
              <w:right w:val="single" w:sz="8" w:color="auto"/>
            </w:tcBorders>
            <w:shd w:val="clear" w:color="auto" w:fill="E5EDFE"/>
          </w:tcPr>
          <w:p>
            <w:pPr>
              <w:jc w:val="right"/>
              <w:ind w:right="320"/>
              <w:spacing w:after="0"/>
              <w:rPr>
                <w:sz w:val="20"/>
                <w:szCs w:val="20"/>
                <w:color w:val="auto"/>
              </w:rPr>
            </w:pPr>
            <w:r>
              <w:rPr>
                <w:rFonts w:ascii="Arial" w:cs="Arial" w:eastAsia="Arial" w:hAnsi="Arial"/>
                <w:sz w:val="16"/>
                <w:szCs w:val="16"/>
                <w:color w:val="auto"/>
              </w:rPr>
              <w:t>$1.65</w:t>
            </w:r>
          </w:p>
        </w:tc>
        <w:tc>
          <w:tcPr>
            <w:tcW w:w="1140" w:type="dxa"/>
            <w:vAlign w:val="bottom"/>
            <w:tcBorders>
              <w:bottom w:val="single" w:sz="8" w:color="auto"/>
              <w:right w:val="single" w:sz="8" w:color="auto"/>
            </w:tcBorders>
            <w:shd w:val="clear" w:color="auto" w:fill="E5EDFE"/>
          </w:tcPr>
          <w:p>
            <w:pPr>
              <w:jc w:val="right"/>
              <w:ind w:right="202"/>
              <w:spacing w:after="0"/>
              <w:rPr>
                <w:sz w:val="20"/>
                <w:szCs w:val="20"/>
                <w:color w:val="auto"/>
              </w:rPr>
            </w:pPr>
            <w:r>
              <w:rPr>
                <w:rFonts w:ascii="Arial" w:cs="Arial" w:eastAsia="Arial" w:hAnsi="Arial"/>
                <w:sz w:val="16"/>
                <w:szCs w:val="16"/>
                <w:color w:val="auto"/>
              </w:rPr>
              <w:t>101%</w:t>
            </w:r>
          </w:p>
        </w:tc>
        <w:tc>
          <w:tcPr>
            <w:tcW w:w="780" w:type="dxa"/>
            <w:vAlign w:val="bottom"/>
            <w:tcBorders>
              <w:bottom w:val="single" w:sz="8" w:color="auto"/>
              <w:right w:val="single" w:sz="8" w:color="auto"/>
            </w:tcBorders>
            <w:shd w:val="clear" w:color="auto" w:fill="E5EDFE"/>
          </w:tcPr>
          <w:p>
            <w:pPr>
              <w:jc w:val="right"/>
              <w:ind w:right="185"/>
              <w:spacing w:after="0"/>
              <w:rPr>
                <w:sz w:val="20"/>
                <w:szCs w:val="20"/>
                <w:color w:val="auto"/>
              </w:rPr>
            </w:pPr>
            <w:r>
              <w:rPr>
                <w:rFonts w:ascii="Arial" w:cs="Arial" w:eastAsia="Arial" w:hAnsi="Arial"/>
                <w:sz w:val="16"/>
                <w:szCs w:val="16"/>
                <w:color w:val="auto"/>
              </w:rPr>
              <w:t>103</w:t>
            </w:r>
          </w:p>
        </w:tc>
        <w:tc>
          <w:tcPr>
            <w:tcW w:w="940" w:type="dxa"/>
            <w:vAlign w:val="bottom"/>
            <w:tcBorders>
              <w:bottom w:val="single" w:sz="8" w:color="auto"/>
              <w:right w:val="single" w:sz="8" w:color="auto"/>
            </w:tcBorders>
            <w:shd w:val="clear" w:color="auto" w:fill="E5EDFE"/>
          </w:tcPr>
          <w:p>
            <w:pPr>
              <w:jc w:val="right"/>
              <w:ind w:right="242"/>
              <w:spacing w:after="0"/>
              <w:rPr>
                <w:sz w:val="20"/>
                <w:szCs w:val="20"/>
                <w:color w:val="auto"/>
              </w:rPr>
            </w:pPr>
            <w:r>
              <w:rPr>
                <w:rFonts w:ascii="Arial" w:cs="Arial" w:eastAsia="Arial" w:hAnsi="Arial"/>
                <w:sz w:val="16"/>
                <w:szCs w:val="16"/>
                <w:color w:val="auto"/>
              </w:rPr>
              <w:t>30</w:t>
            </w:r>
          </w:p>
        </w:tc>
        <w:tc>
          <w:tcPr>
            <w:tcW w:w="820" w:type="dxa"/>
            <w:vAlign w:val="bottom"/>
            <w:tcBorders>
              <w:bottom w:val="single" w:sz="8" w:color="auto"/>
              <w:right w:val="single" w:sz="8" w:color="auto"/>
            </w:tcBorders>
            <w:shd w:val="clear" w:color="auto" w:fill="E5EDFE"/>
          </w:tcPr>
          <w:p>
            <w:pPr>
              <w:jc w:val="right"/>
              <w:ind w:right="101"/>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color w:val="auto"/>
              </w:rPr>
              <w:t>Operating cash flow</w:t>
            </w:r>
          </w:p>
        </w:tc>
        <w:tc>
          <w:tcPr>
            <w:tcW w:w="1180" w:type="dxa"/>
            <w:vAlign w:val="bottom"/>
            <w:tcBorders>
              <w:bottom w:val="single" w:sz="8" w:color="auto"/>
              <w:right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$124.0 million</w:t>
            </w:r>
          </w:p>
        </w:tc>
        <w:tc>
          <w:tcPr>
            <w:tcW w:w="1200" w:type="dxa"/>
            <w:vAlign w:val="bottom"/>
            <w:tcBorders>
              <w:bottom w:val="single" w:sz="8" w:color="auto"/>
              <w:right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$122.5 million</w:t>
            </w:r>
          </w:p>
        </w:tc>
        <w:tc>
          <w:tcPr>
            <w:tcW w:w="1140" w:type="dxa"/>
            <w:vAlign w:val="bottom"/>
            <w:tcBorders>
              <w:bottom w:val="single" w:sz="8" w:color="auto"/>
              <w:right w:val="single" w:sz="8" w:color="auto"/>
            </w:tcBorders>
          </w:tcPr>
          <w:p>
            <w:pPr>
              <w:jc w:val="right"/>
              <w:ind w:right="202"/>
              <w:spacing w:after="0" w:line="183" w:lineRule="exact"/>
              <w:rPr>
                <w:sz w:val="20"/>
                <w:szCs w:val="20"/>
                <w:color w:val="auto"/>
              </w:rPr>
            </w:pPr>
            <w:r>
              <w:rPr>
                <w:rFonts w:ascii="Arial" w:cs="Arial" w:eastAsia="Arial" w:hAnsi="Arial"/>
                <w:sz w:val="16"/>
                <w:szCs w:val="16"/>
                <w:color w:val="auto"/>
              </w:rPr>
              <w:t>99%</w:t>
            </w:r>
          </w:p>
        </w:tc>
        <w:tc>
          <w:tcPr>
            <w:tcW w:w="780" w:type="dxa"/>
            <w:vAlign w:val="bottom"/>
            <w:tcBorders>
              <w:bottom w:val="single" w:sz="8" w:color="auto"/>
              <w:right w:val="single" w:sz="8" w:color="auto"/>
            </w:tcBorders>
          </w:tcPr>
          <w:p>
            <w:pPr>
              <w:jc w:val="right"/>
              <w:ind w:right="185"/>
              <w:spacing w:after="0" w:line="183" w:lineRule="exact"/>
              <w:rPr>
                <w:sz w:val="20"/>
                <w:szCs w:val="20"/>
                <w:color w:val="auto"/>
              </w:rPr>
            </w:pPr>
            <w:r>
              <w:rPr>
                <w:rFonts w:ascii="Arial" w:cs="Arial" w:eastAsia="Arial" w:hAnsi="Arial"/>
                <w:sz w:val="16"/>
                <w:szCs w:val="16"/>
                <w:color w:val="auto"/>
              </w:rPr>
              <w:t>97</w:t>
            </w:r>
          </w:p>
        </w:tc>
        <w:tc>
          <w:tcPr>
            <w:tcW w:w="940" w:type="dxa"/>
            <w:vAlign w:val="bottom"/>
            <w:tcBorders>
              <w:bottom w:val="single" w:sz="8" w:color="auto"/>
              <w:right w:val="single" w:sz="8" w:color="auto"/>
            </w:tcBorders>
          </w:tcPr>
          <w:p>
            <w:pPr>
              <w:jc w:val="right"/>
              <w:ind w:right="242"/>
              <w:spacing w:after="0" w:line="183" w:lineRule="exact"/>
              <w:rPr>
                <w:sz w:val="20"/>
                <w:szCs w:val="20"/>
                <w:color w:val="auto"/>
              </w:rPr>
            </w:pPr>
            <w:r>
              <w:rPr>
                <w:rFonts w:ascii="Arial" w:cs="Arial" w:eastAsia="Arial" w:hAnsi="Arial"/>
                <w:sz w:val="16"/>
                <w:szCs w:val="16"/>
                <w:color w:val="auto"/>
              </w:rPr>
              <w:t>15</w:t>
            </w:r>
          </w:p>
        </w:tc>
        <w:tc>
          <w:tcPr>
            <w:tcW w:w="820" w:type="dxa"/>
            <w:vAlign w:val="bottom"/>
            <w:tcBorders>
              <w:bottom w:val="single" w:sz="8" w:color="auto"/>
              <w:right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4"/>
        </w:trPr>
        <w:tc>
          <w:tcPr>
            <w:tcW w:w="216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Pro forma organic revenue</w:t>
            </w:r>
          </w:p>
        </w:tc>
        <w:tc>
          <w:tcPr>
            <w:tcW w:w="1180" w:type="dxa"/>
            <w:vAlign w:val="bottom"/>
            <w:tcBorders>
              <w:right w:val="single" w:sz="8" w:color="auto"/>
            </w:tcBorders>
            <w:shd w:val="clear" w:color="auto" w:fill="E5EDFE"/>
          </w:tcPr>
          <w:p>
            <w:pPr>
              <w:spacing w:after="0"/>
              <w:rPr>
                <w:sz w:val="16"/>
                <w:szCs w:val="16"/>
                <w:color w:val="auto"/>
              </w:rPr>
            </w:pPr>
          </w:p>
        </w:tc>
        <w:tc>
          <w:tcPr>
            <w:tcW w:w="1200" w:type="dxa"/>
            <w:vAlign w:val="bottom"/>
            <w:tcBorders>
              <w:right w:val="single" w:sz="8" w:color="auto"/>
            </w:tcBorders>
            <w:shd w:val="clear" w:color="auto" w:fill="E5EDFE"/>
          </w:tcPr>
          <w:p>
            <w:pPr>
              <w:spacing w:after="0"/>
              <w:rPr>
                <w:sz w:val="16"/>
                <w:szCs w:val="16"/>
                <w:color w:val="auto"/>
              </w:rPr>
            </w:pPr>
          </w:p>
        </w:tc>
        <w:tc>
          <w:tcPr>
            <w:tcW w:w="1140" w:type="dxa"/>
            <w:vAlign w:val="bottom"/>
            <w:tcBorders>
              <w:right w:val="single" w:sz="8" w:color="auto"/>
            </w:tcBorders>
            <w:shd w:val="clear" w:color="auto" w:fill="E5EDFE"/>
          </w:tcPr>
          <w:p>
            <w:pPr>
              <w:spacing w:after="0"/>
              <w:rPr>
                <w:sz w:val="16"/>
                <w:szCs w:val="16"/>
                <w:color w:val="auto"/>
              </w:rPr>
            </w:pPr>
          </w:p>
        </w:tc>
        <w:tc>
          <w:tcPr>
            <w:tcW w:w="780" w:type="dxa"/>
            <w:vAlign w:val="bottom"/>
            <w:tcBorders>
              <w:right w:val="single" w:sz="8" w:color="auto"/>
            </w:tcBorders>
            <w:shd w:val="clear" w:color="auto" w:fill="E5EDFE"/>
          </w:tcPr>
          <w:p>
            <w:pPr>
              <w:spacing w:after="0"/>
              <w:rPr>
                <w:sz w:val="16"/>
                <w:szCs w:val="16"/>
                <w:color w:val="auto"/>
              </w:rPr>
            </w:pPr>
          </w:p>
        </w:tc>
        <w:tc>
          <w:tcPr>
            <w:tcW w:w="940" w:type="dxa"/>
            <w:vAlign w:val="bottom"/>
            <w:tcBorders>
              <w:right w:val="single" w:sz="8" w:color="auto"/>
            </w:tcBorders>
            <w:shd w:val="clear" w:color="auto" w:fill="E5EDFE"/>
          </w:tcPr>
          <w:p>
            <w:pPr>
              <w:spacing w:after="0"/>
              <w:rPr>
                <w:sz w:val="16"/>
                <w:szCs w:val="16"/>
                <w:color w:val="auto"/>
              </w:rPr>
            </w:pPr>
          </w:p>
        </w:tc>
        <w:tc>
          <w:tcPr>
            <w:tcW w:w="82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growth − Commercial</w:t>
            </w:r>
          </w:p>
        </w:tc>
        <w:tc>
          <w:tcPr>
            <w:tcW w:w="1180" w:type="dxa"/>
            <w:vAlign w:val="bottom"/>
            <w:tcBorders>
              <w:bottom w:val="single" w:sz="8" w:color="auto"/>
              <w:right w:val="single" w:sz="8" w:color="auto"/>
            </w:tcBorders>
            <w:shd w:val="clear" w:color="auto" w:fill="E5EDFE"/>
          </w:tcPr>
          <w:p>
            <w:pPr>
              <w:jc w:val="right"/>
              <w:ind w:right="160"/>
              <w:spacing w:after="0"/>
              <w:rPr>
                <w:sz w:val="20"/>
                <w:szCs w:val="20"/>
                <w:color w:val="auto"/>
              </w:rPr>
            </w:pPr>
            <w:r>
              <w:rPr>
                <w:rFonts w:ascii="Arial" w:cs="Arial" w:eastAsia="Arial" w:hAnsi="Arial"/>
                <w:sz w:val="16"/>
                <w:szCs w:val="16"/>
                <w:color w:val="auto"/>
              </w:rPr>
              <w:t>4.3%</w:t>
            </w:r>
          </w:p>
        </w:tc>
        <w:tc>
          <w:tcPr>
            <w:tcW w:w="1200" w:type="dxa"/>
            <w:vAlign w:val="bottom"/>
            <w:tcBorders>
              <w:bottom w:val="single" w:sz="8" w:color="auto"/>
              <w:right w:val="single" w:sz="8" w:color="auto"/>
            </w:tcBorders>
            <w:shd w:val="clear" w:color="auto" w:fill="E5EDFE"/>
          </w:tcPr>
          <w:p>
            <w:pPr>
              <w:jc w:val="right"/>
              <w:ind w:right="180"/>
              <w:spacing w:after="0"/>
              <w:rPr>
                <w:sz w:val="20"/>
                <w:szCs w:val="20"/>
                <w:color w:val="auto"/>
              </w:rPr>
            </w:pPr>
            <w:r>
              <w:rPr>
                <w:rFonts w:ascii="Arial" w:cs="Arial" w:eastAsia="Arial" w:hAnsi="Arial"/>
                <w:sz w:val="16"/>
                <w:szCs w:val="16"/>
                <w:color w:val="auto"/>
              </w:rPr>
              <w:t>3.5%</w:t>
            </w:r>
          </w:p>
        </w:tc>
        <w:tc>
          <w:tcPr>
            <w:tcW w:w="1140" w:type="dxa"/>
            <w:vAlign w:val="bottom"/>
            <w:tcBorders>
              <w:bottom w:val="single" w:sz="8" w:color="auto"/>
              <w:right w:val="single" w:sz="8" w:color="auto"/>
            </w:tcBorders>
            <w:shd w:val="clear" w:color="auto" w:fill="E5EDFE"/>
          </w:tcPr>
          <w:p>
            <w:pPr>
              <w:jc w:val="right"/>
              <w:ind w:right="202"/>
              <w:spacing w:after="0"/>
              <w:rPr>
                <w:sz w:val="20"/>
                <w:szCs w:val="20"/>
                <w:color w:val="auto"/>
              </w:rPr>
            </w:pPr>
            <w:r>
              <w:rPr>
                <w:rFonts w:ascii="Arial" w:cs="Arial" w:eastAsia="Arial" w:hAnsi="Arial"/>
                <w:sz w:val="16"/>
                <w:szCs w:val="16"/>
                <w:color w:val="auto"/>
              </w:rPr>
              <w:t>81%</w:t>
            </w:r>
          </w:p>
        </w:tc>
        <w:tc>
          <w:tcPr>
            <w:tcW w:w="780" w:type="dxa"/>
            <w:vAlign w:val="bottom"/>
            <w:tcBorders>
              <w:bottom w:val="single" w:sz="8" w:color="auto"/>
              <w:right w:val="single" w:sz="8" w:color="auto"/>
            </w:tcBorders>
            <w:shd w:val="clear" w:color="auto" w:fill="E5EDFE"/>
          </w:tcPr>
          <w:p>
            <w:pPr>
              <w:jc w:val="right"/>
              <w:ind w:right="185"/>
              <w:spacing w:after="0"/>
              <w:rPr>
                <w:sz w:val="20"/>
                <w:szCs w:val="20"/>
                <w:color w:val="auto"/>
              </w:rPr>
            </w:pPr>
            <w:r>
              <w:rPr>
                <w:rFonts w:ascii="Arial" w:cs="Arial" w:eastAsia="Arial" w:hAnsi="Arial"/>
                <w:sz w:val="16"/>
                <w:szCs w:val="16"/>
                <w:color w:val="auto"/>
              </w:rPr>
              <w:t>53</w:t>
            </w:r>
          </w:p>
        </w:tc>
        <w:tc>
          <w:tcPr>
            <w:tcW w:w="940" w:type="dxa"/>
            <w:vAlign w:val="bottom"/>
            <w:tcBorders>
              <w:bottom w:val="single" w:sz="8" w:color="auto"/>
              <w:right w:val="single" w:sz="8" w:color="auto"/>
            </w:tcBorders>
            <w:shd w:val="clear" w:color="auto" w:fill="E5EDFE"/>
          </w:tcPr>
          <w:p>
            <w:pPr>
              <w:jc w:val="right"/>
              <w:ind w:right="242"/>
              <w:spacing w:after="0"/>
              <w:rPr>
                <w:sz w:val="20"/>
                <w:szCs w:val="20"/>
                <w:color w:val="auto"/>
              </w:rPr>
            </w:pPr>
            <w:r>
              <w:rPr>
                <w:rFonts w:ascii="Arial" w:cs="Arial" w:eastAsia="Arial" w:hAnsi="Arial"/>
                <w:sz w:val="16"/>
                <w:szCs w:val="16"/>
                <w:color w:val="auto"/>
              </w:rPr>
              <w:t>23.8</w:t>
            </w:r>
          </w:p>
        </w:tc>
        <w:tc>
          <w:tcPr>
            <w:tcW w:w="820" w:type="dxa"/>
            <w:vAlign w:val="bottom"/>
            <w:tcBorders>
              <w:bottom w:val="single" w:sz="8" w:color="auto"/>
              <w:right w:val="single" w:sz="8" w:color="auto"/>
            </w:tcBorders>
            <w:shd w:val="clear" w:color="auto" w:fill="E5EDFE"/>
          </w:tcPr>
          <w:p>
            <w:pPr>
              <w:jc w:val="right"/>
              <w:ind w:right="101"/>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84"/>
        </w:trPr>
        <w:tc>
          <w:tcPr>
            <w:tcW w:w="21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Pro forma organic revenue</w:t>
            </w:r>
          </w:p>
        </w:tc>
        <w:tc>
          <w:tcPr>
            <w:tcW w:w="11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growth – U.S. government</w:t>
            </w:r>
          </w:p>
        </w:tc>
        <w:tc>
          <w:tcPr>
            <w:tcW w:w="118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6"/>
                <w:szCs w:val="16"/>
                <w:color w:val="auto"/>
              </w:rPr>
              <w:t>31%</w:t>
            </w:r>
          </w:p>
        </w:tc>
        <w:tc>
          <w:tcPr>
            <w:tcW w:w="120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6"/>
                <w:szCs w:val="16"/>
                <w:color w:val="auto"/>
              </w:rPr>
              <w:t>11.8%</w:t>
            </w:r>
          </w:p>
        </w:tc>
        <w:tc>
          <w:tcPr>
            <w:tcW w:w="1140" w:type="dxa"/>
            <w:vAlign w:val="bottom"/>
            <w:tcBorders>
              <w:bottom w:val="single" w:sz="8" w:color="auto"/>
              <w:right w:val="single" w:sz="8" w:color="auto"/>
            </w:tcBorders>
          </w:tcPr>
          <w:p>
            <w:pPr>
              <w:jc w:val="right"/>
              <w:ind w:right="202"/>
              <w:spacing w:after="0"/>
              <w:rPr>
                <w:sz w:val="20"/>
                <w:szCs w:val="20"/>
                <w:color w:val="auto"/>
              </w:rPr>
            </w:pPr>
            <w:r>
              <w:rPr>
                <w:rFonts w:ascii="Arial" w:cs="Arial" w:eastAsia="Arial" w:hAnsi="Arial"/>
                <w:sz w:val="16"/>
                <w:szCs w:val="16"/>
                <w:color w:val="auto"/>
              </w:rPr>
              <w:t>38%</w:t>
            </w:r>
          </w:p>
        </w:tc>
        <w:tc>
          <w:tcPr>
            <w:tcW w:w="780" w:type="dxa"/>
            <w:vAlign w:val="bottom"/>
            <w:tcBorders>
              <w:bottom w:val="single" w:sz="8" w:color="auto"/>
              <w:right w:val="single" w:sz="8" w:color="auto"/>
            </w:tcBorders>
          </w:tcPr>
          <w:p>
            <w:pPr>
              <w:jc w:val="right"/>
              <w:ind w:right="185"/>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6"/>
                <w:szCs w:val="16"/>
                <w:color w:val="auto"/>
              </w:rPr>
              <w:t>1.3</w:t>
            </w:r>
          </w:p>
        </w:tc>
        <w:tc>
          <w:tcPr>
            <w:tcW w:w="82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right w:val="single" w:sz="8" w:color="E5EDFE"/>
            </w:tcBorders>
            <w:shd w:val="clear" w:color="auto" w:fill="E5EDFE"/>
          </w:tcPr>
          <w:p>
            <w:pPr>
              <w:ind w:left="60"/>
              <w:spacing w:after="0" w:line="183" w:lineRule="exact"/>
              <w:rPr>
                <w:sz w:val="20"/>
                <w:szCs w:val="20"/>
                <w:color w:val="auto"/>
              </w:rPr>
            </w:pPr>
            <w:r>
              <w:rPr>
                <w:rFonts w:ascii="Arial" w:cs="Arial" w:eastAsia="Arial" w:hAnsi="Arial"/>
                <w:sz w:val="16"/>
                <w:szCs w:val="16"/>
                <w:color w:val="auto"/>
              </w:rPr>
              <w:t>Award Funding</w:t>
            </w:r>
          </w:p>
        </w:tc>
        <w:tc>
          <w:tcPr>
            <w:tcW w:w="1180" w:type="dxa"/>
            <w:vAlign w:val="bottom"/>
            <w:tcBorders>
              <w:right w:val="single" w:sz="8" w:color="E5EDFE"/>
            </w:tcBorders>
            <w:shd w:val="clear" w:color="auto" w:fill="E5EDFE"/>
          </w:tcPr>
          <w:p>
            <w:pPr>
              <w:spacing w:after="0"/>
              <w:rPr>
                <w:sz w:val="15"/>
                <w:szCs w:val="15"/>
                <w:color w:val="auto"/>
              </w:rPr>
            </w:pPr>
          </w:p>
        </w:tc>
        <w:tc>
          <w:tcPr>
            <w:tcW w:w="1200" w:type="dxa"/>
            <w:vAlign w:val="bottom"/>
            <w:tcBorders>
              <w:right w:val="single" w:sz="8" w:color="E5EDFE"/>
            </w:tcBorders>
            <w:shd w:val="clear" w:color="auto" w:fill="E5EDFE"/>
          </w:tcPr>
          <w:p>
            <w:pPr>
              <w:spacing w:after="0"/>
              <w:rPr>
                <w:sz w:val="15"/>
                <w:szCs w:val="15"/>
                <w:color w:val="auto"/>
              </w:rPr>
            </w:pPr>
          </w:p>
        </w:tc>
        <w:tc>
          <w:tcPr>
            <w:tcW w:w="1140" w:type="dxa"/>
            <w:vAlign w:val="bottom"/>
            <w:tcBorders>
              <w:right w:val="single" w:sz="8" w:color="E5EDFE"/>
            </w:tcBorders>
            <w:shd w:val="clear" w:color="auto" w:fill="E5EDFE"/>
          </w:tcPr>
          <w:p>
            <w:pPr>
              <w:spacing w:after="0"/>
              <w:rPr>
                <w:sz w:val="15"/>
                <w:szCs w:val="15"/>
                <w:color w:val="auto"/>
              </w:rPr>
            </w:pPr>
          </w:p>
        </w:tc>
        <w:tc>
          <w:tcPr>
            <w:tcW w:w="780" w:type="dxa"/>
            <w:vAlign w:val="bottom"/>
            <w:tcBorders>
              <w:right w:val="single" w:sz="8" w:color="E5EDFE"/>
            </w:tcBorders>
            <w:shd w:val="clear" w:color="auto" w:fill="E5EDFE"/>
          </w:tcPr>
          <w:p>
            <w:pPr>
              <w:spacing w:after="0"/>
              <w:rPr>
                <w:sz w:val="15"/>
                <w:szCs w:val="15"/>
                <w:color w:val="auto"/>
              </w:rPr>
            </w:pPr>
          </w:p>
        </w:tc>
        <w:tc>
          <w:tcPr>
            <w:tcW w:w="940" w:type="dxa"/>
            <w:vAlign w:val="bottom"/>
            <w:tcBorders>
              <w:right w:val="single" w:sz="8" w:color="E5EDFE"/>
            </w:tcBorders>
            <w:shd w:val="clear" w:color="auto" w:fill="E5EDFE"/>
          </w:tcPr>
          <w:p>
            <w:pPr>
              <w:spacing w:after="0"/>
              <w:rPr>
                <w:sz w:val="15"/>
                <w:szCs w:val="15"/>
                <w:color w:val="auto"/>
              </w:rPr>
            </w:pPr>
          </w:p>
        </w:tc>
        <w:tc>
          <w:tcPr>
            <w:tcW w:w="820" w:type="dxa"/>
            <w:vAlign w:val="bottom"/>
            <w:tcBorders>
              <w:right w:val="single" w:sz="8" w:color="auto"/>
            </w:tcBorders>
            <w:shd w:val="clear" w:color="auto" w:fill="E5EDFE"/>
          </w:tcPr>
          <w:p>
            <w:pPr>
              <w:jc w:val="right"/>
              <w:ind w:right="101"/>
              <w:spacing w:after="0" w:line="183" w:lineRule="exact"/>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189"/>
        </w:trPr>
        <w:tc>
          <w:tcPr>
            <w:tcW w:w="2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Modifier</w:t>
            </w: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Borders>
              <w:right w:val="single" w:sz="8" w:color="auto"/>
            </w:tcBorders>
          </w:tcPr>
          <w:p>
            <w:pPr>
              <w:jc w:val="right"/>
              <w:ind w:right="10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2160" w:type="dxa"/>
            <w:vAlign w:val="bottom"/>
            <w:tcBorders>
              <w:left w:val="single" w:sz="8" w:color="auto"/>
              <w:bottom w:val="single" w:sz="8" w:color="auto"/>
              <w:right w:val="single" w:sz="8" w:color="E5EDFE"/>
            </w:tcBorders>
            <w:shd w:val="clear" w:color="auto" w:fill="E5EDFE"/>
          </w:tcPr>
          <w:p>
            <w:pPr>
              <w:ind w:left="60"/>
              <w:spacing w:after="0"/>
              <w:rPr>
                <w:sz w:val="20"/>
                <w:szCs w:val="20"/>
                <w:color w:val="auto"/>
              </w:rPr>
            </w:pPr>
            <w:r>
              <w:rPr>
                <w:rFonts w:ascii="Arial" w:cs="Arial" w:eastAsia="Arial" w:hAnsi="Arial"/>
                <w:sz w:val="16"/>
                <w:szCs w:val="16"/>
                <w:color w:val="auto"/>
              </w:rPr>
              <w:t>Total Award Funding</w:t>
            </w:r>
          </w:p>
        </w:tc>
        <w:tc>
          <w:tcPr>
            <w:tcW w:w="1180" w:type="dxa"/>
            <w:vAlign w:val="bottom"/>
            <w:tcBorders>
              <w:bottom w:val="single" w:sz="8" w:color="auto"/>
              <w:right w:val="single" w:sz="8" w:color="E5EDFE"/>
            </w:tcBorders>
            <w:shd w:val="clear" w:color="auto" w:fill="E5EDFE"/>
          </w:tcPr>
          <w:p>
            <w:pPr>
              <w:spacing w:after="0"/>
              <w:rPr>
                <w:sz w:val="16"/>
                <w:szCs w:val="16"/>
                <w:color w:val="auto"/>
              </w:rPr>
            </w:pPr>
          </w:p>
        </w:tc>
        <w:tc>
          <w:tcPr>
            <w:tcW w:w="1200" w:type="dxa"/>
            <w:vAlign w:val="bottom"/>
            <w:tcBorders>
              <w:bottom w:val="single" w:sz="8" w:color="auto"/>
              <w:right w:val="single" w:sz="8" w:color="E5EDFE"/>
            </w:tcBorders>
            <w:shd w:val="clear" w:color="auto" w:fill="E5EDFE"/>
          </w:tcPr>
          <w:p>
            <w:pPr>
              <w:spacing w:after="0"/>
              <w:rPr>
                <w:sz w:val="16"/>
                <w:szCs w:val="16"/>
                <w:color w:val="auto"/>
              </w:rPr>
            </w:pPr>
          </w:p>
        </w:tc>
        <w:tc>
          <w:tcPr>
            <w:tcW w:w="1140" w:type="dxa"/>
            <w:vAlign w:val="bottom"/>
            <w:tcBorders>
              <w:bottom w:val="single" w:sz="8" w:color="auto"/>
              <w:right w:val="single" w:sz="8" w:color="E5EDFE"/>
            </w:tcBorders>
            <w:shd w:val="clear" w:color="auto" w:fill="E5EDFE"/>
          </w:tcPr>
          <w:p>
            <w:pPr>
              <w:spacing w:after="0"/>
              <w:rPr>
                <w:sz w:val="16"/>
                <w:szCs w:val="16"/>
                <w:color w:val="auto"/>
              </w:rPr>
            </w:pPr>
          </w:p>
        </w:tc>
        <w:tc>
          <w:tcPr>
            <w:tcW w:w="780" w:type="dxa"/>
            <w:vAlign w:val="bottom"/>
            <w:tcBorders>
              <w:bottom w:val="single" w:sz="8" w:color="auto"/>
              <w:right w:val="single" w:sz="8" w:color="E5EDFE"/>
            </w:tcBorders>
            <w:shd w:val="clear" w:color="auto" w:fill="E5EDFE"/>
          </w:tcPr>
          <w:p>
            <w:pPr>
              <w:spacing w:after="0"/>
              <w:rPr>
                <w:sz w:val="16"/>
                <w:szCs w:val="16"/>
                <w:color w:val="auto"/>
              </w:rPr>
            </w:pPr>
          </w:p>
        </w:tc>
        <w:tc>
          <w:tcPr>
            <w:tcW w:w="940" w:type="dxa"/>
            <w:vAlign w:val="bottom"/>
            <w:tcBorders>
              <w:bottom w:val="single" w:sz="8" w:color="auto"/>
              <w:right w:val="single" w:sz="8" w:color="E5EDFE"/>
            </w:tcBorders>
            <w:shd w:val="clear" w:color="auto" w:fill="E5EDFE"/>
          </w:tcPr>
          <w:p>
            <w:pPr>
              <w:spacing w:after="0"/>
              <w:rPr>
                <w:sz w:val="16"/>
                <w:szCs w:val="16"/>
                <w:color w:val="auto"/>
              </w:rPr>
            </w:pPr>
          </w:p>
        </w:tc>
        <w:tc>
          <w:tcPr>
            <w:tcW w:w="820" w:type="dxa"/>
            <w:vAlign w:val="bottom"/>
            <w:tcBorders>
              <w:bottom w:val="single" w:sz="8" w:color="auto"/>
              <w:right w:val="single" w:sz="8" w:color="auto"/>
            </w:tcBorders>
            <w:shd w:val="clear" w:color="auto" w:fill="E5EDFE"/>
          </w:tcPr>
          <w:p>
            <w:pPr>
              <w:jc w:val="right"/>
              <w:ind w:right="101"/>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-128270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-248285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74" w:lineRule="exact"/>
        <w:rPr>
          <w:sz w:val="20"/>
          <w:szCs w:val="20"/>
          <w:color w:val="auto"/>
        </w:rPr>
      </w:pPr>
    </w:p>
    <w:p>
      <w:pPr>
        <w:ind w:left="1620" w:right="759" w:hanging="352"/>
        <w:spacing w:after="0" w:line="278" w:lineRule="auto"/>
        <w:tabs>
          <w:tab w:leader="none" w:pos="1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Adjusted earnings per share results and operating cash flow results were adjusted to give effect to the retroactive reinstatement of The Work Opportunity Tax Credit, as described in the note below.</w:t>
      </w:r>
    </w:p>
    <w:p>
      <w:pPr>
        <w:spacing w:after="0" w:line="99" w:lineRule="exact"/>
        <w:rPr>
          <w:rFonts w:ascii="Arial" w:cs="Arial" w:eastAsia="Arial" w:hAnsi="Arial"/>
          <w:sz w:val="14"/>
          <w:szCs w:val="14"/>
          <w:color w:val="auto"/>
        </w:rPr>
      </w:pPr>
    </w:p>
    <w:p>
      <w:pPr>
        <w:ind w:left="1620" w:hanging="352"/>
        <w:spacing w:after="0"/>
        <w:tabs>
          <w:tab w:leader="none" w:pos="1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Funding percentages are rounded to the nearest whole number.</w:t>
      </w:r>
    </w:p>
    <w:p>
      <w:pPr>
        <w:spacing w:after="0" w:line="136" w:lineRule="exact"/>
        <w:rPr>
          <w:rFonts w:ascii="Arial" w:cs="Arial" w:eastAsia="Arial" w:hAnsi="Arial"/>
          <w:sz w:val="14"/>
          <w:szCs w:val="14"/>
          <w:color w:val="auto"/>
        </w:rPr>
      </w:pPr>
    </w:p>
    <w:p>
      <w:pPr>
        <w:ind w:left="1620" w:hanging="352"/>
        <w:spacing w:after="0"/>
        <w:tabs>
          <w:tab w:leader="none" w:pos="1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EBITDA refers to earnings before interest, taxes, depreciation and amortization.</w:t>
      </w:r>
    </w:p>
    <w:p>
      <w:pPr>
        <w:spacing w:after="0" w:line="136" w:lineRule="exact"/>
        <w:rPr>
          <w:rFonts w:ascii="Arial" w:cs="Arial" w:eastAsia="Arial" w:hAnsi="Arial"/>
          <w:sz w:val="14"/>
          <w:szCs w:val="14"/>
          <w:color w:val="auto"/>
        </w:rPr>
      </w:pPr>
    </w:p>
    <w:p>
      <w:pPr>
        <w:ind w:left="1620" w:hanging="352"/>
        <w:spacing w:after="0"/>
        <w:tabs>
          <w:tab w:leader="none" w:pos="1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items impacting comparability.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i w:val="1"/>
          <w:iCs w:val="1"/>
          <w:color w:val="auto"/>
        </w:rPr>
        <w:t>A note with respect to results relating to earnings per share and operating cash flow</w:t>
      </w:r>
      <w:r>
        <w:rPr>
          <w:rFonts w:ascii="Arial" w:cs="Arial" w:eastAsia="Arial" w:hAnsi="Arial"/>
          <w:sz w:val="16"/>
          <w:szCs w:val="16"/>
          <w:color w:val="auto"/>
        </w:rPr>
        <w:t>. The Work</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Tax Credit (“WOTC”) is a federal tax credit available to employers for hiring individuals from certain target groups who have consistently faced significant barriers to employment. As a company, we support the objectives of the WOTC, which include workplace diversity and access to good jobs for American workers, and, as in the past, we build our budget and targets based on our projections with respect to the number of employees we expect to hire from these target groups. The legislative authority for the WOTC program, which had expired on December 31, 2013, was extended by Congress in December 2014. The current Act extends the WOTC program through December 31, 2014, and retroactively reauthorizes the program for new employees hired on or after January 1, 2014. Although this extension and retroactive application occurred after the end of our 2014 fiscal year on October 31, 2014, the Committee determined that it was appropriate to state 2014 results for purposes of determining whether financial targets had been met as if the WOTC had been in effect during the fiscal year, since the timing of legislation is not within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Company’s control. The Committee also determined that, when determining the achievement of financial objectives for fiscal year 2015, WOTC effects relating to fiscal year 2014 that impact 2015 financial results will be disregarded so as not to double-count the effects of the retroactive enactment of the WOTC. Without the WOTC benefit, adjusted earnings per share from continuing operations (diluted) and operating cash flow, would have been $1.57 and $120.7 million, respectively.</w:t>
      </w:r>
    </w:p>
    <w:p>
      <w:pPr>
        <w:spacing w:after="0" w:line="98"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Targets for each of the performance objectives are based on budgets established for 2014. Results are measured against targets. The funding ratio is derived in accordance with the table below and correlates CEO achievement levels with corporate performance levels under the PIP. The Committee applied the maximum modifier of 1.2 to the overall financial achievement level to take into account the CEO’s leadership role in 2014 in driving the breadth and quality of the financial results in the current macro-environment through strategic initiatives, including internal realignment of certain business operations, resulting in a total award funding of 103.4%.</w:t>
      </w:r>
    </w:p>
    <w:p>
      <w:pPr>
        <w:spacing w:after="0" w:line="287"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38" w:lineRule="exact"/>
        <w:rPr>
          <w:sz w:val="20"/>
          <w:szCs w:val="20"/>
          <w:color w:val="auto"/>
        </w:rPr>
      </w:pPr>
    </w:p>
    <w:tbl>
      <w:tblPr>
        <w:tblLayout w:type="fixed"/>
        <w:tblInd w:w="4090" w:type="dxa"/>
        <w:tblCellMar>
          <w:top w:w="0" w:type="dxa"/>
          <w:left w:w="0" w:type="dxa"/>
          <w:bottom w:w="0" w:type="dxa"/>
          <w:right w:w="0" w:type="dxa"/>
        </w:tblCellMar>
      </w:tblPr>
      <w:tr>
        <w:trPr>
          <w:trHeight w:val="230"/>
        </w:trPr>
        <w:tc>
          <w:tcPr>
            <w:tcW w:w="1300" w:type="dxa"/>
            <w:vAlign w:val="bottom"/>
            <w:tcBorders>
              <w:top w:val="single" w:sz="8" w:color="auto"/>
              <w:left w:val="single" w:sz="8" w:color="auto"/>
              <w:bottom w:val="single" w:sz="8" w:color="auto"/>
              <w:right w:val="single" w:sz="8" w:color="auto"/>
            </w:tcBorders>
            <w:gridSpan w:val="2"/>
            <w:shd w:val="clear" w:color="auto" w:fill="B1C9FD"/>
          </w:tcPr>
          <w:p>
            <w:pPr>
              <w:ind w:left="120"/>
              <w:spacing w:after="0"/>
              <w:rPr>
                <w:sz w:val="20"/>
                <w:szCs w:val="20"/>
                <w:color w:val="auto"/>
              </w:rPr>
            </w:pPr>
            <w:r>
              <w:rPr>
                <w:rFonts w:ascii="Arial" w:cs="Arial" w:eastAsia="Arial" w:hAnsi="Arial"/>
                <w:sz w:val="16"/>
                <w:szCs w:val="16"/>
                <w:b w:val="1"/>
                <w:bCs w:val="1"/>
                <w:color w:val="004FF9"/>
              </w:rPr>
              <w:t>Achievement</w:t>
            </w:r>
          </w:p>
        </w:tc>
        <w:tc>
          <w:tcPr>
            <w:tcW w:w="1300" w:type="dxa"/>
            <w:vAlign w:val="bottom"/>
            <w:tcBorders>
              <w:top w:val="single" w:sz="8" w:color="auto"/>
              <w:bottom w:val="single" w:sz="8" w:color="auto"/>
              <w:right w:val="single" w:sz="8" w:color="auto"/>
            </w:tcBorders>
            <w:shd w:val="clear" w:color="auto" w:fill="B1C9FD"/>
          </w:tcPr>
          <w:p>
            <w:pPr>
              <w:ind w:left="340"/>
              <w:spacing w:after="0"/>
              <w:rPr>
                <w:sz w:val="20"/>
                <w:szCs w:val="20"/>
                <w:color w:val="auto"/>
              </w:rPr>
            </w:pPr>
            <w:r>
              <w:rPr>
                <w:rFonts w:ascii="Arial" w:cs="Arial" w:eastAsia="Arial" w:hAnsi="Arial"/>
                <w:sz w:val="16"/>
                <w:szCs w:val="16"/>
                <w:b w:val="1"/>
                <w:bCs w:val="1"/>
                <w:color w:val="004FF9"/>
              </w:rPr>
              <w:t>Funding</w:t>
            </w:r>
          </w:p>
        </w:tc>
      </w:tr>
      <w:tr>
        <w:trPr>
          <w:trHeight w:val="169"/>
        </w:trPr>
        <w:tc>
          <w:tcPr>
            <w:tcW w:w="480" w:type="dxa"/>
            <w:vAlign w:val="bottom"/>
            <w:tcBorders>
              <w:left w:val="single" w:sz="8" w:color="auto"/>
              <w:bottom w:val="single" w:sz="8" w:color="auto"/>
            </w:tcBorders>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center"/>
              <w:ind w:right="239"/>
              <w:spacing w:after="0" w:line="169" w:lineRule="exact"/>
              <w:rPr>
                <w:sz w:val="20"/>
                <w:szCs w:val="20"/>
                <w:color w:val="auto"/>
              </w:rPr>
            </w:pPr>
            <w:r>
              <w:rPr>
                <w:rFonts w:ascii="Arial" w:cs="Arial" w:eastAsia="Arial" w:hAnsi="Arial"/>
                <w:sz w:val="16"/>
                <w:szCs w:val="16"/>
                <w:color w:val="auto"/>
              </w:rPr>
              <w:t>125%</w:t>
            </w:r>
          </w:p>
        </w:tc>
        <w:tc>
          <w:tcPr>
            <w:tcW w:w="13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175.0%</w:t>
            </w:r>
          </w:p>
        </w:tc>
      </w:tr>
      <w:tr>
        <w:trPr>
          <w:trHeight w:val="169"/>
        </w:trPr>
        <w:tc>
          <w:tcPr>
            <w:tcW w:w="480" w:type="dxa"/>
            <w:vAlign w:val="bottom"/>
            <w:tcBorders>
              <w:left w:val="single" w:sz="8" w:color="auto"/>
              <w:bottom w:val="single" w:sz="8" w:color="auto"/>
            </w:tcBorders>
            <w:shd w:val="clear" w:color="auto" w:fill="E5EDFE"/>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shd w:val="clear" w:color="auto" w:fill="E5EDFE"/>
          </w:tcPr>
          <w:p>
            <w:pPr>
              <w:jc w:val="center"/>
              <w:ind w:right="239"/>
              <w:spacing w:after="0" w:line="169" w:lineRule="exact"/>
              <w:rPr>
                <w:sz w:val="20"/>
                <w:szCs w:val="20"/>
                <w:color w:val="auto"/>
              </w:rPr>
            </w:pPr>
            <w:r>
              <w:rPr>
                <w:rFonts w:ascii="Arial" w:cs="Arial" w:eastAsia="Arial" w:hAnsi="Arial"/>
                <w:sz w:val="16"/>
                <w:szCs w:val="16"/>
                <w:color w:val="auto"/>
              </w:rPr>
              <w:t>120%</w:t>
            </w:r>
          </w:p>
        </w:tc>
        <w:tc>
          <w:tcPr>
            <w:tcW w:w="13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150.0%</w:t>
            </w:r>
          </w:p>
        </w:tc>
      </w:tr>
      <w:tr>
        <w:trPr>
          <w:trHeight w:val="169"/>
        </w:trPr>
        <w:tc>
          <w:tcPr>
            <w:tcW w:w="480" w:type="dxa"/>
            <w:vAlign w:val="bottom"/>
            <w:tcBorders>
              <w:left w:val="single" w:sz="8" w:color="auto"/>
              <w:bottom w:val="single" w:sz="8" w:color="auto"/>
            </w:tcBorders>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center"/>
              <w:ind w:right="239"/>
              <w:spacing w:after="0" w:line="169"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100.0%</w:t>
            </w:r>
          </w:p>
        </w:tc>
      </w:tr>
      <w:tr>
        <w:trPr>
          <w:trHeight w:val="169"/>
        </w:trPr>
        <w:tc>
          <w:tcPr>
            <w:tcW w:w="480" w:type="dxa"/>
            <w:vAlign w:val="bottom"/>
            <w:tcBorders>
              <w:left w:val="single" w:sz="8" w:color="auto"/>
              <w:bottom w:val="single" w:sz="8" w:color="auto"/>
            </w:tcBorders>
            <w:shd w:val="clear" w:color="auto" w:fill="E5EDFE"/>
          </w:tcPr>
          <w:p>
            <w:pPr>
              <w:ind w:left="34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shd w:val="clear" w:color="auto" w:fill="E5EDFE"/>
          </w:tcPr>
          <w:p>
            <w:pPr>
              <w:jc w:val="center"/>
              <w:ind w:right="239"/>
              <w:spacing w:after="0" w:line="169" w:lineRule="exact"/>
              <w:rPr>
                <w:sz w:val="20"/>
                <w:szCs w:val="20"/>
                <w:color w:val="auto"/>
              </w:rPr>
            </w:pPr>
            <w:r>
              <w:rPr>
                <w:rFonts w:ascii="Arial" w:cs="Arial" w:eastAsia="Arial" w:hAnsi="Arial"/>
                <w:sz w:val="16"/>
                <w:szCs w:val="16"/>
                <w:color w:val="auto"/>
              </w:rPr>
              <w:t>80%</w:t>
            </w:r>
          </w:p>
        </w:tc>
        <w:tc>
          <w:tcPr>
            <w:tcW w:w="13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50.0%</w:t>
            </w:r>
          </w:p>
        </w:tc>
      </w:tr>
      <w:tr>
        <w:trPr>
          <w:trHeight w:val="169"/>
        </w:trPr>
        <w:tc>
          <w:tcPr>
            <w:tcW w:w="480" w:type="dxa"/>
            <w:vAlign w:val="bottom"/>
            <w:tcBorders>
              <w:left w:val="single" w:sz="8" w:color="auto"/>
              <w:bottom w:val="single" w:sz="8" w:color="auto"/>
            </w:tcBorders>
          </w:tcPr>
          <w:p>
            <w:pPr>
              <w:ind w:left="340"/>
              <w:spacing w:after="0" w:line="169" w:lineRule="exact"/>
              <w:rPr>
                <w:sz w:val="20"/>
                <w:szCs w:val="20"/>
                <w:color w:val="auto"/>
              </w:rPr>
            </w:pPr>
            <w:r>
              <w:rPr>
                <w:rFonts w:ascii="Arial" w:cs="Arial" w:eastAsia="Arial" w:hAnsi="Arial"/>
                <w:sz w:val="16"/>
                <w:szCs w:val="16"/>
                <w:color w:val="auto"/>
              </w:rPr>
              <w:t>&lt;</w:t>
            </w:r>
          </w:p>
        </w:tc>
        <w:tc>
          <w:tcPr>
            <w:tcW w:w="820" w:type="dxa"/>
            <w:vAlign w:val="bottom"/>
            <w:tcBorders>
              <w:bottom w:val="single" w:sz="8" w:color="auto"/>
              <w:right w:val="single" w:sz="8" w:color="auto"/>
            </w:tcBorders>
          </w:tcPr>
          <w:p>
            <w:pPr>
              <w:jc w:val="center"/>
              <w:ind w:right="219"/>
              <w:spacing w:after="0" w:line="169" w:lineRule="exact"/>
              <w:rPr>
                <w:sz w:val="20"/>
                <w:szCs w:val="20"/>
                <w:color w:val="auto"/>
              </w:rPr>
            </w:pPr>
            <w:r>
              <w:rPr>
                <w:rFonts w:ascii="Arial" w:cs="Arial" w:eastAsia="Arial" w:hAnsi="Arial"/>
                <w:sz w:val="16"/>
                <w:szCs w:val="16"/>
                <w:color w:val="auto"/>
                <w:w w:val="99"/>
              </w:rPr>
              <w:t>80%</w:t>
            </w:r>
          </w:p>
        </w:tc>
        <w:tc>
          <w:tcPr>
            <w:tcW w:w="13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0%</w:t>
            </w:r>
          </w:p>
        </w:tc>
      </w:tr>
    </w:tbl>
    <w:p>
      <w:pPr>
        <w:spacing w:after="0" w:line="272"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004FF9"/>
        </w:rPr>
        <w:t>CEO’s 2014 Individual Objectives</w:t>
      </w:r>
    </w:p>
    <w:p>
      <w:pPr>
        <w:sectPr>
          <w:pgSz w:w="11900" w:h="16838" w:orient="portrait"/>
          <w:cols w:equalWidth="0" w:num="1">
            <w:col w:w="10219"/>
          </w:cols>
          <w:pgMar w:left="240" w:top="131" w:right="1440" w:bottom="1440" w:gutter="0" w:footer="0" w:header="0"/>
        </w:sectPr>
      </w:pPr>
    </w:p>
    <w:p>
      <w:pPr>
        <w:spacing w:after="0" w:line="93" w:lineRule="exact"/>
        <w:rPr>
          <w:sz w:val="20"/>
          <w:szCs w:val="20"/>
          <w:color w:val="auto"/>
        </w:rPr>
      </w:pPr>
    </w:p>
    <w:p>
      <w:pPr>
        <w:ind w:left="1260"/>
        <w:spacing w:after="0" w:line="260" w:lineRule="auto"/>
        <w:rPr>
          <w:sz w:val="20"/>
          <w:szCs w:val="20"/>
          <w:color w:val="auto"/>
        </w:rPr>
      </w:pPr>
      <w:r>
        <w:rPr>
          <w:rFonts w:ascii="Arial" w:cs="Arial" w:eastAsia="Arial" w:hAnsi="Arial"/>
          <w:sz w:val="16"/>
          <w:szCs w:val="16"/>
          <w:color w:val="auto"/>
        </w:rPr>
        <w:t>Mr. Slipsager’s fiscal year 2014 individual performance objectives involved:</w:t>
      </w:r>
    </w:p>
    <w:p>
      <w:pPr>
        <w:spacing w:after="0" w:line="34" w:lineRule="exact"/>
        <w:rPr>
          <w:sz w:val="20"/>
          <w:szCs w:val="20"/>
          <w:color w:val="auto"/>
        </w:rPr>
      </w:pPr>
    </w:p>
    <w:p>
      <w:pPr>
        <w:ind w:left="1620" w:hanging="352"/>
        <w:spacing w:after="0"/>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 savings and productivity;</w:t>
      </w:r>
    </w:p>
    <w:p>
      <w:pPr>
        <w:spacing w:after="0" w:line="59"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succession planning (including development of other executives’ leadership and skills); and</w:t>
      </w:r>
    </w:p>
    <w:p>
      <w:pPr>
        <w:spacing w:after="0" w:line="33"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strategic development and communication with the Board.</w:t>
      </w:r>
    </w:p>
    <w:p>
      <w:pPr>
        <w:spacing w:after="0" w:line="88" w:lineRule="exact"/>
        <w:rPr>
          <w:sz w:val="20"/>
          <w:szCs w:val="20"/>
          <w:color w:val="auto"/>
        </w:rPr>
      </w:pPr>
    </w:p>
    <w:p>
      <w:pPr>
        <w:jc w:val="both"/>
        <w:ind w:left="1260" w:right="20"/>
        <w:spacing w:after="0" w:line="248" w:lineRule="auto"/>
        <w:rPr>
          <w:sz w:val="20"/>
          <w:szCs w:val="20"/>
          <w:color w:val="auto"/>
        </w:rPr>
      </w:pPr>
      <w:r>
        <w:rPr>
          <w:rFonts w:ascii="Arial" w:cs="Arial" w:eastAsia="Arial" w:hAnsi="Arial"/>
          <w:sz w:val="16"/>
          <w:szCs w:val="16"/>
          <w:color w:val="auto"/>
        </w:rPr>
        <w:t>As previously noted, the Committee uses a consultative process involving other Board members in connection with its assessment of the CEO’s achievement of his nonfinancial objectives. After taking into account the views of the Committee and other Board members (other than the CEO), the Committee determined that Mr. Slipsager had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significantly exceeded target for each of his nonfinancial objectives. In particular, the Committee noted Mr. Slipsager’s contributions in connection with the succession planning process, which was completed in January 2015, his effectiveness in connection with driving cost control measures and productivity improvements, excellent communication with the Board, as well as his role in leading strategic objectives of the Company during the fiscal year. Accordingly, the Committee determined that Mr. Slipsager had achieved 150% of target in relationship to his nonfinancial objectives.</w:t>
      </w:r>
    </w:p>
    <w:p>
      <w:pPr>
        <w:spacing w:after="0" w:line="105" w:lineRule="exact"/>
        <w:rPr>
          <w:sz w:val="20"/>
          <w:szCs w:val="20"/>
          <w:color w:val="auto"/>
        </w:rPr>
      </w:pPr>
    </w:p>
    <w:p>
      <w:pPr>
        <w:jc w:val="both"/>
        <w:ind w:right="739"/>
        <w:spacing w:after="0" w:line="260" w:lineRule="auto"/>
        <w:rPr>
          <w:sz w:val="20"/>
          <w:szCs w:val="20"/>
          <w:color w:val="auto"/>
        </w:rPr>
      </w:pPr>
      <w:r>
        <w:rPr>
          <w:rFonts w:ascii="Arial" w:cs="Arial" w:eastAsia="Arial" w:hAnsi="Arial"/>
          <w:sz w:val="16"/>
          <w:szCs w:val="16"/>
          <w:color w:val="auto"/>
        </w:rPr>
        <w:t>Results relating to the CEO’s financial and nonfinancial objectives are summarized below.</w:t>
      </w:r>
    </w:p>
    <w:p>
      <w:pPr>
        <w:spacing w:after="0" w:line="348"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88"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004FF9"/>
        </w:rPr>
        <w:t>CEO Performance Objectives Achievement</w:t>
      </w:r>
    </w:p>
    <w:p>
      <w:pPr>
        <w:spacing w:after="0" w:line="29" w:lineRule="exact"/>
        <w:rPr>
          <w:sz w:val="20"/>
          <w:szCs w:val="20"/>
          <w:color w:val="auto"/>
        </w:rPr>
      </w:pPr>
    </w:p>
    <w:tbl>
      <w:tblPr>
        <w:tblLayout w:type="fixed"/>
        <w:tblInd w:w="2010" w:type="dxa"/>
        <w:tblCellMar>
          <w:top w:w="0" w:type="dxa"/>
          <w:left w:w="0" w:type="dxa"/>
          <w:bottom w:w="0" w:type="dxa"/>
          <w:right w:w="0" w:type="dxa"/>
        </w:tblCellMar>
      </w:tblPr>
      <w:tr>
        <w:trPr>
          <w:trHeight w:val="195"/>
        </w:trPr>
        <w:tc>
          <w:tcPr>
            <w:tcW w:w="360" w:type="dxa"/>
            <w:vAlign w:val="bottom"/>
            <w:tcBorders>
              <w:top w:val="single" w:sz="8" w:color="auto"/>
              <w:left w:val="single" w:sz="8" w:color="auto"/>
              <w:bottom w:val="single" w:sz="8" w:color="auto"/>
              <w:right w:val="single" w:sz="8" w:color="B1C9FD"/>
            </w:tcBorders>
            <w:shd w:val="clear" w:color="auto" w:fill="B1C9FD"/>
          </w:tcPr>
          <w:p>
            <w:pPr>
              <w:spacing w:after="0"/>
              <w:rPr>
                <w:sz w:val="16"/>
                <w:szCs w:val="16"/>
                <w:color w:val="auto"/>
              </w:rPr>
            </w:pPr>
          </w:p>
        </w:tc>
        <w:tc>
          <w:tcPr>
            <w:tcW w:w="3800" w:type="dxa"/>
            <w:vAlign w:val="bottom"/>
            <w:tcBorders>
              <w:top w:val="single" w:sz="8" w:color="auto"/>
              <w:bottom w:val="single" w:sz="8" w:color="auto"/>
              <w:right w:val="single" w:sz="8" w:color="auto"/>
            </w:tcBorders>
            <w:shd w:val="clear" w:color="auto" w:fill="B1C9FD"/>
          </w:tcPr>
          <w:p>
            <w:pPr>
              <w:ind w:left="1320"/>
              <w:spacing w:after="0"/>
              <w:rPr>
                <w:sz w:val="20"/>
                <w:szCs w:val="20"/>
                <w:color w:val="auto"/>
              </w:rPr>
            </w:pPr>
            <w:r>
              <w:rPr>
                <w:rFonts w:ascii="Arial" w:cs="Arial" w:eastAsia="Arial" w:hAnsi="Arial"/>
                <w:sz w:val="14"/>
                <w:szCs w:val="14"/>
                <w:b w:val="1"/>
                <w:bCs w:val="1"/>
                <w:color w:val="004FF9"/>
              </w:rPr>
              <w:t>Objectives</w:t>
            </w:r>
          </w:p>
        </w:tc>
        <w:tc>
          <w:tcPr>
            <w:tcW w:w="1140" w:type="dxa"/>
            <w:vAlign w:val="bottom"/>
            <w:tcBorders>
              <w:top w:val="single" w:sz="8" w:color="auto"/>
              <w:bottom w:val="single" w:sz="8" w:color="auto"/>
            </w:tcBorders>
            <w:gridSpan w:val="2"/>
            <w:shd w:val="clear" w:color="auto" w:fill="B1C9FD"/>
          </w:tcPr>
          <w:p>
            <w:pPr>
              <w:jc w:val="right"/>
              <w:spacing w:after="0"/>
              <w:rPr>
                <w:sz w:val="20"/>
                <w:szCs w:val="20"/>
                <w:color w:val="auto"/>
              </w:rPr>
            </w:pPr>
            <w:r>
              <w:rPr>
                <w:rFonts w:ascii="Arial" w:cs="Arial" w:eastAsia="Arial" w:hAnsi="Arial"/>
                <w:sz w:val="14"/>
                <w:szCs w:val="14"/>
                <w:b w:val="1"/>
                <w:bCs w:val="1"/>
                <w:color w:val="004FF9"/>
              </w:rPr>
              <w:t>Achievement</w:t>
            </w:r>
          </w:p>
        </w:tc>
        <w:tc>
          <w:tcPr>
            <w:tcW w:w="160" w:type="dxa"/>
            <w:vAlign w:val="bottom"/>
            <w:tcBorders>
              <w:top w:val="single" w:sz="8" w:color="auto"/>
              <w:bottom w:val="single" w:sz="8" w:color="auto"/>
              <w:right w:val="single" w:sz="8" w:color="auto"/>
            </w:tcBorders>
            <w:shd w:val="clear" w:color="auto" w:fill="B1C9FD"/>
          </w:tcPr>
          <w:p>
            <w:pPr>
              <w:spacing w:after="0"/>
              <w:rPr>
                <w:sz w:val="16"/>
                <w:szCs w:val="16"/>
                <w:color w:val="auto"/>
              </w:rPr>
            </w:pPr>
          </w:p>
        </w:tc>
        <w:tc>
          <w:tcPr>
            <w:tcW w:w="1300" w:type="dxa"/>
            <w:vAlign w:val="bottom"/>
            <w:tcBorders>
              <w:top w:val="single" w:sz="8" w:color="auto"/>
              <w:bottom w:val="single" w:sz="8" w:color="auto"/>
              <w:right w:val="single" w:sz="8" w:color="auto"/>
            </w:tcBorders>
            <w:gridSpan w:val="2"/>
            <w:shd w:val="clear" w:color="auto" w:fill="B1C9FD"/>
          </w:tcPr>
          <w:p>
            <w:pPr>
              <w:ind w:left="140"/>
              <w:spacing w:after="0"/>
              <w:rPr>
                <w:sz w:val="20"/>
                <w:szCs w:val="20"/>
                <w:color w:val="auto"/>
              </w:rPr>
            </w:pPr>
            <w:r>
              <w:rPr>
                <w:rFonts w:ascii="Arial" w:cs="Arial" w:eastAsia="Arial" w:hAnsi="Arial"/>
                <w:sz w:val="14"/>
                <w:szCs w:val="14"/>
                <w:b w:val="1"/>
                <w:bCs w:val="1"/>
                <w:color w:val="004FF9"/>
              </w:rPr>
              <w:t>Weighted Total</w:t>
            </w:r>
          </w:p>
        </w:tc>
      </w:tr>
      <w:tr>
        <w:trPr>
          <w:trHeight w:val="196"/>
        </w:trPr>
        <w:tc>
          <w:tcPr>
            <w:tcW w:w="4160" w:type="dxa"/>
            <w:vAlign w:val="bottom"/>
            <w:tcBorders>
              <w:left w:val="single" w:sz="8" w:color="auto"/>
              <w:bottom w:val="single" w:sz="8" w:color="auto"/>
              <w:right w:val="single" w:sz="8" w:color="auto"/>
            </w:tcBorders>
            <w:gridSpan w:val="2"/>
            <w:shd w:val="clear" w:color="auto" w:fill="E5EDFE"/>
          </w:tcPr>
          <w:p>
            <w:pPr>
              <w:ind w:left="40"/>
              <w:spacing w:after="0"/>
              <w:rPr>
                <w:sz w:val="20"/>
                <w:szCs w:val="20"/>
                <w:color w:val="auto"/>
              </w:rPr>
            </w:pPr>
            <w:r>
              <w:rPr>
                <w:rFonts w:ascii="Arial" w:cs="Arial" w:eastAsia="Arial" w:hAnsi="Arial"/>
                <w:sz w:val="16"/>
                <w:szCs w:val="16"/>
                <w:color w:val="auto"/>
              </w:rPr>
              <w:t>Financial Objectives w/ modifier</w:t>
            </w:r>
          </w:p>
        </w:tc>
        <w:tc>
          <w:tcPr>
            <w:tcW w:w="1140" w:type="dxa"/>
            <w:vAlign w:val="bottom"/>
            <w:tcBorders>
              <w:bottom w:val="single" w:sz="8" w:color="auto"/>
            </w:tcBorders>
            <w:gridSpan w:val="2"/>
            <w:shd w:val="clear" w:color="auto" w:fill="E5EDFE"/>
          </w:tcPr>
          <w:p>
            <w:pPr>
              <w:jc w:val="right"/>
              <w:ind w:right="139"/>
              <w:spacing w:after="0"/>
              <w:rPr>
                <w:sz w:val="20"/>
                <w:szCs w:val="20"/>
                <w:color w:val="auto"/>
              </w:rPr>
            </w:pPr>
            <w:r>
              <w:rPr>
                <w:rFonts w:ascii="Arial" w:cs="Arial" w:eastAsia="Arial" w:hAnsi="Arial"/>
                <w:sz w:val="16"/>
                <w:szCs w:val="16"/>
                <w:color w:val="auto"/>
              </w:rPr>
              <w:t>103%</w:t>
            </w:r>
          </w:p>
        </w:tc>
        <w:tc>
          <w:tcPr>
            <w:tcW w:w="160" w:type="dxa"/>
            <w:vAlign w:val="bottom"/>
            <w:tcBorders>
              <w:bottom w:val="single" w:sz="8" w:color="auto"/>
              <w:right w:val="single" w:sz="8" w:color="auto"/>
            </w:tcBorders>
            <w:shd w:val="clear" w:color="auto" w:fill="E5EDFE"/>
          </w:tcPr>
          <w:p>
            <w:pPr>
              <w:spacing w:after="0"/>
              <w:rPr>
                <w:sz w:val="17"/>
                <w:szCs w:val="17"/>
                <w:color w:val="auto"/>
              </w:rPr>
            </w:pPr>
          </w:p>
        </w:tc>
        <w:tc>
          <w:tcPr>
            <w:tcW w:w="1300" w:type="dxa"/>
            <w:vAlign w:val="bottom"/>
            <w:tcBorders>
              <w:bottom w:val="single" w:sz="8" w:color="auto"/>
              <w:right w:val="single" w:sz="8" w:color="auto"/>
            </w:tcBorders>
            <w:gridSpan w:val="2"/>
            <w:shd w:val="clear" w:color="auto" w:fill="E5EDFE"/>
          </w:tcPr>
          <w:p>
            <w:pPr>
              <w:jc w:val="right"/>
              <w:ind w:right="360"/>
              <w:spacing w:after="0"/>
              <w:rPr>
                <w:sz w:val="20"/>
                <w:szCs w:val="20"/>
                <w:color w:val="auto"/>
              </w:rPr>
            </w:pPr>
            <w:r>
              <w:rPr>
                <w:rFonts w:ascii="Arial" w:cs="Arial" w:eastAsia="Arial" w:hAnsi="Arial"/>
                <w:sz w:val="16"/>
                <w:szCs w:val="16"/>
                <w:color w:val="auto"/>
              </w:rPr>
              <w:t>72%</w:t>
            </w:r>
          </w:p>
        </w:tc>
      </w:tr>
      <w:tr>
        <w:trPr>
          <w:trHeight w:val="196"/>
        </w:trPr>
        <w:tc>
          <w:tcPr>
            <w:tcW w:w="41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Nonfinancial Objectives</w:t>
            </w:r>
          </w:p>
        </w:tc>
        <w:tc>
          <w:tcPr>
            <w:tcW w:w="11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150%</w:t>
            </w:r>
          </w:p>
        </w:tc>
        <w:tc>
          <w:tcPr>
            <w:tcW w:w="1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45%</w:t>
            </w:r>
          </w:p>
        </w:tc>
      </w:tr>
      <w:tr>
        <w:trPr>
          <w:trHeight w:val="196"/>
        </w:trPr>
        <w:tc>
          <w:tcPr>
            <w:tcW w:w="4160" w:type="dxa"/>
            <w:vAlign w:val="bottom"/>
            <w:tcBorders>
              <w:left w:val="single" w:sz="8" w:color="auto"/>
              <w:bottom w:val="single" w:sz="8" w:color="auto"/>
              <w:right w:val="single" w:sz="8" w:color="auto"/>
            </w:tcBorders>
            <w:gridSpan w:val="2"/>
            <w:shd w:val="clear" w:color="auto" w:fill="E5EDFE"/>
          </w:tcPr>
          <w:p>
            <w:pPr>
              <w:ind w:left="40"/>
              <w:spacing w:after="0"/>
              <w:rPr>
                <w:sz w:val="20"/>
                <w:szCs w:val="20"/>
                <w:color w:val="auto"/>
              </w:rPr>
            </w:pPr>
            <w:r>
              <w:rPr>
                <w:rFonts w:ascii="Arial" w:cs="Arial" w:eastAsia="Arial" w:hAnsi="Arial"/>
                <w:sz w:val="16"/>
                <w:szCs w:val="16"/>
                <w:color w:val="auto"/>
              </w:rPr>
              <w:t>Total Achievement</w:t>
            </w:r>
          </w:p>
        </w:tc>
        <w:tc>
          <w:tcPr>
            <w:tcW w:w="500" w:type="dxa"/>
            <w:vAlign w:val="bottom"/>
            <w:tcBorders>
              <w:bottom w:val="single" w:sz="8" w:color="auto"/>
              <w:right w:val="single" w:sz="8" w:color="E5EDFE"/>
            </w:tcBorders>
            <w:shd w:val="clear" w:color="auto" w:fill="E5EDFE"/>
          </w:tcPr>
          <w:p>
            <w:pPr>
              <w:spacing w:after="0"/>
              <w:rPr>
                <w:sz w:val="17"/>
                <w:szCs w:val="17"/>
                <w:color w:val="auto"/>
              </w:rPr>
            </w:pPr>
          </w:p>
        </w:tc>
        <w:tc>
          <w:tcPr>
            <w:tcW w:w="640" w:type="dxa"/>
            <w:vAlign w:val="bottom"/>
            <w:tcBorders>
              <w:bottom w:val="single" w:sz="8" w:color="auto"/>
            </w:tcBorders>
            <w:shd w:val="clear" w:color="auto" w:fill="E5EDFE"/>
          </w:tcPr>
          <w:p>
            <w:pPr>
              <w:spacing w:after="0"/>
              <w:rPr>
                <w:sz w:val="17"/>
                <w:szCs w:val="17"/>
                <w:color w:val="auto"/>
              </w:rPr>
            </w:pPr>
          </w:p>
        </w:tc>
        <w:tc>
          <w:tcPr>
            <w:tcW w:w="160" w:type="dxa"/>
            <w:vAlign w:val="bottom"/>
            <w:tcBorders>
              <w:bottom w:val="single" w:sz="8" w:color="auto"/>
              <w:right w:val="single" w:sz="8" w:color="auto"/>
            </w:tcBorders>
            <w:shd w:val="clear" w:color="auto" w:fill="E5EDFE"/>
          </w:tcPr>
          <w:p>
            <w:pPr>
              <w:spacing w:after="0"/>
              <w:rPr>
                <w:sz w:val="17"/>
                <w:szCs w:val="17"/>
                <w:color w:val="auto"/>
              </w:rPr>
            </w:pPr>
          </w:p>
        </w:tc>
        <w:tc>
          <w:tcPr>
            <w:tcW w:w="1300" w:type="dxa"/>
            <w:vAlign w:val="bottom"/>
            <w:tcBorders>
              <w:bottom w:val="single" w:sz="8" w:color="auto"/>
              <w:right w:val="single" w:sz="8" w:color="auto"/>
            </w:tcBorders>
            <w:gridSpan w:val="2"/>
            <w:shd w:val="clear" w:color="auto" w:fill="E5EDFE"/>
          </w:tcPr>
          <w:p>
            <w:pPr>
              <w:jc w:val="right"/>
              <w:ind w:right="360"/>
              <w:spacing w:after="0"/>
              <w:rPr>
                <w:sz w:val="20"/>
                <w:szCs w:val="20"/>
                <w:color w:val="auto"/>
              </w:rPr>
            </w:pPr>
            <w:r>
              <w:rPr>
                <w:rFonts w:ascii="Arial" w:cs="Arial" w:eastAsia="Arial" w:hAnsi="Arial"/>
                <w:sz w:val="16"/>
                <w:szCs w:val="16"/>
                <w:color w:val="auto"/>
              </w:rPr>
              <w:t>117%</w:t>
            </w:r>
          </w:p>
        </w:tc>
      </w:tr>
      <w:tr>
        <w:trPr>
          <w:trHeight w:val="183"/>
        </w:trPr>
        <w:tc>
          <w:tcPr>
            <w:tcW w:w="360" w:type="dxa"/>
            <w:vAlign w:val="bottom"/>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spacing w:after="0"/>
              <w:rPr>
                <w:sz w:val="15"/>
                <w:szCs w:val="15"/>
                <w:color w:val="auto"/>
              </w:rPr>
            </w:pPr>
          </w:p>
        </w:tc>
        <w:tc>
          <w:tcPr>
            <w:tcW w:w="360" w:type="dxa"/>
            <w:vAlign w:val="bottom"/>
          </w:tcPr>
          <w:p>
            <w:pPr>
              <w:spacing w:after="0"/>
              <w:rPr>
                <w:sz w:val="15"/>
                <w:szCs w:val="15"/>
                <w:color w:val="auto"/>
              </w:rPr>
            </w:pPr>
          </w:p>
        </w:tc>
      </w:tr>
      <w:tr>
        <w:trPr>
          <w:trHeight w:val="210"/>
        </w:trPr>
        <w:tc>
          <w:tcPr>
            <w:tcW w:w="360" w:type="dxa"/>
            <w:vAlign w:val="bottom"/>
            <w:tcBorders>
              <w:right w:val="single" w:sz="8" w:color="auto"/>
            </w:tcBorders>
          </w:tcPr>
          <w:p>
            <w:pPr>
              <w:spacing w:after="0"/>
              <w:rPr>
                <w:sz w:val="18"/>
                <w:szCs w:val="18"/>
                <w:color w:val="auto"/>
              </w:rPr>
            </w:pPr>
          </w:p>
        </w:tc>
        <w:tc>
          <w:tcPr>
            <w:tcW w:w="3800" w:type="dxa"/>
            <w:vAlign w:val="bottom"/>
            <w:tcBorders>
              <w:bottom w:val="single" w:sz="8" w:color="auto"/>
              <w:right w:val="single" w:sz="8" w:color="E5EDFE"/>
            </w:tcBorders>
            <w:shd w:val="clear" w:color="auto" w:fill="E5EDFE"/>
          </w:tcPr>
          <w:p>
            <w:pPr>
              <w:ind w:left="40"/>
              <w:spacing w:after="0"/>
              <w:rPr>
                <w:sz w:val="20"/>
                <w:szCs w:val="20"/>
                <w:color w:val="auto"/>
              </w:rPr>
            </w:pPr>
            <w:r>
              <w:rPr>
                <w:rFonts w:ascii="Arial" w:cs="Arial" w:eastAsia="Arial" w:hAnsi="Arial"/>
                <w:sz w:val="16"/>
                <w:szCs w:val="16"/>
                <w:color w:val="auto"/>
              </w:rPr>
              <w:t>Target Bonus (100% of Base Salary)</w:t>
            </w:r>
          </w:p>
        </w:tc>
        <w:tc>
          <w:tcPr>
            <w:tcW w:w="500" w:type="dxa"/>
            <w:vAlign w:val="bottom"/>
            <w:tcBorders>
              <w:bottom w:val="single" w:sz="8" w:color="auto"/>
              <w:right w:val="single" w:sz="8" w:color="auto"/>
            </w:tcBorders>
            <w:shd w:val="clear" w:color="auto" w:fill="E5EDFE"/>
          </w:tcPr>
          <w:p>
            <w:pPr>
              <w:spacing w:after="0"/>
              <w:rPr>
                <w:sz w:val="18"/>
                <w:szCs w:val="18"/>
                <w:color w:val="auto"/>
              </w:rPr>
            </w:pPr>
          </w:p>
        </w:tc>
        <w:tc>
          <w:tcPr>
            <w:tcW w:w="640" w:type="dxa"/>
            <w:vAlign w:val="bottom"/>
            <w:tcBorders>
              <w:bottom w:val="single" w:sz="8" w:color="auto"/>
            </w:tcBorders>
            <w:shd w:val="clear" w:color="auto" w:fill="E5EDFE"/>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gridSpan w:val="2"/>
            <w:shd w:val="clear" w:color="auto" w:fill="E5EDFE"/>
          </w:tcPr>
          <w:p>
            <w:pPr>
              <w:jc w:val="right"/>
              <w:ind w:right="361"/>
              <w:spacing w:after="0"/>
              <w:rPr>
                <w:sz w:val="20"/>
                <w:szCs w:val="20"/>
                <w:color w:val="auto"/>
              </w:rPr>
            </w:pPr>
            <w:r>
              <w:rPr>
                <w:rFonts w:ascii="Arial" w:cs="Arial" w:eastAsia="Arial" w:hAnsi="Arial"/>
                <w:sz w:val="16"/>
                <w:szCs w:val="16"/>
                <w:color w:val="auto"/>
              </w:rPr>
              <w:t>893,000</w:t>
            </w:r>
          </w:p>
        </w:tc>
        <w:tc>
          <w:tcPr>
            <w:tcW w:w="360" w:type="dxa"/>
            <w:vAlign w:val="bottom"/>
          </w:tcPr>
          <w:p>
            <w:pPr>
              <w:spacing w:after="0"/>
              <w:rPr>
                <w:sz w:val="18"/>
                <w:szCs w:val="18"/>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380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6"/>
                <w:szCs w:val="16"/>
                <w:color w:val="auto"/>
              </w:rPr>
              <w:t>Total Achievement</w:t>
            </w:r>
          </w:p>
        </w:tc>
        <w:tc>
          <w:tcPr>
            <w:tcW w:w="5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gridSpan w:val="2"/>
          </w:tcPr>
          <w:p>
            <w:pPr>
              <w:jc w:val="right"/>
              <w:ind w:right="221"/>
              <w:spacing w:after="0" w:line="169" w:lineRule="exact"/>
              <w:rPr>
                <w:sz w:val="20"/>
                <w:szCs w:val="20"/>
                <w:color w:val="auto"/>
              </w:rPr>
            </w:pPr>
            <w:r>
              <w:rPr>
                <w:rFonts w:ascii="Arial" w:cs="Arial" w:eastAsia="Arial" w:hAnsi="Arial"/>
                <w:sz w:val="16"/>
                <w:szCs w:val="16"/>
                <w:color w:val="auto"/>
              </w:rPr>
              <w:t>117%</w:t>
            </w:r>
          </w:p>
        </w:tc>
        <w:tc>
          <w:tcPr>
            <w:tcW w:w="360" w:type="dxa"/>
            <w:vAlign w:val="bottom"/>
          </w:tcPr>
          <w:p>
            <w:pPr>
              <w:spacing w:after="0"/>
              <w:rPr>
                <w:sz w:val="14"/>
                <w:szCs w:val="14"/>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3800" w:type="dxa"/>
            <w:vAlign w:val="bottom"/>
            <w:tcBorders>
              <w:bottom w:val="single" w:sz="8" w:color="auto"/>
              <w:right w:val="single" w:sz="8" w:color="E5EDFE"/>
            </w:tcBorders>
            <w:shd w:val="clear" w:color="auto" w:fill="E5EDFE"/>
          </w:tcPr>
          <w:p>
            <w:pPr>
              <w:ind w:left="40"/>
              <w:spacing w:after="0" w:line="169" w:lineRule="exact"/>
              <w:rPr>
                <w:sz w:val="20"/>
                <w:szCs w:val="20"/>
                <w:color w:val="auto"/>
              </w:rPr>
            </w:pPr>
            <w:r>
              <w:rPr>
                <w:rFonts w:ascii="Arial" w:cs="Arial" w:eastAsia="Arial" w:hAnsi="Arial"/>
                <w:sz w:val="16"/>
                <w:szCs w:val="16"/>
                <w:color w:val="auto"/>
              </w:rPr>
              <w:t>Total Recommended Payout</w:t>
            </w:r>
          </w:p>
        </w:tc>
        <w:tc>
          <w:tcPr>
            <w:tcW w:w="500" w:type="dxa"/>
            <w:vAlign w:val="bottom"/>
            <w:tcBorders>
              <w:bottom w:val="single" w:sz="8" w:color="auto"/>
              <w:right w:val="single" w:sz="8" w:color="auto"/>
            </w:tcBorders>
            <w:shd w:val="clear" w:color="auto" w:fill="E5EDFE"/>
          </w:tcPr>
          <w:p>
            <w:pPr>
              <w:spacing w:after="0"/>
              <w:rPr>
                <w:sz w:val="14"/>
                <w:szCs w:val="14"/>
                <w:color w:val="auto"/>
              </w:rPr>
            </w:pPr>
          </w:p>
        </w:tc>
        <w:tc>
          <w:tcPr>
            <w:tcW w:w="1740" w:type="dxa"/>
            <w:vAlign w:val="bottom"/>
            <w:tcBorders>
              <w:bottom w:val="single" w:sz="8" w:color="auto"/>
              <w:right w:val="single" w:sz="8" w:color="auto"/>
            </w:tcBorders>
            <w:gridSpan w:val="3"/>
            <w:shd w:val="clear" w:color="auto" w:fill="E5EDFE"/>
          </w:tcPr>
          <w:p>
            <w:pPr>
              <w:jc w:val="right"/>
              <w:ind w:right="361"/>
              <w:spacing w:after="0" w:line="169" w:lineRule="exact"/>
              <w:rPr>
                <w:sz w:val="20"/>
                <w:szCs w:val="20"/>
                <w:color w:val="auto"/>
              </w:rPr>
            </w:pPr>
            <w:r>
              <w:rPr>
                <w:rFonts w:ascii="Arial" w:cs="Arial" w:eastAsia="Arial" w:hAnsi="Arial"/>
                <w:sz w:val="16"/>
                <w:szCs w:val="16"/>
                <w:color w:val="auto"/>
              </w:rPr>
              <w:t>$1,048,806</w:t>
            </w:r>
          </w:p>
        </w:tc>
        <w:tc>
          <w:tcPr>
            <w:tcW w:w="360" w:type="dxa"/>
            <w:vAlign w:val="bottom"/>
          </w:tcPr>
          <w:p>
            <w:pPr>
              <w:spacing w:after="0"/>
              <w:rPr>
                <w:sz w:val="14"/>
                <w:szCs w:val="14"/>
                <w:color w:val="auto"/>
              </w:rPr>
            </w:pPr>
          </w:p>
        </w:tc>
      </w:tr>
    </w:tbl>
    <w:p>
      <w:pPr>
        <w:spacing w:after="0" w:line="83"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jc w:val="both"/>
        <w:ind w:left="1260"/>
        <w:spacing w:after="0" w:line="253" w:lineRule="auto"/>
        <w:rPr>
          <w:sz w:val="20"/>
          <w:szCs w:val="20"/>
          <w:color w:val="auto"/>
        </w:rPr>
      </w:pPr>
      <w:r>
        <w:rPr>
          <w:rFonts w:ascii="Arial" w:cs="Arial" w:eastAsia="Arial" w:hAnsi="Arial"/>
          <w:sz w:val="16"/>
          <w:szCs w:val="16"/>
          <w:color w:val="auto"/>
        </w:rPr>
        <w:t>Based on the results of financial and nonfinancial performance objectives, and these calculations, the Committee recommended to the CEO Committee</w:t>
      </w:r>
    </w:p>
    <w:p>
      <w:pPr>
        <w:spacing w:after="0" w:line="20" w:lineRule="exact"/>
        <w:rPr>
          <w:sz w:val="20"/>
          <w:szCs w:val="20"/>
          <w:color w:val="auto"/>
        </w:rPr>
      </w:pPr>
      <w:r>
        <w:rPr>
          <w:sz w:val="20"/>
          <w:szCs w:val="20"/>
          <w:color w:val="auto"/>
        </w:rPr>
        <w:br w:type="column"/>
      </w:r>
    </w:p>
    <w:p>
      <w:pPr>
        <w:jc w:val="both"/>
        <w:ind w:right="739"/>
        <w:spacing w:after="0" w:line="253" w:lineRule="auto"/>
        <w:rPr>
          <w:sz w:val="20"/>
          <w:szCs w:val="20"/>
          <w:color w:val="auto"/>
        </w:rPr>
      </w:pPr>
      <w:r>
        <w:rPr>
          <w:rFonts w:ascii="Arial" w:cs="Arial" w:eastAsia="Arial" w:hAnsi="Arial"/>
          <w:sz w:val="16"/>
          <w:szCs w:val="16"/>
          <w:color w:val="auto"/>
        </w:rPr>
        <w:t>that Mr. Slipsager receive an annual cash incentive payment of $1,048,806 and the CEO Committee agreed with this recommendation.</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2"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004FF9"/>
        </w:rPr>
        <w:t>Annual Cash Incentive Payments for Our Other NEOs Under the PIP</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Annual cash incentive payments for Messrs. Lusk, McClure, Price and Ms. McConnell are governed by our PIP. The PIP is an incentive cash program for executives and key employees that is designed to motivate and reward achievement of annual financial and individual performance objectives and provide a competitive total compensation opportunity in support of our compensation objectives.</w:t>
      </w:r>
    </w:p>
    <w:p>
      <w:pPr>
        <w:spacing w:after="0" w:line="100" w:lineRule="exact"/>
        <w:rPr>
          <w:sz w:val="20"/>
          <w:szCs w:val="20"/>
          <w:color w:val="auto"/>
        </w:rPr>
      </w:pPr>
    </w:p>
    <w:p>
      <w:pPr>
        <w:jc w:val="both"/>
        <w:ind w:left="1260" w:right="20"/>
        <w:spacing w:after="0" w:line="253" w:lineRule="auto"/>
        <w:rPr>
          <w:sz w:val="20"/>
          <w:szCs w:val="20"/>
          <w:color w:val="auto"/>
        </w:rPr>
      </w:pPr>
      <w:r>
        <w:rPr>
          <w:rFonts w:ascii="Arial" w:cs="Arial" w:eastAsia="Arial" w:hAnsi="Arial"/>
          <w:sz w:val="16"/>
          <w:szCs w:val="16"/>
          <w:color w:val="auto"/>
        </w:rPr>
        <w:t>In the case of Messrs. McClure and Price, who have responsibility for business units, awards under the PIP are based on the Company’s financial</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performance (50%) (“Company Results”), business unit performance (25%) (“Business Unit Results”), and individual performance (25%). In the case of Mr. Lusk, our CFO, and Ms. McConnell, our General Counsel and Corporate Secretary, awards under the PIP are based on Company Results (70%), and a combination of individual and department results (“Individual Results” or “Department Results,” as the case may be) (30%). The CEO approves the individual performance objectives for these NEOs.</w:t>
      </w:r>
    </w:p>
    <w:p>
      <w:pPr>
        <w:spacing w:after="0" w:line="501"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Following the end of the fiscal year, Company Results and Business Unit Results are determined and submitted to the Committee. The CEO provides the Committee with his assessment of the other NEOs’ achievement of Individual and Department Results. The Committee discusses these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assessments with the CEO and has discretion to modify his assessments. The Committee may adjust Company Results and Business Unit Results to take into consideration unusual items, such as acquisitions or divestitures.</w:t>
      </w:r>
    </w:p>
    <w:p>
      <w:pPr>
        <w:spacing w:after="0" w:line="387"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6"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004FF9"/>
        </w:rPr>
        <w:t>2014 Company Results</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2014 Company Results were measured by the Company’s 2014 income from continuing operations relative to (1) 2014 budget and (2) 2013 results, each weighted equally. We use income from continuing operations to measure both Company and Business Unit Results under the PIP because we believe that this metric correlates most directly with annual Company financial performance.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The table below shows 2014 results compared to (1) 2014 budget and (2) 2013 results, and the resulting bonus funding. The results shown have been adjusted so as to reflect results as if the WOTC had been in effect during the fiscal year. Please see page 29 for an explanation as to why results were stated this way. Without the benefit of the WOTC, 2014 net income from continuing operations was $75.6 million.</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17"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004FF9"/>
        </w:rPr>
        <w:t>Company Net Income from Continuing Operations</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189"/>
        </w:trPr>
        <w:tc>
          <w:tcPr>
            <w:tcW w:w="460" w:type="dxa"/>
            <w:vAlign w:val="bottom"/>
            <w:tcBorders>
              <w:top w:val="single" w:sz="8" w:color="auto"/>
              <w:left w:val="single" w:sz="8" w:color="auto"/>
            </w:tcBorders>
            <w:shd w:val="clear" w:color="auto" w:fill="B1C9FD"/>
          </w:tcPr>
          <w:p>
            <w:pPr>
              <w:spacing w:after="0"/>
              <w:rPr>
                <w:sz w:val="16"/>
                <w:szCs w:val="16"/>
                <w:color w:val="auto"/>
              </w:rPr>
            </w:pPr>
          </w:p>
        </w:tc>
        <w:tc>
          <w:tcPr>
            <w:tcW w:w="2580" w:type="dxa"/>
            <w:vAlign w:val="bottom"/>
            <w:tcBorders>
              <w:top w:val="single" w:sz="8" w:color="auto"/>
              <w:right w:val="single" w:sz="8" w:color="auto"/>
            </w:tcBorders>
            <w:shd w:val="clear" w:color="auto" w:fill="B1C9FD"/>
          </w:tcPr>
          <w:p>
            <w:pPr>
              <w:spacing w:after="0"/>
              <w:rPr>
                <w:sz w:val="16"/>
                <w:szCs w:val="16"/>
                <w:color w:val="auto"/>
              </w:rPr>
            </w:pPr>
          </w:p>
        </w:tc>
        <w:tc>
          <w:tcPr>
            <w:tcW w:w="1300" w:type="dxa"/>
            <w:vAlign w:val="bottom"/>
            <w:tcBorders>
              <w:top w:val="single" w:sz="8" w:color="auto"/>
              <w:right w:val="single" w:sz="8" w:color="auto"/>
            </w:tcBorders>
            <w:shd w:val="clear" w:color="auto" w:fill="B1C9FD"/>
          </w:tcPr>
          <w:p>
            <w:pPr>
              <w:spacing w:after="0"/>
              <w:rPr>
                <w:sz w:val="16"/>
                <w:szCs w:val="16"/>
                <w:color w:val="auto"/>
              </w:rPr>
            </w:pPr>
          </w:p>
        </w:tc>
        <w:tc>
          <w:tcPr>
            <w:tcW w:w="1280" w:type="dxa"/>
            <w:vAlign w:val="bottom"/>
            <w:tcBorders>
              <w:top w:val="single" w:sz="8" w:color="auto"/>
              <w:right w:val="single" w:sz="8" w:color="auto"/>
            </w:tcBorders>
            <w:shd w:val="clear" w:color="auto" w:fill="B1C9FD"/>
          </w:tcPr>
          <w:p>
            <w:pPr>
              <w:spacing w:after="0"/>
              <w:rPr>
                <w:sz w:val="16"/>
                <w:szCs w:val="16"/>
                <w:color w:val="auto"/>
              </w:rPr>
            </w:pPr>
          </w:p>
        </w:tc>
        <w:tc>
          <w:tcPr>
            <w:tcW w:w="1300" w:type="dxa"/>
            <w:vAlign w:val="bottom"/>
            <w:tcBorders>
              <w:top w:val="single" w:sz="8" w:color="auto"/>
              <w:right w:val="single" w:sz="8" w:color="auto"/>
            </w:tcBorders>
            <w:shd w:val="clear" w:color="auto" w:fill="B1C9FD"/>
          </w:tcPr>
          <w:p>
            <w:pPr>
              <w:spacing w:after="0"/>
              <w:rPr>
                <w:sz w:val="16"/>
                <w:szCs w:val="16"/>
                <w:color w:val="auto"/>
              </w:rPr>
            </w:pPr>
          </w:p>
        </w:tc>
        <w:tc>
          <w:tcPr>
            <w:tcW w:w="1300" w:type="dxa"/>
            <w:vAlign w:val="bottom"/>
            <w:tcBorders>
              <w:top w:val="single" w:sz="8" w:color="auto"/>
              <w:right w:val="single" w:sz="8" w:color="auto"/>
            </w:tcBorders>
            <w:shd w:val="clear" w:color="auto" w:fill="B1C9FD"/>
          </w:tcPr>
          <w:p>
            <w:pPr>
              <w:jc w:val="right"/>
              <w:ind w:right="343"/>
              <w:spacing w:after="0"/>
              <w:rPr>
                <w:sz w:val="20"/>
                <w:szCs w:val="20"/>
                <w:color w:val="auto"/>
              </w:rPr>
            </w:pPr>
            <w:r>
              <w:rPr>
                <w:rFonts w:ascii="Arial" w:cs="Arial" w:eastAsia="Arial" w:hAnsi="Arial"/>
                <w:sz w:val="14"/>
                <w:szCs w:val="14"/>
                <w:b w:val="1"/>
                <w:bCs w:val="1"/>
                <w:color w:val="004FF9"/>
              </w:rPr>
              <w:t>Bonus</w:t>
            </w:r>
          </w:p>
        </w:tc>
      </w:tr>
      <w:tr>
        <w:trPr>
          <w:trHeight w:val="175"/>
        </w:trPr>
        <w:tc>
          <w:tcPr>
            <w:tcW w:w="3040" w:type="dxa"/>
            <w:vAlign w:val="bottom"/>
            <w:tcBorders>
              <w:left w:val="single" w:sz="8" w:color="auto"/>
              <w:bottom w:val="single" w:sz="8" w:color="auto"/>
              <w:right w:val="single" w:sz="8" w:color="auto"/>
            </w:tcBorders>
            <w:gridSpan w:val="2"/>
            <w:shd w:val="clear" w:color="auto" w:fill="B1C9FD"/>
          </w:tcPr>
          <w:p>
            <w:pPr>
              <w:ind w:left="140"/>
              <w:spacing w:after="0"/>
              <w:rPr>
                <w:sz w:val="20"/>
                <w:szCs w:val="20"/>
                <w:color w:val="auto"/>
              </w:rPr>
            </w:pPr>
            <w:r>
              <w:rPr>
                <w:rFonts w:ascii="Arial" w:cs="Arial" w:eastAsia="Arial" w:hAnsi="Arial"/>
                <w:sz w:val="14"/>
                <w:szCs w:val="14"/>
                <w:b w:val="1"/>
                <w:bCs w:val="1"/>
                <w:color w:val="004FF9"/>
              </w:rPr>
              <w:t>Net Income from Continuing Operations</w:t>
            </w:r>
          </w:p>
        </w:tc>
        <w:tc>
          <w:tcPr>
            <w:tcW w:w="13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Base Level</w:t>
            </w:r>
          </w:p>
        </w:tc>
        <w:tc>
          <w:tcPr>
            <w:tcW w:w="1280" w:type="dxa"/>
            <w:vAlign w:val="bottom"/>
            <w:tcBorders>
              <w:bottom w:val="single" w:sz="8" w:color="auto"/>
              <w:right w:val="single" w:sz="8" w:color="auto"/>
            </w:tcBorders>
            <w:shd w:val="clear" w:color="auto" w:fill="B1C9FD"/>
          </w:tcPr>
          <w:p>
            <w:pPr>
              <w:ind w:left="180"/>
              <w:spacing w:after="0"/>
              <w:rPr>
                <w:sz w:val="20"/>
                <w:szCs w:val="20"/>
                <w:color w:val="auto"/>
              </w:rPr>
            </w:pPr>
            <w:r>
              <w:rPr>
                <w:rFonts w:ascii="Arial" w:cs="Arial" w:eastAsia="Arial" w:hAnsi="Arial"/>
                <w:sz w:val="14"/>
                <w:szCs w:val="14"/>
                <w:b w:val="1"/>
                <w:bCs w:val="1"/>
                <w:color w:val="004FF9"/>
              </w:rPr>
              <w:t>2014 Results</w:t>
            </w:r>
          </w:p>
        </w:tc>
        <w:tc>
          <w:tcPr>
            <w:tcW w:w="1300" w:type="dxa"/>
            <w:vAlign w:val="bottom"/>
            <w:tcBorders>
              <w:bottom w:val="single" w:sz="8" w:color="auto"/>
              <w:right w:val="single" w:sz="8" w:color="auto"/>
            </w:tcBorders>
            <w:shd w:val="clear" w:color="auto" w:fill="B1C9FD"/>
          </w:tcPr>
          <w:p>
            <w:pPr>
              <w:jc w:val="right"/>
              <w:ind w:right="142"/>
              <w:spacing w:after="0"/>
              <w:rPr>
                <w:sz w:val="20"/>
                <w:szCs w:val="20"/>
                <w:color w:val="auto"/>
              </w:rPr>
            </w:pPr>
            <w:r>
              <w:rPr>
                <w:rFonts w:ascii="Arial" w:cs="Arial" w:eastAsia="Arial" w:hAnsi="Arial"/>
                <w:sz w:val="14"/>
                <w:szCs w:val="14"/>
                <w:b w:val="1"/>
                <w:bCs w:val="1"/>
                <w:color w:val="004FF9"/>
              </w:rPr>
              <w:t>Achievement</w:t>
            </w:r>
          </w:p>
        </w:tc>
        <w:tc>
          <w:tcPr>
            <w:tcW w:w="1300" w:type="dxa"/>
            <w:vAlign w:val="bottom"/>
            <w:tcBorders>
              <w:bottom w:val="single" w:sz="8" w:color="auto"/>
              <w:right w:val="single" w:sz="8" w:color="auto"/>
            </w:tcBorders>
            <w:shd w:val="clear" w:color="auto" w:fill="B1C9FD"/>
          </w:tcPr>
          <w:p>
            <w:pPr>
              <w:jc w:val="right"/>
              <w:ind w:right="283"/>
              <w:spacing w:after="0"/>
              <w:rPr>
                <w:sz w:val="20"/>
                <w:szCs w:val="20"/>
                <w:color w:val="auto"/>
              </w:rPr>
            </w:pPr>
            <w:r>
              <w:rPr>
                <w:rFonts w:ascii="Arial" w:cs="Arial" w:eastAsia="Arial" w:hAnsi="Arial"/>
                <w:sz w:val="14"/>
                <w:szCs w:val="14"/>
                <w:b w:val="1"/>
                <w:bCs w:val="1"/>
                <w:color w:val="004FF9"/>
              </w:rPr>
              <w:t>Funding</w:t>
            </w:r>
          </w:p>
        </w:tc>
      </w:tr>
      <w:tr>
        <w:trPr>
          <w:trHeight w:val="196"/>
        </w:trPr>
        <w:tc>
          <w:tcPr>
            <w:tcW w:w="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2014</w:t>
            </w:r>
          </w:p>
        </w:tc>
        <w:tc>
          <w:tcPr>
            <w:tcW w:w="2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Budget (50%)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$80.1 million</w:t>
            </w:r>
          </w:p>
        </w:tc>
        <w:tc>
          <w:tcPr>
            <w:tcW w:w="12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$80.2 million</w:t>
            </w:r>
          </w:p>
        </w:tc>
        <w:tc>
          <w:tcPr>
            <w:tcW w:w="1300" w:type="dxa"/>
            <w:vAlign w:val="bottom"/>
            <w:tcBorders>
              <w:bottom w:val="single" w:sz="8" w:color="auto"/>
              <w:right w:val="single" w:sz="8" w:color="auto"/>
            </w:tcBorders>
          </w:tcPr>
          <w:p>
            <w:pPr>
              <w:jc w:val="right"/>
              <w:ind w:right="242"/>
              <w:spacing w:after="0"/>
              <w:rPr>
                <w:sz w:val="20"/>
                <w:szCs w:val="20"/>
                <w:color w:val="auto"/>
              </w:rPr>
            </w:pPr>
            <w:r>
              <w:rPr>
                <w:rFonts w:ascii="Arial" w:cs="Arial" w:eastAsia="Arial" w:hAnsi="Arial"/>
                <w:sz w:val="16"/>
                <w:szCs w:val="16"/>
                <w:color w:val="auto"/>
              </w:rPr>
              <w:t>100.1%</w:t>
            </w:r>
          </w:p>
        </w:tc>
        <w:tc>
          <w:tcPr>
            <w:tcW w:w="1300" w:type="dxa"/>
            <w:vAlign w:val="bottom"/>
            <w:tcBorders>
              <w:bottom w:val="single" w:sz="8" w:color="auto"/>
              <w:right w:val="single" w:sz="8" w:color="auto"/>
            </w:tcBorders>
          </w:tcPr>
          <w:p>
            <w:pPr>
              <w:jc w:val="right"/>
              <w:ind w:right="203"/>
              <w:spacing w:after="0"/>
              <w:rPr>
                <w:sz w:val="20"/>
                <w:szCs w:val="20"/>
                <w:color w:val="auto"/>
              </w:rPr>
            </w:pPr>
            <w:r>
              <w:rPr>
                <w:rFonts w:ascii="Arial" w:cs="Arial" w:eastAsia="Arial" w:hAnsi="Arial"/>
                <w:sz w:val="16"/>
                <w:szCs w:val="16"/>
                <w:color w:val="auto"/>
              </w:rPr>
              <w:t>100.3%</w:t>
            </w:r>
          </w:p>
        </w:tc>
      </w:tr>
      <w:tr>
        <w:trPr>
          <w:trHeight w:val="196"/>
        </w:trPr>
        <w:tc>
          <w:tcPr>
            <w:tcW w:w="460" w:type="dxa"/>
            <w:vAlign w:val="bottom"/>
            <w:tcBorders>
              <w:left w:val="single" w:sz="8" w:color="auto"/>
              <w:bottom w:val="single" w:sz="8" w:color="auto"/>
            </w:tcBorders>
            <w:shd w:val="clear" w:color="auto" w:fill="E5EDFE"/>
          </w:tcPr>
          <w:p>
            <w:pPr>
              <w:ind w:left="80"/>
              <w:spacing w:after="0"/>
              <w:rPr>
                <w:sz w:val="20"/>
                <w:szCs w:val="20"/>
                <w:color w:val="auto"/>
              </w:rPr>
            </w:pPr>
            <w:r>
              <w:rPr>
                <w:rFonts w:ascii="Arial" w:cs="Arial" w:eastAsia="Arial" w:hAnsi="Arial"/>
                <w:sz w:val="16"/>
                <w:szCs w:val="16"/>
                <w:color w:val="auto"/>
              </w:rPr>
              <w:t>2013</w:t>
            </w:r>
          </w:p>
        </w:tc>
        <w:tc>
          <w:tcPr>
            <w:tcW w:w="2580" w:type="dxa"/>
            <w:vAlign w:val="bottom"/>
            <w:tcBorders>
              <w:bottom w:val="single" w:sz="8" w:color="auto"/>
              <w:right w:val="single" w:sz="8" w:color="auto"/>
            </w:tcBorders>
            <w:shd w:val="clear" w:color="auto" w:fill="E5EDFE"/>
          </w:tcPr>
          <w:p>
            <w:pPr>
              <w:ind w:left="20"/>
              <w:spacing w:after="0"/>
              <w:rPr>
                <w:sz w:val="20"/>
                <w:szCs w:val="20"/>
                <w:color w:val="auto"/>
              </w:rPr>
            </w:pPr>
            <w:r>
              <w:rPr>
                <w:rFonts w:ascii="Arial" w:cs="Arial" w:eastAsia="Arial" w:hAnsi="Arial"/>
                <w:sz w:val="16"/>
                <w:szCs w:val="16"/>
                <w:color w:val="auto"/>
              </w:rPr>
              <w:t>Actual (50%)</w:t>
            </w:r>
          </w:p>
        </w:tc>
        <w:tc>
          <w:tcPr>
            <w:tcW w:w="13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$72.9 million</w:t>
            </w:r>
          </w:p>
        </w:tc>
        <w:tc>
          <w:tcPr>
            <w:tcW w:w="1280" w:type="dxa"/>
            <w:vAlign w:val="bottom"/>
            <w:tcBorders>
              <w:bottom w:val="single" w:sz="8" w:color="auto"/>
              <w:right w:val="single" w:sz="8" w:color="auto"/>
            </w:tcBorders>
            <w:shd w:val="clear" w:color="auto" w:fill="E5EDFE"/>
          </w:tcPr>
          <w:p>
            <w:pPr>
              <w:ind w:left="180"/>
              <w:spacing w:after="0"/>
              <w:rPr>
                <w:sz w:val="20"/>
                <w:szCs w:val="20"/>
                <w:color w:val="auto"/>
              </w:rPr>
            </w:pPr>
            <w:r>
              <w:rPr>
                <w:rFonts w:ascii="Arial" w:cs="Arial" w:eastAsia="Arial" w:hAnsi="Arial"/>
                <w:sz w:val="16"/>
                <w:szCs w:val="16"/>
                <w:color w:val="auto"/>
              </w:rPr>
              <w:t>$80.2 million</w:t>
            </w:r>
          </w:p>
        </w:tc>
        <w:tc>
          <w:tcPr>
            <w:tcW w:w="1300" w:type="dxa"/>
            <w:vAlign w:val="bottom"/>
            <w:tcBorders>
              <w:bottom w:val="single" w:sz="8" w:color="auto"/>
              <w:right w:val="single" w:sz="8" w:color="auto"/>
            </w:tcBorders>
            <w:shd w:val="clear" w:color="auto" w:fill="E5EDFE"/>
          </w:tcPr>
          <w:p>
            <w:pPr>
              <w:jc w:val="right"/>
              <w:ind w:right="242"/>
              <w:spacing w:after="0"/>
              <w:rPr>
                <w:sz w:val="20"/>
                <w:szCs w:val="20"/>
                <w:color w:val="auto"/>
              </w:rPr>
            </w:pPr>
            <w:r>
              <w:rPr>
                <w:rFonts w:ascii="Arial" w:cs="Arial" w:eastAsia="Arial" w:hAnsi="Arial"/>
                <w:sz w:val="16"/>
                <w:szCs w:val="16"/>
                <w:color w:val="auto"/>
              </w:rPr>
              <w:t>110.0%</w:t>
            </w:r>
          </w:p>
        </w:tc>
        <w:tc>
          <w:tcPr>
            <w:tcW w:w="1300" w:type="dxa"/>
            <w:vAlign w:val="bottom"/>
            <w:tcBorders>
              <w:bottom w:val="single" w:sz="8" w:color="auto"/>
              <w:right w:val="single" w:sz="8" w:color="auto"/>
            </w:tcBorders>
            <w:shd w:val="clear" w:color="auto" w:fill="E5EDFE"/>
          </w:tcPr>
          <w:p>
            <w:pPr>
              <w:jc w:val="right"/>
              <w:ind w:right="203"/>
              <w:spacing w:after="0"/>
              <w:rPr>
                <w:sz w:val="20"/>
                <w:szCs w:val="20"/>
                <w:color w:val="auto"/>
              </w:rPr>
            </w:pPr>
            <w:r>
              <w:rPr>
                <w:rFonts w:ascii="Arial" w:cs="Arial" w:eastAsia="Arial" w:hAnsi="Arial"/>
                <w:sz w:val="16"/>
                <w:szCs w:val="16"/>
                <w:color w:val="auto"/>
              </w:rPr>
              <w:t>125.0%</w:t>
            </w:r>
          </w:p>
        </w:tc>
      </w:tr>
      <w:tr>
        <w:trPr>
          <w:trHeight w:val="196"/>
        </w:trPr>
        <w:tc>
          <w:tcPr>
            <w:tcW w:w="3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jc w:val="right"/>
              <w:ind w:right="203"/>
              <w:spacing w:after="0"/>
              <w:rPr>
                <w:sz w:val="20"/>
                <w:szCs w:val="20"/>
                <w:color w:val="auto"/>
              </w:rPr>
            </w:pPr>
            <w:r>
              <w:rPr>
                <w:rFonts w:ascii="Arial" w:cs="Arial" w:eastAsia="Arial" w:hAnsi="Arial"/>
                <w:sz w:val="16"/>
                <w:szCs w:val="16"/>
                <w:color w:val="auto"/>
              </w:rPr>
              <w:t>112.7%</w:t>
            </w:r>
          </w:p>
        </w:tc>
      </w:tr>
    </w:tbl>
    <w:p>
      <w:pPr>
        <w:spacing w:after="0" w:line="204" w:lineRule="exact"/>
        <w:rPr>
          <w:sz w:val="20"/>
          <w:szCs w:val="20"/>
          <w:color w:val="auto"/>
        </w:rPr>
      </w:pPr>
    </w:p>
    <w:p>
      <w:pPr>
        <w:jc w:val="both"/>
        <w:ind w:left="1260" w:right="739"/>
        <w:spacing w:after="0" w:line="260" w:lineRule="auto"/>
        <w:rPr>
          <w:sz w:val="20"/>
          <w:szCs w:val="20"/>
          <w:color w:val="auto"/>
        </w:rPr>
      </w:pPr>
      <w:r>
        <w:rPr>
          <w:rFonts w:ascii="Arial" w:cs="Arial" w:eastAsia="Arial" w:hAnsi="Arial"/>
          <w:sz w:val="16"/>
          <w:szCs w:val="16"/>
          <w:color w:val="auto"/>
        </w:rPr>
        <w:t>The funding level for each component was determined based on the following table (with linear extrapolation used for achievement between listed results).</w:t>
      </w:r>
    </w:p>
    <w:p>
      <w:pPr>
        <w:spacing w:after="0" w:line="93" w:lineRule="exact"/>
        <w:rPr>
          <w:sz w:val="20"/>
          <w:szCs w:val="20"/>
          <w:color w:val="auto"/>
        </w:rPr>
      </w:pPr>
    </w:p>
    <w:tbl>
      <w:tblPr>
        <w:tblLayout w:type="fixed"/>
        <w:tblInd w:w="4090" w:type="dxa"/>
        <w:tblCellMar>
          <w:top w:w="0" w:type="dxa"/>
          <w:left w:w="0" w:type="dxa"/>
          <w:bottom w:w="0" w:type="dxa"/>
          <w:right w:w="0" w:type="dxa"/>
        </w:tblCellMar>
      </w:tblPr>
      <w:tr>
        <w:trPr>
          <w:trHeight w:val="230"/>
        </w:trPr>
        <w:tc>
          <w:tcPr>
            <w:tcW w:w="1300" w:type="dxa"/>
            <w:vAlign w:val="bottom"/>
            <w:tcBorders>
              <w:top w:val="single" w:sz="8" w:color="auto"/>
              <w:left w:val="single" w:sz="8" w:color="auto"/>
              <w:bottom w:val="single" w:sz="8" w:color="auto"/>
              <w:right w:val="single" w:sz="8" w:color="auto"/>
            </w:tcBorders>
            <w:gridSpan w:val="2"/>
            <w:shd w:val="clear" w:color="auto" w:fill="B1C9FD"/>
          </w:tcPr>
          <w:p>
            <w:pPr>
              <w:ind w:left="120"/>
              <w:spacing w:after="0"/>
              <w:rPr>
                <w:sz w:val="20"/>
                <w:szCs w:val="20"/>
                <w:color w:val="auto"/>
              </w:rPr>
            </w:pPr>
            <w:r>
              <w:rPr>
                <w:rFonts w:ascii="Arial" w:cs="Arial" w:eastAsia="Arial" w:hAnsi="Arial"/>
                <w:sz w:val="16"/>
                <w:szCs w:val="16"/>
                <w:b w:val="1"/>
                <w:bCs w:val="1"/>
                <w:color w:val="004FF9"/>
              </w:rPr>
              <w:t>Achievement</w:t>
            </w:r>
          </w:p>
        </w:tc>
        <w:tc>
          <w:tcPr>
            <w:tcW w:w="1300" w:type="dxa"/>
            <w:vAlign w:val="bottom"/>
            <w:tcBorders>
              <w:top w:val="single" w:sz="8" w:color="auto"/>
              <w:bottom w:val="single" w:sz="8" w:color="auto"/>
              <w:right w:val="single" w:sz="8" w:color="auto"/>
            </w:tcBorders>
            <w:shd w:val="clear" w:color="auto" w:fill="B1C9FD"/>
          </w:tcPr>
          <w:p>
            <w:pPr>
              <w:ind w:left="340"/>
              <w:spacing w:after="0"/>
              <w:rPr>
                <w:sz w:val="20"/>
                <w:szCs w:val="20"/>
                <w:color w:val="auto"/>
              </w:rPr>
            </w:pPr>
            <w:r>
              <w:rPr>
                <w:rFonts w:ascii="Arial" w:cs="Arial" w:eastAsia="Arial" w:hAnsi="Arial"/>
                <w:sz w:val="16"/>
                <w:szCs w:val="16"/>
                <w:b w:val="1"/>
                <w:bCs w:val="1"/>
                <w:color w:val="004FF9"/>
              </w:rPr>
              <w:t>Funding</w:t>
            </w:r>
          </w:p>
        </w:tc>
      </w:tr>
      <w:tr>
        <w:trPr>
          <w:trHeight w:val="169"/>
        </w:trPr>
        <w:tc>
          <w:tcPr>
            <w:tcW w:w="480" w:type="dxa"/>
            <w:vAlign w:val="bottom"/>
            <w:tcBorders>
              <w:left w:val="single" w:sz="8" w:color="auto"/>
              <w:bottom w:val="single" w:sz="8" w:color="auto"/>
            </w:tcBorders>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center"/>
              <w:ind w:right="239"/>
              <w:spacing w:after="0" w:line="169" w:lineRule="exact"/>
              <w:rPr>
                <w:sz w:val="20"/>
                <w:szCs w:val="20"/>
                <w:color w:val="auto"/>
              </w:rPr>
            </w:pPr>
            <w:r>
              <w:rPr>
                <w:rFonts w:ascii="Arial" w:cs="Arial" w:eastAsia="Arial" w:hAnsi="Arial"/>
                <w:sz w:val="16"/>
                <w:szCs w:val="16"/>
                <w:color w:val="auto"/>
              </w:rPr>
              <w:t>125%</w:t>
            </w:r>
          </w:p>
        </w:tc>
        <w:tc>
          <w:tcPr>
            <w:tcW w:w="13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175.0%</w:t>
            </w:r>
          </w:p>
        </w:tc>
      </w:tr>
      <w:tr>
        <w:trPr>
          <w:trHeight w:val="169"/>
        </w:trPr>
        <w:tc>
          <w:tcPr>
            <w:tcW w:w="480" w:type="dxa"/>
            <w:vAlign w:val="bottom"/>
            <w:tcBorders>
              <w:left w:val="single" w:sz="8" w:color="auto"/>
              <w:bottom w:val="single" w:sz="8" w:color="auto"/>
            </w:tcBorders>
            <w:shd w:val="clear" w:color="auto" w:fill="E5EDFE"/>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shd w:val="clear" w:color="auto" w:fill="E5EDFE"/>
          </w:tcPr>
          <w:p>
            <w:pPr>
              <w:jc w:val="center"/>
              <w:ind w:right="239"/>
              <w:spacing w:after="0" w:line="169" w:lineRule="exact"/>
              <w:rPr>
                <w:sz w:val="20"/>
                <w:szCs w:val="20"/>
                <w:color w:val="auto"/>
              </w:rPr>
            </w:pPr>
            <w:r>
              <w:rPr>
                <w:rFonts w:ascii="Arial" w:cs="Arial" w:eastAsia="Arial" w:hAnsi="Arial"/>
                <w:sz w:val="16"/>
                <w:szCs w:val="16"/>
                <w:color w:val="auto"/>
              </w:rPr>
              <w:t>120%</w:t>
            </w:r>
          </w:p>
        </w:tc>
        <w:tc>
          <w:tcPr>
            <w:tcW w:w="13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150.0%</w:t>
            </w:r>
          </w:p>
        </w:tc>
      </w:tr>
      <w:tr>
        <w:trPr>
          <w:trHeight w:val="183"/>
        </w:trPr>
        <w:tc>
          <w:tcPr>
            <w:tcW w:w="480" w:type="dxa"/>
            <w:vAlign w:val="bottom"/>
            <w:tcBorders>
              <w:left w:val="single" w:sz="8" w:color="auto"/>
              <w:bottom w:val="single" w:sz="8" w:color="auto"/>
            </w:tcBorders>
          </w:tcPr>
          <w:p>
            <w:pPr>
              <w:ind w:left="30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center"/>
              <w:ind w:right="239"/>
              <w:spacing w:after="0" w:line="183"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100.0%</w:t>
            </w:r>
          </w:p>
        </w:tc>
      </w:tr>
      <w:tr>
        <w:trPr>
          <w:trHeight w:val="183"/>
        </w:trPr>
        <w:tc>
          <w:tcPr>
            <w:tcW w:w="480" w:type="dxa"/>
            <w:vAlign w:val="bottom"/>
            <w:tcBorders>
              <w:left w:val="single" w:sz="8" w:color="auto"/>
              <w:bottom w:val="single" w:sz="8" w:color="auto"/>
            </w:tcBorders>
            <w:shd w:val="clear" w:color="auto" w:fill="E5EDFE"/>
          </w:tcPr>
          <w:p>
            <w:pPr>
              <w:ind w:left="34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shd w:val="clear" w:color="auto" w:fill="E5EDFE"/>
          </w:tcPr>
          <w:p>
            <w:pPr>
              <w:jc w:val="center"/>
              <w:ind w:right="239"/>
              <w:spacing w:after="0" w:line="183" w:lineRule="exact"/>
              <w:rPr>
                <w:sz w:val="20"/>
                <w:szCs w:val="20"/>
                <w:color w:val="auto"/>
              </w:rPr>
            </w:pPr>
            <w:r>
              <w:rPr>
                <w:rFonts w:ascii="Arial" w:cs="Arial" w:eastAsia="Arial" w:hAnsi="Arial"/>
                <w:sz w:val="16"/>
                <w:szCs w:val="16"/>
                <w:color w:val="auto"/>
              </w:rPr>
              <w:t>80%</w:t>
            </w:r>
          </w:p>
        </w:tc>
        <w:tc>
          <w:tcPr>
            <w:tcW w:w="1300" w:type="dxa"/>
            <w:vAlign w:val="bottom"/>
            <w:tcBorders>
              <w:bottom w:val="single" w:sz="8" w:color="auto"/>
              <w:right w:val="single" w:sz="8" w:color="auto"/>
            </w:tcBorders>
            <w:shd w:val="clear" w:color="auto" w:fill="E5EDFE"/>
          </w:tcPr>
          <w:p>
            <w:pPr>
              <w:jc w:val="center"/>
              <w:spacing w:after="0" w:line="183" w:lineRule="exact"/>
              <w:rPr>
                <w:sz w:val="20"/>
                <w:szCs w:val="20"/>
                <w:color w:val="auto"/>
              </w:rPr>
            </w:pPr>
            <w:r>
              <w:rPr>
                <w:rFonts w:ascii="Arial" w:cs="Arial" w:eastAsia="Arial" w:hAnsi="Arial"/>
                <w:sz w:val="16"/>
                <w:szCs w:val="16"/>
                <w:color w:val="auto"/>
              </w:rPr>
              <w:t>50.0%</w:t>
            </w:r>
          </w:p>
        </w:tc>
      </w:tr>
      <w:tr>
        <w:trPr>
          <w:trHeight w:val="183"/>
        </w:trPr>
        <w:tc>
          <w:tcPr>
            <w:tcW w:w="480" w:type="dxa"/>
            <w:vAlign w:val="bottom"/>
            <w:tcBorders>
              <w:left w:val="single" w:sz="8" w:color="auto"/>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&lt;</w:t>
            </w:r>
          </w:p>
        </w:tc>
        <w:tc>
          <w:tcPr>
            <w:tcW w:w="820" w:type="dxa"/>
            <w:vAlign w:val="bottom"/>
            <w:tcBorders>
              <w:bottom w:val="single" w:sz="8" w:color="auto"/>
              <w:right w:val="single" w:sz="8" w:color="auto"/>
            </w:tcBorders>
          </w:tcPr>
          <w:p>
            <w:pPr>
              <w:jc w:val="center"/>
              <w:ind w:right="219"/>
              <w:spacing w:after="0" w:line="183" w:lineRule="exact"/>
              <w:rPr>
                <w:sz w:val="20"/>
                <w:szCs w:val="20"/>
                <w:color w:val="auto"/>
              </w:rPr>
            </w:pPr>
            <w:r>
              <w:rPr>
                <w:rFonts w:ascii="Arial" w:cs="Arial" w:eastAsia="Arial" w:hAnsi="Arial"/>
                <w:sz w:val="16"/>
                <w:szCs w:val="16"/>
                <w:color w:val="auto"/>
                <w:w w:val="99"/>
              </w:rPr>
              <w:t>80%</w:t>
            </w:r>
          </w:p>
        </w:tc>
        <w:tc>
          <w:tcPr>
            <w:tcW w:w="13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51435</wp:posOffset>
            </wp:positionV>
            <wp:extent cx="617220" cy="917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 cy="91757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p>
      <w:pPr>
        <w:spacing w:after="0" w:line="184" w:lineRule="exact"/>
        <w:rPr>
          <w:sz w:val="20"/>
          <w:szCs w:val="20"/>
          <w:color w:val="auto"/>
        </w:rPr>
      </w:pPr>
    </w:p>
    <w:p>
      <w:pPr>
        <w:ind w:left="2340" w:right="380"/>
        <w:spacing w:after="0" w:line="249" w:lineRule="auto"/>
        <w:rPr>
          <w:sz w:val="20"/>
          <w:szCs w:val="20"/>
          <w:color w:val="auto"/>
        </w:rPr>
      </w:pPr>
      <w:r>
        <w:rPr>
          <w:rFonts w:ascii="Arial" w:cs="Arial" w:eastAsia="Arial" w:hAnsi="Arial"/>
          <w:sz w:val="16"/>
          <w:szCs w:val="16"/>
          <w:b w:val="1"/>
          <w:bCs w:val="1"/>
          <w:color w:val="004FF9"/>
        </w:rPr>
        <w:t>James S. Lusk, Executive Vice President and Chief Financial Officer</w:t>
      </w:r>
    </w:p>
    <w:p>
      <w:pPr>
        <w:spacing w:after="0" w:line="96" w:lineRule="exact"/>
        <w:rPr>
          <w:sz w:val="20"/>
          <w:szCs w:val="20"/>
          <w:color w:val="auto"/>
        </w:rPr>
      </w:pPr>
    </w:p>
    <w:p>
      <w:pPr>
        <w:jc w:val="both"/>
        <w:ind w:left="2340"/>
        <w:spacing w:after="0" w:line="251" w:lineRule="auto"/>
        <w:rPr>
          <w:sz w:val="20"/>
          <w:szCs w:val="20"/>
          <w:color w:val="auto"/>
        </w:rPr>
      </w:pPr>
      <w:r>
        <w:rPr>
          <w:rFonts w:ascii="Arial" w:cs="Arial" w:eastAsia="Arial" w:hAnsi="Arial"/>
          <w:sz w:val="16"/>
          <w:szCs w:val="16"/>
          <w:color w:val="auto"/>
        </w:rPr>
        <w:t>Mr. Lusk’s annual cash incentive compensation was based 70% on Company Results and 30% on Department/Individual Results.</w:t>
      </w:r>
    </w:p>
    <w:p>
      <w:pPr>
        <w:spacing w:after="0" w:line="95"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The Committee approved a funding level of 125% for Department Results and 120% for Individual Results for Mr. Lusk. In doing so, the Committee considered Mr. Lusk’s performance objectives, which included</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components relating to general management, customer and market development, and compliance and administration, and it noted his achievements with respect to solid overall performance, improvements in the Company’s technology infrastructure and prudent fiscal management. As Company Results were accorded a 70% weight and Department/Individual Results were accorded a 30% weight, this resulted in an overall funding level of 115.7% under the PIP. Accordingly, the Committee approved an annual cash incentive payment in the amount of $455,221 for Mr. Lusk.</w:t>
      </w:r>
    </w:p>
    <w:p>
      <w:pPr>
        <w:spacing w:after="0" w:line="331"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272415</wp:posOffset>
            </wp:positionV>
            <wp:extent cx="617220" cy="9175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220" cy="91757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2340" w:right="140"/>
        <w:spacing w:after="0" w:line="249" w:lineRule="auto"/>
        <w:rPr>
          <w:sz w:val="20"/>
          <w:szCs w:val="20"/>
          <w:color w:val="auto"/>
        </w:rPr>
      </w:pPr>
      <w:r>
        <w:rPr>
          <w:rFonts w:ascii="Arial" w:cs="Arial" w:eastAsia="Arial" w:hAnsi="Arial"/>
          <w:sz w:val="16"/>
          <w:szCs w:val="16"/>
          <w:b w:val="1"/>
          <w:bCs w:val="1"/>
          <w:color w:val="004FF9"/>
        </w:rPr>
        <w:t>James P. McClure, Executive Vice President, Business Leader for Onsite Services</w:t>
      </w:r>
    </w:p>
    <w:p>
      <w:pPr>
        <w:spacing w:after="0" w:line="96" w:lineRule="exact"/>
        <w:rPr>
          <w:sz w:val="20"/>
          <w:szCs w:val="20"/>
          <w:color w:val="auto"/>
        </w:rPr>
      </w:pPr>
    </w:p>
    <w:p>
      <w:pPr>
        <w:jc w:val="both"/>
        <w:ind w:left="2340"/>
        <w:spacing w:after="0" w:line="251" w:lineRule="auto"/>
        <w:rPr>
          <w:sz w:val="20"/>
          <w:szCs w:val="20"/>
          <w:color w:val="auto"/>
        </w:rPr>
      </w:pPr>
      <w:r>
        <w:rPr>
          <w:rFonts w:ascii="Arial" w:cs="Arial" w:eastAsia="Arial" w:hAnsi="Arial"/>
          <w:sz w:val="16"/>
          <w:szCs w:val="16"/>
          <w:color w:val="auto"/>
        </w:rPr>
        <w:t>Mr. McClure’s annual cash incentive compensation was based 50% on Company Results, 25% on Business Unit Results for the Onsite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business and 25% on Individual Results.</w:t>
      </w:r>
    </w:p>
    <w:p>
      <w:pPr>
        <w:spacing w:after="0" w:line="86"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Mr. McClure’s Business Unit Results were based on the Onsite Services business’s 2014 fiscal year income from continuing operations relative to (1) budget for fiscal year 2014 and (2) 2013 fiscal year results, with the two factors being weighted equally.</w:t>
      </w:r>
    </w:p>
    <w:p>
      <w:pPr>
        <w:spacing w:after="0" w:line="82" w:lineRule="exact"/>
        <w:rPr>
          <w:sz w:val="20"/>
          <w:szCs w:val="20"/>
          <w:color w:val="auto"/>
        </w:rPr>
      </w:pPr>
    </w:p>
    <w:p>
      <w:pPr>
        <w:jc w:val="both"/>
        <w:ind w:right="739"/>
        <w:spacing w:after="0" w:line="260" w:lineRule="auto"/>
        <w:rPr>
          <w:sz w:val="20"/>
          <w:szCs w:val="20"/>
          <w:color w:val="auto"/>
        </w:rPr>
      </w:pPr>
      <w:r>
        <w:rPr>
          <w:rFonts w:ascii="Arial" w:cs="Arial" w:eastAsia="Arial" w:hAnsi="Arial"/>
          <w:sz w:val="16"/>
          <w:szCs w:val="16"/>
          <w:color w:val="auto"/>
        </w:rPr>
        <w:t>The table below shows target and 2014 Business Unit Results for Onsite Services.</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16"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4FF9"/>
        </w:rPr>
        <w:t>Onsite 2014 Income from Continuing Operations</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460" w:type="dxa"/>
            <w:vAlign w:val="bottom"/>
            <w:tcBorders>
              <w:top w:val="single" w:sz="8" w:color="auto"/>
              <w:left w:val="single" w:sz="8" w:color="auto"/>
            </w:tcBorders>
            <w:shd w:val="clear" w:color="auto" w:fill="B1C9FD"/>
          </w:tcPr>
          <w:p>
            <w:pPr>
              <w:spacing w:after="0"/>
              <w:rPr>
                <w:sz w:val="17"/>
                <w:szCs w:val="17"/>
                <w:color w:val="auto"/>
              </w:rPr>
            </w:pPr>
          </w:p>
        </w:tc>
        <w:tc>
          <w:tcPr>
            <w:tcW w:w="2160" w:type="dxa"/>
            <w:vAlign w:val="bottom"/>
            <w:tcBorders>
              <w:top w:val="single" w:sz="8" w:color="auto"/>
              <w:right w:val="single" w:sz="8" w:color="auto"/>
            </w:tcBorders>
            <w:shd w:val="clear" w:color="auto" w:fill="B1C9FD"/>
          </w:tcPr>
          <w:p>
            <w:pPr>
              <w:jc w:val="center"/>
              <w:ind w:right="423"/>
              <w:spacing w:after="0"/>
              <w:rPr>
                <w:sz w:val="20"/>
                <w:szCs w:val="20"/>
                <w:color w:val="auto"/>
              </w:rPr>
            </w:pPr>
            <w:r>
              <w:rPr>
                <w:rFonts w:ascii="Arial" w:cs="Arial" w:eastAsia="Arial" w:hAnsi="Arial"/>
                <w:sz w:val="14"/>
                <w:szCs w:val="14"/>
                <w:b w:val="1"/>
                <w:bCs w:val="1"/>
                <w:color w:val="004FF9"/>
              </w:rPr>
              <w:t>Income from</w:t>
            </w:r>
          </w:p>
        </w:tc>
        <w:tc>
          <w:tcPr>
            <w:tcW w:w="1380" w:type="dxa"/>
            <w:vAlign w:val="bottom"/>
            <w:tcBorders>
              <w:top w:val="single" w:sz="8" w:color="auto"/>
              <w:right w:val="single" w:sz="8" w:color="auto"/>
            </w:tcBorders>
            <w:shd w:val="clear" w:color="auto" w:fill="B1C9FD"/>
          </w:tcPr>
          <w:p>
            <w:pPr>
              <w:spacing w:after="0"/>
              <w:rPr>
                <w:sz w:val="17"/>
                <w:szCs w:val="17"/>
                <w:color w:val="auto"/>
              </w:rPr>
            </w:pPr>
          </w:p>
        </w:tc>
        <w:tc>
          <w:tcPr>
            <w:tcW w:w="1400" w:type="dxa"/>
            <w:vAlign w:val="bottom"/>
            <w:tcBorders>
              <w:top w:val="single" w:sz="8" w:color="auto"/>
              <w:right w:val="single" w:sz="8" w:color="auto"/>
            </w:tcBorders>
            <w:shd w:val="clear" w:color="auto" w:fill="B1C9FD"/>
          </w:tcPr>
          <w:p>
            <w:pPr>
              <w:spacing w:after="0"/>
              <w:rPr>
                <w:sz w:val="17"/>
                <w:szCs w:val="17"/>
                <w:color w:val="auto"/>
              </w:rPr>
            </w:pPr>
          </w:p>
        </w:tc>
        <w:tc>
          <w:tcPr>
            <w:tcW w:w="1400" w:type="dxa"/>
            <w:vAlign w:val="bottom"/>
            <w:tcBorders>
              <w:top w:val="single" w:sz="8" w:color="auto"/>
              <w:right w:val="single" w:sz="8" w:color="auto"/>
            </w:tcBorders>
            <w:shd w:val="clear" w:color="auto" w:fill="B1C9FD"/>
          </w:tcPr>
          <w:p>
            <w:pPr>
              <w:spacing w:after="0"/>
              <w:rPr>
                <w:sz w:val="17"/>
                <w:szCs w:val="17"/>
                <w:color w:val="auto"/>
              </w:rPr>
            </w:pPr>
          </w:p>
        </w:tc>
        <w:tc>
          <w:tcPr>
            <w:tcW w:w="1420" w:type="dxa"/>
            <w:vAlign w:val="bottom"/>
            <w:tcBorders>
              <w:top w:val="single" w:sz="8" w:color="auto"/>
              <w:right w:val="single" w:sz="8" w:color="auto"/>
            </w:tcBorders>
            <w:shd w:val="clear" w:color="auto" w:fill="B1C9FD"/>
          </w:tcPr>
          <w:p>
            <w:pPr>
              <w:jc w:val="right"/>
              <w:ind w:right="403"/>
              <w:spacing w:after="0"/>
              <w:rPr>
                <w:sz w:val="20"/>
                <w:szCs w:val="20"/>
                <w:color w:val="auto"/>
              </w:rPr>
            </w:pPr>
            <w:r>
              <w:rPr>
                <w:rFonts w:ascii="Arial" w:cs="Arial" w:eastAsia="Arial" w:hAnsi="Arial"/>
                <w:sz w:val="14"/>
                <w:szCs w:val="14"/>
                <w:b w:val="1"/>
                <w:bCs w:val="1"/>
                <w:color w:val="004FF9"/>
              </w:rPr>
              <w:t>Bonus</w:t>
            </w:r>
          </w:p>
        </w:tc>
      </w:tr>
      <w:tr>
        <w:trPr>
          <w:trHeight w:val="175"/>
        </w:trPr>
        <w:tc>
          <w:tcPr>
            <w:tcW w:w="460" w:type="dxa"/>
            <w:vAlign w:val="bottom"/>
            <w:tcBorders>
              <w:left w:val="single" w:sz="8" w:color="auto"/>
              <w:bottom w:val="single" w:sz="8" w:color="auto"/>
            </w:tcBorders>
            <w:shd w:val="clear" w:color="auto" w:fill="B1C9FD"/>
          </w:tcPr>
          <w:p>
            <w:pPr>
              <w:spacing w:after="0"/>
              <w:rPr>
                <w:sz w:val="15"/>
                <w:szCs w:val="15"/>
                <w:color w:val="auto"/>
              </w:rPr>
            </w:pPr>
          </w:p>
        </w:tc>
        <w:tc>
          <w:tcPr>
            <w:tcW w:w="2160" w:type="dxa"/>
            <w:vAlign w:val="bottom"/>
            <w:tcBorders>
              <w:bottom w:val="single" w:sz="8" w:color="auto"/>
              <w:right w:val="single" w:sz="8" w:color="auto"/>
            </w:tcBorders>
            <w:shd w:val="clear" w:color="auto" w:fill="B1C9FD"/>
          </w:tcPr>
          <w:p>
            <w:pPr>
              <w:jc w:val="center"/>
              <w:ind w:right="403"/>
              <w:spacing w:after="0"/>
              <w:rPr>
                <w:sz w:val="20"/>
                <w:szCs w:val="20"/>
                <w:color w:val="auto"/>
              </w:rPr>
            </w:pPr>
            <w:r>
              <w:rPr>
                <w:rFonts w:ascii="Arial" w:cs="Arial" w:eastAsia="Arial" w:hAnsi="Arial"/>
                <w:sz w:val="14"/>
                <w:szCs w:val="14"/>
                <w:b w:val="1"/>
                <w:bCs w:val="1"/>
                <w:color w:val="004FF9"/>
              </w:rPr>
              <w:t>Continuing Operations</w:t>
            </w:r>
          </w:p>
        </w:tc>
        <w:tc>
          <w:tcPr>
            <w:tcW w:w="13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Base Level</w:t>
            </w:r>
          </w:p>
        </w:tc>
        <w:tc>
          <w:tcPr>
            <w:tcW w:w="14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2014 Results</w:t>
            </w:r>
          </w:p>
        </w:tc>
        <w:tc>
          <w:tcPr>
            <w:tcW w:w="1400" w:type="dxa"/>
            <w:vAlign w:val="bottom"/>
            <w:tcBorders>
              <w:bottom w:val="single" w:sz="8" w:color="auto"/>
              <w:right w:val="single" w:sz="8" w:color="auto"/>
            </w:tcBorders>
            <w:shd w:val="clear" w:color="auto" w:fill="B1C9FD"/>
          </w:tcPr>
          <w:p>
            <w:pPr>
              <w:jc w:val="right"/>
              <w:ind w:right="182"/>
              <w:spacing w:after="0"/>
              <w:rPr>
                <w:sz w:val="20"/>
                <w:szCs w:val="20"/>
                <w:color w:val="auto"/>
              </w:rPr>
            </w:pPr>
            <w:r>
              <w:rPr>
                <w:rFonts w:ascii="Arial" w:cs="Arial" w:eastAsia="Arial" w:hAnsi="Arial"/>
                <w:sz w:val="14"/>
                <w:szCs w:val="14"/>
                <w:b w:val="1"/>
                <w:bCs w:val="1"/>
                <w:color w:val="004FF9"/>
              </w:rPr>
              <w:t>Achievement</w:t>
            </w:r>
          </w:p>
        </w:tc>
        <w:tc>
          <w:tcPr>
            <w:tcW w:w="1420" w:type="dxa"/>
            <w:vAlign w:val="bottom"/>
            <w:tcBorders>
              <w:bottom w:val="single" w:sz="8" w:color="auto"/>
              <w:right w:val="single" w:sz="8" w:color="auto"/>
            </w:tcBorders>
            <w:shd w:val="clear" w:color="auto" w:fill="B1C9FD"/>
          </w:tcPr>
          <w:p>
            <w:pPr>
              <w:jc w:val="right"/>
              <w:ind w:right="343"/>
              <w:spacing w:after="0"/>
              <w:rPr>
                <w:sz w:val="20"/>
                <w:szCs w:val="20"/>
                <w:color w:val="auto"/>
              </w:rPr>
            </w:pPr>
            <w:r>
              <w:rPr>
                <w:rFonts w:ascii="Arial" w:cs="Arial" w:eastAsia="Arial" w:hAnsi="Arial"/>
                <w:sz w:val="14"/>
                <w:szCs w:val="14"/>
                <w:b w:val="1"/>
                <w:bCs w:val="1"/>
                <w:color w:val="004FF9"/>
              </w:rPr>
              <w:t>Funding</w:t>
            </w:r>
          </w:p>
        </w:tc>
      </w:tr>
      <w:tr>
        <w:trPr>
          <w:trHeight w:val="196"/>
        </w:trPr>
        <w:tc>
          <w:tcPr>
            <w:tcW w:w="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2014</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Budget (50%)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$218.0 million</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$214.7 million</w:t>
            </w:r>
          </w:p>
        </w:tc>
        <w:tc>
          <w:tcPr>
            <w:tcW w:w="140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rPr>
              <w:t>98.5%</w:t>
            </w:r>
          </w:p>
        </w:tc>
        <w:tc>
          <w:tcPr>
            <w:tcW w:w="1420" w:type="dxa"/>
            <w:vAlign w:val="bottom"/>
            <w:tcBorders>
              <w:bottom w:val="single" w:sz="8" w:color="auto"/>
              <w:right w:val="single" w:sz="8" w:color="auto"/>
            </w:tcBorders>
          </w:tcPr>
          <w:p>
            <w:pPr>
              <w:jc w:val="right"/>
              <w:ind w:right="263"/>
              <w:spacing w:after="0"/>
              <w:rPr>
                <w:sz w:val="20"/>
                <w:szCs w:val="20"/>
                <w:color w:val="auto"/>
              </w:rPr>
            </w:pPr>
            <w:r>
              <w:rPr>
                <w:rFonts w:ascii="Arial" w:cs="Arial" w:eastAsia="Arial" w:hAnsi="Arial"/>
                <w:sz w:val="16"/>
                <w:szCs w:val="16"/>
                <w:color w:val="auto"/>
              </w:rPr>
              <w:t>96.3%</w:t>
            </w:r>
          </w:p>
        </w:tc>
      </w:tr>
      <w:tr>
        <w:trPr>
          <w:trHeight w:val="196"/>
        </w:trPr>
        <w:tc>
          <w:tcPr>
            <w:tcW w:w="460" w:type="dxa"/>
            <w:vAlign w:val="bottom"/>
            <w:tcBorders>
              <w:left w:val="single" w:sz="8" w:color="auto"/>
              <w:bottom w:val="single" w:sz="8" w:color="auto"/>
            </w:tcBorders>
            <w:shd w:val="clear" w:color="auto" w:fill="E5EDFE"/>
          </w:tcPr>
          <w:p>
            <w:pPr>
              <w:ind w:left="80"/>
              <w:spacing w:after="0"/>
              <w:rPr>
                <w:sz w:val="20"/>
                <w:szCs w:val="20"/>
                <w:color w:val="auto"/>
              </w:rPr>
            </w:pPr>
            <w:r>
              <w:rPr>
                <w:rFonts w:ascii="Arial" w:cs="Arial" w:eastAsia="Arial" w:hAnsi="Arial"/>
                <w:sz w:val="16"/>
                <w:szCs w:val="16"/>
                <w:color w:val="auto"/>
              </w:rPr>
              <w:t>2013</w:t>
            </w:r>
          </w:p>
        </w:tc>
        <w:tc>
          <w:tcPr>
            <w:tcW w:w="2160" w:type="dxa"/>
            <w:vAlign w:val="bottom"/>
            <w:tcBorders>
              <w:bottom w:val="single" w:sz="8" w:color="auto"/>
              <w:right w:val="single" w:sz="8" w:color="auto"/>
            </w:tcBorders>
            <w:shd w:val="clear" w:color="auto" w:fill="E5EDFE"/>
          </w:tcPr>
          <w:p>
            <w:pPr>
              <w:ind w:left="20"/>
              <w:spacing w:after="0"/>
              <w:rPr>
                <w:sz w:val="20"/>
                <w:szCs w:val="20"/>
                <w:color w:val="auto"/>
              </w:rPr>
            </w:pPr>
            <w:r>
              <w:rPr>
                <w:rFonts w:ascii="Arial" w:cs="Arial" w:eastAsia="Arial" w:hAnsi="Arial"/>
                <w:sz w:val="16"/>
                <w:szCs w:val="16"/>
                <w:color w:val="auto"/>
              </w:rPr>
              <w:t>Actual (50%)</w:t>
            </w:r>
          </w:p>
        </w:tc>
        <w:tc>
          <w:tcPr>
            <w:tcW w:w="13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$203.3 million</w:t>
            </w:r>
          </w:p>
        </w:tc>
        <w:tc>
          <w:tcPr>
            <w:tcW w:w="14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$214.7 million</w:t>
            </w:r>
          </w:p>
        </w:tc>
        <w:tc>
          <w:tcPr>
            <w:tcW w:w="1400" w:type="dxa"/>
            <w:vAlign w:val="bottom"/>
            <w:tcBorders>
              <w:bottom w:val="single" w:sz="8" w:color="auto"/>
              <w:right w:val="single" w:sz="8" w:color="auto"/>
            </w:tcBorders>
            <w:shd w:val="clear" w:color="auto" w:fill="E5EDFE"/>
          </w:tcPr>
          <w:p>
            <w:pPr>
              <w:jc w:val="right"/>
              <w:ind w:right="282"/>
              <w:spacing w:after="0"/>
              <w:rPr>
                <w:sz w:val="20"/>
                <w:szCs w:val="20"/>
                <w:color w:val="auto"/>
              </w:rPr>
            </w:pPr>
            <w:r>
              <w:rPr>
                <w:rFonts w:ascii="Arial" w:cs="Arial" w:eastAsia="Arial" w:hAnsi="Arial"/>
                <w:sz w:val="16"/>
                <w:szCs w:val="16"/>
                <w:color w:val="auto"/>
              </w:rPr>
              <w:t>105.6%</w:t>
            </w:r>
          </w:p>
        </w:tc>
        <w:tc>
          <w:tcPr>
            <w:tcW w:w="1420" w:type="dxa"/>
            <w:vAlign w:val="bottom"/>
            <w:tcBorders>
              <w:bottom w:val="single" w:sz="8" w:color="auto"/>
              <w:right w:val="single" w:sz="8" w:color="auto"/>
            </w:tcBorders>
            <w:shd w:val="clear" w:color="auto" w:fill="E5EDFE"/>
          </w:tcPr>
          <w:p>
            <w:pPr>
              <w:jc w:val="right"/>
              <w:ind w:right="263"/>
              <w:spacing w:after="0"/>
              <w:rPr>
                <w:sz w:val="20"/>
                <w:szCs w:val="20"/>
                <w:color w:val="auto"/>
              </w:rPr>
            </w:pPr>
            <w:r>
              <w:rPr>
                <w:rFonts w:ascii="Arial" w:cs="Arial" w:eastAsia="Arial" w:hAnsi="Arial"/>
                <w:sz w:val="16"/>
                <w:szCs w:val="16"/>
                <w:color w:val="auto"/>
              </w:rPr>
              <w:t>114.0%</w:t>
            </w:r>
          </w:p>
        </w:tc>
      </w:tr>
      <w:tr>
        <w:trPr>
          <w:trHeight w:val="196"/>
        </w:trPr>
        <w:tc>
          <w:tcPr>
            <w:tcW w:w="26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right"/>
              <w:ind w:right="263"/>
              <w:spacing w:after="0"/>
              <w:rPr>
                <w:sz w:val="20"/>
                <w:szCs w:val="20"/>
                <w:color w:val="auto"/>
              </w:rPr>
            </w:pPr>
            <w:r>
              <w:rPr>
                <w:rFonts w:ascii="Arial" w:cs="Arial" w:eastAsia="Arial" w:hAnsi="Arial"/>
                <w:sz w:val="16"/>
                <w:szCs w:val="16"/>
                <w:color w:val="auto"/>
              </w:rPr>
              <w:t>105.2%</w:t>
            </w:r>
          </w:p>
        </w:tc>
      </w:tr>
    </w:tbl>
    <w:p>
      <w:pPr>
        <w:spacing w:after="0" w:line="204" w:lineRule="exact"/>
        <w:rPr>
          <w:sz w:val="20"/>
          <w:szCs w:val="20"/>
          <w:color w:val="auto"/>
        </w:rPr>
      </w:pPr>
    </w:p>
    <w:p>
      <w:pPr>
        <w:jc w:val="both"/>
        <w:ind w:left="1260" w:right="739"/>
        <w:spacing w:after="0" w:line="260" w:lineRule="auto"/>
        <w:rPr>
          <w:sz w:val="20"/>
          <w:szCs w:val="20"/>
          <w:color w:val="auto"/>
        </w:rPr>
      </w:pPr>
      <w:r>
        <w:rPr>
          <w:rFonts w:ascii="Arial" w:cs="Arial" w:eastAsia="Arial" w:hAnsi="Arial"/>
          <w:sz w:val="16"/>
          <w:szCs w:val="16"/>
          <w:color w:val="auto"/>
        </w:rPr>
        <w:t>The funding level for each component was determined based on the following table (with linear extrapolation used for achievement between listed results):</w:t>
      </w:r>
    </w:p>
    <w:p>
      <w:pPr>
        <w:spacing w:after="0" w:line="93" w:lineRule="exact"/>
        <w:rPr>
          <w:sz w:val="20"/>
          <w:szCs w:val="20"/>
          <w:color w:val="auto"/>
        </w:rPr>
      </w:pPr>
    </w:p>
    <w:tbl>
      <w:tblPr>
        <w:tblLayout w:type="fixed"/>
        <w:tblInd w:w="4090" w:type="dxa"/>
        <w:tblCellMar>
          <w:top w:w="0" w:type="dxa"/>
          <w:left w:w="0" w:type="dxa"/>
          <w:bottom w:w="0" w:type="dxa"/>
          <w:right w:w="0" w:type="dxa"/>
        </w:tblCellMar>
      </w:tblPr>
      <w:tr>
        <w:trPr>
          <w:trHeight w:val="230"/>
        </w:trPr>
        <w:tc>
          <w:tcPr>
            <w:tcW w:w="1300" w:type="dxa"/>
            <w:vAlign w:val="bottom"/>
            <w:tcBorders>
              <w:top w:val="single" w:sz="8" w:color="auto"/>
              <w:left w:val="single" w:sz="8" w:color="auto"/>
              <w:bottom w:val="single" w:sz="8" w:color="auto"/>
              <w:right w:val="single" w:sz="8" w:color="auto"/>
            </w:tcBorders>
            <w:gridSpan w:val="2"/>
            <w:shd w:val="clear" w:color="auto" w:fill="B1C9FD"/>
          </w:tcPr>
          <w:p>
            <w:pPr>
              <w:ind w:left="120"/>
              <w:spacing w:after="0"/>
              <w:rPr>
                <w:sz w:val="20"/>
                <w:szCs w:val="20"/>
                <w:color w:val="auto"/>
              </w:rPr>
            </w:pPr>
            <w:r>
              <w:rPr>
                <w:rFonts w:ascii="Arial" w:cs="Arial" w:eastAsia="Arial" w:hAnsi="Arial"/>
                <w:sz w:val="16"/>
                <w:szCs w:val="16"/>
                <w:b w:val="1"/>
                <w:bCs w:val="1"/>
                <w:color w:val="004FF9"/>
              </w:rPr>
              <w:t>Achievement</w:t>
            </w:r>
          </w:p>
        </w:tc>
        <w:tc>
          <w:tcPr>
            <w:tcW w:w="1300" w:type="dxa"/>
            <w:vAlign w:val="bottom"/>
            <w:tcBorders>
              <w:top w:val="single" w:sz="8" w:color="auto"/>
              <w:bottom w:val="single" w:sz="8" w:color="auto"/>
              <w:right w:val="single" w:sz="8" w:color="auto"/>
            </w:tcBorders>
            <w:shd w:val="clear" w:color="auto" w:fill="B1C9FD"/>
          </w:tcPr>
          <w:p>
            <w:pPr>
              <w:ind w:left="340"/>
              <w:spacing w:after="0"/>
              <w:rPr>
                <w:sz w:val="20"/>
                <w:szCs w:val="20"/>
                <w:color w:val="auto"/>
              </w:rPr>
            </w:pPr>
            <w:r>
              <w:rPr>
                <w:rFonts w:ascii="Arial" w:cs="Arial" w:eastAsia="Arial" w:hAnsi="Arial"/>
                <w:sz w:val="16"/>
                <w:szCs w:val="16"/>
                <w:b w:val="1"/>
                <w:bCs w:val="1"/>
                <w:color w:val="004FF9"/>
              </w:rPr>
              <w:t>Funding</w:t>
            </w:r>
          </w:p>
        </w:tc>
      </w:tr>
      <w:tr>
        <w:trPr>
          <w:trHeight w:val="169"/>
        </w:trPr>
        <w:tc>
          <w:tcPr>
            <w:tcW w:w="480" w:type="dxa"/>
            <w:vAlign w:val="bottom"/>
            <w:tcBorders>
              <w:left w:val="single" w:sz="8" w:color="auto"/>
              <w:bottom w:val="single" w:sz="8" w:color="auto"/>
            </w:tcBorders>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center"/>
              <w:ind w:right="239"/>
              <w:spacing w:after="0" w:line="169" w:lineRule="exact"/>
              <w:rPr>
                <w:sz w:val="20"/>
                <w:szCs w:val="20"/>
                <w:color w:val="auto"/>
              </w:rPr>
            </w:pPr>
            <w:r>
              <w:rPr>
                <w:rFonts w:ascii="Arial" w:cs="Arial" w:eastAsia="Arial" w:hAnsi="Arial"/>
                <w:sz w:val="16"/>
                <w:szCs w:val="16"/>
                <w:color w:val="auto"/>
              </w:rPr>
              <w:t>125%</w:t>
            </w:r>
          </w:p>
        </w:tc>
        <w:tc>
          <w:tcPr>
            <w:tcW w:w="13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175.0%</w:t>
            </w:r>
          </w:p>
        </w:tc>
      </w:tr>
      <w:tr>
        <w:trPr>
          <w:trHeight w:val="169"/>
        </w:trPr>
        <w:tc>
          <w:tcPr>
            <w:tcW w:w="480" w:type="dxa"/>
            <w:vAlign w:val="bottom"/>
            <w:tcBorders>
              <w:left w:val="single" w:sz="8" w:color="auto"/>
              <w:bottom w:val="single" w:sz="8" w:color="auto"/>
            </w:tcBorders>
            <w:shd w:val="clear" w:color="auto" w:fill="E5EDFE"/>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shd w:val="clear" w:color="auto" w:fill="E5EDFE"/>
          </w:tcPr>
          <w:p>
            <w:pPr>
              <w:jc w:val="center"/>
              <w:ind w:right="239"/>
              <w:spacing w:after="0" w:line="169" w:lineRule="exact"/>
              <w:rPr>
                <w:sz w:val="20"/>
                <w:szCs w:val="20"/>
                <w:color w:val="auto"/>
              </w:rPr>
            </w:pPr>
            <w:r>
              <w:rPr>
                <w:rFonts w:ascii="Arial" w:cs="Arial" w:eastAsia="Arial" w:hAnsi="Arial"/>
                <w:sz w:val="16"/>
                <w:szCs w:val="16"/>
                <w:color w:val="auto"/>
              </w:rPr>
              <w:t>120%</w:t>
            </w:r>
          </w:p>
        </w:tc>
        <w:tc>
          <w:tcPr>
            <w:tcW w:w="13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150.0%</w:t>
            </w:r>
          </w:p>
        </w:tc>
      </w:tr>
      <w:tr>
        <w:trPr>
          <w:trHeight w:val="183"/>
        </w:trPr>
        <w:tc>
          <w:tcPr>
            <w:tcW w:w="480" w:type="dxa"/>
            <w:vAlign w:val="bottom"/>
            <w:tcBorders>
              <w:left w:val="single" w:sz="8" w:color="auto"/>
              <w:bottom w:val="single" w:sz="8" w:color="auto"/>
            </w:tcBorders>
          </w:tcPr>
          <w:p>
            <w:pPr>
              <w:ind w:left="30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center"/>
              <w:ind w:right="239"/>
              <w:spacing w:after="0" w:line="183"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100.0%</w:t>
            </w:r>
          </w:p>
        </w:tc>
      </w:tr>
      <w:tr>
        <w:trPr>
          <w:trHeight w:val="183"/>
        </w:trPr>
        <w:tc>
          <w:tcPr>
            <w:tcW w:w="480" w:type="dxa"/>
            <w:vAlign w:val="bottom"/>
            <w:tcBorders>
              <w:left w:val="single" w:sz="8" w:color="auto"/>
              <w:bottom w:val="single" w:sz="8" w:color="auto"/>
            </w:tcBorders>
            <w:shd w:val="clear" w:color="auto" w:fill="E5EDFE"/>
          </w:tcPr>
          <w:p>
            <w:pPr>
              <w:ind w:left="34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shd w:val="clear" w:color="auto" w:fill="E5EDFE"/>
          </w:tcPr>
          <w:p>
            <w:pPr>
              <w:jc w:val="center"/>
              <w:ind w:right="239"/>
              <w:spacing w:after="0" w:line="183" w:lineRule="exact"/>
              <w:rPr>
                <w:sz w:val="20"/>
                <w:szCs w:val="20"/>
                <w:color w:val="auto"/>
              </w:rPr>
            </w:pPr>
            <w:r>
              <w:rPr>
                <w:rFonts w:ascii="Arial" w:cs="Arial" w:eastAsia="Arial" w:hAnsi="Arial"/>
                <w:sz w:val="16"/>
                <w:szCs w:val="16"/>
                <w:color w:val="auto"/>
              </w:rPr>
              <w:t>80%</w:t>
            </w:r>
          </w:p>
        </w:tc>
        <w:tc>
          <w:tcPr>
            <w:tcW w:w="1300" w:type="dxa"/>
            <w:vAlign w:val="bottom"/>
            <w:tcBorders>
              <w:bottom w:val="single" w:sz="8" w:color="auto"/>
              <w:right w:val="single" w:sz="8" w:color="auto"/>
            </w:tcBorders>
            <w:shd w:val="clear" w:color="auto" w:fill="E5EDFE"/>
          </w:tcPr>
          <w:p>
            <w:pPr>
              <w:jc w:val="center"/>
              <w:spacing w:after="0" w:line="183" w:lineRule="exact"/>
              <w:rPr>
                <w:sz w:val="20"/>
                <w:szCs w:val="20"/>
                <w:color w:val="auto"/>
              </w:rPr>
            </w:pPr>
            <w:r>
              <w:rPr>
                <w:rFonts w:ascii="Arial" w:cs="Arial" w:eastAsia="Arial" w:hAnsi="Arial"/>
                <w:sz w:val="16"/>
                <w:szCs w:val="16"/>
                <w:color w:val="auto"/>
              </w:rPr>
              <w:t>50.0%</w:t>
            </w:r>
          </w:p>
        </w:tc>
      </w:tr>
      <w:tr>
        <w:trPr>
          <w:trHeight w:val="183"/>
        </w:trPr>
        <w:tc>
          <w:tcPr>
            <w:tcW w:w="480" w:type="dxa"/>
            <w:vAlign w:val="bottom"/>
            <w:tcBorders>
              <w:left w:val="single" w:sz="8" w:color="auto"/>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&lt;</w:t>
            </w:r>
          </w:p>
        </w:tc>
        <w:tc>
          <w:tcPr>
            <w:tcW w:w="820" w:type="dxa"/>
            <w:vAlign w:val="bottom"/>
            <w:tcBorders>
              <w:bottom w:val="single" w:sz="8" w:color="auto"/>
              <w:right w:val="single" w:sz="8" w:color="auto"/>
            </w:tcBorders>
          </w:tcPr>
          <w:p>
            <w:pPr>
              <w:jc w:val="center"/>
              <w:ind w:right="219"/>
              <w:spacing w:after="0" w:line="183" w:lineRule="exact"/>
              <w:rPr>
                <w:sz w:val="20"/>
                <w:szCs w:val="20"/>
                <w:color w:val="auto"/>
              </w:rPr>
            </w:pPr>
            <w:r>
              <w:rPr>
                <w:rFonts w:ascii="Arial" w:cs="Arial" w:eastAsia="Arial" w:hAnsi="Arial"/>
                <w:sz w:val="16"/>
                <w:szCs w:val="16"/>
                <w:color w:val="auto"/>
                <w:w w:val="99"/>
              </w:rPr>
              <w:t>80%</w:t>
            </w:r>
          </w:p>
        </w:tc>
        <w:tc>
          <w:tcPr>
            <w:tcW w:w="13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0%</w:t>
            </w:r>
          </w:p>
        </w:tc>
      </w:tr>
    </w:tbl>
    <w:p>
      <w:pPr>
        <w:spacing w:after="0" w:line="83"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jc w:val="both"/>
        <w:ind w:left="1260"/>
        <w:spacing w:after="0" w:line="248" w:lineRule="auto"/>
        <w:rPr>
          <w:sz w:val="20"/>
          <w:szCs w:val="20"/>
          <w:color w:val="auto"/>
        </w:rPr>
      </w:pPr>
      <w:r>
        <w:rPr>
          <w:rFonts w:ascii="Arial" w:cs="Arial" w:eastAsia="Arial" w:hAnsi="Arial"/>
          <w:sz w:val="16"/>
          <w:szCs w:val="16"/>
          <w:color w:val="auto"/>
        </w:rPr>
        <w:t>The Committee approved a funding level of 105.2% for Business Unit Results, and 120% for Individual Results. In connection with the funding level for Individual Results, the Committee considered Mr. McClure’s objectives, which included components relating to general management, sales and marketing, and compliance and administration, as well as operational objectives and goals relating to the realignment of the Onsite business. In arriving at a funding level of 120% for Individual Results,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326390</wp:posOffset>
            </wp:positionV>
            <wp:extent cx="608965" cy="9175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8965" cy="91757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340" w:right="200"/>
        <w:spacing w:after="0" w:line="242" w:lineRule="auto"/>
        <w:rPr>
          <w:sz w:val="20"/>
          <w:szCs w:val="20"/>
          <w:color w:val="auto"/>
        </w:rPr>
      </w:pPr>
      <w:r>
        <w:rPr>
          <w:rFonts w:ascii="Arial" w:cs="Arial" w:eastAsia="Arial" w:hAnsi="Arial"/>
          <w:sz w:val="16"/>
          <w:szCs w:val="16"/>
          <w:b w:val="1"/>
          <w:bCs w:val="1"/>
          <w:color w:val="004FF9"/>
        </w:rPr>
        <w:t>Tracy K. Price, Executive Vice President, Business Leader for Building &amp; Energy Solutions and Corporate Sales and Marketing</w:t>
      </w:r>
    </w:p>
    <w:p>
      <w:pPr>
        <w:spacing w:after="0" w:line="102" w:lineRule="exact"/>
        <w:rPr>
          <w:sz w:val="20"/>
          <w:szCs w:val="20"/>
          <w:color w:val="auto"/>
        </w:rPr>
      </w:pPr>
    </w:p>
    <w:p>
      <w:pPr>
        <w:jc w:val="both"/>
        <w:ind w:left="2340"/>
        <w:spacing w:after="0" w:line="246" w:lineRule="auto"/>
        <w:rPr>
          <w:sz w:val="20"/>
          <w:szCs w:val="20"/>
          <w:color w:val="auto"/>
        </w:rPr>
      </w:pPr>
      <w:r>
        <w:rPr>
          <w:rFonts w:ascii="Arial" w:cs="Arial" w:eastAsia="Arial" w:hAnsi="Arial"/>
          <w:sz w:val="16"/>
          <w:szCs w:val="16"/>
          <w:color w:val="auto"/>
        </w:rPr>
        <w:t>Mr. Price’s annual cash incentive compensation was primarily based 50% on Company Results, 25% on</w:t>
      </w:r>
    </w:p>
    <w:p>
      <w:pPr>
        <w:spacing w:after="0" w:line="1"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Business Unit Results for the Building &amp; Energy Solutions (“BES”) business and 25% on Individual Results.</w:t>
      </w:r>
    </w:p>
    <w:p>
      <w:pPr>
        <w:spacing w:after="0" w:line="20" w:lineRule="exact"/>
        <w:rPr>
          <w:sz w:val="20"/>
          <w:szCs w:val="20"/>
          <w:color w:val="auto"/>
        </w:rPr>
      </w:pPr>
      <w:r>
        <w:rPr>
          <w:sz w:val="20"/>
          <w:szCs w:val="20"/>
          <w:color w:val="auto"/>
        </w:rPr>
        <w:br w:type="column"/>
      </w:r>
    </w:p>
    <w:p>
      <w:pPr>
        <w:jc w:val="both"/>
        <w:ind w:right="739"/>
        <w:spacing w:after="0" w:line="248" w:lineRule="auto"/>
        <w:rPr>
          <w:sz w:val="20"/>
          <w:szCs w:val="20"/>
          <w:color w:val="auto"/>
        </w:rPr>
      </w:pPr>
      <w:r>
        <w:rPr>
          <w:rFonts w:ascii="Arial" w:cs="Arial" w:eastAsia="Arial" w:hAnsi="Arial"/>
          <w:sz w:val="16"/>
          <w:szCs w:val="16"/>
          <w:color w:val="auto"/>
        </w:rPr>
        <w:t>Committee noted good performance in the realignment of the Onsite business, and the successful rollout of the “Solve One More” initiative to drive sales. As Company results were accorded a 50% weight and Business Unit and Individual Results were each accorded a 25% weight, this resulted in an overall funding level of 112.7% under the PIP. Accordingly, the Committee approved an annual cash incentive payment in the amount of $572,773 for Mr. McClure.</w:t>
      </w:r>
    </w:p>
    <w:p>
      <w:pPr>
        <w:spacing w:after="0" w:line="200" w:lineRule="exact"/>
        <w:rPr>
          <w:sz w:val="20"/>
          <w:szCs w:val="20"/>
          <w:color w:val="auto"/>
        </w:rPr>
      </w:pPr>
    </w:p>
    <w:p>
      <w:pPr>
        <w:spacing w:after="0" w:line="316"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Mr. Price’s Business Unit Results were measured by reference to the BES business and were based on the BES business’s 2014 fiscal year income from continuing operations relative to (1) budget for fiscal year 2014 and (2) 2013 fiscal year results, with the two factors being weighted equally.</w:t>
      </w:r>
    </w:p>
    <w:p>
      <w:pPr>
        <w:spacing w:after="0" w:line="1149"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table below shows target and 2014 Business Unit Results for BES.</w:t>
      </w:r>
    </w:p>
    <w:p>
      <w:pPr>
        <w:spacing w:after="0" w:line="188"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004FF9"/>
        </w:rPr>
        <w:t>BES 2014 Income from Continuing Operations</w:t>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460" w:type="dxa"/>
            <w:vAlign w:val="bottom"/>
            <w:tcBorders>
              <w:top w:val="single" w:sz="8" w:color="auto"/>
              <w:left w:val="single" w:sz="8" w:color="auto"/>
            </w:tcBorders>
            <w:shd w:val="clear" w:color="auto" w:fill="B1C9FD"/>
          </w:tcPr>
          <w:p>
            <w:pPr>
              <w:spacing w:after="0"/>
              <w:rPr>
                <w:sz w:val="17"/>
                <w:szCs w:val="17"/>
                <w:color w:val="auto"/>
              </w:rPr>
            </w:pPr>
          </w:p>
        </w:tc>
        <w:tc>
          <w:tcPr>
            <w:tcW w:w="2160" w:type="dxa"/>
            <w:vAlign w:val="bottom"/>
            <w:tcBorders>
              <w:top w:val="single" w:sz="8" w:color="auto"/>
              <w:right w:val="single" w:sz="8" w:color="auto"/>
            </w:tcBorders>
            <w:shd w:val="clear" w:color="auto" w:fill="B1C9FD"/>
          </w:tcPr>
          <w:p>
            <w:pPr>
              <w:jc w:val="center"/>
              <w:ind w:right="423"/>
              <w:spacing w:after="0"/>
              <w:rPr>
                <w:sz w:val="20"/>
                <w:szCs w:val="20"/>
                <w:color w:val="auto"/>
              </w:rPr>
            </w:pPr>
            <w:r>
              <w:rPr>
                <w:rFonts w:ascii="Arial" w:cs="Arial" w:eastAsia="Arial" w:hAnsi="Arial"/>
                <w:sz w:val="14"/>
                <w:szCs w:val="14"/>
                <w:b w:val="1"/>
                <w:bCs w:val="1"/>
                <w:color w:val="004FF9"/>
              </w:rPr>
              <w:t>Income from</w:t>
            </w:r>
          </w:p>
        </w:tc>
        <w:tc>
          <w:tcPr>
            <w:tcW w:w="1380" w:type="dxa"/>
            <w:vAlign w:val="bottom"/>
            <w:tcBorders>
              <w:top w:val="single" w:sz="8" w:color="auto"/>
              <w:right w:val="single" w:sz="8" w:color="auto"/>
            </w:tcBorders>
            <w:shd w:val="clear" w:color="auto" w:fill="B1C9FD"/>
          </w:tcPr>
          <w:p>
            <w:pPr>
              <w:spacing w:after="0"/>
              <w:rPr>
                <w:sz w:val="17"/>
                <w:szCs w:val="17"/>
                <w:color w:val="auto"/>
              </w:rPr>
            </w:pPr>
          </w:p>
        </w:tc>
        <w:tc>
          <w:tcPr>
            <w:tcW w:w="1400" w:type="dxa"/>
            <w:vAlign w:val="bottom"/>
            <w:tcBorders>
              <w:top w:val="single" w:sz="8" w:color="auto"/>
              <w:right w:val="single" w:sz="8" w:color="auto"/>
            </w:tcBorders>
            <w:shd w:val="clear" w:color="auto" w:fill="B1C9FD"/>
          </w:tcPr>
          <w:p>
            <w:pPr>
              <w:spacing w:after="0"/>
              <w:rPr>
                <w:sz w:val="17"/>
                <w:szCs w:val="17"/>
                <w:color w:val="auto"/>
              </w:rPr>
            </w:pPr>
          </w:p>
        </w:tc>
        <w:tc>
          <w:tcPr>
            <w:tcW w:w="1400" w:type="dxa"/>
            <w:vAlign w:val="bottom"/>
            <w:tcBorders>
              <w:top w:val="single" w:sz="8" w:color="auto"/>
              <w:right w:val="single" w:sz="8" w:color="auto"/>
            </w:tcBorders>
            <w:shd w:val="clear" w:color="auto" w:fill="B1C9FD"/>
          </w:tcPr>
          <w:p>
            <w:pPr>
              <w:spacing w:after="0"/>
              <w:rPr>
                <w:sz w:val="17"/>
                <w:szCs w:val="17"/>
                <w:color w:val="auto"/>
              </w:rPr>
            </w:pPr>
          </w:p>
        </w:tc>
        <w:tc>
          <w:tcPr>
            <w:tcW w:w="1420" w:type="dxa"/>
            <w:vAlign w:val="bottom"/>
            <w:tcBorders>
              <w:top w:val="single" w:sz="8" w:color="auto"/>
              <w:right w:val="single" w:sz="8" w:color="auto"/>
            </w:tcBorders>
            <w:shd w:val="clear" w:color="auto" w:fill="B1C9FD"/>
          </w:tcPr>
          <w:p>
            <w:pPr>
              <w:jc w:val="right"/>
              <w:ind w:right="403"/>
              <w:spacing w:after="0"/>
              <w:rPr>
                <w:sz w:val="20"/>
                <w:szCs w:val="20"/>
                <w:color w:val="auto"/>
              </w:rPr>
            </w:pPr>
            <w:r>
              <w:rPr>
                <w:rFonts w:ascii="Arial" w:cs="Arial" w:eastAsia="Arial" w:hAnsi="Arial"/>
                <w:sz w:val="14"/>
                <w:szCs w:val="14"/>
                <w:b w:val="1"/>
                <w:bCs w:val="1"/>
                <w:color w:val="004FF9"/>
              </w:rPr>
              <w:t>Bonus</w:t>
            </w:r>
          </w:p>
        </w:tc>
      </w:tr>
      <w:tr>
        <w:trPr>
          <w:trHeight w:val="175"/>
        </w:trPr>
        <w:tc>
          <w:tcPr>
            <w:tcW w:w="460" w:type="dxa"/>
            <w:vAlign w:val="bottom"/>
            <w:tcBorders>
              <w:left w:val="single" w:sz="8" w:color="auto"/>
              <w:bottom w:val="single" w:sz="8" w:color="auto"/>
            </w:tcBorders>
            <w:shd w:val="clear" w:color="auto" w:fill="B1C9FD"/>
          </w:tcPr>
          <w:p>
            <w:pPr>
              <w:spacing w:after="0"/>
              <w:rPr>
                <w:sz w:val="15"/>
                <w:szCs w:val="15"/>
                <w:color w:val="auto"/>
              </w:rPr>
            </w:pPr>
          </w:p>
        </w:tc>
        <w:tc>
          <w:tcPr>
            <w:tcW w:w="2160" w:type="dxa"/>
            <w:vAlign w:val="bottom"/>
            <w:tcBorders>
              <w:bottom w:val="single" w:sz="8" w:color="auto"/>
              <w:right w:val="single" w:sz="8" w:color="auto"/>
            </w:tcBorders>
            <w:shd w:val="clear" w:color="auto" w:fill="B1C9FD"/>
          </w:tcPr>
          <w:p>
            <w:pPr>
              <w:jc w:val="center"/>
              <w:ind w:right="403"/>
              <w:spacing w:after="0"/>
              <w:rPr>
                <w:sz w:val="20"/>
                <w:szCs w:val="20"/>
                <w:color w:val="auto"/>
              </w:rPr>
            </w:pPr>
            <w:r>
              <w:rPr>
                <w:rFonts w:ascii="Arial" w:cs="Arial" w:eastAsia="Arial" w:hAnsi="Arial"/>
                <w:sz w:val="14"/>
                <w:szCs w:val="14"/>
                <w:b w:val="1"/>
                <w:bCs w:val="1"/>
                <w:color w:val="004FF9"/>
              </w:rPr>
              <w:t>Continuing Operations</w:t>
            </w:r>
          </w:p>
        </w:tc>
        <w:tc>
          <w:tcPr>
            <w:tcW w:w="13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Base Level</w:t>
            </w:r>
          </w:p>
        </w:tc>
        <w:tc>
          <w:tcPr>
            <w:tcW w:w="1400" w:type="dxa"/>
            <w:vAlign w:val="bottom"/>
            <w:tcBorders>
              <w:bottom w:val="single" w:sz="8" w:color="auto"/>
              <w:right w:val="single" w:sz="8" w:color="auto"/>
            </w:tcBorders>
            <w:shd w:val="clear" w:color="auto" w:fill="B1C9FD"/>
          </w:tcPr>
          <w:p>
            <w:pPr>
              <w:ind w:left="260"/>
              <w:spacing w:after="0"/>
              <w:rPr>
                <w:sz w:val="20"/>
                <w:szCs w:val="20"/>
                <w:color w:val="auto"/>
              </w:rPr>
            </w:pPr>
            <w:r>
              <w:rPr>
                <w:rFonts w:ascii="Arial" w:cs="Arial" w:eastAsia="Arial" w:hAnsi="Arial"/>
                <w:sz w:val="14"/>
                <w:szCs w:val="14"/>
                <w:b w:val="1"/>
                <w:bCs w:val="1"/>
                <w:color w:val="004FF9"/>
              </w:rPr>
              <w:t>2014 Results</w:t>
            </w:r>
          </w:p>
        </w:tc>
        <w:tc>
          <w:tcPr>
            <w:tcW w:w="1400" w:type="dxa"/>
            <w:vAlign w:val="bottom"/>
            <w:tcBorders>
              <w:bottom w:val="single" w:sz="8" w:color="auto"/>
              <w:right w:val="single" w:sz="8" w:color="auto"/>
            </w:tcBorders>
            <w:shd w:val="clear" w:color="auto" w:fill="B1C9FD"/>
          </w:tcPr>
          <w:p>
            <w:pPr>
              <w:jc w:val="right"/>
              <w:ind w:right="182"/>
              <w:spacing w:after="0"/>
              <w:rPr>
                <w:sz w:val="20"/>
                <w:szCs w:val="20"/>
                <w:color w:val="auto"/>
              </w:rPr>
            </w:pPr>
            <w:r>
              <w:rPr>
                <w:rFonts w:ascii="Arial" w:cs="Arial" w:eastAsia="Arial" w:hAnsi="Arial"/>
                <w:sz w:val="14"/>
                <w:szCs w:val="14"/>
                <w:b w:val="1"/>
                <w:bCs w:val="1"/>
                <w:color w:val="004FF9"/>
              </w:rPr>
              <w:t>Achievement</w:t>
            </w:r>
          </w:p>
        </w:tc>
        <w:tc>
          <w:tcPr>
            <w:tcW w:w="1420" w:type="dxa"/>
            <w:vAlign w:val="bottom"/>
            <w:tcBorders>
              <w:bottom w:val="single" w:sz="8" w:color="auto"/>
              <w:right w:val="single" w:sz="8" w:color="auto"/>
            </w:tcBorders>
            <w:shd w:val="clear" w:color="auto" w:fill="B1C9FD"/>
          </w:tcPr>
          <w:p>
            <w:pPr>
              <w:jc w:val="right"/>
              <w:ind w:right="343"/>
              <w:spacing w:after="0"/>
              <w:rPr>
                <w:sz w:val="20"/>
                <w:szCs w:val="20"/>
                <w:color w:val="auto"/>
              </w:rPr>
            </w:pPr>
            <w:r>
              <w:rPr>
                <w:rFonts w:ascii="Arial" w:cs="Arial" w:eastAsia="Arial" w:hAnsi="Arial"/>
                <w:sz w:val="14"/>
                <w:szCs w:val="14"/>
                <w:b w:val="1"/>
                <w:bCs w:val="1"/>
                <w:color w:val="004FF9"/>
              </w:rPr>
              <w:t>Funding</w:t>
            </w:r>
          </w:p>
        </w:tc>
      </w:tr>
      <w:tr>
        <w:trPr>
          <w:trHeight w:val="196"/>
        </w:trPr>
        <w:tc>
          <w:tcPr>
            <w:tcW w:w="4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2014</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Budget (50%)</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$22.1 million</w:t>
            </w:r>
          </w:p>
        </w:tc>
        <w:tc>
          <w:tcPr>
            <w:tcW w:w="14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$23.1 million</w:t>
            </w:r>
          </w:p>
        </w:tc>
        <w:tc>
          <w:tcPr>
            <w:tcW w:w="1400" w:type="dxa"/>
            <w:vAlign w:val="bottom"/>
            <w:tcBorders>
              <w:bottom w:val="single" w:sz="8" w:color="auto"/>
              <w:right w:val="single" w:sz="8" w:color="auto"/>
            </w:tcBorders>
          </w:tcPr>
          <w:p>
            <w:pPr>
              <w:jc w:val="right"/>
              <w:ind w:right="282"/>
              <w:spacing w:after="0"/>
              <w:rPr>
                <w:sz w:val="20"/>
                <w:szCs w:val="20"/>
                <w:color w:val="auto"/>
              </w:rPr>
            </w:pPr>
            <w:r>
              <w:rPr>
                <w:rFonts w:ascii="Arial" w:cs="Arial" w:eastAsia="Arial" w:hAnsi="Arial"/>
                <w:sz w:val="16"/>
                <w:szCs w:val="16"/>
                <w:color w:val="auto"/>
              </w:rPr>
              <w:t>104.8%</w:t>
            </w:r>
          </w:p>
        </w:tc>
        <w:tc>
          <w:tcPr>
            <w:tcW w:w="1420" w:type="dxa"/>
            <w:vAlign w:val="bottom"/>
            <w:tcBorders>
              <w:bottom w:val="single" w:sz="8" w:color="auto"/>
              <w:right w:val="single" w:sz="8" w:color="auto"/>
            </w:tcBorders>
          </w:tcPr>
          <w:p>
            <w:pPr>
              <w:jc w:val="right"/>
              <w:ind w:right="263"/>
              <w:spacing w:after="0"/>
              <w:rPr>
                <w:sz w:val="20"/>
                <w:szCs w:val="20"/>
                <w:color w:val="auto"/>
              </w:rPr>
            </w:pPr>
            <w:r>
              <w:rPr>
                <w:rFonts w:ascii="Arial" w:cs="Arial" w:eastAsia="Arial" w:hAnsi="Arial"/>
                <w:sz w:val="16"/>
                <w:szCs w:val="16"/>
                <w:color w:val="auto"/>
              </w:rPr>
              <w:t>112.0%</w:t>
            </w:r>
          </w:p>
        </w:tc>
      </w:tr>
      <w:tr>
        <w:trPr>
          <w:trHeight w:val="196"/>
        </w:trPr>
        <w:tc>
          <w:tcPr>
            <w:tcW w:w="460" w:type="dxa"/>
            <w:vAlign w:val="bottom"/>
            <w:tcBorders>
              <w:left w:val="single" w:sz="8" w:color="auto"/>
              <w:bottom w:val="single" w:sz="8" w:color="auto"/>
            </w:tcBorders>
            <w:shd w:val="clear" w:color="auto" w:fill="E5EDFE"/>
          </w:tcPr>
          <w:p>
            <w:pPr>
              <w:ind w:left="80"/>
              <w:spacing w:after="0"/>
              <w:rPr>
                <w:sz w:val="20"/>
                <w:szCs w:val="20"/>
                <w:color w:val="auto"/>
              </w:rPr>
            </w:pPr>
            <w:r>
              <w:rPr>
                <w:rFonts w:ascii="Arial" w:cs="Arial" w:eastAsia="Arial" w:hAnsi="Arial"/>
                <w:sz w:val="16"/>
                <w:szCs w:val="16"/>
                <w:color w:val="auto"/>
              </w:rPr>
              <w:t>2013</w:t>
            </w:r>
          </w:p>
        </w:tc>
        <w:tc>
          <w:tcPr>
            <w:tcW w:w="2160" w:type="dxa"/>
            <w:vAlign w:val="bottom"/>
            <w:tcBorders>
              <w:bottom w:val="single" w:sz="8" w:color="auto"/>
              <w:right w:val="single" w:sz="8" w:color="auto"/>
            </w:tcBorders>
            <w:shd w:val="clear" w:color="auto" w:fill="E5EDFE"/>
          </w:tcPr>
          <w:p>
            <w:pPr>
              <w:ind w:left="20"/>
              <w:spacing w:after="0"/>
              <w:rPr>
                <w:sz w:val="20"/>
                <w:szCs w:val="20"/>
                <w:color w:val="auto"/>
              </w:rPr>
            </w:pPr>
            <w:r>
              <w:rPr>
                <w:rFonts w:ascii="Arial" w:cs="Arial" w:eastAsia="Arial" w:hAnsi="Arial"/>
                <w:sz w:val="16"/>
                <w:szCs w:val="16"/>
                <w:color w:val="auto"/>
              </w:rPr>
              <w:t>Actual (50%)</w:t>
            </w:r>
          </w:p>
        </w:tc>
        <w:tc>
          <w:tcPr>
            <w:tcW w:w="13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$15.3 million</w:t>
            </w:r>
          </w:p>
        </w:tc>
        <w:tc>
          <w:tcPr>
            <w:tcW w:w="1400" w:type="dxa"/>
            <w:vAlign w:val="bottom"/>
            <w:tcBorders>
              <w:bottom w:val="single" w:sz="8" w:color="auto"/>
              <w:right w:val="single" w:sz="8" w:color="auto"/>
            </w:tcBorders>
            <w:shd w:val="clear" w:color="auto" w:fill="E5EDFE"/>
          </w:tcPr>
          <w:p>
            <w:pPr>
              <w:ind w:left="240"/>
              <w:spacing w:after="0"/>
              <w:rPr>
                <w:sz w:val="20"/>
                <w:szCs w:val="20"/>
                <w:color w:val="auto"/>
              </w:rPr>
            </w:pPr>
            <w:r>
              <w:rPr>
                <w:rFonts w:ascii="Arial" w:cs="Arial" w:eastAsia="Arial" w:hAnsi="Arial"/>
                <w:sz w:val="16"/>
                <w:szCs w:val="16"/>
                <w:color w:val="auto"/>
              </w:rPr>
              <w:t>$23.1 million</w:t>
            </w:r>
          </w:p>
        </w:tc>
        <w:tc>
          <w:tcPr>
            <w:tcW w:w="1400" w:type="dxa"/>
            <w:vAlign w:val="bottom"/>
            <w:tcBorders>
              <w:bottom w:val="single" w:sz="8" w:color="auto"/>
              <w:right w:val="single" w:sz="8" w:color="auto"/>
            </w:tcBorders>
            <w:shd w:val="clear" w:color="auto" w:fill="E5EDFE"/>
          </w:tcPr>
          <w:p>
            <w:pPr>
              <w:jc w:val="right"/>
              <w:ind w:right="282"/>
              <w:spacing w:after="0"/>
              <w:rPr>
                <w:sz w:val="20"/>
                <w:szCs w:val="20"/>
                <w:color w:val="auto"/>
              </w:rPr>
            </w:pPr>
            <w:r>
              <w:rPr>
                <w:rFonts w:ascii="Arial" w:cs="Arial" w:eastAsia="Arial" w:hAnsi="Arial"/>
                <w:sz w:val="16"/>
                <w:szCs w:val="16"/>
                <w:color w:val="auto"/>
              </w:rPr>
              <w:t>151.1%</w:t>
            </w:r>
          </w:p>
        </w:tc>
        <w:tc>
          <w:tcPr>
            <w:tcW w:w="1420" w:type="dxa"/>
            <w:vAlign w:val="bottom"/>
            <w:tcBorders>
              <w:bottom w:val="single" w:sz="8" w:color="auto"/>
              <w:right w:val="single" w:sz="8" w:color="auto"/>
            </w:tcBorders>
            <w:shd w:val="clear" w:color="auto" w:fill="E5EDFE"/>
          </w:tcPr>
          <w:p>
            <w:pPr>
              <w:jc w:val="right"/>
              <w:ind w:right="263"/>
              <w:spacing w:after="0"/>
              <w:rPr>
                <w:sz w:val="20"/>
                <w:szCs w:val="20"/>
                <w:color w:val="auto"/>
              </w:rPr>
            </w:pPr>
            <w:r>
              <w:rPr>
                <w:rFonts w:ascii="Arial" w:cs="Arial" w:eastAsia="Arial" w:hAnsi="Arial"/>
                <w:sz w:val="16"/>
                <w:szCs w:val="16"/>
                <w:color w:val="auto"/>
              </w:rPr>
              <w:t>175.0%</w:t>
            </w:r>
          </w:p>
        </w:tc>
      </w:tr>
      <w:tr>
        <w:trPr>
          <w:trHeight w:val="196"/>
        </w:trPr>
        <w:tc>
          <w:tcPr>
            <w:tcW w:w="26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right"/>
              <w:ind w:right="263"/>
              <w:spacing w:after="0"/>
              <w:rPr>
                <w:sz w:val="20"/>
                <w:szCs w:val="20"/>
                <w:color w:val="auto"/>
              </w:rPr>
            </w:pPr>
            <w:r>
              <w:rPr>
                <w:rFonts w:ascii="Arial" w:cs="Arial" w:eastAsia="Arial" w:hAnsi="Arial"/>
                <w:sz w:val="16"/>
                <w:szCs w:val="16"/>
                <w:color w:val="auto"/>
              </w:rPr>
              <w:t>143.5%</w:t>
            </w:r>
          </w:p>
        </w:tc>
      </w:tr>
    </w:tbl>
    <w:p>
      <w:pPr>
        <w:spacing w:after="0" w:line="191" w:lineRule="exact"/>
        <w:rPr>
          <w:sz w:val="20"/>
          <w:szCs w:val="20"/>
          <w:color w:val="auto"/>
        </w:rPr>
      </w:pPr>
    </w:p>
    <w:p>
      <w:pPr>
        <w:jc w:val="both"/>
        <w:ind w:left="1260" w:right="739"/>
        <w:spacing w:after="0" w:line="260" w:lineRule="auto"/>
        <w:rPr>
          <w:sz w:val="20"/>
          <w:szCs w:val="20"/>
          <w:color w:val="auto"/>
        </w:rPr>
      </w:pPr>
      <w:r>
        <w:rPr>
          <w:rFonts w:ascii="Arial" w:cs="Arial" w:eastAsia="Arial" w:hAnsi="Arial"/>
          <w:sz w:val="16"/>
          <w:szCs w:val="16"/>
          <w:color w:val="auto"/>
        </w:rPr>
        <w:t>The funding level for each component was determined based on the following table (with linear extrapolation used for achievement between listed results):</w:t>
      </w:r>
    </w:p>
    <w:p>
      <w:pPr>
        <w:spacing w:after="0" w:line="106" w:lineRule="exact"/>
        <w:rPr>
          <w:sz w:val="20"/>
          <w:szCs w:val="20"/>
          <w:color w:val="auto"/>
        </w:rPr>
      </w:pPr>
    </w:p>
    <w:tbl>
      <w:tblPr>
        <w:tblLayout w:type="fixed"/>
        <w:tblInd w:w="4090" w:type="dxa"/>
        <w:tblCellMar>
          <w:top w:w="0" w:type="dxa"/>
          <w:left w:w="0" w:type="dxa"/>
          <w:bottom w:w="0" w:type="dxa"/>
          <w:right w:w="0" w:type="dxa"/>
        </w:tblCellMar>
      </w:tblPr>
      <w:tr>
        <w:trPr>
          <w:trHeight w:val="230"/>
        </w:trPr>
        <w:tc>
          <w:tcPr>
            <w:tcW w:w="1300" w:type="dxa"/>
            <w:vAlign w:val="bottom"/>
            <w:tcBorders>
              <w:top w:val="single" w:sz="8" w:color="auto"/>
              <w:left w:val="single" w:sz="8" w:color="auto"/>
              <w:bottom w:val="single" w:sz="8" w:color="auto"/>
              <w:right w:val="single" w:sz="8" w:color="auto"/>
            </w:tcBorders>
            <w:gridSpan w:val="2"/>
            <w:shd w:val="clear" w:color="auto" w:fill="B1C9FD"/>
          </w:tcPr>
          <w:p>
            <w:pPr>
              <w:ind w:left="120"/>
              <w:spacing w:after="0"/>
              <w:rPr>
                <w:sz w:val="20"/>
                <w:szCs w:val="20"/>
                <w:color w:val="auto"/>
              </w:rPr>
            </w:pPr>
            <w:r>
              <w:rPr>
                <w:rFonts w:ascii="Arial" w:cs="Arial" w:eastAsia="Arial" w:hAnsi="Arial"/>
                <w:sz w:val="16"/>
                <w:szCs w:val="16"/>
                <w:b w:val="1"/>
                <w:bCs w:val="1"/>
                <w:color w:val="004FF9"/>
              </w:rPr>
              <w:t>Achievement</w:t>
            </w:r>
          </w:p>
        </w:tc>
        <w:tc>
          <w:tcPr>
            <w:tcW w:w="1300" w:type="dxa"/>
            <w:vAlign w:val="bottom"/>
            <w:tcBorders>
              <w:top w:val="single" w:sz="8" w:color="auto"/>
              <w:bottom w:val="single" w:sz="8" w:color="auto"/>
              <w:right w:val="single" w:sz="8" w:color="auto"/>
            </w:tcBorders>
            <w:shd w:val="clear" w:color="auto" w:fill="B1C9FD"/>
          </w:tcPr>
          <w:p>
            <w:pPr>
              <w:ind w:left="340"/>
              <w:spacing w:after="0"/>
              <w:rPr>
                <w:sz w:val="20"/>
                <w:szCs w:val="20"/>
                <w:color w:val="auto"/>
              </w:rPr>
            </w:pPr>
            <w:r>
              <w:rPr>
                <w:rFonts w:ascii="Arial" w:cs="Arial" w:eastAsia="Arial" w:hAnsi="Arial"/>
                <w:sz w:val="16"/>
                <w:szCs w:val="16"/>
                <w:b w:val="1"/>
                <w:bCs w:val="1"/>
                <w:color w:val="004FF9"/>
              </w:rPr>
              <w:t>Funding</w:t>
            </w:r>
          </w:p>
        </w:tc>
      </w:tr>
      <w:tr>
        <w:trPr>
          <w:trHeight w:val="169"/>
        </w:trPr>
        <w:tc>
          <w:tcPr>
            <w:tcW w:w="480" w:type="dxa"/>
            <w:vAlign w:val="bottom"/>
            <w:tcBorders>
              <w:left w:val="single" w:sz="8" w:color="auto"/>
              <w:bottom w:val="single" w:sz="8" w:color="auto"/>
            </w:tcBorders>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center"/>
              <w:ind w:right="239"/>
              <w:spacing w:after="0" w:line="169" w:lineRule="exact"/>
              <w:rPr>
                <w:sz w:val="20"/>
                <w:szCs w:val="20"/>
                <w:color w:val="auto"/>
              </w:rPr>
            </w:pPr>
            <w:r>
              <w:rPr>
                <w:rFonts w:ascii="Arial" w:cs="Arial" w:eastAsia="Arial" w:hAnsi="Arial"/>
                <w:sz w:val="16"/>
                <w:szCs w:val="16"/>
                <w:color w:val="auto"/>
              </w:rPr>
              <w:t>125%</w:t>
            </w:r>
          </w:p>
        </w:tc>
        <w:tc>
          <w:tcPr>
            <w:tcW w:w="13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175.0%</w:t>
            </w:r>
          </w:p>
        </w:tc>
      </w:tr>
      <w:tr>
        <w:trPr>
          <w:trHeight w:val="169"/>
        </w:trPr>
        <w:tc>
          <w:tcPr>
            <w:tcW w:w="480" w:type="dxa"/>
            <w:vAlign w:val="bottom"/>
            <w:tcBorders>
              <w:left w:val="single" w:sz="8" w:color="auto"/>
              <w:bottom w:val="single" w:sz="8" w:color="auto"/>
            </w:tcBorders>
            <w:shd w:val="clear" w:color="auto" w:fill="E5EDFE"/>
          </w:tcPr>
          <w:p>
            <w:pPr>
              <w:ind w:left="300"/>
              <w:spacing w:after="0" w:line="169"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shd w:val="clear" w:color="auto" w:fill="E5EDFE"/>
          </w:tcPr>
          <w:p>
            <w:pPr>
              <w:jc w:val="center"/>
              <w:ind w:right="239"/>
              <w:spacing w:after="0" w:line="169" w:lineRule="exact"/>
              <w:rPr>
                <w:sz w:val="20"/>
                <w:szCs w:val="20"/>
                <w:color w:val="auto"/>
              </w:rPr>
            </w:pPr>
            <w:r>
              <w:rPr>
                <w:rFonts w:ascii="Arial" w:cs="Arial" w:eastAsia="Arial" w:hAnsi="Arial"/>
                <w:sz w:val="16"/>
                <w:szCs w:val="16"/>
                <w:color w:val="auto"/>
              </w:rPr>
              <w:t>120%</w:t>
            </w:r>
          </w:p>
        </w:tc>
        <w:tc>
          <w:tcPr>
            <w:tcW w:w="13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150.0%</w:t>
            </w:r>
          </w:p>
        </w:tc>
      </w:tr>
      <w:tr>
        <w:trPr>
          <w:trHeight w:val="183"/>
        </w:trPr>
        <w:tc>
          <w:tcPr>
            <w:tcW w:w="480" w:type="dxa"/>
            <w:vAlign w:val="bottom"/>
            <w:tcBorders>
              <w:left w:val="single" w:sz="8" w:color="auto"/>
              <w:bottom w:val="single" w:sz="8" w:color="auto"/>
            </w:tcBorders>
          </w:tcPr>
          <w:p>
            <w:pPr>
              <w:ind w:left="30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tcPr>
          <w:p>
            <w:pPr>
              <w:jc w:val="center"/>
              <w:ind w:right="239"/>
              <w:spacing w:after="0" w:line="183"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100.0%</w:t>
            </w:r>
          </w:p>
        </w:tc>
      </w:tr>
      <w:tr>
        <w:trPr>
          <w:trHeight w:val="183"/>
        </w:trPr>
        <w:tc>
          <w:tcPr>
            <w:tcW w:w="480" w:type="dxa"/>
            <w:vAlign w:val="bottom"/>
            <w:tcBorders>
              <w:left w:val="single" w:sz="8" w:color="auto"/>
              <w:bottom w:val="single" w:sz="8" w:color="auto"/>
            </w:tcBorders>
            <w:shd w:val="clear" w:color="auto" w:fill="E5EDFE"/>
          </w:tcPr>
          <w:p>
            <w:pPr>
              <w:ind w:left="340"/>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right w:val="single" w:sz="8" w:color="auto"/>
            </w:tcBorders>
            <w:shd w:val="clear" w:color="auto" w:fill="E5EDFE"/>
          </w:tcPr>
          <w:p>
            <w:pPr>
              <w:jc w:val="center"/>
              <w:ind w:right="239"/>
              <w:spacing w:after="0" w:line="183" w:lineRule="exact"/>
              <w:rPr>
                <w:sz w:val="20"/>
                <w:szCs w:val="20"/>
                <w:color w:val="auto"/>
              </w:rPr>
            </w:pPr>
            <w:r>
              <w:rPr>
                <w:rFonts w:ascii="Arial" w:cs="Arial" w:eastAsia="Arial" w:hAnsi="Arial"/>
                <w:sz w:val="16"/>
                <w:szCs w:val="16"/>
                <w:color w:val="auto"/>
              </w:rPr>
              <w:t>80%</w:t>
            </w:r>
          </w:p>
        </w:tc>
        <w:tc>
          <w:tcPr>
            <w:tcW w:w="1300" w:type="dxa"/>
            <w:vAlign w:val="bottom"/>
            <w:tcBorders>
              <w:bottom w:val="single" w:sz="8" w:color="auto"/>
              <w:right w:val="single" w:sz="8" w:color="auto"/>
            </w:tcBorders>
            <w:shd w:val="clear" w:color="auto" w:fill="E5EDFE"/>
          </w:tcPr>
          <w:p>
            <w:pPr>
              <w:jc w:val="center"/>
              <w:spacing w:after="0" w:line="183" w:lineRule="exact"/>
              <w:rPr>
                <w:sz w:val="20"/>
                <w:szCs w:val="20"/>
                <w:color w:val="auto"/>
              </w:rPr>
            </w:pPr>
            <w:r>
              <w:rPr>
                <w:rFonts w:ascii="Arial" w:cs="Arial" w:eastAsia="Arial" w:hAnsi="Arial"/>
                <w:sz w:val="16"/>
                <w:szCs w:val="16"/>
                <w:color w:val="auto"/>
              </w:rPr>
              <w:t>50.0%</w:t>
            </w:r>
          </w:p>
        </w:tc>
      </w:tr>
      <w:tr>
        <w:trPr>
          <w:trHeight w:val="183"/>
        </w:trPr>
        <w:tc>
          <w:tcPr>
            <w:tcW w:w="480" w:type="dxa"/>
            <w:vAlign w:val="bottom"/>
            <w:tcBorders>
              <w:left w:val="single" w:sz="8" w:color="auto"/>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&lt;</w:t>
            </w:r>
          </w:p>
        </w:tc>
        <w:tc>
          <w:tcPr>
            <w:tcW w:w="820" w:type="dxa"/>
            <w:vAlign w:val="bottom"/>
            <w:tcBorders>
              <w:bottom w:val="single" w:sz="8" w:color="auto"/>
              <w:right w:val="single" w:sz="8" w:color="auto"/>
            </w:tcBorders>
          </w:tcPr>
          <w:p>
            <w:pPr>
              <w:jc w:val="center"/>
              <w:ind w:right="219"/>
              <w:spacing w:after="0" w:line="183" w:lineRule="exact"/>
              <w:rPr>
                <w:sz w:val="20"/>
                <w:szCs w:val="20"/>
                <w:color w:val="auto"/>
              </w:rPr>
            </w:pPr>
            <w:r>
              <w:rPr>
                <w:rFonts w:ascii="Arial" w:cs="Arial" w:eastAsia="Arial" w:hAnsi="Arial"/>
                <w:sz w:val="16"/>
                <w:szCs w:val="16"/>
                <w:color w:val="auto"/>
                <w:w w:val="99"/>
              </w:rPr>
              <w:t>80%</w:t>
            </w:r>
          </w:p>
        </w:tc>
        <w:tc>
          <w:tcPr>
            <w:tcW w:w="13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0%</w:t>
            </w:r>
          </w:p>
        </w:tc>
      </w:tr>
    </w:tbl>
    <w:p>
      <w:pPr>
        <w:spacing w:after="0" w:line="69" w:lineRule="exact"/>
        <w:rPr>
          <w:sz w:val="20"/>
          <w:szCs w:val="20"/>
          <w:color w:val="auto"/>
        </w:rPr>
      </w:pPr>
    </w:p>
    <w:p>
      <w:pPr>
        <w:sectPr>
          <w:pgSz w:w="11900" w:h="16838" w:orient="portrait"/>
          <w:cols w:equalWidth="0" w:num="1">
            <w:col w:w="10219"/>
          </w:cols>
          <w:pgMar w:left="240" w:top="132" w:right="1440" w:bottom="1440" w:gutter="0" w:footer="0" w:header="0"/>
        </w:sectPr>
      </w:pPr>
    </w:p>
    <w:p>
      <w:pPr>
        <w:jc w:val="both"/>
        <w:ind w:left="1260"/>
        <w:spacing w:after="0" w:line="248" w:lineRule="auto"/>
        <w:rPr>
          <w:sz w:val="20"/>
          <w:szCs w:val="20"/>
          <w:color w:val="auto"/>
        </w:rPr>
      </w:pPr>
      <w:r>
        <w:rPr>
          <w:rFonts w:ascii="Arial" w:cs="Arial" w:eastAsia="Arial" w:hAnsi="Arial"/>
          <w:sz w:val="16"/>
          <w:szCs w:val="16"/>
          <w:color w:val="auto"/>
        </w:rPr>
        <w:t>The Committee approved a funding level of 143.5% for Business Unit Results, and 130% for Individual results. In connection with the funding level for Individual Results, the Committee considered Mr. Price’s objectives, which included components relating to general management, sales and marketing, and compliance and administration, as well as goals relating to the development of vertical markets and government and mobile business. In arriving at a funding level of 130% for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326390</wp:posOffset>
            </wp:positionV>
            <wp:extent cx="608965" cy="917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8965" cy="91757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2340" w:right="120"/>
        <w:spacing w:after="0" w:line="249" w:lineRule="auto"/>
        <w:rPr>
          <w:sz w:val="20"/>
          <w:szCs w:val="20"/>
          <w:color w:val="auto"/>
        </w:rPr>
      </w:pPr>
      <w:r>
        <w:rPr>
          <w:rFonts w:ascii="Arial" w:cs="Arial" w:eastAsia="Arial" w:hAnsi="Arial"/>
          <w:sz w:val="16"/>
          <w:szCs w:val="16"/>
          <w:b w:val="1"/>
          <w:bCs w:val="1"/>
          <w:color w:val="004FF9"/>
        </w:rPr>
        <w:t>Sarah Hlavinka McConnell, Executive Vice President, General Counsel and Corporate Secretary</w:t>
      </w:r>
    </w:p>
    <w:p>
      <w:pPr>
        <w:spacing w:after="0" w:line="96" w:lineRule="exact"/>
        <w:rPr>
          <w:sz w:val="20"/>
          <w:szCs w:val="20"/>
          <w:color w:val="auto"/>
        </w:rPr>
      </w:pPr>
    </w:p>
    <w:p>
      <w:pPr>
        <w:jc w:val="both"/>
        <w:ind w:left="2340"/>
        <w:spacing w:after="0" w:line="246" w:lineRule="auto"/>
        <w:rPr>
          <w:sz w:val="20"/>
          <w:szCs w:val="20"/>
          <w:color w:val="auto"/>
        </w:rPr>
      </w:pPr>
      <w:r>
        <w:rPr>
          <w:rFonts w:ascii="Arial" w:cs="Arial" w:eastAsia="Arial" w:hAnsi="Arial"/>
          <w:sz w:val="16"/>
          <w:szCs w:val="16"/>
          <w:color w:val="auto"/>
        </w:rPr>
        <w:t>Ms. McConnell’s annual cash incentive compensation under the PIP was based 70% on Company</w:t>
      </w:r>
    </w:p>
    <w:p>
      <w:pPr>
        <w:spacing w:after="0" w:line="1" w:lineRule="exact"/>
        <w:rPr>
          <w:sz w:val="20"/>
          <w:szCs w:val="20"/>
          <w:color w:val="auto"/>
        </w:rPr>
      </w:pPr>
    </w:p>
    <w:p>
      <w:pPr>
        <w:jc w:val="both"/>
        <w:ind w:left="1260" w:right="20" w:firstLine="1080"/>
        <w:spacing w:after="0" w:line="260" w:lineRule="auto"/>
        <w:rPr>
          <w:sz w:val="20"/>
          <w:szCs w:val="20"/>
          <w:color w:val="auto"/>
        </w:rPr>
      </w:pPr>
      <w:r>
        <w:rPr>
          <w:rFonts w:ascii="Arial" w:cs="Arial" w:eastAsia="Arial" w:hAnsi="Arial"/>
          <w:sz w:val="16"/>
          <w:szCs w:val="16"/>
          <w:color w:val="auto"/>
        </w:rPr>
        <w:t>Results and 30% on Department/Individual Results.</w:t>
      </w:r>
    </w:p>
    <w:p>
      <w:pPr>
        <w:spacing w:after="0" w:line="74"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The Committee approved a funding level of 120% for Department Results and 120% for Individual Results, for an overall funding of 120% with respect to these measures. In doing so, the Committee considered</w:t>
      </w:r>
    </w:p>
    <w:p>
      <w:pPr>
        <w:spacing w:after="0" w:line="20" w:lineRule="exact"/>
        <w:rPr>
          <w:sz w:val="20"/>
          <w:szCs w:val="20"/>
          <w:color w:val="auto"/>
        </w:rPr>
      </w:pPr>
      <w:r>
        <w:rPr>
          <w:sz w:val="20"/>
          <w:szCs w:val="20"/>
          <w:color w:val="auto"/>
        </w:rPr>
        <w:br w:type="column"/>
      </w:r>
    </w:p>
    <w:p>
      <w:pPr>
        <w:jc w:val="both"/>
        <w:ind w:right="739"/>
        <w:spacing w:after="0" w:line="248" w:lineRule="auto"/>
        <w:rPr>
          <w:sz w:val="20"/>
          <w:szCs w:val="20"/>
          <w:color w:val="auto"/>
        </w:rPr>
      </w:pPr>
      <w:r>
        <w:rPr>
          <w:rFonts w:ascii="Arial" w:cs="Arial" w:eastAsia="Arial" w:hAnsi="Arial"/>
          <w:sz w:val="16"/>
          <w:szCs w:val="16"/>
          <w:color w:val="auto"/>
        </w:rPr>
        <w:t>Results, the Committee noted outstanding results in Mr. Price’s business, especially in connection with overall financial performance, growth and innovation. Under applicable weightings, this would have resulted in an annual cash incentive under the PIP for Mr. Price in the amount of $634,268. However, using its discretion, the Committee increased this award to $683,129, after taking into consideration certain matters related to amounts due with respect to the acquisition of The Linc Group, LLC.</w:t>
      </w:r>
    </w:p>
    <w:p>
      <w:pPr>
        <w:spacing w:after="0" w:line="200" w:lineRule="exact"/>
        <w:rPr>
          <w:sz w:val="20"/>
          <w:szCs w:val="20"/>
          <w:color w:val="auto"/>
        </w:rPr>
      </w:pPr>
    </w:p>
    <w:p>
      <w:pPr>
        <w:spacing w:after="0" w:line="316"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Ms. McConnell’s objectives, which included components relating to enterprise risk management, corporate governance, records management and government contracting. It noted her outstanding support of the Board, strong litigation management skills and depth of knowledge relating to risk management. Based on these results, Ms. McConnell’s annual cash incentive under the PIP would have been $325,928. However, using its discretion, the Committee increased this award to $375,928, in recognition of her substantial contributions to the Company with respect to the CEO succession process during 2014.</w:t>
      </w:r>
    </w:p>
    <w:p>
      <w:pPr>
        <w:spacing w:after="0" w:line="317"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004FF9"/>
        </w:rPr>
        <w:t>Long-Term Incentive Program</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Committee believes that a long-term incentive program motivates and rewards our executive officers for their contributions to our Company’s performance and aligns long-term compensation with the performance of Company stock. Our practice is to grant long-term incentives annually in the form of equity awards that are allocated among restricted stock units (“RSUs”) and performance share units (also referred to as “performance shares”). In 2014, the Committee reviewed the historical mix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514985</wp:posOffset>
            </wp:positionV>
            <wp:extent cx="2392680" cy="17754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9268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When determining the number of equity awards granted to individual NEOs, the Committee looks to various factors, including practices in the Compensation Comparator Group. Generally, the Committee reviews the 50th percentile of these practices and takes into account how equity grants to our NEOs compare to equity grants equal in size to the 50th percentile comparator group awards to executives having comparable roles. The Committee believes that the 50th percentile signifies the “typical” award level in the external market and is the appropriate reference point by which to assess equity grants to the NEOs. In addition, although there is not an exact formula, the Committee considers each individual’s accumulated vested and unvested awards, the current value of the awards, comparison of individual awards between executives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incentives, which included RSUs, performance shares and stock options. To better align our equity incentives to market practice and further link long-term equity awards with Company performance, the Committee decided to shift away from stock option grants for the NEOs and replace them with a performance share grant based on total shareholder return over a three-year period. This change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636270</wp:posOffset>
            </wp:positionV>
            <wp:extent cx="2392680" cy="17754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9268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and in relation to other compensation elements, and total accounting expense of existing awards. The Committee also looks at the total mix of compensation (salary, cash bonus and long-term equity incentives), both by internal peer comparison and on an individual basis when it approves grants to the NEOs.</w:t>
      </w:r>
    </w:p>
    <w:p>
      <w:pPr>
        <w:spacing w:after="0" w:line="101"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In connection with regular equity grants, the Committee generally approves an equity award of a specific dollar value for each recipient based on a multiple of the recipient’s base salary. More information about individual grants, including methodologies used to establish values reflected in the table, can be found in the table “Grants of Plan-Based Awards During Fiscal Year 2014” on page 44.</w:t>
      </w:r>
    </w:p>
    <w:p>
      <w:pPr>
        <w:spacing w:after="0" w:line="466"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32"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004FF9"/>
        </w:rPr>
        <w:t>Our Current Performance Share Programs</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In 2014, the Committee replaced stock option grants with performance share awards based on relative total shareholder return (“TSR”) over a three-year period, using the S&amp;P 600 as the reference group for TSR. We now have two types of performance share programs: one in which performance is measured by adjusted EBITDA and operating cash flow over a</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three-year period (our “Value Creation PSP”); and one in which performance is measured by total shareholder return over a three-year period (our “TSR PSP”). The Committee believes that these two different performance share programs complement each other. The performance share programs that are based on value creation focus on financial</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11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performance objectives that directly relate to our financial performance against preestablished objectives over a three-year measurement period. The value of the performance share payout under the value creation performance share programs is based on our performance against these company-specific performance objectives. The TSR-based performance share program directly aligns our NEOs’ performance with shareholder interests since TSR allows for comparisons of our performance relative to other companies in the S&amp;P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left="9" w:right="739" w:hanging="9"/>
        <w:spacing w:after="0" w:line="246" w:lineRule="auto"/>
        <w:tabs>
          <w:tab w:leader="none" w:pos="4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also permits easy comparison with other investment alternatives and it is objectively determined by third-party market participants. The value of the TSR-based performance share payout depends on how our TSR ranks relative to the S&amp;P</w:t>
      </w:r>
    </w:p>
    <w:p>
      <w:pPr>
        <w:spacing w:after="0" w:line="2" w:lineRule="exact"/>
        <w:rPr>
          <w:rFonts w:ascii="Arial" w:cs="Arial" w:eastAsia="Arial" w:hAnsi="Arial"/>
          <w:sz w:val="16"/>
          <w:szCs w:val="16"/>
          <w:color w:val="auto"/>
        </w:rPr>
      </w:pPr>
    </w:p>
    <w:p>
      <w:pPr>
        <w:jc w:val="both"/>
        <w:ind w:left="9" w:right="739" w:hanging="9"/>
        <w:spacing w:after="0" w:line="250" w:lineRule="auto"/>
        <w:tabs>
          <w:tab w:leader="none" w:pos="389"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 a three-year performance period. TSR combines stock price appreciation and dividends paid to show the total return to shareholders. The calculation assumes that dividends are reinvested in additional shares.</w:t>
      </w:r>
    </w:p>
    <w:p>
      <w:pPr>
        <w:spacing w:after="0" w:line="387" w:lineRule="exact"/>
        <w:rPr>
          <w:sz w:val="20"/>
          <w:szCs w:val="20"/>
          <w:color w:val="auto"/>
        </w:rPr>
      </w:pPr>
    </w:p>
    <w:p>
      <w:pPr>
        <w:sectPr>
          <w:pgSz w:w="11900" w:h="16838" w:orient="portrait"/>
          <w:cols w:equalWidth="0" w:num="2">
            <w:col w:w="5080" w:space="591"/>
            <w:col w:w="4548"/>
          </w:cols>
          <w:pgMar w:left="240" w:top="132" w:right="1440" w:bottom="1440" w:gutter="0" w:footer="0" w:header="0"/>
          <w:type w:val="continuous"/>
        </w:sectPr>
      </w:pPr>
    </w:p>
    <w:p>
      <w:pPr>
        <w:spacing w:after="0" w:line="25"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004FF9"/>
        </w:rPr>
        <w:t>Value Creation PSP</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Each of our current Value Creation PSPs covers a three-year period and is designed to motivate and reward long-term strategic management that results in profitable growth and sustained shareholder value creation. Operating cash flow and adjusted EBITDA are the two key metrics used in each Value Creation PSP. The Committee believes that these metrics reflect actual cash generation by the Company, which is used by our investors and analysts to measure Company performance. As used in the Value Creation PSP, adjusted EBITDA is earnings before interest, taxes, depreciation and amortization and excludes discontinued operations and items impacting comparability. We use a multiple of five times adjusted EBITDA, because we believe that this multiple is reflective of Company value. Reconciliations of adjusted EBITDA and adjusted operating cash flow to the nearest GAAP measure can be found in Appendix A.</w:t>
      </w:r>
    </w:p>
    <w:p>
      <w:pPr>
        <w:spacing w:after="0" w:line="157"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At the beginning of each three-year Value Creation PSP, the Compensation Committee establishes the adjusted EBITDA and operating cash flow targets for the years covered by the program and determines what adjustments, if any, are appropriate in connection with the calculation of adjusted EBITDA and operating cash flow. In connection with the establishment of each three-year Value Creation Plan, the Committee may specify when it establishes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the plan that the definitions of operating cash flow and adjusted EBITDA will provide for adjustments to exclude the impacts of major acquisitions, major divestitures, and other prespecified items. In connection with results that are based on cumulative years, results are measured at the end of the three-year period. Earned shares vest on the third anniversary of the grant date. Sixty percent of the award is based on a measurement which looks at annual budgeted operating cash flow and changes in adjusted EBITDA from the prior year multiplied by five. The remaining 40% is based on continued growth and determined by the compounded three-year adjusted EBITDA growth result, which is measured at the end of the three-year performance period.</w:t>
      </w:r>
    </w:p>
    <w:p>
      <w:pPr>
        <w:spacing w:after="0" w:line="158"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The following tables summarize the results for 2014 in each of our 2012 – 2014, 2013 – 2015 and 2014 – 2016 Value Creation PSPs. It should be noted that yearly targets under different Performance Share Programs may be different for the same years as a result of the then-current Company conditions when the targets were established. In addition, amounts shown with respect to “Results” may be different for the same fiscal year in the different Value Creation PSPs due to the effects of prespecified adjustments under the different performance share programs.</w:t>
      </w:r>
    </w:p>
    <w:p>
      <w:pPr>
        <w:spacing w:after="0" w:line="386"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FF9"/>
        </w:rPr>
        <w:t>2012 – 2014 Value Creation PSP</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196"/>
        </w:trPr>
        <w:tc>
          <w:tcPr>
            <w:tcW w:w="60" w:type="dxa"/>
            <w:vAlign w:val="bottom"/>
            <w:tcBorders>
              <w:top w:val="single" w:sz="8" w:color="auto"/>
              <w:left w:val="single" w:sz="8" w:color="auto"/>
              <w:bottom w:val="single" w:sz="8" w:color="auto"/>
            </w:tcBorders>
            <w:shd w:val="clear" w:color="auto" w:fill="B1C9FD"/>
          </w:tcPr>
          <w:p>
            <w:pPr>
              <w:spacing w:after="0"/>
              <w:rPr>
                <w:sz w:val="17"/>
                <w:szCs w:val="17"/>
                <w:color w:val="auto"/>
              </w:rPr>
            </w:pPr>
          </w:p>
        </w:tc>
        <w:tc>
          <w:tcPr>
            <w:tcW w:w="4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8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0" w:type="dxa"/>
            <w:vAlign w:val="bottom"/>
            <w:tcBorders>
              <w:top w:val="single" w:sz="8" w:color="auto"/>
              <w:bottom w:val="single" w:sz="8" w:color="auto"/>
            </w:tcBorders>
            <w:shd w:val="clear" w:color="auto" w:fill="B1C9FD"/>
          </w:tcPr>
          <w:p>
            <w:pPr>
              <w:spacing w:after="0"/>
              <w:rPr>
                <w:sz w:val="17"/>
                <w:szCs w:val="17"/>
                <w:color w:val="auto"/>
              </w:rPr>
            </w:pPr>
          </w:p>
        </w:tc>
        <w:tc>
          <w:tcPr>
            <w:tcW w:w="4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20" w:type="dxa"/>
            <w:vAlign w:val="bottom"/>
            <w:tcBorders>
              <w:top w:val="single" w:sz="8" w:color="auto"/>
              <w:bottom w:val="single" w:sz="8" w:color="auto"/>
            </w:tcBorders>
            <w:gridSpan w:val="3"/>
            <w:shd w:val="clear" w:color="auto" w:fill="B1C9FD"/>
          </w:tcPr>
          <w:p>
            <w:pPr>
              <w:jc w:val="right"/>
              <w:spacing w:after="0"/>
              <w:rPr>
                <w:sz w:val="20"/>
                <w:szCs w:val="20"/>
                <w:color w:val="auto"/>
              </w:rPr>
            </w:pPr>
            <w:r>
              <w:rPr>
                <w:rFonts w:ascii="Arial" w:cs="Arial" w:eastAsia="Arial" w:hAnsi="Arial"/>
                <w:sz w:val="13"/>
                <w:szCs w:val="13"/>
                <w:b w:val="1"/>
                <w:bCs w:val="1"/>
                <w:color w:val="004FF9"/>
              </w:rPr>
              <w:t>60%</w:t>
            </w:r>
          </w:p>
        </w:tc>
        <w:tc>
          <w:tcPr>
            <w:tcW w:w="5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9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0" w:type="dxa"/>
            <w:vAlign w:val="bottom"/>
            <w:tcBorders>
              <w:top w:val="single" w:sz="8" w:color="auto"/>
              <w:bottom w:val="single" w:sz="8" w:color="auto"/>
            </w:tcBorders>
            <w:shd w:val="clear" w:color="auto" w:fill="B1C9FD"/>
          </w:tcPr>
          <w:p>
            <w:pPr>
              <w:spacing w:after="0"/>
              <w:rPr>
                <w:sz w:val="17"/>
                <w:szCs w:val="17"/>
                <w:color w:val="auto"/>
              </w:rPr>
            </w:pPr>
          </w:p>
        </w:tc>
        <w:tc>
          <w:tcPr>
            <w:tcW w:w="74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80" w:type="dxa"/>
            <w:vAlign w:val="bottom"/>
            <w:tcBorders>
              <w:top w:val="single" w:sz="8" w:color="auto"/>
              <w:bottom w:val="single" w:sz="8" w:color="auto"/>
            </w:tcBorders>
            <w:shd w:val="clear" w:color="auto" w:fill="B1C9FD"/>
          </w:tcPr>
          <w:p>
            <w:pPr>
              <w:spacing w:after="0"/>
              <w:rPr>
                <w:sz w:val="17"/>
                <w:szCs w:val="17"/>
                <w:color w:val="auto"/>
              </w:rPr>
            </w:pPr>
          </w:p>
        </w:tc>
        <w:tc>
          <w:tcPr>
            <w:tcW w:w="520" w:type="dxa"/>
            <w:vAlign w:val="bottom"/>
            <w:tcBorders>
              <w:top w:val="single" w:sz="8" w:color="auto"/>
              <w:bottom w:val="single" w:sz="8" w:color="auto"/>
              <w:right w:val="single" w:sz="8" w:color="auto"/>
            </w:tcBorders>
            <w:shd w:val="clear" w:color="auto" w:fill="B1C9FD"/>
          </w:tcPr>
          <w:p>
            <w:pPr>
              <w:spacing w:after="0"/>
              <w:rPr>
                <w:sz w:val="17"/>
                <w:szCs w:val="17"/>
                <w:color w:val="auto"/>
              </w:rPr>
            </w:pPr>
          </w:p>
        </w:tc>
        <w:tc>
          <w:tcPr>
            <w:tcW w:w="7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700" w:type="dxa"/>
            <w:vAlign w:val="bottom"/>
            <w:tcBorders>
              <w:top w:val="single" w:sz="8" w:color="auto"/>
              <w:bottom w:val="single" w:sz="8" w:color="auto"/>
              <w:right w:val="single" w:sz="8" w:color="B1C9FD"/>
            </w:tcBorders>
            <w:gridSpan w:val="2"/>
            <w:shd w:val="clear" w:color="auto" w:fill="B1C9FD"/>
          </w:tcPr>
          <w:p>
            <w:pPr>
              <w:ind w:left="160"/>
              <w:spacing w:after="0"/>
              <w:rPr>
                <w:sz w:val="20"/>
                <w:szCs w:val="20"/>
                <w:color w:val="auto"/>
              </w:rPr>
            </w:pPr>
            <w:r>
              <w:rPr>
                <w:rFonts w:ascii="Arial" w:cs="Arial" w:eastAsia="Arial" w:hAnsi="Arial"/>
                <w:sz w:val="13"/>
                <w:szCs w:val="13"/>
                <w:b w:val="1"/>
                <w:bCs w:val="1"/>
                <w:color w:val="004FF9"/>
              </w:rPr>
              <w:t>40%</w:t>
            </w:r>
          </w:p>
        </w:tc>
        <w:tc>
          <w:tcPr>
            <w:tcW w:w="80" w:type="dxa"/>
            <w:vAlign w:val="bottom"/>
            <w:tcBorders>
              <w:top w:val="single" w:sz="8" w:color="auto"/>
              <w:bottom w:val="single" w:sz="8" w:color="auto"/>
            </w:tcBorders>
            <w:shd w:val="clear" w:color="auto" w:fill="B1C9FD"/>
          </w:tcPr>
          <w:p>
            <w:pPr>
              <w:spacing w:after="0"/>
              <w:rPr>
                <w:sz w:val="17"/>
                <w:szCs w:val="17"/>
                <w:color w:val="auto"/>
              </w:rPr>
            </w:pPr>
          </w:p>
        </w:tc>
        <w:tc>
          <w:tcPr>
            <w:tcW w:w="520" w:type="dxa"/>
            <w:vAlign w:val="bottom"/>
            <w:tcBorders>
              <w:top w:val="single" w:sz="8" w:color="auto"/>
              <w:bottom w:val="single" w:sz="8" w:color="auto"/>
              <w:right w:val="single" w:sz="8" w:color="auto"/>
            </w:tcBorders>
            <w:shd w:val="clear" w:color="auto" w:fill="B1C9FD"/>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shd w:val="clear" w:color="auto" w:fill="B1C9FD"/>
          </w:tcPr>
          <w:p>
            <w:pPr>
              <w:spacing w:after="0"/>
              <w:rPr>
                <w:sz w:val="10"/>
                <w:szCs w:val="10"/>
                <w:color w:val="auto"/>
              </w:rPr>
            </w:pP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7"/>
              </w:rPr>
              <w:t>Operating</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vMerge w:val="restart"/>
            <w:shd w:val="clear" w:color="auto" w:fill="B1C9FD"/>
          </w:tcPr>
          <w:p>
            <w:pPr>
              <w:jc w:val="center"/>
              <w:ind w:right="10"/>
              <w:spacing w:after="0"/>
              <w:rPr>
                <w:sz w:val="20"/>
                <w:szCs w:val="20"/>
                <w:color w:val="auto"/>
              </w:rPr>
            </w:pPr>
            <w:r>
              <w:rPr>
                <w:rFonts w:ascii="Arial" w:cs="Arial" w:eastAsia="Arial" w:hAnsi="Arial"/>
                <w:sz w:val="13"/>
                <w:szCs w:val="13"/>
                <w:b w:val="1"/>
                <w:bCs w:val="1"/>
                <w:color w:val="004FF9"/>
                <w:w w:val="97"/>
              </w:rPr>
              <w:t>Adjusted</w:t>
            </w: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vMerge w:val="restart"/>
            <w:shd w:val="clear" w:color="auto" w:fill="B1C9FD"/>
          </w:tcPr>
          <w:p>
            <w:pPr>
              <w:jc w:val="center"/>
              <w:ind w:right="30"/>
              <w:spacing w:after="0"/>
              <w:rPr>
                <w:sz w:val="20"/>
                <w:szCs w:val="20"/>
                <w:color w:val="auto"/>
              </w:rPr>
            </w:pPr>
            <w:r>
              <w:rPr>
                <w:rFonts w:ascii="Arial" w:cs="Arial" w:eastAsia="Arial" w:hAnsi="Arial"/>
                <w:sz w:val="13"/>
                <w:szCs w:val="13"/>
                <w:b w:val="1"/>
                <w:bCs w:val="1"/>
                <w:color w:val="004FF9"/>
                <w:w w:val="97"/>
              </w:rPr>
              <w:t>Value</w:t>
            </w: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2"/>
              </w:rPr>
              <w:t>Value</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vMerge w:val="restart"/>
            <w:shd w:val="clear" w:color="auto" w:fill="B1C9FD"/>
          </w:tcPr>
          <w:p>
            <w:pPr>
              <w:jc w:val="center"/>
              <w:ind w:right="22"/>
              <w:spacing w:after="0"/>
              <w:rPr>
                <w:sz w:val="20"/>
                <w:szCs w:val="20"/>
                <w:color w:val="auto"/>
              </w:rPr>
            </w:pPr>
            <w:r>
              <w:rPr>
                <w:rFonts w:ascii="Arial" w:cs="Arial" w:eastAsia="Arial" w:hAnsi="Arial"/>
                <w:sz w:val="13"/>
                <w:szCs w:val="13"/>
                <w:b w:val="1"/>
                <w:bCs w:val="1"/>
                <w:color w:val="004FF9"/>
                <w:w w:val="95"/>
              </w:rPr>
              <w:t>Award</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7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7"/>
              </w:rPr>
              <w:t>Adjusted</w:t>
            </w: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vMerge w:val="restart"/>
            <w:shd w:val="clear" w:color="auto" w:fill="B1C9FD"/>
          </w:tcPr>
          <w:p>
            <w:pPr>
              <w:ind w:left="60"/>
              <w:spacing w:after="0"/>
              <w:rPr>
                <w:sz w:val="20"/>
                <w:szCs w:val="20"/>
                <w:color w:val="auto"/>
              </w:rPr>
            </w:pPr>
            <w:r>
              <w:rPr>
                <w:rFonts w:ascii="Arial" w:cs="Arial" w:eastAsia="Arial" w:hAnsi="Arial"/>
                <w:sz w:val="13"/>
                <w:szCs w:val="13"/>
                <w:b w:val="1"/>
                <w:bCs w:val="1"/>
                <w:color w:val="004FF9"/>
              </w:rPr>
              <w:t>Award</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shd w:val="clear" w:color="auto" w:fill="B1C9FD"/>
          </w:tcPr>
          <w:p>
            <w:pPr>
              <w:spacing w:after="0"/>
              <w:rPr>
                <w:sz w:val="10"/>
                <w:szCs w:val="10"/>
                <w:color w:val="auto"/>
              </w:rPr>
            </w:pP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4"/>
              </w:rPr>
              <w:t>Cash</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vMerge w:val="continue"/>
            <w:shd w:val="clear" w:color="auto" w:fill="B1C9FD"/>
          </w:tcPr>
          <w:p>
            <w:pPr>
              <w:spacing w:after="0"/>
              <w:rPr>
                <w:sz w:val="10"/>
                <w:szCs w:val="10"/>
                <w:color w:val="auto"/>
              </w:rPr>
            </w:pP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8"/>
              </w:rPr>
              <w:t>Creation</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7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4"/>
              </w:rPr>
              <w:t>EBITDA</w:t>
            </w: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vMerge w:val="restart"/>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9"/>
              </w:rPr>
              <w:t>Year</w:t>
            </w: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0"/>
                <w:szCs w:val="10"/>
                <w:b w:val="1"/>
                <w:bCs w:val="1"/>
                <w:color w:val="004FF9"/>
              </w:rPr>
              <w:t>Flow</w:t>
            </w:r>
            <w:r>
              <w:rPr>
                <w:rFonts w:ascii="Arial" w:cs="Arial" w:eastAsia="Arial" w:hAnsi="Arial"/>
                <w:sz w:val="14"/>
                <w:szCs w:val="14"/>
                <w:b w:val="1"/>
                <w:bCs w:val="1"/>
                <w:color w:val="004FF9"/>
                <w:vertAlign w:val="superscript"/>
              </w:rPr>
              <w:t>(2)</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shd w:val="clear" w:color="auto" w:fill="B1C9FD"/>
          </w:tcPr>
          <w:p>
            <w:pPr>
              <w:jc w:val="center"/>
              <w:ind w:right="10"/>
              <w:spacing w:after="0" w:line="122" w:lineRule="exact"/>
              <w:rPr>
                <w:sz w:val="20"/>
                <w:szCs w:val="20"/>
                <w:color w:val="auto"/>
              </w:rPr>
            </w:pPr>
            <w:r>
              <w:rPr>
                <w:rFonts w:ascii="Arial" w:cs="Arial" w:eastAsia="Arial" w:hAnsi="Arial"/>
                <w:sz w:val="10"/>
                <w:szCs w:val="10"/>
                <w:b w:val="1"/>
                <w:bCs w:val="1"/>
                <w:color w:val="004FF9"/>
              </w:rPr>
              <w:t>EBITDA</w:t>
            </w:r>
            <w:r>
              <w:rPr>
                <w:rFonts w:ascii="Arial" w:cs="Arial" w:eastAsia="Arial" w:hAnsi="Arial"/>
                <w:sz w:val="14"/>
                <w:szCs w:val="14"/>
                <w:b w:val="1"/>
                <w:bCs w:val="1"/>
                <w:color w:val="004FF9"/>
                <w:vertAlign w:val="superscript"/>
              </w:rPr>
              <w:t>(2)</w:t>
            </w: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shd w:val="clear" w:color="auto" w:fill="B1C9FD"/>
          </w:tcPr>
          <w:p>
            <w:pPr>
              <w:jc w:val="center"/>
              <w:ind w:right="30"/>
              <w:spacing w:after="0" w:line="122" w:lineRule="exact"/>
              <w:rPr>
                <w:sz w:val="20"/>
                <w:szCs w:val="20"/>
                <w:color w:val="auto"/>
              </w:rPr>
            </w:pPr>
            <w:r>
              <w:rPr>
                <w:rFonts w:ascii="Arial" w:cs="Arial" w:eastAsia="Arial" w:hAnsi="Arial"/>
                <w:sz w:val="10"/>
                <w:szCs w:val="10"/>
                <w:b w:val="1"/>
                <w:bCs w:val="1"/>
                <w:color w:val="004FF9"/>
              </w:rPr>
              <w:t>Creation</w:t>
            </w:r>
            <w:r>
              <w:rPr>
                <w:rFonts w:ascii="Arial" w:cs="Arial" w:eastAsia="Arial" w:hAnsi="Arial"/>
                <w:sz w:val="14"/>
                <w:szCs w:val="14"/>
                <w:b w:val="1"/>
                <w:bCs w:val="1"/>
                <w:color w:val="004FF9"/>
                <w:vertAlign w:val="superscript"/>
              </w:rPr>
              <w:t>(1)</w:t>
            </w: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6"/>
              </w:rPr>
              <w:t>Achievement</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shd w:val="clear" w:color="auto" w:fill="B1C9FD"/>
          </w:tcPr>
          <w:p>
            <w:pPr>
              <w:jc w:val="center"/>
              <w:ind w:right="22"/>
              <w:spacing w:after="0" w:line="122" w:lineRule="exact"/>
              <w:rPr>
                <w:sz w:val="20"/>
                <w:szCs w:val="20"/>
                <w:color w:val="auto"/>
              </w:rPr>
            </w:pPr>
            <w:r>
              <w:rPr>
                <w:rFonts w:ascii="Arial" w:cs="Arial" w:eastAsia="Arial" w:hAnsi="Arial"/>
                <w:sz w:val="10"/>
                <w:szCs w:val="10"/>
                <w:b w:val="1"/>
                <w:bCs w:val="1"/>
                <w:color w:val="004FF9"/>
              </w:rPr>
              <w:t>Funding</w:t>
            </w:r>
            <w:r>
              <w:rPr>
                <w:rFonts w:ascii="Arial" w:cs="Arial" w:eastAsia="Arial" w:hAnsi="Arial"/>
                <w:sz w:val="14"/>
                <w:szCs w:val="14"/>
                <w:b w:val="1"/>
                <w:bCs w:val="1"/>
                <w:color w:val="004FF9"/>
                <w:vertAlign w:val="superscript"/>
              </w:rPr>
              <w:t>(3)</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vMerge w:val="restart"/>
            <w:shd w:val="clear" w:color="auto" w:fill="B1C9FD"/>
          </w:tcPr>
          <w:p>
            <w:pPr>
              <w:jc w:val="right"/>
              <w:ind w:right="37"/>
              <w:spacing w:after="0"/>
              <w:rPr>
                <w:sz w:val="20"/>
                <w:szCs w:val="20"/>
                <w:color w:val="auto"/>
              </w:rPr>
            </w:pPr>
            <w:r>
              <w:rPr>
                <w:rFonts w:ascii="Arial" w:cs="Arial" w:eastAsia="Arial" w:hAnsi="Arial"/>
                <w:sz w:val="13"/>
                <w:szCs w:val="13"/>
                <w:b w:val="1"/>
                <w:bCs w:val="1"/>
                <w:color w:val="004FF9"/>
                <w:w w:val="92"/>
              </w:rPr>
              <w:t>Weight</w:t>
            </w:r>
          </w:p>
        </w:tc>
        <w:tc>
          <w:tcPr>
            <w:tcW w:w="7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6"/>
              </w:rPr>
              <w:t>Growth</w:t>
            </w: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shd w:val="clear" w:color="auto" w:fill="B1C9FD"/>
          </w:tcPr>
          <w:p>
            <w:pPr>
              <w:spacing w:after="0" w:line="122" w:lineRule="exact"/>
              <w:rPr>
                <w:sz w:val="20"/>
                <w:szCs w:val="20"/>
                <w:color w:val="auto"/>
              </w:rPr>
            </w:pPr>
            <w:r>
              <w:rPr>
                <w:rFonts w:ascii="Arial" w:cs="Arial" w:eastAsia="Arial" w:hAnsi="Arial"/>
                <w:sz w:val="13"/>
                <w:szCs w:val="13"/>
                <w:b w:val="1"/>
                <w:bCs w:val="1"/>
                <w:color w:val="004FF9"/>
              </w:rPr>
              <w:t>Funding</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3"/>
                <w:szCs w:val="13"/>
                <w:b w:val="1"/>
                <w:bCs w:val="1"/>
                <w:color w:val="004FF9"/>
                <w:w w:val="96"/>
              </w:rPr>
              <w:t>Weight</w:t>
            </w:r>
          </w:p>
        </w:tc>
        <w:tc>
          <w:tcPr>
            <w:tcW w:w="0" w:type="dxa"/>
            <w:vAlign w:val="bottom"/>
          </w:tcPr>
          <w:p>
            <w:pPr>
              <w:spacing w:after="0"/>
              <w:rPr>
                <w:sz w:val="1"/>
                <w:szCs w:val="1"/>
                <w:color w:val="auto"/>
              </w:rPr>
            </w:pPr>
          </w:p>
        </w:tc>
      </w:tr>
      <w:tr>
        <w:trPr>
          <w:trHeight w:val="172"/>
        </w:trPr>
        <w:tc>
          <w:tcPr>
            <w:tcW w:w="60" w:type="dxa"/>
            <w:vAlign w:val="bottom"/>
            <w:tcBorders>
              <w:left w:val="single" w:sz="8" w:color="auto"/>
              <w:bottom w:val="single" w:sz="8" w:color="auto"/>
            </w:tcBorders>
            <w:shd w:val="clear" w:color="auto" w:fill="B1C9FD"/>
          </w:tcPr>
          <w:p>
            <w:pPr>
              <w:spacing w:after="0"/>
              <w:rPr>
                <w:sz w:val="14"/>
                <w:szCs w:val="14"/>
                <w:color w:val="auto"/>
              </w:rPr>
            </w:pPr>
          </w:p>
        </w:tc>
        <w:tc>
          <w:tcPr>
            <w:tcW w:w="46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8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6"/>
              </w:rPr>
              <w:t>($ millions)</w:t>
            </w:r>
          </w:p>
        </w:tc>
        <w:tc>
          <w:tcPr>
            <w:tcW w:w="60" w:type="dxa"/>
            <w:vAlign w:val="bottom"/>
            <w:tcBorders>
              <w:bottom w:val="single" w:sz="8" w:color="auto"/>
            </w:tcBorders>
            <w:shd w:val="clear" w:color="auto" w:fill="B1C9FD"/>
          </w:tcPr>
          <w:p>
            <w:pPr>
              <w:spacing w:after="0"/>
              <w:rPr>
                <w:sz w:val="14"/>
                <w:szCs w:val="14"/>
                <w:color w:val="auto"/>
              </w:rPr>
            </w:pPr>
          </w:p>
        </w:tc>
        <w:tc>
          <w:tcPr>
            <w:tcW w:w="1140" w:type="dxa"/>
            <w:vAlign w:val="bottom"/>
            <w:tcBorders>
              <w:bottom w:val="single" w:sz="8" w:color="auto"/>
              <w:right w:val="single" w:sz="8" w:color="auto"/>
            </w:tcBorders>
            <w:gridSpan w:val="2"/>
            <w:shd w:val="clear" w:color="auto" w:fill="B1C9FD"/>
          </w:tcPr>
          <w:p>
            <w:pPr>
              <w:jc w:val="center"/>
              <w:ind w:right="10"/>
              <w:spacing w:after="0"/>
              <w:rPr>
                <w:sz w:val="20"/>
                <w:szCs w:val="20"/>
                <w:color w:val="auto"/>
              </w:rPr>
            </w:pPr>
            <w:r>
              <w:rPr>
                <w:rFonts w:ascii="Arial" w:cs="Arial" w:eastAsia="Arial" w:hAnsi="Arial"/>
                <w:sz w:val="13"/>
                <w:szCs w:val="13"/>
                <w:b w:val="1"/>
                <w:bCs w:val="1"/>
                <w:color w:val="004FF9"/>
                <w:w w:val="96"/>
              </w:rPr>
              <w:t>($ millions)</w:t>
            </w:r>
          </w:p>
        </w:tc>
        <w:tc>
          <w:tcPr>
            <w:tcW w:w="80" w:type="dxa"/>
            <w:vAlign w:val="bottom"/>
            <w:tcBorders>
              <w:bottom w:val="single" w:sz="8" w:color="auto"/>
            </w:tcBorders>
            <w:shd w:val="clear" w:color="auto" w:fill="B1C9FD"/>
          </w:tcPr>
          <w:p>
            <w:pPr>
              <w:spacing w:after="0"/>
              <w:rPr>
                <w:sz w:val="14"/>
                <w:szCs w:val="14"/>
                <w:color w:val="auto"/>
              </w:rPr>
            </w:pPr>
          </w:p>
        </w:tc>
        <w:tc>
          <w:tcPr>
            <w:tcW w:w="1120" w:type="dxa"/>
            <w:vAlign w:val="bottom"/>
            <w:tcBorders>
              <w:bottom w:val="single" w:sz="8" w:color="auto"/>
              <w:right w:val="single" w:sz="8" w:color="auto"/>
            </w:tcBorders>
            <w:gridSpan w:val="3"/>
            <w:shd w:val="clear" w:color="auto" w:fill="B1C9FD"/>
          </w:tcPr>
          <w:p>
            <w:pPr>
              <w:jc w:val="center"/>
              <w:ind w:right="30"/>
              <w:spacing w:after="0"/>
              <w:rPr>
                <w:sz w:val="20"/>
                <w:szCs w:val="20"/>
                <w:color w:val="auto"/>
              </w:rPr>
            </w:pPr>
            <w:r>
              <w:rPr>
                <w:rFonts w:ascii="Arial" w:cs="Arial" w:eastAsia="Arial" w:hAnsi="Arial"/>
                <w:sz w:val="13"/>
                <w:szCs w:val="13"/>
                <w:b w:val="1"/>
                <w:bCs w:val="1"/>
                <w:color w:val="004FF9"/>
                <w:w w:val="96"/>
              </w:rPr>
              <w:t>($ millions)</w:t>
            </w:r>
          </w:p>
        </w:tc>
        <w:tc>
          <w:tcPr>
            <w:tcW w:w="9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8"/>
              </w:rPr>
              <w:t>(%)</w:t>
            </w:r>
          </w:p>
        </w:tc>
        <w:tc>
          <w:tcPr>
            <w:tcW w:w="60" w:type="dxa"/>
            <w:vAlign w:val="bottom"/>
            <w:tcBorders>
              <w:bottom w:val="single" w:sz="8" w:color="auto"/>
            </w:tcBorders>
            <w:shd w:val="clear" w:color="auto" w:fill="B1C9FD"/>
          </w:tcPr>
          <w:p>
            <w:pPr>
              <w:spacing w:after="0"/>
              <w:rPr>
                <w:sz w:val="14"/>
                <w:szCs w:val="14"/>
                <w:color w:val="auto"/>
              </w:rPr>
            </w:pPr>
          </w:p>
        </w:tc>
        <w:tc>
          <w:tcPr>
            <w:tcW w:w="740" w:type="dxa"/>
            <w:vAlign w:val="bottom"/>
            <w:tcBorders>
              <w:bottom w:val="single" w:sz="8" w:color="auto"/>
              <w:right w:val="single" w:sz="8" w:color="auto"/>
            </w:tcBorders>
            <w:shd w:val="clear" w:color="auto" w:fill="B1C9FD"/>
          </w:tcPr>
          <w:p>
            <w:pPr>
              <w:jc w:val="center"/>
              <w:ind w:right="42"/>
              <w:spacing w:after="0"/>
              <w:rPr>
                <w:sz w:val="20"/>
                <w:szCs w:val="20"/>
                <w:color w:val="auto"/>
              </w:rPr>
            </w:pPr>
            <w:r>
              <w:rPr>
                <w:rFonts w:ascii="Arial" w:cs="Arial" w:eastAsia="Arial" w:hAnsi="Arial"/>
                <w:sz w:val="13"/>
                <w:szCs w:val="13"/>
                <w:b w:val="1"/>
                <w:bCs w:val="1"/>
                <w:color w:val="004FF9"/>
                <w:w w:val="98"/>
              </w:rPr>
              <w:t>(%)</w:t>
            </w: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760" w:type="dxa"/>
            <w:vAlign w:val="bottom"/>
            <w:tcBorders>
              <w:bottom w:val="single" w:sz="8" w:color="auto"/>
              <w:right w:val="single" w:sz="8" w:color="auto"/>
            </w:tcBorders>
            <w:shd w:val="clear" w:color="auto" w:fill="B1C9FD"/>
          </w:tcPr>
          <w:p>
            <w:pPr>
              <w:jc w:val="right"/>
              <w:ind w:right="233"/>
              <w:spacing w:after="0"/>
              <w:rPr>
                <w:sz w:val="20"/>
                <w:szCs w:val="20"/>
                <w:color w:val="auto"/>
              </w:rPr>
            </w:pPr>
            <w:r>
              <w:rPr>
                <w:rFonts w:ascii="Arial" w:cs="Arial" w:eastAsia="Arial" w:hAnsi="Arial"/>
                <w:sz w:val="13"/>
                <w:szCs w:val="13"/>
                <w:b w:val="1"/>
                <w:bCs w:val="1"/>
                <w:color w:val="004FF9"/>
              </w:rPr>
              <w:t>(%)</w:t>
            </w:r>
          </w:p>
        </w:tc>
        <w:tc>
          <w:tcPr>
            <w:tcW w:w="80" w:type="dxa"/>
            <w:vAlign w:val="bottom"/>
            <w:tcBorders>
              <w:bottom w:val="single" w:sz="8" w:color="auto"/>
            </w:tcBorders>
            <w:shd w:val="clear" w:color="auto" w:fill="B1C9FD"/>
          </w:tcPr>
          <w:p>
            <w:pPr>
              <w:spacing w:after="0"/>
              <w:rPr>
                <w:sz w:val="14"/>
                <w:szCs w:val="14"/>
                <w:color w:val="auto"/>
              </w:rPr>
            </w:pPr>
          </w:p>
        </w:tc>
        <w:tc>
          <w:tcPr>
            <w:tcW w:w="620" w:type="dxa"/>
            <w:vAlign w:val="bottom"/>
            <w:tcBorders>
              <w:bottom w:val="single" w:sz="8" w:color="auto"/>
              <w:right w:val="single" w:sz="8" w:color="auto"/>
            </w:tcBorders>
            <w:shd w:val="clear" w:color="auto" w:fill="B1C9FD"/>
          </w:tcPr>
          <w:p>
            <w:pPr>
              <w:jc w:val="right"/>
              <w:ind w:right="193"/>
              <w:spacing w:after="0"/>
              <w:rPr>
                <w:sz w:val="20"/>
                <w:szCs w:val="20"/>
                <w:color w:val="auto"/>
              </w:rPr>
            </w:pPr>
            <w:r>
              <w:rPr>
                <w:rFonts w:ascii="Arial" w:cs="Arial" w:eastAsia="Arial" w:hAnsi="Arial"/>
                <w:sz w:val="13"/>
                <w:szCs w:val="13"/>
                <w:b w:val="1"/>
                <w:bCs w:val="1"/>
                <w:color w:val="004FF9"/>
              </w:rPr>
              <w:t>(%)</w:t>
            </w: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shd w:val="clear" w:color="auto" w:fill="B1C9FD"/>
          </w:tcPr>
          <w:p>
            <w:pPr>
              <w:spacing w:after="0"/>
              <w:rPr>
                <w:sz w:val="14"/>
                <w:szCs w:val="14"/>
                <w:color w:val="auto"/>
              </w:rPr>
            </w:pPr>
          </w:p>
        </w:tc>
        <w:tc>
          <w:tcPr>
            <w:tcW w:w="460" w:type="dxa"/>
            <w:vAlign w:val="bottom"/>
            <w:tcBorders>
              <w:bottom w:val="single" w:sz="8" w:color="auto"/>
              <w:right w:val="single" w:sz="8" w:color="auto"/>
            </w:tcBorders>
            <w:shd w:val="clear" w:color="auto" w:fill="B1C9FD"/>
          </w:tcPr>
          <w:p>
            <w:pPr>
              <w:spacing w:after="0"/>
              <w:rPr>
                <w:sz w:val="14"/>
                <w:szCs w:val="14"/>
                <w:color w:val="auto"/>
              </w:rPr>
            </w:pPr>
          </w:p>
        </w:tc>
        <w:tc>
          <w:tcPr>
            <w:tcW w:w="8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auto"/>
                <w:w w:val="97"/>
              </w:rPr>
              <w:t>Results</w:t>
            </w:r>
          </w:p>
        </w:tc>
        <w:tc>
          <w:tcPr>
            <w:tcW w:w="60" w:type="dxa"/>
            <w:vAlign w:val="bottom"/>
            <w:tcBorders>
              <w:bottom w:val="single" w:sz="8" w:color="auto"/>
            </w:tcBorders>
            <w:shd w:val="clear" w:color="auto" w:fill="B1C9FD"/>
          </w:tcPr>
          <w:p>
            <w:pPr>
              <w:spacing w:after="0"/>
              <w:rPr>
                <w:sz w:val="14"/>
                <w:szCs w:val="14"/>
                <w:color w:val="auto"/>
              </w:rPr>
            </w:pPr>
          </w:p>
        </w:tc>
        <w:tc>
          <w:tcPr>
            <w:tcW w:w="480" w:type="dxa"/>
            <w:vAlign w:val="bottom"/>
            <w:tcBorders>
              <w:bottom w:val="single" w:sz="8" w:color="auto"/>
              <w:right w:val="single" w:sz="8" w:color="auto"/>
            </w:tcBorders>
            <w:shd w:val="clear" w:color="auto" w:fill="B1C9FD"/>
          </w:tcPr>
          <w:p>
            <w:pPr>
              <w:jc w:val="center"/>
              <w:ind w:right="21"/>
              <w:spacing w:after="0"/>
              <w:rPr>
                <w:sz w:val="20"/>
                <w:szCs w:val="20"/>
                <w:color w:val="auto"/>
              </w:rPr>
            </w:pPr>
            <w:r>
              <w:rPr>
                <w:rFonts w:ascii="Arial" w:cs="Arial" w:eastAsia="Arial" w:hAnsi="Arial"/>
                <w:sz w:val="13"/>
                <w:szCs w:val="13"/>
                <w:b w:val="1"/>
                <w:bCs w:val="1"/>
                <w:color w:val="auto"/>
              </w:rPr>
              <w:t>Plan</w:t>
            </w:r>
          </w:p>
        </w:tc>
        <w:tc>
          <w:tcPr>
            <w:tcW w:w="6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auto"/>
                <w:w w:val="97"/>
              </w:rPr>
              <w:t>Results</w:t>
            </w:r>
          </w:p>
        </w:tc>
        <w:tc>
          <w:tcPr>
            <w:tcW w:w="80" w:type="dxa"/>
            <w:vAlign w:val="bottom"/>
            <w:tcBorders>
              <w:bottom w:val="single" w:sz="8" w:color="auto"/>
            </w:tcBorders>
            <w:shd w:val="clear" w:color="auto" w:fill="B1C9FD"/>
          </w:tcPr>
          <w:p>
            <w:pPr>
              <w:spacing w:after="0"/>
              <w:rPr>
                <w:sz w:val="14"/>
                <w:szCs w:val="14"/>
                <w:color w:val="auto"/>
              </w:rPr>
            </w:pPr>
          </w:p>
        </w:tc>
        <w:tc>
          <w:tcPr>
            <w:tcW w:w="480" w:type="dxa"/>
            <w:vAlign w:val="bottom"/>
            <w:tcBorders>
              <w:bottom w:val="single" w:sz="8" w:color="auto"/>
              <w:right w:val="single" w:sz="8" w:color="auto"/>
            </w:tcBorders>
            <w:shd w:val="clear" w:color="auto" w:fill="B1C9FD"/>
          </w:tcPr>
          <w:p>
            <w:pPr>
              <w:jc w:val="center"/>
              <w:ind w:right="41"/>
              <w:spacing w:after="0"/>
              <w:rPr>
                <w:sz w:val="20"/>
                <w:szCs w:val="20"/>
                <w:color w:val="auto"/>
              </w:rPr>
            </w:pPr>
            <w:r>
              <w:rPr>
                <w:rFonts w:ascii="Arial" w:cs="Arial" w:eastAsia="Arial" w:hAnsi="Arial"/>
                <w:sz w:val="13"/>
                <w:szCs w:val="13"/>
                <w:b w:val="1"/>
                <w:bCs w:val="1"/>
                <w:color w:val="auto"/>
                <w:w w:val="94"/>
              </w:rPr>
              <w:t>Plan</w:t>
            </w:r>
          </w:p>
        </w:tc>
        <w:tc>
          <w:tcPr>
            <w:tcW w:w="60" w:type="dxa"/>
            <w:vAlign w:val="bottom"/>
            <w:tcBorders>
              <w:bottom w:val="single" w:sz="8" w:color="auto"/>
            </w:tcBorders>
            <w:shd w:val="clear" w:color="auto" w:fill="B1C9FD"/>
          </w:tcPr>
          <w:p>
            <w:pPr>
              <w:spacing w:after="0"/>
              <w:rPr>
                <w:sz w:val="14"/>
                <w:szCs w:val="14"/>
                <w:color w:val="auto"/>
              </w:rPr>
            </w:pPr>
          </w:p>
        </w:tc>
        <w:tc>
          <w:tcPr>
            <w:tcW w:w="580" w:type="dxa"/>
            <w:vAlign w:val="bottom"/>
            <w:tcBorders>
              <w:bottom w:val="single" w:sz="8" w:color="auto"/>
              <w:right w:val="single" w:sz="8" w:color="auto"/>
            </w:tcBorders>
            <w:shd w:val="clear" w:color="auto" w:fill="B1C9FD"/>
          </w:tcPr>
          <w:p>
            <w:pPr>
              <w:jc w:val="center"/>
              <w:ind w:right="10"/>
              <w:spacing w:after="0"/>
              <w:rPr>
                <w:sz w:val="20"/>
                <w:szCs w:val="20"/>
                <w:color w:val="auto"/>
              </w:rPr>
            </w:pPr>
            <w:r>
              <w:rPr>
                <w:rFonts w:ascii="Arial" w:cs="Arial" w:eastAsia="Arial" w:hAnsi="Arial"/>
                <w:sz w:val="13"/>
                <w:szCs w:val="13"/>
                <w:b w:val="1"/>
                <w:bCs w:val="1"/>
                <w:color w:val="auto"/>
                <w:w w:val="97"/>
              </w:rPr>
              <w:t>Results</w:t>
            </w:r>
          </w:p>
        </w:tc>
        <w:tc>
          <w:tcPr>
            <w:tcW w:w="980" w:type="dxa"/>
            <w:vAlign w:val="bottom"/>
            <w:tcBorders>
              <w:bottom w:val="single" w:sz="8" w:color="auto"/>
              <w:right w:val="single" w:sz="8" w:color="auto"/>
            </w:tcBorders>
            <w:shd w:val="clear" w:color="auto" w:fill="B1C9FD"/>
          </w:tcPr>
          <w:p>
            <w:pPr>
              <w:spacing w:after="0"/>
              <w:rPr>
                <w:sz w:val="14"/>
                <w:szCs w:val="14"/>
                <w:color w:val="auto"/>
              </w:rPr>
            </w:pPr>
          </w:p>
        </w:tc>
        <w:tc>
          <w:tcPr>
            <w:tcW w:w="60" w:type="dxa"/>
            <w:vAlign w:val="bottom"/>
            <w:tcBorders>
              <w:bottom w:val="single" w:sz="8" w:color="auto"/>
            </w:tcBorders>
            <w:shd w:val="clear" w:color="auto" w:fill="B1C9FD"/>
          </w:tcPr>
          <w:p>
            <w:pPr>
              <w:spacing w:after="0"/>
              <w:rPr>
                <w:sz w:val="14"/>
                <w:szCs w:val="14"/>
                <w:color w:val="auto"/>
              </w:rPr>
            </w:pPr>
          </w:p>
        </w:tc>
        <w:tc>
          <w:tcPr>
            <w:tcW w:w="74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shd w:val="clear" w:color="auto" w:fill="B1C9FD"/>
          </w:tcPr>
          <w:p>
            <w:pPr>
              <w:spacing w:after="0"/>
              <w:rPr>
                <w:sz w:val="14"/>
                <w:szCs w:val="14"/>
                <w:color w:val="auto"/>
              </w:rPr>
            </w:pPr>
          </w:p>
        </w:tc>
        <w:tc>
          <w:tcPr>
            <w:tcW w:w="76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62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2012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150.6</w:t>
            </w:r>
          </w:p>
        </w:tc>
        <w:tc>
          <w:tcPr>
            <w:tcW w:w="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197.1</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176.4</w:t>
            </w:r>
          </w:p>
        </w:tc>
        <w:tc>
          <w:tcPr>
            <w:tcW w:w="5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190.5</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4"/>
                <w:szCs w:val="14"/>
                <w:color w:val="auto"/>
              </w:rPr>
              <w:t>112.6</w:t>
            </w:r>
          </w:p>
        </w:tc>
        <w:tc>
          <w:tcPr>
            <w:tcW w:w="98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4"/>
                <w:szCs w:val="14"/>
                <w:color w:val="auto"/>
              </w:rPr>
              <w:t>59.1</w:t>
            </w:r>
          </w:p>
        </w:tc>
        <w:tc>
          <w:tcPr>
            <w:tcW w:w="800" w:type="dxa"/>
            <w:vAlign w:val="bottom"/>
            <w:tcBorders>
              <w:bottom w:val="single" w:sz="8" w:color="auto"/>
              <w:right w:val="single" w:sz="8" w:color="auto"/>
            </w:tcBorders>
            <w:gridSpan w:val="2"/>
          </w:tcPr>
          <w:p>
            <w:pPr>
              <w:jc w:val="right"/>
              <w:ind w:right="182"/>
              <w:spacing w:after="0"/>
              <w:rPr>
                <w:sz w:val="20"/>
                <w:szCs w:val="20"/>
                <w:color w:val="auto"/>
              </w:rPr>
            </w:pPr>
            <w:r>
              <w:rPr>
                <w:rFonts w:ascii="Arial" w:cs="Arial" w:eastAsia="Arial" w:hAnsi="Arial"/>
                <w:sz w:val="14"/>
                <w:szCs w:val="14"/>
                <w:color w:val="auto"/>
              </w:rPr>
              <w:t>0</w:t>
            </w:r>
          </w:p>
        </w:tc>
        <w:tc>
          <w:tcPr>
            <w:tcW w:w="600" w:type="dxa"/>
            <w:vAlign w:val="bottom"/>
            <w:tcBorders>
              <w:bottom w:val="single" w:sz="8" w:color="auto"/>
              <w:right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20%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9"/>
        </w:trPr>
        <w:tc>
          <w:tcPr>
            <w:tcW w:w="520" w:type="dxa"/>
            <w:vAlign w:val="bottom"/>
            <w:tcBorders>
              <w:left w:val="single" w:sz="8" w:color="auto"/>
              <w:bottom w:val="single" w:sz="8" w:color="auto"/>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134.8</w:t>
            </w:r>
          </w:p>
        </w:tc>
        <w:tc>
          <w:tcPr>
            <w:tcW w:w="540" w:type="dxa"/>
            <w:vAlign w:val="bottom"/>
            <w:tcBorders>
              <w:bottom w:val="single" w:sz="8" w:color="auto"/>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207.0</w:t>
            </w:r>
          </w:p>
        </w:tc>
        <w:tc>
          <w:tcPr>
            <w:tcW w:w="6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182.7</w:t>
            </w:r>
          </w:p>
        </w:tc>
        <w:tc>
          <w:tcPr>
            <w:tcW w:w="560" w:type="dxa"/>
            <w:vAlign w:val="bottom"/>
            <w:tcBorders>
              <w:bottom w:val="single" w:sz="8" w:color="auto"/>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166.7</w:t>
            </w:r>
          </w:p>
        </w:tc>
        <w:tc>
          <w:tcPr>
            <w:tcW w:w="60" w:type="dxa"/>
            <w:vAlign w:val="bottom"/>
            <w:tcBorders>
              <w:bottom w:val="single" w:sz="8" w:color="auto"/>
            </w:tcBorders>
            <w:shd w:val="clear" w:color="auto" w:fill="E5EDFE"/>
          </w:tcPr>
          <w:p>
            <w:pPr>
              <w:spacing w:after="0"/>
              <w:rPr>
                <w:sz w:val="14"/>
                <w:szCs w:val="14"/>
                <w:color w:val="auto"/>
              </w:rPr>
            </w:pPr>
          </w:p>
        </w:tc>
        <w:tc>
          <w:tcPr>
            <w:tcW w:w="580" w:type="dxa"/>
            <w:vAlign w:val="bottom"/>
            <w:tcBorders>
              <w:bottom w:val="single" w:sz="8" w:color="auto"/>
              <w:right w:val="single" w:sz="8" w:color="auto"/>
            </w:tcBorders>
            <w:shd w:val="clear" w:color="auto" w:fill="E5EDFE"/>
          </w:tcPr>
          <w:p>
            <w:pPr>
              <w:jc w:val="center"/>
              <w:ind w:right="30"/>
              <w:spacing w:after="0"/>
              <w:rPr>
                <w:sz w:val="20"/>
                <w:szCs w:val="20"/>
                <w:color w:val="auto"/>
              </w:rPr>
            </w:pPr>
            <w:r>
              <w:rPr>
                <w:rFonts w:ascii="Arial" w:cs="Arial" w:eastAsia="Arial" w:hAnsi="Arial"/>
                <w:sz w:val="14"/>
                <w:szCs w:val="14"/>
                <w:color w:val="auto"/>
              </w:rPr>
              <w:t>166.3</w:t>
            </w:r>
          </w:p>
        </w:tc>
        <w:tc>
          <w:tcPr>
            <w:tcW w:w="980" w:type="dxa"/>
            <w:vAlign w:val="bottom"/>
            <w:tcBorders>
              <w:bottom w:val="single" w:sz="8" w:color="auto"/>
              <w:right w:val="single" w:sz="8" w:color="auto"/>
            </w:tcBorders>
            <w:shd w:val="clear" w:color="auto" w:fill="E5EDFE"/>
          </w:tcPr>
          <w:p>
            <w:pPr>
              <w:jc w:val="right"/>
              <w:ind w:right="253"/>
              <w:spacing w:after="0"/>
              <w:rPr>
                <w:sz w:val="20"/>
                <w:szCs w:val="20"/>
                <w:color w:val="auto"/>
              </w:rPr>
            </w:pPr>
            <w:r>
              <w:rPr>
                <w:rFonts w:ascii="Arial" w:cs="Arial" w:eastAsia="Arial" w:hAnsi="Arial"/>
                <w:sz w:val="14"/>
                <w:szCs w:val="14"/>
                <w:color w:val="auto"/>
              </w:rPr>
              <w:t>99.8</w:t>
            </w:r>
          </w:p>
        </w:tc>
        <w:tc>
          <w:tcPr>
            <w:tcW w:w="800" w:type="dxa"/>
            <w:vAlign w:val="bottom"/>
            <w:tcBorders>
              <w:bottom w:val="single" w:sz="8" w:color="auto"/>
              <w:right w:val="single" w:sz="8" w:color="auto"/>
            </w:tcBorders>
            <w:gridSpan w:val="2"/>
            <w:shd w:val="clear" w:color="auto" w:fill="E5EDFE"/>
          </w:tcPr>
          <w:p>
            <w:pPr>
              <w:jc w:val="right"/>
              <w:ind w:right="182"/>
              <w:spacing w:after="0"/>
              <w:rPr>
                <w:sz w:val="20"/>
                <w:szCs w:val="20"/>
                <w:color w:val="auto"/>
              </w:rPr>
            </w:pPr>
            <w:r>
              <w:rPr>
                <w:rFonts w:ascii="Arial" w:cs="Arial" w:eastAsia="Arial" w:hAnsi="Arial"/>
                <w:sz w:val="14"/>
                <w:szCs w:val="14"/>
                <w:color w:val="auto"/>
              </w:rPr>
              <w:t>99.7</w:t>
            </w:r>
          </w:p>
        </w:tc>
        <w:tc>
          <w:tcPr>
            <w:tcW w:w="600" w:type="dxa"/>
            <w:vAlign w:val="bottom"/>
            <w:tcBorders>
              <w:bottom w:val="single" w:sz="8" w:color="auto"/>
              <w:right w:val="single" w:sz="8" w:color="auto"/>
            </w:tcBorders>
            <w:gridSpan w:val="2"/>
            <w:shd w:val="clear" w:color="auto" w:fill="E5EDFE"/>
          </w:tcPr>
          <w:p>
            <w:pPr>
              <w:jc w:val="right"/>
              <w:ind w:right="37"/>
              <w:spacing w:after="0"/>
              <w:rPr>
                <w:sz w:val="20"/>
                <w:szCs w:val="20"/>
                <w:color w:val="auto"/>
              </w:rPr>
            </w:pPr>
            <w:r>
              <w:rPr>
                <w:rFonts w:ascii="Arial" w:cs="Arial" w:eastAsia="Arial" w:hAnsi="Arial"/>
                <w:sz w:val="14"/>
                <w:szCs w:val="14"/>
                <w:color w:val="auto"/>
              </w:rPr>
              <w:t>20%</w:t>
            </w:r>
          </w:p>
        </w:tc>
        <w:tc>
          <w:tcPr>
            <w:tcW w:w="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shd w:val="clear" w:color="auto" w:fill="E5EDFE"/>
          </w:tcPr>
          <w:p>
            <w:pPr>
              <w:spacing w:after="0"/>
              <w:rPr>
                <w:sz w:val="14"/>
                <w:szCs w:val="14"/>
                <w:color w:val="auto"/>
              </w:rPr>
            </w:pPr>
          </w:p>
        </w:tc>
        <w:tc>
          <w:tcPr>
            <w:tcW w:w="620" w:type="dxa"/>
            <w:vAlign w:val="bottom"/>
            <w:tcBorders>
              <w:bottom w:val="single" w:sz="8" w:color="auto"/>
              <w:right w:val="single" w:sz="8" w:color="auto"/>
            </w:tcBorders>
            <w:shd w:val="clear" w:color="auto" w:fill="E5EDFE"/>
          </w:tcPr>
          <w:p>
            <w:pPr>
              <w:ind w:left="200"/>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shd w:val="clear" w:color="auto" w:fill="E5EDFE"/>
          </w:tcPr>
          <w:p>
            <w:pPr>
              <w:spacing w:after="0"/>
              <w:rPr>
                <w:sz w:val="14"/>
                <w:szCs w:val="14"/>
                <w:color w:val="auto"/>
              </w:rPr>
            </w:pPr>
          </w:p>
        </w:tc>
        <w:tc>
          <w:tcPr>
            <w:tcW w:w="52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9"/>
        </w:trPr>
        <w:tc>
          <w:tcPr>
            <w:tcW w:w="5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118.7</w:t>
            </w:r>
          </w:p>
        </w:tc>
        <w:tc>
          <w:tcPr>
            <w:tcW w:w="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217.3</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193.5</w:t>
            </w:r>
          </w:p>
        </w:tc>
        <w:tc>
          <w:tcPr>
            <w:tcW w:w="5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164.2</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4"/>
                <w:szCs w:val="14"/>
                <w:color w:val="auto"/>
              </w:rPr>
              <w:t>172.7</w:t>
            </w:r>
          </w:p>
        </w:tc>
        <w:tc>
          <w:tcPr>
            <w:tcW w:w="98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4"/>
                <w:szCs w:val="14"/>
                <w:color w:val="auto"/>
              </w:rPr>
              <w:t>105.2</w:t>
            </w:r>
          </w:p>
        </w:tc>
        <w:tc>
          <w:tcPr>
            <w:tcW w:w="800" w:type="dxa"/>
            <w:vAlign w:val="bottom"/>
            <w:tcBorders>
              <w:bottom w:val="single" w:sz="8" w:color="auto"/>
              <w:right w:val="single" w:sz="8" w:color="auto"/>
            </w:tcBorders>
            <w:gridSpan w:val="2"/>
          </w:tcPr>
          <w:p>
            <w:pPr>
              <w:jc w:val="right"/>
              <w:ind w:right="182"/>
              <w:spacing w:after="0"/>
              <w:rPr>
                <w:sz w:val="20"/>
                <w:szCs w:val="20"/>
                <w:color w:val="auto"/>
              </w:rPr>
            </w:pPr>
            <w:r>
              <w:rPr>
                <w:rFonts w:ascii="Arial" w:cs="Arial" w:eastAsia="Arial" w:hAnsi="Arial"/>
                <w:sz w:val="14"/>
                <w:szCs w:val="14"/>
                <w:color w:val="auto"/>
              </w:rPr>
              <w:t>108.7</w:t>
            </w:r>
          </w:p>
        </w:tc>
        <w:tc>
          <w:tcPr>
            <w:tcW w:w="600" w:type="dxa"/>
            <w:vAlign w:val="bottom"/>
            <w:tcBorders>
              <w:bottom w:val="single" w:sz="8" w:color="auto"/>
              <w:right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20%</w:t>
            </w:r>
          </w:p>
        </w:tc>
        <w:tc>
          <w:tcPr>
            <w:tcW w:w="760" w:type="dxa"/>
            <w:vAlign w:val="bottom"/>
            <w:tcBorders>
              <w:bottom w:val="single" w:sz="8" w:color="auto"/>
              <w:right w:val="single" w:sz="8" w:color="auto"/>
            </w:tcBorders>
          </w:tcPr>
          <w:p>
            <w:pPr>
              <w:jc w:val="right"/>
              <w:ind w:right="233"/>
              <w:spacing w:after="0"/>
              <w:rPr>
                <w:sz w:val="20"/>
                <w:szCs w:val="20"/>
                <w:color w:val="auto"/>
              </w:rPr>
            </w:pPr>
            <w:r>
              <w:rPr>
                <w:rFonts w:ascii="Arial" w:cs="Arial" w:eastAsia="Arial" w:hAnsi="Arial"/>
                <w:sz w:val="14"/>
                <w:szCs w:val="14"/>
                <w:color w:val="auto"/>
              </w:rPr>
              <w:t>89</w:t>
            </w:r>
          </w:p>
        </w:tc>
        <w:tc>
          <w:tcPr>
            <w:tcW w:w="700" w:type="dxa"/>
            <w:vAlign w:val="bottom"/>
            <w:tcBorders>
              <w:bottom w:val="single" w:sz="8" w:color="auto"/>
              <w:right w:val="single" w:sz="8" w:color="auto"/>
            </w:tcBorders>
            <w:gridSpan w:val="2"/>
          </w:tcPr>
          <w:p>
            <w:pPr>
              <w:jc w:val="right"/>
              <w:ind w:right="153"/>
              <w:spacing w:after="0"/>
              <w:rPr>
                <w:sz w:val="20"/>
                <w:szCs w:val="20"/>
                <w:color w:val="auto"/>
              </w:rPr>
            </w:pPr>
            <w:r>
              <w:rPr>
                <w:rFonts w:ascii="Arial" w:cs="Arial" w:eastAsia="Arial" w:hAnsi="Arial"/>
                <w:sz w:val="14"/>
                <w:szCs w:val="14"/>
                <w:color w:val="auto"/>
              </w:rPr>
              <w:t>82.7</w:t>
            </w:r>
          </w:p>
        </w:tc>
        <w:tc>
          <w:tcPr>
            <w:tcW w:w="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shd w:val="clear" w:color="auto" w:fill="E5EDFE"/>
          </w:tcPr>
          <w:p>
            <w:pPr>
              <w:spacing w:after="0"/>
              <w:rPr>
                <w:sz w:val="14"/>
                <w:szCs w:val="14"/>
                <w:color w:val="auto"/>
              </w:rPr>
            </w:pPr>
          </w:p>
        </w:tc>
        <w:tc>
          <w:tcPr>
            <w:tcW w:w="460" w:type="dxa"/>
            <w:vAlign w:val="bottom"/>
            <w:tcBorders>
              <w:bottom w:val="single" w:sz="8" w:color="auto"/>
              <w:right w:val="single" w:sz="8" w:color="auto"/>
            </w:tcBorders>
            <w:shd w:val="clear" w:color="auto" w:fill="E5EDFE"/>
          </w:tcPr>
          <w:p>
            <w:pPr>
              <w:jc w:val="center"/>
              <w:ind w:right="33"/>
              <w:spacing w:after="0"/>
              <w:rPr>
                <w:sz w:val="20"/>
                <w:szCs w:val="20"/>
                <w:color w:val="auto"/>
              </w:rPr>
            </w:pPr>
            <w:r>
              <w:rPr>
                <w:rFonts w:ascii="Arial" w:cs="Arial" w:eastAsia="Arial" w:hAnsi="Arial"/>
                <w:sz w:val="14"/>
                <w:szCs w:val="14"/>
                <w:b w:val="1"/>
                <w:bCs w:val="1"/>
                <w:color w:val="auto"/>
                <w:w w:val="97"/>
              </w:rPr>
              <w:t>Final</w:t>
            </w:r>
          </w:p>
        </w:tc>
        <w:tc>
          <w:tcPr>
            <w:tcW w:w="86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480" w:type="dxa"/>
            <w:vAlign w:val="bottom"/>
            <w:tcBorders>
              <w:bottom w:val="single" w:sz="8" w:color="auto"/>
              <w:right w:val="single" w:sz="8" w:color="auto"/>
            </w:tcBorders>
            <w:shd w:val="clear" w:color="auto" w:fill="E5EDFE"/>
          </w:tcPr>
          <w:p>
            <w:pPr>
              <w:spacing w:after="0"/>
              <w:rPr>
                <w:sz w:val="14"/>
                <w:szCs w:val="14"/>
                <w:color w:val="auto"/>
              </w:rPr>
            </w:pPr>
          </w:p>
        </w:tc>
        <w:tc>
          <w:tcPr>
            <w:tcW w:w="66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48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580" w:type="dxa"/>
            <w:vAlign w:val="bottom"/>
            <w:tcBorders>
              <w:bottom w:val="single" w:sz="8" w:color="auto"/>
              <w:right w:val="single" w:sz="8" w:color="auto"/>
            </w:tcBorders>
            <w:shd w:val="clear" w:color="auto" w:fill="E5EDFE"/>
          </w:tcPr>
          <w:p>
            <w:pPr>
              <w:spacing w:after="0"/>
              <w:rPr>
                <w:sz w:val="14"/>
                <w:szCs w:val="14"/>
                <w:color w:val="auto"/>
              </w:rPr>
            </w:pPr>
          </w:p>
        </w:tc>
        <w:tc>
          <w:tcPr>
            <w:tcW w:w="98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74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520" w:type="dxa"/>
            <w:vAlign w:val="bottom"/>
            <w:tcBorders>
              <w:bottom w:val="single" w:sz="8" w:color="auto"/>
              <w:right w:val="single" w:sz="8" w:color="auto"/>
            </w:tcBorders>
            <w:shd w:val="clear" w:color="auto" w:fill="E5EDFE"/>
          </w:tcPr>
          <w:p>
            <w:pPr>
              <w:spacing w:after="0"/>
              <w:rPr>
                <w:sz w:val="14"/>
                <w:szCs w:val="14"/>
                <w:color w:val="auto"/>
              </w:rPr>
            </w:pPr>
          </w:p>
        </w:tc>
        <w:tc>
          <w:tcPr>
            <w:tcW w:w="76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620" w:type="dxa"/>
            <w:vAlign w:val="bottom"/>
            <w:tcBorders>
              <w:bottom w:val="single" w:sz="8" w:color="auto"/>
              <w:right w:val="single" w:sz="8" w:color="auto"/>
            </w:tcBorders>
            <w:shd w:val="clear" w:color="auto" w:fill="E5EDFE"/>
          </w:tcPr>
          <w:p>
            <w:pPr>
              <w:spacing w:after="0"/>
              <w:rPr>
                <w:sz w:val="14"/>
                <w:szCs w:val="14"/>
                <w:color w:val="auto"/>
              </w:rPr>
            </w:pPr>
          </w:p>
        </w:tc>
        <w:tc>
          <w:tcPr>
            <w:tcW w:w="600" w:type="dxa"/>
            <w:vAlign w:val="bottom"/>
            <w:tcBorders>
              <w:bottom w:val="single" w:sz="8" w:color="auto"/>
              <w:right w:val="single" w:sz="8" w:color="auto"/>
            </w:tcBorders>
            <w:gridSpan w:val="2"/>
            <w:shd w:val="clear" w:color="auto" w:fill="E5EDFE"/>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620" w:right="1280" w:hanging="352"/>
        <w:spacing w:after="0" w:line="278" w:lineRule="auto"/>
        <w:tabs>
          <w:tab w:leader="none" w:pos="1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Value Creation equals Operating Cash Flow, plus change in current-year Adjusted EBITDA over prior-year adjusted EBITDA multiplied by 5.</w:t>
      </w:r>
    </w:p>
    <w:p>
      <w:pPr>
        <w:spacing w:after="0" w:line="32" w:lineRule="exact"/>
        <w:rPr>
          <w:rFonts w:ascii="Arial" w:cs="Arial" w:eastAsia="Arial" w:hAnsi="Arial"/>
          <w:sz w:val="14"/>
          <w:szCs w:val="14"/>
          <w:color w:val="auto"/>
        </w:rPr>
      </w:pPr>
    </w:p>
    <w:p>
      <w:pPr>
        <w:ind w:left="1620" w:right="1260" w:hanging="352"/>
        <w:spacing w:after="0" w:line="278" w:lineRule="auto"/>
        <w:tabs>
          <w:tab w:leader="none" w:pos="1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definitions of Operating Cash Flow and Adjusted EBITDA provide for adjustments to exclude the impact of major acquisitions.</w:t>
      </w:r>
    </w:p>
    <w:p>
      <w:pPr>
        <w:spacing w:after="0" w:line="32" w:lineRule="exact"/>
        <w:rPr>
          <w:rFonts w:ascii="Arial" w:cs="Arial" w:eastAsia="Arial" w:hAnsi="Arial"/>
          <w:sz w:val="14"/>
          <w:szCs w:val="14"/>
          <w:color w:val="auto"/>
        </w:rPr>
      </w:pPr>
    </w:p>
    <w:p>
      <w:pPr>
        <w:jc w:val="both"/>
        <w:ind w:left="1620" w:right="1280" w:hanging="352"/>
        <w:spacing w:after="0" w:line="280" w:lineRule="auto"/>
        <w:tabs>
          <w:tab w:leader="none" w:pos="1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award funding percentage is determined by using the Value Creation Actual versus Plan percentage and applying it to the award funding table (shown below). Percentages in between the table values are calculated using straight-line interpolation.</w:t>
      </w:r>
    </w:p>
    <w:p>
      <w:pPr>
        <w:spacing w:after="0" w:line="261" w:lineRule="exact"/>
        <w:rPr>
          <w:sz w:val="20"/>
          <w:szCs w:val="20"/>
          <w:color w:val="auto"/>
        </w:rPr>
      </w:pPr>
    </w:p>
    <w:tbl>
      <w:tblPr>
        <w:tblLayout w:type="fixed"/>
        <w:tblInd w:w="3870" w:type="dxa"/>
        <w:tblCellMar>
          <w:top w:w="0" w:type="dxa"/>
          <w:left w:w="0" w:type="dxa"/>
          <w:bottom w:w="0" w:type="dxa"/>
          <w:right w:w="0" w:type="dxa"/>
        </w:tblCellMar>
      </w:tblPr>
      <w:tr>
        <w:trPr>
          <w:trHeight w:val="230"/>
        </w:trPr>
        <w:tc>
          <w:tcPr>
            <w:tcW w:w="1520" w:type="dxa"/>
            <w:vAlign w:val="bottom"/>
            <w:tcBorders>
              <w:top w:val="single" w:sz="8" w:color="auto"/>
              <w:left w:val="single" w:sz="8" w:color="auto"/>
              <w:bottom w:val="single" w:sz="8" w:color="auto"/>
              <w:right w:val="single" w:sz="8" w:color="auto"/>
            </w:tcBorders>
            <w:gridSpan w:val="2"/>
            <w:shd w:val="clear" w:color="auto" w:fill="B1C9FD"/>
          </w:tcPr>
          <w:p>
            <w:pPr>
              <w:ind w:left="160"/>
              <w:spacing w:after="0"/>
              <w:rPr>
                <w:sz w:val="20"/>
                <w:szCs w:val="20"/>
                <w:color w:val="auto"/>
              </w:rPr>
            </w:pPr>
            <w:r>
              <w:rPr>
                <w:rFonts w:ascii="Arial" w:cs="Arial" w:eastAsia="Arial" w:hAnsi="Arial"/>
                <w:sz w:val="16"/>
                <w:szCs w:val="16"/>
                <w:b w:val="1"/>
                <w:bCs w:val="1"/>
                <w:color w:val="004FF9"/>
              </w:rPr>
              <w:t>Value Creation</w:t>
            </w:r>
          </w:p>
        </w:tc>
        <w:tc>
          <w:tcPr>
            <w:tcW w:w="1500" w:type="dxa"/>
            <w:vAlign w:val="bottom"/>
            <w:tcBorders>
              <w:top w:val="single" w:sz="8" w:color="auto"/>
              <w:bottom w:val="single" w:sz="8" w:color="auto"/>
              <w:right w:val="single" w:sz="8" w:color="auto"/>
            </w:tcBorders>
            <w:shd w:val="clear" w:color="auto" w:fill="B1C9FD"/>
          </w:tcPr>
          <w:p>
            <w:pPr>
              <w:ind w:left="180"/>
              <w:spacing w:after="0"/>
              <w:rPr>
                <w:sz w:val="20"/>
                <w:szCs w:val="20"/>
                <w:color w:val="auto"/>
              </w:rPr>
            </w:pPr>
            <w:r>
              <w:rPr>
                <w:rFonts w:ascii="Arial" w:cs="Arial" w:eastAsia="Arial" w:hAnsi="Arial"/>
                <w:sz w:val="16"/>
                <w:szCs w:val="16"/>
                <w:b w:val="1"/>
                <w:bCs w:val="1"/>
                <w:color w:val="004FF9"/>
              </w:rPr>
              <w:t>Award Funding</w:t>
            </w:r>
          </w:p>
        </w:tc>
      </w:tr>
      <w:tr>
        <w:trPr>
          <w:trHeight w:val="169"/>
        </w:trPr>
        <w:tc>
          <w:tcPr>
            <w:tcW w:w="600" w:type="dxa"/>
            <w:vAlign w:val="bottom"/>
            <w:tcBorders>
              <w:left w:val="single" w:sz="8" w:color="auto"/>
              <w:bottom w:val="single" w:sz="8" w:color="auto"/>
            </w:tcBorders>
          </w:tcPr>
          <w:p>
            <w:pPr>
              <w:ind w:left="420"/>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center"/>
              <w:ind w:right="339"/>
              <w:spacing w:after="0" w:line="169" w:lineRule="exact"/>
              <w:rPr>
                <w:sz w:val="20"/>
                <w:szCs w:val="20"/>
                <w:color w:val="auto"/>
              </w:rPr>
            </w:pPr>
            <w:r>
              <w:rPr>
                <w:rFonts w:ascii="Arial" w:cs="Arial" w:eastAsia="Arial" w:hAnsi="Arial"/>
                <w:sz w:val="16"/>
                <w:szCs w:val="16"/>
                <w:color w:val="auto"/>
              </w:rPr>
              <w:t>135%</w:t>
            </w:r>
          </w:p>
        </w:tc>
        <w:tc>
          <w:tcPr>
            <w:tcW w:w="15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200.0%</w:t>
            </w:r>
          </w:p>
        </w:tc>
      </w:tr>
      <w:tr>
        <w:trPr>
          <w:trHeight w:val="169"/>
        </w:trPr>
        <w:tc>
          <w:tcPr>
            <w:tcW w:w="600" w:type="dxa"/>
            <w:vAlign w:val="bottom"/>
            <w:tcBorders>
              <w:left w:val="single" w:sz="8" w:color="auto"/>
              <w:bottom w:val="single" w:sz="8" w:color="auto"/>
            </w:tcBorders>
            <w:shd w:val="clear" w:color="auto" w:fill="E5EDFE"/>
          </w:tcPr>
          <w:p>
            <w:pPr>
              <w:ind w:left="420"/>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shd w:val="clear" w:color="auto" w:fill="E5EDFE"/>
          </w:tcPr>
          <w:p>
            <w:pPr>
              <w:jc w:val="center"/>
              <w:ind w:right="339"/>
              <w:spacing w:after="0" w:line="169" w:lineRule="exact"/>
              <w:rPr>
                <w:sz w:val="20"/>
                <w:szCs w:val="20"/>
                <w:color w:val="auto"/>
              </w:rPr>
            </w:pPr>
            <w:r>
              <w:rPr>
                <w:rFonts w:ascii="Arial" w:cs="Arial" w:eastAsia="Arial" w:hAnsi="Arial"/>
                <w:sz w:val="16"/>
                <w:szCs w:val="16"/>
                <w:color w:val="auto"/>
              </w:rPr>
              <w:t>125%</w:t>
            </w:r>
          </w:p>
        </w:tc>
        <w:tc>
          <w:tcPr>
            <w:tcW w:w="15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150.0%</w:t>
            </w:r>
          </w:p>
        </w:tc>
      </w:tr>
      <w:tr>
        <w:trPr>
          <w:trHeight w:val="169"/>
        </w:trPr>
        <w:tc>
          <w:tcPr>
            <w:tcW w:w="600" w:type="dxa"/>
            <w:vAlign w:val="bottom"/>
            <w:tcBorders>
              <w:left w:val="single" w:sz="8" w:color="auto"/>
              <w:bottom w:val="single" w:sz="8" w:color="auto"/>
            </w:tcBorders>
          </w:tcPr>
          <w:p>
            <w:pPr>
              <w:ind w:left="420"/>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center"/>
              <w:ind w:right="339"/>
              <w:spacing w:after="0" w:line="169" w:lineRule="exact"/>
              <w:rPr>
                <w:sz w:val="20"/>
                <w:szCs w:val="20"/>
                <w:color w:val="auto"/>
              </w:rPr>
            </w:pPr>
            <w:r>
              <w:rPr>
                <w:rFonts w:ascii="Arial" w:cs="Arial" w:eastAsia="Arial" w:hAnsi="Arial"/>
                <w:sz w:val="16"/>
                <w:szCs w:val="16"/>
                <w:color w:val="auto"/>
              </w:rPr>
              <w:t>115%</w:t>
            </w:r>
          </w:p>
        </w:tc>
        <w:tc>
          <w:tcPr>
            <w:tcW w:w="15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125.0%</w:t>
            </w:r>
          </w:p>
        </w:tc>
      </w:tr>
      <w:tr>
        <w:trPr>
          <w:trHeight w:val="169"/>
        </w:trPr>
        <w:tc>
          <w:tcPr>
            <w:tcW w:w="600" w:type="dxa"/>
            <w:vAlign w:val="bottom"/>
            <w:tcBorders>
              <w:left w:val="single" w:sz="8" w:color="auto"/>
              <w:bottom w:val="single" w:sz="8" w:color="auto"/>
            </w:tcBorders>
            <w:shd w:val="clear" w:color="auto" w:fill="E5EDFE"/>
          </w:tcPr>
          <w:p>
            <w:pPr>
              <w:ind w:left="420"/>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shd w:val="clear" w:color="auto" w:fill="E5EDFE"/>
          </w:tcPr>
          <w:p>
            <w:pPr>
              <w:jc w:val="center"/>
              <w:ind w:right="339"/>
              <w:spacing w:after="0" w:line="169" w:lineRule="exact"/>
              <w:rPr>
                <w:sz w:val="20"/>
                <w:szCs w:val="20"/>
                <w:color w:val="auto"/>
              </w:rPr>
            </w:pPr>
            <w:r>
              <w:rPr>
                <w:rFonts w:ascii="Arial" w:cs="Arial" w:eastAsia="Arial" w:hAnsi="Arial"/>
                <w:sz w:val="16"/>
                <w:szCs w:val="16"/>
                <w:color w:val="auto"/>
              </w:rPr>
              <w:t>100%</w:t>
            </w:r>
          </w:p>
        </w:tc>
        <w:tc>
          <w:tcPr>
            <w:tcW w:w="15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100.0%</w:t>
            </w:r>
          </w:p>
        </w:tc>
      </w:tr>
      <w:tr>
        <w:trPr>
          <w:trHeight w:val="183"/>
        </w:trPr>
        <w:tc>
          <w:tcPr>
            <w:tcW w:w="600" w:type="dxa"/>
            <w:vAlign w:val="bottom"/>
            <w:tcBorders>
              <w:left w:val="single" w:sz="8" w:color="auto"/>
              <w:bottom w:val="single" w:sz="8" w:color="auto"/>
            </w:tcBorders>
          </w:tcPr>
          <w:p>
            <w:pPr>
              <w:ind w:left="4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center"/>
              <w:ind w:right="359"/>
              <w:spacing w:after="0" w:line="183" w:lineRule="exact"/>
              <w:rPr>
                <w:sz w:val="20"/>
                <w:szCs w:val="20"/>
                <w:color w:val="auto"/>
              </w:rPr>
            </w:pPr>
            <w:r>
              <w:rPr>
                <w:rFonts w:ascii="Arial" w:cs="Arial" w:eastAsia="Arial" w:hAnsi="Arial"/>
                <w:sz w:val="16"/>
                <w:szCs w:val="16"/>
                <w:color w:val="auto"/>
                <w:w w:val="99"/>
              </w:rPr>
              <w:t>90%</w:t>
            </w:r>
          </w:p>
        </w:tc>
        <w:tc>
          <w:tcPr>
            <w:tcW w:w="1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85.0%</w:t>
            </w:r>
          </w:p>
        </w:tc>
      </w:tr>
      <w:tr>
        <w:trPr>
          <w:trHeight w:val="183"/>
        </w:trPr>
        <w:tc>
          <w:tcPr>
            <w:tcW w:w="600" w:type="dxa"/>
            <w:vAlign w:val="bottom"/>
            <w:tcBorders>
              <w:left w:val="single" w:sz="8" w:color="auto"/>
              <w:bottom w:val="single" w:sz="8" w:color="auto"/>
            </w:tcBorders>
            <w:shd w:val="clear" w:color="auto" w:fill="E5EDFE"/>
          </w:tcPr>
          <w:p>
            <w:pPr>
              <w:ind w:left="46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shd w:val="clear" w:color="auto" w:fill="E5EDFE"/>
          </w:tcPr>
          <w:p>
            <w:pPr>
              <w:jc w:val="center"/>
              <w:ind w:right="359"/>
              <w:spacing w:after="0" w:line="183" w:lineRule="exact"/>
              <w:rPr>
                <w:sz w:val="20"/>
                <w:szCs w:val="20"/>
                <w:color w:val="auto"/>
              </w:rPr>
            </w:pPr>
            <w:r>
              <w:rPr>
                <w:rFonts w:ascii="Arial" w:cs="Arial" w:eastAsia="Arial" w:hAnsi="Arial"/>
                <w:sz w:val="16"/>
                <w:szCs w:val="16"/>
                <w:color w:val="auto"/>
                <w:w w:val="99"/>
              </w:rPr>
              <w:t>75%</w:t>
            </w:r>
          </w:p>
        </w:tc>
        <w:tc>
          <w:tcPr>
            <w:tcW w:w="1500" w:type="dxa"/>
            <w:vAlign w:val="bottom"/>
            <w:tcBorders>
              <w:bottom w:val="single" w:sz="8" w:color="auto"/>
              <w:right w:val="single" w:sz="8" w:color="auto"/>
            </w:tcBorders>
            <w:shd w:val="clear" w:color="auto" w:fill="E5EDFE"/>
          </w:tcPr>
          <w:p>
            <w:pPr>
              <w:jc w:val="center"/>
              <w:spacing w:after="0" w:line="183" w:lineRule="exact"/>
              <w:rPr>
                <w:sz w:val="20"/>
                <w:szCs w:val="20"/>
                <w:color w:val="auto"/>
              </w:rPr>
            </w:pPr>
            <w:r>
              <w:rPr>
                <w:rFonts w:ascii="Arial" w:cs="Arial" w:eastAsia="Arial" w:hAnsi="Arial"/>
                <w:sz w:val="16"/>
                <w:szCs w:val="16"/>
                <w:color w:val="auto"/>
              </w:rPr>
              <w:t>50.0%</w:t>
            </w:r>
          </w:p>
        </w:tc>
      </w:tr>
    </w:tbl>
    <w:p>
      <w:pPr>
        <w:spacing w:after="0" w:line="83" w:lineRule="exact"/>
        <w:rPr>
          <w:sz w:val="20"/>
          <w:szCs w:val="20"/>
          <w:color w:val="auto"/>
        </w:rPr>
      </w:pPr>
    </w:p>
    <w:p>
      <w:pPr>
        <w:sectPr>
          <w:pgSz w:w="11900" w:h="16838" w:orient="portrait"/>
          <w:cols w:equalWidth="0" w:num="1">
            <w:col w:w="10740"/>
          </w:cols>
          <w:pgMar w:left="240" w:top="132" w:right="919" w:bottom="1440" w:gutter="0" w:footer="0" w:header="0"/>
        </w:sectPr>
      </w:pPr>
    </w:p>
    <w:p>
      <w:pPr>
        <w:jc w:val="both"/>
        <w:ind w:left="1260"/>
        <w:spacing w:after="0" w:line="250" w:lineRule="auto"/>
        <w:rPr>
          <w:sz w:val="20"/>
          <w:szCs w:val="20"/>
          <w:color w:val="auto"/>
        </w:rPr>
      </w:pPr>
      <w:r>
        <w:rPr>
          <w:rFonts w:ascii="Arial" w:cs="Arial" w:eastAsia="Arial" w:hAnsi="Arial"/>
          <w:sz w:val="16"/>
          <w:szCs w:val="16"/>
          <w:color w:val="auto"/>
        </w:rPr>
        <w:t>The last tranche of performance shares under the 2012 – 2014 Value Creation PSP was earned at 105.2% since Value Creation, as adjusted, was $172.7 million compared to a target of $164.2 million.</w:t>
      </w:r>
    </w:p>
    <w:p>
      <w:pPr>
        <w:spacing w:after="0" w:line="20" w:lineRule="exact"/>
        <w:rPr>
          <w:sz w:val="20"/>
          <w:szCs w:val="20"/>
          <w:color w:val="auto"/>
        </w:rPr>
      </w:pPr>
      <w:r>
        <w:rPr>
          <w:sz w:val="20"/>
          <w:szCs w:val="20"/>
          <w:color w:val="auto"/>
        </w:rPr>
        <w:br w:type="column"/>
      </w:r>
    </w:p>
    <w:p>
      <w:pPr>
        <w:jc w:val="both"/>
        <w:ind w:right="1260"/>
        <w:spacing w:after="0" w:line="253" w:lineRule="auto"/>
        <w:rPr>
          <w:sz w:val="20"/>
          <w:szCs w:val="20"/>
          <w:color w:val="auto"/>
        </w:rPr>
      </w:pPr>
      <w:r>
        <w:rPr>
          <w:rFonts w:ascii="Arial" w:cs="Arial" w:eastAsia="Arial" w:hAnsi="Arial"/>
          <w:sz w:val="16"/>
          <w:szCs w:val="16"/>
          <w:color w:val="auto"/>
        </w:rPr>
        <w:t>2014 was the final year of the period. Overall, under the 2012 – 2014 Value Creation PSP, performance shares were earned at approximately 75% of target.</w:t>
      </w:r>
    </w:p>
    <w:p>
      <w:pPr>
        <w:spacing w:after="0" w:line="384" w:lineRule="exact"/>
        <w:rPr>
          <w:sz w:val="20"/>
          <w:szCs w:val="20"/>
          <w:color w:val="auto"/>
        </w:rPr>
      </w:pPr>
    </w:p>
    <w:p>
      <w:pPr>
        <w:sectPr>
          <w:pgSz w:w="11900" w:h="16838" w:orient="portrait"/>
          <w:cols w:equalWidth="0" w:num="2">
            <w:col w:w="5080" w:space="600"/>
            <w:col w:w="5060"/>
          </w:cols>
          <w:pgMar w:left="240" w:top="132" w:right="91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FF9"/>
        </w:rPr>
        <w:t>2013 – 2015 Value Creation PSP</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196"/>
        </w:trPr>
        <w:tc>
          <w:tcPr>
            <w:tcW w:w="60" w:type="dxa"/>
            <w:vAlign w:val="bottom"/>
            <w:tcBorders>
              <w:top w:val="single" w:sz="8" w:color="auto"/>
              <w:left w:val="single" w:sz="8" w:color="auto"/>
              <w:bottom w:val="single" w:sz="8" w:color="auto"/>
            </w:tcBorders>
            <w:shd w:val="clear" w:color="auto" w:fill="B1C9FD"/>
          </w:tcPr>
          <w:p>
            <w:pPr>
              <w:spacing w:after="0"/>
              <w:rPr>
                <w:sz w:val="17"/>
                <w:szCs w:val="17"/>
                <w:color w:val="auto"/>
              </w:rPr>
            </w:pPr>
          </w:p>
        </w:tc>
        <w:tc>
          <w:tcPr>
            <w:tcW w:w="4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8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0" w:type="dxa"/>
            <w:vAlign w:val="bottom"/>
            <w:tcBorders>
              <w:top w:val="single" w:sz="8" w:color="auto"/>
              <w:bottom w:val="single" w:sz="8" w:color="auto"/>
            </w:tcBorders>
            <w:shd w:val="clear" w:color="auto" w:fill="B1C9FD"/>
          </w:tcPr>
          <w:p>
            <w:pPr>
              <w:spacing w:after="0"/>
              <w:rPr>
                <w:sz w:val="17"/>
                <w:szCs w:val="17"/>
                <w:color w:val="auto"/>
              </w:rPr>
            </w:pPr>
          </w:p>
        </w:tc>
        <w:tc>
          <w:tcPr>
            <w:tcW w:w="4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20" w:type="dxa"/>
            <w:vAlign w:val="bottom"/>
            <w:tcBorders>
              <w:top w:val="single" w:sz="8" w:color="auto"/>
              <w:bottom w:val="single" w:sz="8" w:color="auto"/>
            </w:tcBorders>
            <w:gridSpan w:val="3"/>
            <w:shd w:val="clear" w:color="auto" w:fill="B1C9FD"/>
          </w:tcPr>
          <w:p>
            <w:pPr>
              <w:jc w:val="right"/>
              <w:spacing w:after="0"/>
              <w:rPr>
                <w:sz w:val="20"/>
                <w:szCs w:val="20"/>
                <w:color w:val="auto"/>
              </w:rPr>
            </w:pPr>
            <w:r>
              <w:rPr>
                <w:rFonts w:ascii="Arial" w:cs="Arial" w:eastAsia="Arial" w:hAnsi="Arial"/>
                <w:sz w:val="13"/>
                <w:szCs w:val="13"/>
                <w:b w:val="1"/>
                <w:bCs w:val="1"/>
                <w:color w:val="004FF9"/>
              </w:rPr>
              <w:t>60%</w:t>
            </w:r>
          </w:p>
        </w:tc>
        <w:tc>
          <w:tcPr>
            <w:tcW w:w="5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9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0" w:type="dxa"/>
            <w:vAlign w:val="bottom"/>
            <w:tcBorders>
              <w:top w:val="single" w:sz="8" w:color="auto"/>
              <w:bottom w:val="single" w:sz="8" w:color="auto"/>
            </w:tcBorders>
            <w:shd w:val="clear" w:color="auto" w:fill="B1C9FD"/>
          </w:tcPr>
          <w:p>
            <w:pPr>
              <w:spacing w:after="0"/>
              <w:rPr>
                <w:sz w:val="17"/>
                <w:szCs w:val="17"/>
                <w:color w:val="auto"/>
              </w:rPr>
            </w:pPr>
          </w:p>
        </w:tc>
        <w:tc>
          <w:tcPr>
            <w:tcW w:w="74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80" w:type="dxa"/>
            <w:vAlign w:val="bottom"/>
            <w:tcBorders>
              <w:top w:val="single" w:sz="8" w:color="auto"/>
              <w:bottom w:val="single" w:sz="8" w:color="auto"/>
            </w:tcBorders>
            <w:shd w:val="clear" w:color="auto" w:fill="B1C9FD"/>
          </w:tcPr>
          <w:p>
            <w:pPr>
              <w:spacing w:after="0"/>
              <w:rPr>
                <w:sz w:val="17"/>
                <w:szCs w:val="17"/>
                <w:color w:val="auto"/>
              </w:rPr>
            </w:pPr>
          </w:p>
        </w:tc>
        <w:tc>
          <w:tcPr>
            <w:tcW w:w="520" w:type="dxa"/>
            <w:vAlign w:val="bottom"/>
            <w:tcBorders>
              <w:top w:val="single" w:sz="8" w:color="auto"/>
              <w:bottom w:val="single" w:sz="8" w:color="auto"/>
              <w:right w:val="single" w:sz="8" w:color="auto"/>
            </w:tcBorders>
            <w:shd w:val="clear" w:color="auto" w:fill="B1C9FD"/>
          </w:tcPr>
          <w:p>
            <w:pPr>
              <w:spacing w:after="0"/>
              <w:rPr>
                <w:sz w:val="17"/>
                <w:szCs w:val="17"/>
                <w:color w:val="auto"/>
              </w:rPr>
            </w:pPr>
          </w:p>
        </w:tc>
        <w:tc>
          <w:tcPr>
            <w:tcW w:w="80" w:type="dxa"/>
            <w:vAlign w:val="bottom"/>
            <w:tcBorders>
              <w:top w:val="single" w:sz="8" w:color="auto"/>
              <w:bottom w:val="single" w:sz="8" w:color="auto"/>
            </w:tcBorders>
            <w:shd w:val="clear" w:color="auto" w:fill="B1C9FD"/>
          </w:tcPr>
          <w:p>
            <w:pPr>
              <w:spacing w:after="0"/>
              <w:rPr>
                <w:sz w:val="17"/>
                <w:szCs w:val="17"/>
                <w:color w:val="auto"/>
              </w:rPr>
            </w:pPr>
          </w:p>
        </w:tc>
        <w:tc>
          <w:tcPr>
            <w:tcW w:w="6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700" w:type="dxa"/>
            <w:vAlign w:val="bottom"/>
            <w:tcBorders>
              <w:top w:val="single" w:sz="8" w:color="auto"/>
              <w:bottom w:val="single" w:sz="8" w:color="auto"/>
              <w:right w:val="single" w:sz="8" w:color="B1C9FD"/>
            </w:tcBorders>
            <w:gridSpan w:val="2"/>
            <w:shd w:val="clear" w:color="auto" w:fill="B1C9FD"/>
          </w:tcPr>
          <w:p>
            <w:pPr>
              <w:jc w:val="right"/>
              <w:ind w:right="233"/>
              <w:spacing w:after="0"/>
              <w:rPr>
                <w:sz w:val="20"/>
                <w:szCs w:val="20"/>
                <w:color w:val="auto"/>
              </w:rPr>
            </w:pPr>
            <w:r>
              <w:rPr>
                <w:rFonts w:ascii="Arial" w:cs="Arial" w:eastAsia="Arial" w:hAnsi="Arial"/>
                <w:sz w:val="13"/>
                <w:szCs w:val="13"/>
                <w:b w:val="1"/>
                <w:bCs w:val="1"/>
                <w:color w:val="004FF9"/>
              </w:rPr>
              <w:t>40%</w:t>
            </w:r>
          </w:p>
        </w:tc>
        <w:tc>
          <w:tcPr>
            <w:tcW w:w="80" w:type="dxa"/>
            <w:vAlign w:val="bottom"/>
            <w:tcBorders>
              <w:top w:val="single" w:sz="8" w:color="auto"/>
              <w:bottom w:val="single" w:sz="8" w:color="auto"/>
            </w:tcBorders>
            <w:shd w:val="clear" w:color="auto" w:fill="B1C9FD"/>
          </w:tcPr>
          <w:p>
            <w:pPr>
              <w:spacing w:after="0"/>
              <w:rPr>
                <w:sz w:val="17"/>
                <w:szCs w:val="17"/>
                <w:color w:val="auto"/>
              </w:rPr>
            </w:pPr>
          </w:p>
        </w:tc>
        <w:tc>
          <w:tcPr>
            <w:tcW w:w="520" w:type="dxa"/>
            <w:vAlign w:val="bottom"/>
            <w:tcBorders>
              <w:top w:val="single" w:sz="8" w:color="auto"/>
              <w:bottom w:val="single" w:sz="8" w:color="auto"/>
              <w:right w:val="single" w:sz="8" w:color="auto"/>
            </w:tcBorders>
            <w:shd w:val="clear" w:color="auto" w:fill="B1C9FD"/>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shd w:val="clear" w:color="auto" w:fill="B1C9FD"/>
          </w:tcPr>
          <w:p>
            <w:pPr>
              <w:spacing w:after="0"/>
              <w:rPr>
                <w:sz w:val="10"/>
                <w:szCs w:val="10"/>
                <w:color w:val="auto"/>
              </w:rPr>
            </w:pP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7"/>
              </w:rPr>
              <w:t>Operating</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vMerge w:val="restart"/>
            <w:shd w:val="clear" w:color="auto" w:fill="B1C9FD"/>
          </w:tcPr>
          <w:p>
            <w:pPr>
              <w:jc w:val="center"/>
              <w:ind w:right="11"/>
              <w:spacing w:after="0"/>
              <w:rPr>
                <w:sz w:val="20"/>
                <w:szCs w:val="20"/>
                <w:color w:val="auto"/>
              </w:rPr>
            </w:pPr>
            <w:r>
              <w:rPr>
                <w:rFonts w:ascii="Arial" w:cs="Arial" w:eastAsia="Arial" w:hAnsi="Arial"/>
                <w:sz w:val="13"/>
                <w:szCs w:val="13"/>
                <w:b w:val="1"/>
                <w:bCs w:val="1"/>
                <w:color w:val="004FF9"/>
                <w:w w:val="97"/>
              </w:rPr>
              <w:t>Adjusted</w:t>
            </w: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vMerge w:val="restart"/>
            <w:shd w:val="clear" w:color="auto" w:fill="B1C9FD"/>
          </w:tcPr>
          <w:p>
            <w:pPr>
              <w:jc w:val="center"/>
              <w:ind w:right="31"/>
              <w:spacing w:after="0"/>
              <w:rPr>
                <w:sz w:val="20"/>
                <w:szCs w:val="20"/>
                <w:color w:val="auto"/>
              </w:rPr>
            </w:pPr>
            <w:r>
              <w:rPr>
                <w:rFonts w:ascii="Arial" w:cs="Arial" w:eastAsia="Arial" w:hAnsi="Arial"/>
                <w:sz w:val="13"/>
                <w:szCs w:val="13"/>
                <w:b w:val="1"/>
                <w:bCs w:val="1"/>
                <w:color w:val="004FF9"/>
                <w:w w:val="97"/>
              </w:rPr>
              <w:t>Value</w:t>
            </w: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2"/>
              </w:rPr>
              <w:t>Value</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vMerge w:val="restart"/>
            <w:shd w:val="clear" w:color="auto" w:fill="B1C9FD"/>
          </w:tcPr>
          <w:p>
            <w:pPr>
              <w:jc w:val="center"/>
              <w:ind w:right="22"/>
              <w:spacing w:after="0"/>
              <w:rPr>
                <w:sz w:val="20"/>
                <w:szCs w:val="20"/>
                <w:color w:val="auto"/>
              </w:rPr>
            </w:pPr>
            <w:r>
              <w:rPr>
                <w:rFonts w:ascii="Arial" w:cs="Arial" w:eastAsia="Arial" w:hAnsi="Arial"/>
                <w:sz w:val="13"/>
                <w:szCs w:val="13"/>
                <w:b w:val="1"/>
                <w:bCs w:val="1"/>
                <w:color w:val="004FF9"/>
                <w:w w:val="95"/>
              </w:rPr>
              <w:t>Award</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680" w:type="dxa"/>
            <w:vAlign w:val="bottom"/>
            <w:tcBorders>
              <w:right w:val="single" w:sz="8" w:color="auto"/>
            </w:tcBorders>
            <w:vMerge w:val="restart"/>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7"/>
              </w:rPr>
              <w:t>Adjusted</w:t>
            </w: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vMerge w:val="restart"/>
            <w:shd w:val="clear" w:color="auto" w:fill="B1C9FD"/>
          </w:tcPr>
          <w:p>
            <w:pPr>
              <w:jc w:val="center"/>
              <w:ind w:right="53"/>
              <w:spacing w:after="0"/>
              <w:rPr>
                <w:sz w:val="20"/>
                <w:szCs w:val="20"/>
                <w:color w:val="auto"/>
              </w:rPr>
            </w:pPr>
            <w:r>
              <w:rPr>
                <w:rFonts w:ascii="Arial" w:cs="Arial" w:eastAsia="Arial" w:hAnsi="Arial"/>
                <w:sz w:val="13"/>
                <w:szCs w:val="13"/>
                <w:b w:val="1"/>
                <w:bCs w:val="1"/>
                <w:color w:val="004FF9"/>
                <w:w w:val="95"/>
              </w:rPr>
              <w:t>Award</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shd w:val="clear" w:color="auto" w:fill="B1C9FD"/>
          </w:tcPr>
          <w:p>
            <w:pPr>
              <w:spacing w:after="0"/>
              <w:rPr>
                <w:sz w:val="10"/>
                <w:szCs w:val="10"/>
                <w:color w:val="auto"/>
              </w:rPr>
            </w:pP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4"/>
              </w:rPr>
              <w:t>Cash</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vMerge w:val="continue"/>
            <w:shd w:val="clear" w:color="auto" w:fill="B1C9FD"/>
          </w:tcPr>
          <w:p>
            <w:pPr>
              <w:spacing w:after="0"/>
              <w:rPr>
                <w:sz w:val="10"/>
                <w:szCs w:val="10"/>
                <w:color w:val="auto"/>
              </w:rPr>
            </w:pP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8"/>
              </w:rPr>
              <w:t>Creation</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680" w:type="dxa"/>
            <w:vAlign w:val="bottom"/>
            <w:tcBorders>
              <w:right w:val="single" w:sz="8" w:color="auto"/>
            </w:tcBorders>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vMerge w:val="restart"/>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9"/>
              </w:rPr>
              <w:t>Year</w:t>
            </w: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4"/>
              </w:rPr>
              <w:t>Flow</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shd w:val="clear" w:color="auto" w:fill="B1C9FD"/>
          </w:tcPr>
          <w:p>
            <w:pPr>
              <w:jc w:val="center"/>
              <w:ind w:right="11"/>
              <w:spacing w:after="0" w:line="122" w:lineRule="exact"/>
              <w:rPr>
                <w:sz w:val="20"/>
                <w:szCs w:val="20"/>
                <w:color w:val="auto"/>
              </w:rPr>
            </w:pPr>
            <w:r>
              <w:rPr>
                <w:rFonts w:ascii="Arial" w:cs="Arial" w:eastAsia="Arial" w:hAnsi="Arial"/>
                <w:sz w:val="13"/>
                <w:szCs w:val="13"/>
                <w:b w:val="1"/>
                <w:bCs w:val="1"/>
                <w:color w:val="004FF9"/>
                <w:w w:val="94"/>
              </w:rPr>
              <w:t>EBITDA</w:t>
            </w: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shd w:val="clear" w:color="auto" w:fill="B1C9FD"/>
          </w:tcPr>
          <w:p>
            <w:pPr>
              <w:jc w:val="center"/>
              <w:ind w:right="31"/>
              <w:spacing w:after="0" w:line="122" w:lineRule="exact"/>
              <w:rPr>
                <w:sz w:val="20"/>
                <w:szCs w:val="20"/>
                <w:color w:val="auto"/>
              </w:rPr>
            </w:pPr>
            <w:r>
              <w:rPr>
                <w:rFonts w:ascii="Arial" w:cs="Arial" w:eastAsia="Arial" w:hAnsi="Arial"/>
                <w:sz w:val="10"/>
                <w:szCs w:val="10"/>
                <w:b w:val="1"/>
                <w:bCs w:val="1"/>
                <w:color w:val="004FF9"/>
              </w:rPr>
              <w:t>Creation</w:t>
            </w:r>
            <w:r>
              <w:rPr>
                <w:rFonts w:ascii="Arial" w:cs="Arial" w:eastAsia="Arial" w:hAnsi="Arial"/>
                <w:sz w:val="14"/>
                <w:szCs w:val="14"/>
                <w:b w:val="1"/>
                <w:bCs w:val="1"/>
                <w:color w:val="004FF9"/>
                <w:vertAlign w:val="superscript"/>
              </w:rPr>
              <w:t>(1)</w:t>
            </w: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6"/>
              </w:rPr>
              <w:t>Achievement</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shd w:val="clear" w:color="auto" w:fill="B1C9FD"/>
          </w:tcPr>
          <w:p>
            <w:pPr>
              <w:jc w:val="center"/>
              <w:ind w:right="22"/>
              <w:spacing w:after="0" w:line="122" w:lineRule="exact"/>
              <w:rPr>
                <w:sz w:val="20"/>
                <w:szCs w:val="20"/>
                <w:color w:val="auto"/>
              </w:rPr>
            </w:pPr>
            <w:r>
              <w:rPr>
                <w:rFonts w:ascii="Arial" w:cs="Arial" w:eastAsia="Arial" w:hAnsi="Arial"/>
                <w:sz w:val="10"/>
                <w:szCs w:val="10"/>
                <w:b w:val="1"/>
                <w:bCs w:val="1"/>
                <w:color w:val="004FF9"/>
              </w:rPr>
              <w:t>Funding</w:t>
            </w:r>
            <w:r>
              <w:rPr>
                <w:rFonts w:ascii="Arial" w:cs="Arial" w:eastAsia="Arial" w:hAnsi="Arial"/>
                <w:sz w:val="14"/>
                <w:szCs w:val="14"/>
                <w:b w:val="1"/>
                <w:bCs w:val="1"/>
                <w:color w:val="004FF9"/>
                <w:vertAlign w:val="superscript"/>
              </w:rPr>
              <w:t>(2)</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vMerge w:val="restart"/>
            <w:shd w:val="clear" w:color="auto" w:fill="B1C9FD"/>
          </w:tcPr>
          <w:p>
            <w:pPr>
              <w:jc w:val="right"/>
              <w:ind w:right="37"/>
              <w:spacing w:after="0"/>
              <w:rPr>
                <w:sz w:val="20"/>
                <w:szCs w:val="20"/>
                <w:color w:val="auto"/>
              </w:rPr>
            </w:pPr>
            <w:r>
              <w:rPr>
                <w:rFonts w:ascii="Arial" w:cs="Arial" w:eastAsia="Arial" w:hAnsi="Arial"/>
                <w:sz w:val="13"/>
                <w:szCs w:val="13"/>
                <w:b w:val="1"/>
                <w:bCs w:val="1"/>
                <w:color w:val="004FF9"/>
                <w:w w:val="92"/>
              </w:rPr>
              <w:t>Weight</w:t>
            </w:r>
          </w:p>
        </w:tc>
        <w:tc>
          <w:tcPr>
            <w:tcW w:w="80" w:type="dxa"/>
            <w:vAlign w:val="bottom"/>
            <w:shd w:val="clear" w:color="auto" w:fill="B1C9FD"/>
          </w:tcPr>
          <w:p>
            <w:pPr>
              <w:spacing w:after="0"/>
              <w:rPr>
                <w:sz w:val="10"/>
                <w:szCs w:val="10"/>
                <w:color w:val="auto"/>
              </w:rPr>
            </w:pPr>
          </w:p>
        </w:tc>
        <w:tc>
          <w:tcPr>
            <w:tcW w:w="680" w:type="dxa"/>
            <w:vAlign w:val="bottom"/>
            <w:tcBorders>
              <w:right w:val="single" w:sz="8" w:color="auto"/>
            </w:tcBorders>
            <w:shd w:val="clear" w:color="auto" w:fill="B1C9FD"/>
          </w:tcPr>
          <w:p>
            <w:pPr>
              <w:jc w:val="center"/>
              <w:ind w:right="33"/>
              <w:spacing w:after="0" w:line="122" w:lineRule="exact"/>
              <w:rPr>
                <w:sz w:val="20"/>
                <w:szCs w:val="20"/>
                <w:color w:val="auto"/>
              </w:rPr>
            </w:pPr>
            <w:r>
              <w:rPr>
                <w:rFonts w:ascii="Arial" w:cs="Arial" w:eastAsia="Arial" w:hAnsi="Arial"/>
                <w:sz w:val="13"/>
                <w:szCs w:val="13"/>
                <w:b w:val="1"/>
                <w:bCs w:val="1"/>
                <w:color w:val="004FF9"/>
                <w:w w:val="94"/>
              </w:rPr>
              <w:t>EBITDA</w:t>
            </w: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shd w:val="clear" w:color="auto" w:fill="B1C9FD"/>
          </w:tcPr>
          <w:p>
            <w:pPr>
              <w:jc w:val="center"/>
              <w:ind w:right="53"/>
              <w:spacing w:after="0" w:line="122" w:lineRule="exact"/>
              <w:rPr>
                <w:sz w:val="20"/>
                <w:szCs w:val="20"/>
                <w:color w:val="auto"/>
              </w:rPr>
            </w:pPr>
            <w:r>
              <w:rPr>
                <w:rFonts w:ascii="Arial" w:cs="Arial" w:eastAsia="Arial" w:hAnsi="Arial"/>
                <w:sz w:val="13"/>
                <w:szCs w:val="13"/>
                <w:b w:val="1"/>
                <w:bCs w:val="1"/>
                <w:color w:val="004FF9"/>
                <w:w w:val="97"/>
              </w:rPr>
              <w:t>Funding</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3"/>
                <w:szCs w:val="13"/>
                <w:b w:val="1"/>
                <w:bCs w:val="1"/>
                <w:color w:val="004FF9"/>
                <w:w w:val="96"/>
              </w:rPr>
              <w:t>Weight</w:t>
            </w:r>
          </w:p>
        </w:tc>
        <w:tc>
          <w:tcPr>
            <w:tcW w:w="0" w:type="dxa"/>
            <w:vAlign w:val="bottom"/>
          </w:tcPr>
          <w:p>
            <w:pPr>
              <w:spacing w:after="0"/>
              <w:rPr>
                <w:sz w:val="1"/>
                <w:szCs w:val="1"/>
                <w:color w:val="auto"/>
              </w:rPr>
            </w:pPr>
          </w:p>
        </w:tc>
      </w:tr>
      <w:tr>
        <w:trPr>
          <w:trHeight w:val="172"/>
        </w:trPr>
        <w:tc>
          <w:tcPr>
            <w:tcW w:w="60" w:type="dxa"/>
            <w:vAlign w:val="bottom"/>
            <w:tcBorders>
              <w:left w:val="single" w:sz="8" w:color="auto"/>
              <w:bottom w:val="single" w:sz="8" w:color="auto"/>
            </w:tcBorders>
            <w:shd w:val="clear" w:color="auto" w:fill="B1C9FD"/>
          </w:tcPr>
          <w:p>
            <w:pPr>
              <w:spacing w:after="0"/>
              <w:rPr>
                <w:sz w:val="14"/>
                <w:szCs w:val="14"/>
                <w:color w:val="auto"/>
              </w:rPr>
            </w:pPr>
          </w:p>
        </w:tc>
        <w:tc>
          <w:tcPr>
            <w:tcW w:w="46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8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6"/>
              </w:rPr>
              <w:t>($ millions)</w:t>
            </w:r>
          </w:p>
        </w:tc>
        <w:tc>
          <w:tcPr>
            <w:tcW w:w="60" w:type="dxa"/>
            <w:vAlign w:val="bottom"/>
            <w:tcBorders>
              <w:bottom w:val="single" w:sz="8" w:color="auto"/>
            </w:tcBorders>
            <w:shd w:val="clear" w:color="auto" w:fill="B1C9FD"/>
          </w:tcPr>
          <w:p>
            <w:pPr>
              <w:spacing w:after="0"/>
              <w:rPr>
                <w:sz w:val="14"/>
                <w:szCs w:val="14"/>
                <w:color w:val="auto"/>
              </w:rPr>
            </w:pPr>
          </w:p>
        </w:tc>
        <w:tc>
          <w:tcPr>
            <w:tcW w:w="1140" w:type="dxa"/>
            <w:vAlign w:val="bottom"/>
            <w:tcBorders>
              <w:bottom w:val="single" w:sz="8" w:color="auto"/>
              <w:right w:val="single" w:sz="8" w:color="auto"/>
            </w:tcBorders>
            <w:gridSpan w:val="2"/>
            <w:shd w:val="clear" w:color="auto" w:fill="B1C9FD"/>
          </w:tcPr>
          <w:p>
            <w:pPr>
              <w:jc w:val="center"/>
              <w:ind w:right="11"/>
              <w:spacing w:after="0"/>
              <w:rPr>
                <w:sz w:val="20"/>
                <w:szCs w:val="20"/>
                <w:color w:val="auto"/>
              </w:rPr>
            </w:pPr>
            <w:r>
              <w:rPr>
                <w:rFonts w:ascii="Arial" w:cs="Arial" w:eastAsia="Arial" w:hAnsi="Arial"/>
                <w:sz w:val="13"/>
                <w:szCs w:val="13"/>
                <w:b w:val="1"/>
                <w:bCs w:val="1"/>
                <w:color w:val="004FF9"/>
                <w:w w:val="96"/>
              </w:rPr>
              <w:t>($ millions)</w:t>
            </w:r>
          </w:p>
        </w:tc>
        <w:tc>
          <w:tcPr>
            <w:tcW w:w="80" w:type="dxa"/>
            <w:vAlign w:val="bottom"/>
            <w:tcBorders>
              <w:bottom w:val="single" w:sz="8" w:color="auto"/>
            </w:tcBorders>
            <w:shd w:val="clear" w:color="auto" w:fill="B1C9FD"/>
          </w:tcPr>
          <w:p>
            <w:pPr>
              <w:spacing w:after="0"/>
              <w:rPr>
                <w:sz w:val="14"/>
                <w:szCs w:val="14"/>
                <w:color w:val="auto"/>
              </w:rPr>
            </w:pPr>
          </w:p>
        </w:tc>
        <w:tc>
          <w:tcPr>
            <w:tcW w:w="1120" w:type="dxa"/>
            <w:vAlign w:val="bottom"/>
            <w:tcBorders>
              <w:bottom w:val="single" w:sz="8" w:color="auto"/>
              <w:right w:val="single" w:sz="8" w:color="auto"/>
            </w:tcBorders>
            <w:gridSpan w:val="3"/>
            <w:shd w:val="clear" w:color="auto" w:fill="B1C9FD"/>
          </w:tcPr>
          <w:p>
            <w:pPr>
              <w:jc w:val="center"/>
              <w:ind w:right="31"/>
              <w:spacing w:after="0"/>
              <w:rPr>
                <w:sz w:val="20"/>
                <w:szCs w:val="20"/>
                <w:color w:val="auto"/>
              </w:rPr>
            </w:pPr>
            <w:r>
              <w:rPr>
                <w:rFonts w:ascii="Arial" w:cs="Arial" w:eastAsia="Arial" w:hAnsi="Arial"/>
                <w:sz w:val="13"/>
                <w:szCs w:val="13"/>
                <w:b w:val="1"/>
                <w:bCs w:val="1"/>
                <w:color w:val="004FF9"/>
                <w:w w:val="96"/>
              </w:rPr>
              <w:t>($ millions)</w:t>
            </w:r>
          </w:p>
        </w:tc>
        <w:tc>
          <w:tcPr>
            <w:tcW w:w="9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8"/>
              </w:rPr>
              <w:t>(%)</w:t>
            </w:r>
          </w:p>
        </w:tc>
        <w:tc>
          <w:tcPr>
            <w:tcW w:w="60" w:type="dxa"/>
            <w:vAlign w:val="bottom"/>
            <w:tcBorders>
              <w:bottom w:val="single" w:sz="8" w:color="auto"/>
            </w:tcBorders>
            <w:shd w:val="clear" w:color="auto" w:fill="B1C9FD"/>
          </w:tcPr>
          <w:p>
            <w:pPr>
              <w:spacing w:after="0"/>
              <w:rPr>
                <w:sz w:val="14"/>
                <w:szCs w:val="14"/>
                <w:color w:val="auto"/>
              </w:rPr>
            </w:pPr>
          </w:p>
        </w:tc>
        <w:tc>
          <w:tcPr>
            <w:tcW w:w="740" w:type="dxa"/>
            <w:vAlign w:val="bottom"/>
            <w:tcBorders>
              <w:bottom w:val="single" w:sz="8" w:color="auto"/>
              <w:right w:val="single" w:sz="8" w:color="auto"/>
            </w:tcBorders>
            <w:shd w:val="clear" w:color="auto" w:fill="B1C9FD"/>
          </w:tcPr>
          <w:p>
            <w:pPr>
              <w:jc w:val="center"/>
              <w:ind w:right="42"/>
              <w:spacing w:after="0"/>
              <w:rPr>
                <w:sz w:val="20"/>
                <w:szCs w:val="20"/>
                <w:color w:val="auto"/>
              </w:rPr>
            </w:pPr>
            <w:r>
              <w:rPr>
                <w:rFonts w:ascii="Arial" w:cs="Arial" w:eastAsia="Arial" w:hAnsi="Arial"/>
                <w:sz w:val="13"/>
                <w:szCs w:val="13"/>
                <w:b w:val="1"/>
                <w:bCs w:val="1"/>
                <w:color w:val="004FF9"/>
                <w:w w:val="98"/>
              </w:rPr>
              <w:t>(%)</w:t>
            </w: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680" w:type="dxa"/>
            <w:vAlign w:val="bottom"/>
            <w:tcBorders>
              <w:bottom w:val="single" w:sz="8" w:color="auto"/>
              <w:right w:val="single" w:sz="8" w:color="auto"/>
            </w:tcBorders>
            <w:shd w:val="clear" w:color="auto" w:fill="B1C9FD"/>
          </w:tcPr>
          <w:p>
            <w:pPr>
              <w:jc w:val="center"/>
              <w:ind w:right="53"/>
              <w:spacing w:after="0"/>
              <w:rPr>
                <w:sz w:val="20"/>
                <w:szCs w:val="20"/>
                <w:color w:val="auto"/>
              </w:rPr>
            </w:pPr>
            <w:r>
              <w:rPr>
                <w:rFonts w:ascii="Arial" w:cs="Arial" w:eastAsia="Arial" w:hAnsi="Arial"/>
                <w:sz w:val="13"/>
                <w:szCs w:val="13"/>
                <w:b w:val="1"/>
                <w:bCs w:val="1"/>
                <w:color w:val="004FF9"/>
                <w:w w:val="96"/>
              </w:rPr>
              <w:t>Growth</w:t>
            </w:r>
          </w:p>
        </w:tc>
        <w:tc>
          <w:tcPr>
            <w:tcW w:w="80" w:type="dxa"/>
            <w:vAlign w:val="bottom"/>
            <w:tcBorders>
              <w:bottom w:val="single" w:sz="8" w:color="auto"/>
            </w:tcBorders>
            <w:shd w:val="clear" w:color="auto" w:fill="B1C9FD"/>
          </w:tcPr>
          <w:p>
            <w:pPr>
              <w:spacing w:after="0"/>
              <w:rPr>
                <w:sz w:val="14"/>
                <w:szCs w:val="14"/>
                <w:color w:val="auto"/>
              </w:rPr>
            </w:pPr>
          </w:p>
        </w:tc>
        <w:tc>
          <w:tcPr>
            <w:tcW w:w="620" w:type="dxa"/>
            <w:vAlign w:val="bottom"/>
            <w:tcBorders>
              <w:bottom w:val="single" w:sz="8" w:color="auto"/>
              <w:right w:val="single" w:sz="8" w:color="auto"/>
            </w:tcBorders>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8"/>
              </w:rPr>
              <w:t>(%)</w:t>
            </w: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shd w:val="clear" w:color="auto" w:fill="B1C9FD"/>
          </w:tcPr>
          <w:p>
            <w:pPr>
              <w:spacing w:after="0"/>
              <w:rPr>
                <w:sz w:val="14"/>
                <w:szCs w:val="14"/>
                <w:color w:val="auto"/>
              </w:rPr>
            </w:pPr>
          </w:p>
        </w:tc>
        <w:tc>
          <w:tcPr>
            <w:tcW w:w="460" w:type="dxa"/>
            <w:vAlign w:val="bottom"/>
            <w:tcBorders>
              <w:bottom w:val="single" w:sz="8" w:color="auto"/>
              <w:right w:val="single" w:sz="8" w:color="auto"/>
            </w:tcBorders>
            <w:shd w:val="clear" w:color="auto" w:fill="B1C9FD"/>
          </w:tcPr>
          <w:p>
            <w:pPr>
              <w:spacing w:after="0"/>
              <w:rPr>
                <w:sz w:val="14"/>
                <w:szCs w:val="14"/>
                <w:color w:val="auto"/>
              </w:rPr>
            </w:pPr>
          </w:p>
        </w:tc>
        <w:tc>
          <w:tcPr>
            <w:tcW w:w="8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7"/>
              </w:rPr>
              <w:t>Results</w:t>
            </w:r>
          </w:p>
        </w:tc>
        <w:tc>
          <w:tcPr>
            <w:tcW w:w="60" w:type="dxa"/>
            <w:vAlign w:val="bottom"/>
            <w:tcBorders>
              <w:bottom w:val="single" w:sz="8" w:color="auto"/>
            </w:tcBorders>
            <w:shd w:val="clear" w:color="auto" w:fill="B1C9FD"/>
          </w:tcPr>
          <w:p>
            <w:pPr>
              <w:spacing w:after="0"/>
              <w:rPr>
                <w:sz w:val="14"/>
                <w:szCs w:val="14"/>
                <w:color w:val="auto"/>
              </w:rPr>
            </w:pPr>
          </w:p>
        </w:tc>
        <w:tc>
          <w:tcPr>
            <w:tcW w:w="480" w:type="dxa"/>
            <w:vAlign w:val="bottom"/>
            <w:tcBorders>
              <w:bottom w:val="single" w:sz="8" w:color="auto"/>
              <w:right w:val="single" w:sz="8" w:color="auto"/>
            </w:tcBorders>
            <w:shd w:val="clear" w:color="auto" w:fill="B1C9FD"/>
          </w:tcPr>
          <w:p>
            <w:pPr>
              <w:jc w:val="center"/>
              <w:ind w:right="17"/>
              <w:spacing w:after="0"/>
              <w:rPr>
                <w:sz w:val="20"/>
                <w:szCs w:val="20"/>
                <w:color w:val="auto"/>
              </w:rPr>
            </w:pPr>
            <w:r>
              <w:rPr>
                <w:rFonts w:ascii="Arial" w:cs="Arial" w:eastAsia="Arial" w:hAnsi="Arial"/>
                <w:sz w:val="13"/>
                <w:szCs w:val="13"/>
                <w:b w:val="1"/>
                <w:bCs w:val="1"/>
                <w:color w:val="004FF9"/>
              </w:rPr>
              <w:t>Plan</w:t>
            </w:r>
          </w:p>
        </w:tc>
        <w:tc>
          <w:tcPr>
            <w:tcW w:w="6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7"/>
              </w:rPr>
              <w:t>Results</w:t>
            </w:r>
          </w:p>
        </w:tc>
        <w:tc>
          <w:tcPr>
            <w:tcW w:w="80" w:type="dxa"/>
            <w:vAlign w:val="bottom"/>
            <w:tcBorders>
              <w:bottom w:val="single" w:sz="8" w:color="auto"/>
            </w:tcBorders>
            <w:shd w:val="clear" w:color="auto" w:fill="B1C9FD"/>
          </w:tcPr>
          <w:p>
            <w:pPr>
              <w:spacing w:after="0"/>
              <w:rPr>
                <w:sz w:val="14"/>
                <w:szCs w:val="14"/>
                <w:color w:val="auto"/>
              </w:rPr>
            </w:pPr>
          </w:p>
        </w:tc>
        <w:tc>
          <w:tcPr>
            <w:tcW w:w="480" w:type="dxa"/>
            <w:vAlign w:val="bottom"/>
            <w:tcBorders>
              <w:bottom w:val="single" w:sz="8" w:color="auto"/>
              <w:right w:val="single" w:sz="8" w:color="auto"/>
            </w:tcBorders>
            <w:shd w:val="clear" w:color="auto" w:fill="B1C9FD"/>
          </w:tcPr>
          <w:p>
            <w:pPr>
              <w:jc w:val="center"/>
              <w:ind w:right="41"/>
              <w:spacing w:after="0"/>
              <w:rPr>
                <w:sz w:val="20"/>
                <w:szCs w:val="20"/>
                <w:color w:val="auto"/>
              </w:rPr>
            </w:pPr>
            <w:r>
              <w:rPr>
                <w:rFonts w:ascii="Arial" w:cs="Arial" w:eastAsia="Arial" w:hAnsi="Arial"/>
                <w:sz w:val="13"/>
                <w:szCs w:val="13"/>
                <w:b w:val="1"/>
                <w:bCs w:val="1"/>
                <w:color w:val="004FF9"/>
                <w:w w:val="94"/>
              </w:rPr>
              <w:t>Plan</w:t>
            </w:r>
          </w:p>
        </w:tc>
        <w:tc>
          <w:tcPr>
            <w:tcW w:w="60" w:type="dxa"/>
            <w:vAlign w:val="bottom"/>
            <w:tcBorders>
              <w:bottom w:val="single" w:sz="8" w:color="auto"/>
            </w:tcBorders>
            <w:shd w:val="clear" w:color="auto" w:fill="B1C9FD"/>
          </w:tcPr>
          <w:p>
            <w:pPr>
              <w:spacing w:after="0"/>
              <w:rPr>
                <w:sz w:val="14"/>
                <w:szCs w:val="14"/>
                <w:color w:val="auto"/>
              </w:rPr>
            </w:pPr>
          </w:p>
        </w:tc>
        <w:tc>
          <w:tcPr>
            <w:tcW w:w="580" w:type="dxa"/>
            <w:vAlign w:val="bottom"/>
            <w:tcBorders>
              <w:bottom w:val="single" w:sz="8" w:color="auto"/>
              <w:right w:val="single" w:sz="8" w:color="auto"/>
            </w:tcBorders>
            <w:shd w:val="clear" w:color="auto" w:fill="B1C9FD"/>
          </w:tcPr>
          <w:p>
            <w:pPr>
              <w:jc w:val="center"/>
              <w:ind w:right="11"/>
              <w:spacing w:after="0"/>
              <w:rPr>
                <w:sz w:val="20"/>
                <w:szCs w:val="20"/>
                <w:color w:val="auto"/>
              </w:rPr>
            </w:pPr>
            <w:r>
              <w:rPr>
                <w:rFonts w:ascii="Arial" w:cs="Arial" w:eastAsia="Arial" w:hAnsi="Arial"/>
                <w:sz w:val="13"/>
                <w:szCs w:val="13"/>
                <w:b w:val="1"/>
                <w:bCs w:val="1"/>
                <w:color w:val="004FF9"/>
                <w:w w:val="97"/>
              </w:rPr>
              <w:t>Results</w:t>
            </w:r>
          </w:p>
        </w:tc>
        <w:tc>
          <w:tcPr>
            <w:tcW w:w="980" w:type="dxa"/>
            <w:vAlign w:val="bottom"/>
            <w:tcBorders>
              <w:bottom w:val="single" w:sz="8" w:color="auto"/>
              <w:right w:val="single" w:sz="8" w:color="auto"/>
            </w:tcBorders>
            <w:shd w:val="clear" w:color="auto" w:fill="B1C9FD"/>
          </w:tcPr>
          <w:p>
            <w:pPr>
              <w:spacing w:after="0"/>
              <w:rPr>
                <w:sz w:val="14"/>
                <w:szCs w:val="14"/>
                <w:color w:val="auto"/>
              </w:rPr>
            </w:pPr>
          </w:p>
        </w:tc>
        <w:tc>
          <w:tcPr>
            <w:tcW w:w="60" w:type="dxa"/>
            <w:vAlign w:val="bottom"/>
            <w:tcBorders>
              <w:bottom w:val="single" w:sz="8" w:color="auto"/>
            </w:tcBorders>
            <w:shd w:val="clear" w:color="auto" w:fill="B1C9FD"/>
          </w:tcPr>
          <w:p>
            <w:pPr>
              <w:spacing w:after="0"/>
              <w:rPr>
                <w:sz w:val="14"/>
                <w:szCs w:val="14"/>
                <w:color w:val="auto"/>
              </w:rPr>
            </w:pPr>
          </w:p>
        </w:tc>
        <w:tc>
          <w:tcPr>
            <w:tcW w:w="74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68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62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135.3</w:t>
            </w:r>
          </w:p>
        </w:tc>
        <w:tc>
          <w:tcPr>
            <w:tcW w:w="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206.2</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205.9</w:t>
            </w:r>
          </w:p>
        </w:tc>
        <w:tc>
          <w:tcPr>
            <w:tcW w:w="5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290.9</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center"/>
              <w:ind w:right="31"/>
              <w:spacing w:after="0"/>
              <w:rPr>
                <w:sz w:val="20"/>
                <w:szCs w:val="20"/>
                <w:color w:val="auto"/>
              </w:rPr>
            </w:pPr>
            <w:r>
              <w:rPr>
                <w:rFonts w:ascii="Arial" w:cs="Arial" w:eastAsia="Arial" w:hAnsi="Arial"/>
                <w:sz w:val="14"/>
                <w:szCs w:val="14"/>
                <w:color w:val="auto"/>
              </w:rPr>
              <w:t>282.8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97.2</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95.8</w:t>
            </w:r>
          </w:p>
        </w:tc>
        <w:tc>
          <w:tcPr>
            <w:tcW w:w="600" w:type="dxa"/>
            <w:vAlign w:val="bottom"/>
            <w:tcBorders>
              <w:bottom w:val="single" w:sz="8" w:color="auto"/>
              <w:right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9"/>
        </w:trPr>
        <w:tc>
          <w:tcPr>
            <w:tcW w:w="520" w:type="dxa"/>
            <w:vAlign w:val="bottom"/>
            <w:tcBorders>
              <w:left w:val="single" w:sz="8" w:color="auto"/>
              <w:bottom w:val="single" w:sz="8" w:color="auto"/>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120.7</w:t>
            </w:r>
          </w:p>
        </w:tc>
        <w:tc>
          <w:tcPr>
            <w:tcW w:w="540" w:type="dxa"/>
            <w:vAlign w:val="bottom"/>
            <w:tcBorders>
              <w:bottom w:val="single" w:sz="8" w:color="auto"/>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216.5</w:t>
            </w:r>
          </w:p>
        </w:tc>
        <w:tc>
          <w:tcPr>
            <w:tcW w:w="6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216.7</w:t>
            </w:r>
          </w:p>
        </w:tc>
        <w:tc>
          <w:tcPr>
            <w:tcW w:w="560" w:type="dxa"/>
            <w:vAlign w:val="bottom"/>
            <w:tcBorders>
              <w:bottom w:val="single" w:sz="8" w:color="auto"/>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186.4</w:t>
            </w:r>
          </w:p>
        </w:tc>
        <w:tc>
          <w:tcPr>
            <w:tcW w:w="60" w:type="dxa"/>
            <w:vAlign w:val="bottom"/>
            <w:tcBorders>
              <w:bottom w:val="single" w:sz="8" w:color="auto"/>
            </w:tcBorders>
            <w:shd w:val="clear" w:color="auto" w:fill="E5EDFE"/>
          </w:tcPr>
          <w:p>
            <w:pPr>
              <w:spacing w:after="0"/>
              <w:rPr>
                <w:sz w:val="14"/>
                <w:szCs w:val="14"/>
                <w:color w:val="auto"/>
              </w:rPr>
            </w:pPr>
          </w:p>
        </w:tc>
        <w:tc>
          <w:tcPr>
            <w:tcW w:w="580" w:type="dxa"/>
            <w:vAlign w:val="bottom"/>
            <w:tcBorders>
              <w:bottom w:val="single" w:sz="8" w:color="auto"/>
              <w:right w:val="single" w:sz="8" w:color="auto"/>
            </w:tcBorders>
            <w:shd w:val="clear" w:color="auto" w:fill="E5EDFE"/>
          </w:tcPr>
          <w:p>
            <w:pPr>
              <w:jc w:val="center"/>
              <w:ind w:right="31"/>
              <w:spacing w:after="0"/>
              <w:rPr>
                <w:sz w:val="20"/>
                <w:szCs w:val="20"/>
                <w:color w:val="auto"/>
              </w:rPr>
            </w:pPr>
            <w:r>
              <w:rPr>
                <w:rFonts w:ascii="Arial" w:cs="Arial" w:eastAsia="Arial" w:hAnsi="Arial"/>
                <w:sz w:val="14"/>
                <w:szCs w:val="14"/>
                <w:color w:val="auto"/>
              </w:rPr>
              <w:t>174.7</w:t>
            </w:r>
          </w:p>
        </w:tc>
        <w:tc>
          <w:tcPr>
            <w:tcW w:w="9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93.7</w:t>
            </w:r>
          </w:p>
        </w:tc>
        <w:tc>
          <w:tcPr>
            <w:tcW w:w="800" w:type="dxa"/>
            <w:vAlign w:val="bottom"/>
            <w:tcBorders>
              <w:bottom w:val="single" w:sz="8" w:color="auto"/>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90.6</w:t>
            </w:r>
          </w:p>
        </w:tc>
        <w:tc>
          <w:tcPr>
            <w:tcW w:w="600" w:type="dxa"/>
            <w:vAlign w:val="bottom"/>
            <w:tcBorders>
              <w:bottom w:val="single" w:sz="8" w:color="auto"/>
              <w:right w:val="single" w:sz="8" w:color="auto"/>
            </w:tcBorders>
            <w:gridSpan w:val="2"/>
            <w:shd w:val="clear" w:color="auto" w:fill="E5EDFE"/>
          </w:tcPr>
          <w:p>
            <w:pPr>
              <w:jc w:val="right"/>
              <w:ind w:right="37"/>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auto"/>
            </w:tcBorders>
            <w:shd w:val="clear" w:color="auto" w:fill="E5EDFE"/>
          </w:tcPr>
          <w:p>
            <w:pPr>
              <w:spacing w:after="0"/>
              <w:rPr>
                <w:sz w:val="14"/>
                <w:szCs w:val="14"/>
                <w:color w:val="auto"/>
              </w:rPr>
            </w:pPr>
          </w:p>
        </w:tc>
        <w:tc>
          <w:tcPr>
            <w:tcW w:w="680" w:type="dxa"/>
            <w:vAlign w:val="bottom"/>
            <w:tcBorders>
              <w:bottom w:val="single" w:sz="8" w:color="auto"/>
              <w:right w:val="single" w:sz="8" w:color="auto"/>
            </w:tcBorders>
            <w:shd w:val="clear" w:color="auto" w:fill="E5EDFE"/>
          </w:tcPr>
          <w:p>
            <w:pPr>
              <w:jc w:val="center"/>
              <w:ind w:right="53"/>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shd w:val="clear" w:color="auto" w:fill="E5EDFE"/>
          </w:tcPr>
          <w:p>
            <w:pPr>
              <w:spacing w:after="0"/>
              <w:rPr>
                <w:sz w:val="14"/>
                <w:szCs w:val="14"/>
                <w:color w:val="auto"/>
              </w:rPr>
            </w:pPr>
          </w:p>
        </w:tc>
        <w:tc>
          <w:tcPr>
            <w:tcW w:w="620" w:type="dxa"/>
            <w:vAlign w:val="bottom"/>
            <w:tcBorders>
              <w:bottom w:val="single" w:sz="8" w:color="auto"/>
              <w:right w:val="single" w:sz="8" w:color="auto"/>
            </w:tcBorders>
            <w:shd w:val="clear" w:color="auto" w:fill="E5EDFE"/>
          </w:tcPr>
          <w:p>
            <w:pPr>
              <w:jc w:val="center"/>
              <w:ind w:right="33"/>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shd w:val="clear" w:color="auto" w:fill="E5EDFE"/>
          </w:tcPr>
          <w:p>
            <w:pPr>
              <w:spacing w:after="0"/>
              <w:rPr>
                <w:sz w:val="14"/>
                <w:szCs w:val="14"/>
                <w:color w:val="auto"/>
              </w:rPr>
            </w:pPr>
          </w:p>
        </w:tc>
        <w:tc>
          <w:tcPr>
            <w:tcW w:w="52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9"/>
        </w:trPr>
        <w:tc>
          <w:tcPr>
            <w:tcW w:w="5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2015</w:t>
            </w:r>
          </w:p>
        </w:tc>
        <w:tc>
          <w:tcPr>
            <w:tcW w:w="86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shd w:val="clear" w:color="auto" w:fill="E5EDFE"/>
          </w:tcPr>
          <w:p>
            <w:pPr>
              <w:spacing w:after="0"/>
              <w:rPr>
                <w:sz w:val="14"/>
                <w:szCs w:val="14"/>
                <w:color w:val="auto"/>
              </w:rPr>
            </w:pPr>
          </w:p>
        </w:tc>
        <w:tc>
          <w:tcPr>
            <w:tcW w:w="460" w:type="dxa"/>
            <w:vAlign w:val="bottom"/>
            <w:tcBorders>
              <w:bottom w:val="single" w:sz="8" w:color="auto"/>
              <w:right w:val="single" w:sz="8" w:color="auto"/>
            </w:tcBorders>
            <w:shd w:val="clear" w:color="auto" w:fill="E5EDFE"/>
          </w:tcPr>
          <w:p>
            <w:pPr>
              <w:jc w:val="center"/>
              <w:ind w:right="33"/>
              <w:spacing w:after="0"/>
              <w:rPr>
                <w:sz w:val="20"/>
                <w:szCs w:val="20"/>
                <w:color w:val="auto"/>
              </w:rPr>
            </w:pPr>
            <w:r>
              <w:rPr>
                <w:rFonts w:ascii="Arial" w:cs="Arial" w:eastAsia="Arial" w:hAnsi="Arial"/>
                <w:sz w:val="14"/>
                <w:szCs w:val="14"/>
                <w:b w:val="1"/>
                <w:bCs w:val="1"/>
                <w:color w:val="auto"/>
                <w:w w:val="97"/>
              </w:rPr>
              <w:t>Final</w:t>
            </w:r>
          </w:p>
        </w:tc>
        <w:tc>
          <w:tcPr>
            <w:tcW w:w="86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480" w:type="dxa"/>
            <w:vAlign w:val="bottom"/>
            <w:tcBorders>
              <w:bottom w:val="single" w:sz="8" w:color="auto"/>
              <w:right w:val="single" w:sz="8" w:color="auto"/>
            </w:tcBorders>
            <w:shd w:val="clear" w:color="auto" w:fill="E5EDFE"/>
          </w:tcPr>
          <w:p>
            <w:pPr>
              <w:spacing w:after="0"/>
              <w:rPr>
                <w:sz w:val="14"/>
                <w:szCs w:val="14"/>
                <w:color w:val="auto"/>
              </w:rPr>
            </w:pPr>
          </w:p>
        </w:tc>
        <w:tc>
          <w:tcPr>
            <w:tcW w:w="66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48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580" w:type="dxa"/>
            <w:vAlign w:val="bottom"/>
            <w:tcBorders>
              <w:bottom w:val="single" w:sz="8" w:color="auto"/>
              <w:right w:val="single" w:sz="8" w:color="auto"/>
            </w:tcBorders>
            <w:shd w:val="clear" w:color="auto" w:fill="E5EDFE"/>
          </w:tcPr>
          <w:p>
            <w:pPr>
              <w:spacing w:after="0"/>
              <w:rPr>
                <w:sz w:val="14"/>
                <w:szCs w:val="14"/>
                <w:color w:val="auto"/>
              </w:rPr>
            </w:pPr>
          </w:p>
        </w:tc>
        <w:tc>
          <w:tcPr>
            <w:tcW w:w="98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74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52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68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62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520" w:type="dxa"/>
            <w:vAlign w:val="bottom"/>
            <w:tcBorders>
              <w:bottom w:val="single" w:sz="8" w:color="auto"/>
              <w:right w:val="single" w:sz="8" w:color="auto"/>
            </w:tcBorders>
            <w:shd w:val="clear" w:color="auto" w:fill="E5EDFE"/>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620" w:right="1280" w:hanging="352"/>
        <w:spacing w:after="0" w:line="278" w:lineRule="auto"/>
        <w:tabs>
          <w:tab w:leader="none" w:pos="1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Value Creation equals Operating Cash Flow, plus change in current-year Adjusted EBITDA over prior-year adjusted EBITDA multiplied by 5.</w:t>
      </w:r>
    </w:p>
    <w:p>
      <w:pPr>
        <w:spacing w:after="0" w:line="99" w:lineRule="exact"/>
        <w:rPr>
          <w:rFonts w:ascii="Arial" w:cs="Arial" w:eastAsia="Arial" w:hAnsi="Arial"/>
          <w:sz w:val="14"/>
          <w:szCs w:val="14"/>
          <w:color w:val="auto"/>
        </w:rPr>
      </w:pPr>
    </w:p>
    <w:p>
      <w:pPr>
        <w:jc w:val="both"/>
        <w:ind w:left="1620" w:right="1280" w:hanging="352"/>
        <w:spacing w:after="0" w:line="280" w:lineRule="auto"/>
        <w:tabs>
          <w:tab w:leader="none" w:pos="1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award funding percentage is determined by using the Value Creation Actual versus Plan percentage and applying it to the award funding table (shown below). Percentages in between the table values are calculated using straight-line interpolation.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Borders>
              <w:right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shd w:val="clear" w:color="auto" w:fill="B1C9FD"/>
          </w:tcPr>
          <w:p>
            <w:pPr>
              <w:ind w:left="140"/>
              <w:spacing w:after="0"/>
              <w:rPr>
                <w:sz w:val="20"/>
                <w:szCs w:val="20"/>
                <w:color w:val="auto"/>
              </w:rPr>
            </w:pPr>
            <w:r>
              <w:rPr>
                <w:rFonts w:ascii="Arial" w:cs="Arial" w:eastAsia="Arial" w:hAnsi="Arial"/>
                <w:sz w:val="16"/>
                <w:szCs w:val="16"/>
                <w:b w:val="1"/>
                <w:bCs w:val="1"/>
                <w:color w:val="004FF9"/>
              </w:rPr>
              <w:t>Value Creation</w:t>
            </w:r>
          </w:p>
        </w:tc>
        <w:tc>
          <w:tcPr>
            <w:tcW w:w="160" w:type="dxa"/>
            <w:vAlign w:val="bottom"/>
            <w:tcBorders>
              <w:top w:val="single" w:sz="8" w:color="auto"/>
              <w:bottom w:val="single" w:sz="8" w:color="auto"/>
              <w:right w:val="single" w:sz="8" w:color="auto"/>
            </w:tcBorders>
            <w:shd w:val="clear" w:color="auto" w:fill="B1C9FD"/>
          </w:tcPr>
          <w:p>
            <w:pPr>
              <w:spacing w:after="0"/>
              <w:rPr>
                <w:sz w:val="19"/>
                <w:szCs w:val="19"/>
                <w:color w:val="auto"/>
              </w:rPr>
            </w:pPr>
          </w:p>
        </w:tc>
        <w:tc>
          <w:tcPr>
            <w:tcW w:w="1500" w:type="dxa"/>
            <w:vAlign w:val="bottom"/>
            <w:tcBorders>
              <w:top w:val="single" w:sz="8" w:color="auto"/>
              <w:bottom w:val="single" w:sz="8" w:color="auto"/>
              <w:right w:val="single" w:sz="8" w:color="auto"/>
            </w:tcBorders>
            <w:shd w:val="clear" w:color="auto" w:fill="B1C9FD"/>
          </w:tcPr>
          <w:p>
            <w:pPr>
              <w:jc w:val="right"/>
              <w:ind w:right="59"/>
              <w:spacing w:after="0"/>
              <w:rPr>
                <w:sz w:val="20"/>
                <w:szCs w:val="20"/>
                <w:color w:val="auto"/>
              </w:rPr>
            </w:pPr>
            <w:r>
              <w:rPr>
                <w:rFonts w:ascii="Arial" w:cs="Arial" w:eastAsia="Arial" w:hAnsi="Arial"/>
                <w:sz w:val="16"/>
                <w:szCs w:val="16"/>
                <w:b w:val="1"/>
                <w:bCs w:val="1"/>
                <w:color w:val="004FF9"/>
              </w:rPr>
              <w:t>Award Funding</w:t>
            </w:r>
          </w:p>
        </w:tc>
        <w:tc>
          <w:tcPr>
            <w:tcW w:w="3860" w:type="dxa"/>
            <w:vAlign w:val="bottom"/>
          </w:tcPr>
          <w:p>
            <w:pPr>
              <w:spacing w:after="0"/>
              <w:rPr>
                <w:sz w:val="19"/>
                <w:szCs w:val="19"/>
                <w:color w:val="auto"/>
              </w:rPr>
            </w:pPr>
          </w:p>
        </w:tc>
      </w:tr>
      <w:tr>
        <w:trPr>
          <w:trHeight w:val="169"/>
        </w:trPr>
        <w:tc>
          <w:tcPr>
            <w:tcW w:w="3880" w:type="dxa"/>
            <w:vAlign w:val="bottom"/>
            <w:tcBorders>
              <w:right w:val="single" w:sz="8" w:color="auto"/>
            </w:tcBorders>
          </w:tcPr>
          <w:p>
            <w:pPr>
              <w:spacing w:after="0"/>
              <w:rPr>
                <w:sz w:val="14"/>
                <w:szCs w:val="14"/>
                <w:color w:val="auto"/>
              </w:rPr>
            </w:pPr>
          </w:p>
        </w:tc>
        <w:tc>
          <w:tcPr>
            <w:tcW w:w="580" w:type="dxa"/>
            <w:vAlign w:val="bottom"/>
            <w:tcBorders>
              <w:bottom w:val="single" w:sz="8" w:color="auto"/>
            </w:tcBorders>
          </w:tcPr>
          <w:p>
            <w:pPr>
              <w:ind w:left="400"/>
              <w:spacing w:after="0" w:line="16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center"/>
              <w:ind w:right="179"/>
              <w:spacing w:after="0" w:line="169" w:lineRule="exact"/>
              <w:rPr>
                <w:sz w:val="20"/>
                <w:szCs w:val="20"/>
                <w:color w:val="auto"/>
              </w:rPr>
            </w:pPr>
            <w:r>
              <w:rPr>
                <w:rFonts w:ascii="Arial" w:cs="Arial" w:eastAsia="Arial" w:hAnsi="Arial"/>
                <w:sz w:val="16"/>
                <w:szCs w:val="16"/>
                <w:color w:val="auto"/>
              </w:rPr>
              <w:t>135%</w:t>
            </w:r>
          </w:p>
        </w:tc>
        <w:tc>
          <w:tcPr>
            <w:tcW w:w="1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200.0%</w:t>
            </w:r>
          </w:p>
        </w:tc>
        <w:tc>
          <w:tcPr>
            <w:tcW w:w="3860" w:type="dxa"/>
            <w:vAlign w:val="bottom"/>
          </w:tcPr>
          <w:p>
            <w:pPr>
              <w:spacing w:after="0"/>
              <w:rPr>
                <w:sz w:val="14"/>
                <w:szCs w:val="14"/>
                <w:color w:val="auto"/>
              </w:rPr>
            </w:pPr>
          </w:p>
        </w:tc>
      </w:tr>
      <w:tr>
        <w:trPr>
          <w:trHeight w:val="169"/>
        </w:trPr>
        <w:tc>
          <w:tcPr>
            <w:tcW w:w="3880" w:type="dxa"/>
            <w:vAlign w:val="bottom"/>
            <w:tcBorders>
              <w:right w:val="single" w:sz="8" w:color="auto"/>
            </w:tcBorders>
          </w:tcPr>
          <w:p>
            <w:pPr>
              <w:spacing w:after="0"/>
              <w:rPr>
                <w:sz w:val="14"/>
                <w:szCs w:val="14"/>
                <w:color w:val="auto"/>
              </w:rPr>
            </w:pPr>
          </w:p>
        </w:tc>
        <w:tc>
          <w:tcPr>
            <w:tcW w:w="580" w:type="dxa"/>
            <w:vAlign w:val="bottom"/>
            <w:tcBorders>
              <w:bottom w:val="single" w:sz="8" w:color="auto"/>
            </w:tcBorders>
            <w:shd w:val="clear" w:color="auto" w:fill="E5EDFE"/>
          </w:tcPr>
          <w:p>
            <w:pPr>
              <w:ind w:left="400"/>
              <w:spacing w:after="0" w:line="16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5EDFE"/>
          </w:tcPr>
          <w:p>
            <w:pPr>
              <w:jc w:val="center"/>
              <w:ind w:right="179"/>
              <w:spacing w:after="0" w:line="169" w:lineRule="exact"/>
              <w:rPr>
                <w:sz w:val="20"/>
                <w:szCs w:val="20"/>
                <w:color w:val="auto"/>
              </w:rPr>
            </w:pPr>
            <w:r>
              <w:rPr>
                <w:rFonts w:ascii="Arial" w:cs="Arial" w:eastAsia="Arial" w:hAnsi="Arial"/>
                <w:sz w:val="16"/>
                <w:szCs w:val="16"/>
                <w:color w:val="auto"/>
              </w:rPr>
              <w:t>125%</w:t>
            </w:r>
          </w:p>
        </w:tc>
        <w:tc>
          <w:tcPr>
            <w:tcW w:w="160" w:type="dxa"/>
            <w:vAlign w:val="bottom"/>
            <w:tcBorders>
              <w:bottom w:val="single" w:sz="8" w:color="auto"/>
              <w:right w:val="single" w:sz="8" w:color="auto"/>
            </w:tcBorders>
            <w:shd w:val="clear" w:color="auto" w:fill="E5EDFE"/>
          </w:tcPr>
          <w:p>
            <w:pPr>
              <w:spacing w:after="0"/>
              <w:rPr>
                <w:sz w:val="14"/>
                <w:szCs w:val="14"/>
                <w:color w:val="auto"/>
              </w:rPr>
            </w:pPr>
          </w:p>
        </w:tc>
        <w:tc>
          <w:tcPr>
            <w:tcW w:w="15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150.0%</w:t>
            </w:r>
          </w:p>
        </w:tc>
        <w:tc>
          <w:tcPr>
            <w:tcW w:w="3860" w:type="dxa"/>
            <w:vAlign w:val="bottom"/>
          </w:tcPr>
          <w:p>
            <w:pPr>
              <w:spacing w:after="0"/>
              <w:rPr>
                <w:sz w:val="14"/>
                <w:szCs w:val="14"/>
                <w:color w:val="auto"/>
              </w:rPr>
            </w:pPr>
          </w:p>
        </w:tc>
      </w:tr>
      <w:tr>
        <w:trPr>
          <w:trHeight w:val="169"/>
        </w:trPr>
        <w:tc>
          <w:tcPr>
            <w:tcW w:w="3880" w:type="dxa"/>
            <w:vAlign w:val="bottom"/>
            <w:tcBorders>
              <w:right w:val="single" w:sz="8" w:color="auto"/>
            </w:tcBorders>
          </w:tcPr>
          <w:p>
            <w:pPr>
              <w:spacing w:after="0"/>
              <w:rPr>
                <w:sz w:val="14"/>
                <w:szCs w:val="14"/>
                <w:color w:val="auto"/>
              </w:rPr>
            </w:pPr>
          </w:p>
        </w:tc>
        <w:tc>
          <w:tcPr>
            <w:tcW w:w="580" w:type="dxa"/>
            <w:vAlign w:val="bottom"/>
            <w:tcBorders>
              <w:bottom w:val="single" w:sz="8" w:color="auto"/>
            </w:tcBorders>
          </w:tcPr>
          <w:p>
            <w:pPr>
              <w:ind w:left="400"/>
              <w:spacing w:after="0" w:line="16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center"/>
              <w:ind w:right="179"/>
              <w:spacing w:after="0" w:line="169" w:lineRule="exact"/>
              <w:rPr>
                <w:sz w:val="20"/>
                <w:szCs w:val="20"/>
                <w:color w:val="auto"/>
              </w:rPr>
            </w:pPr>
            <w:r>
              <w:rPr>
                <w:rFonts w:ascii="Arial" w:cs="Arial" w:eastAsia="Arial" w:hAnsi="Arial"/>
                <w:sz w:val="16"/>
                <w:szCs w:val="16"/>
                <w:color w:val="auto"/>
              </w:rPr>
              <w:t>115%</w:t>
            </w:r>
          </w:p>
        </w:tc>
        <w:tc>
          <w:tcPr>
            <w:tcW w:w="1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125.0%</w:t>
            </w:r>
          </w:p>
        </w:tc>
        <w:tc>
          <w:tcPr>
            <w:tcW w:w="3860" w:type="dxa"/>
            <w:vAlign w:val="bottom"/>
          </w:tcPr>
          <w:p>
            <w:pPr>
              <w:spacing w:after="0"/>
              <w:rPr>
                <w:sz w:val="14"/>
                <w:szCs w:val="14"/>
                <w:color w:val="auto"/>
              </w:rPr>
            </w:pPr>
          </w:p>
        </w:tc>
      </w:tr>
      <w:tr>
        <w:trPr>
          <w:trHeight w:val="169"/>
        </w:trPr>
        <w:tc>
          <w:tcPr>
            <w:tcW w:w="3880" w:type="dxa"/>
            <w:vAlign w:val="bottom"/>
            <w:tcBorders>
              <w:right w:val="single" w:sz="8" w:color="auto"/>
            </w:tcBorders>
          </w:tcPr>
          <w:p>
            <w:pPr>
              <w:spacing w:after="0"/>
              <w:rPr>
                <w:sz w:val="14"/>
                <w:szCs w:val="14"/>
                <w:color w:val="auto"/>
              </w:rPr>
            </w:pPr>
          </w:p>
        </w:tc>
        <w:tc>
          <w:tcPr>
            <w:tcW w:w="580" w:type="dxa"/>
            <w:vAlign w:val="bottom"/>
            <w:tcBorders>
              <w:bottom w:val="single" w:sz="8" w:color="auto"/>
            </w:tcBorders>
            <w:shd w:val="clear" w:color="auto" w:fill="E5EDFE"/>
          </w:tcPr>
          <w:p>
            <w:pPr>
              <w:ind w:left="400"/>
              <w:spacing w:after="0" w:line="169"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5EDFE"/>
          </w:tcPr>
          <w:p>
            <w:pPr>
              <w:jc w:val="center"/>
              <w:ind w:right="179"/>
              <w:spacing w:after="0" w:line="169" w:lineRule="exact"/>
              <w:rPr>
                <w:sz w:val="20"/>
                <w:szCs w:val="20"/>
                <w:color w:val="auto"/>
              </w:rPr>
            </w:pPr>
            <w:r>
              <w:rPr>
                <w:rFonts w:ascii="Arial" w:cs="Arial" w:eastAsia="Arial" w:hAnsi="Arial"/>
                <w:sz w:val="16"/>
                <w:szCs w:val="16"/>
                <w:color w:val="auto"/>
              </w:rPr>
              <w:t>100%</w:t>
            </w:r>
          </w:p>
        </w:tc>
        <w:tc>
          <w:tcPr>
            <w:tcW w:w="160" w:type="dxa"/>
            <w:vAlign w:val="bottom"/>
            <w:tcBorders>
              <w:bottom w:val="single" w:sz="8" w:color="auto"/>
              <w:right w:val="single" w:sz="8" w:color="auto"/>
            </w:tcBorders>
            <w:shd w:val="clear" w:color="auto" w:fill="E5EDFE"/>
          </w:tcPr>
          <w:p>
            <w:pPr>
              <w:spacing w:after="0"/>
              <w:rPr>
                <w:sz w:val="14"/>
                <w:szCs w:val="14"/>
                <w:color w:val="auto"/>
              </w:rPr>
            </w:pPr>
          </w:p>
        </w:tc>
        <w:tc>
          <w:tcPr>
            <w:tcW w:w="1500" w:type="dxa"/>
            <w:vAlign w:val="bottom"/>
            <w:tcBorders>
              <w:bottom w:val="single" w:sz="8" w:color="auto"/>
              <w:right w:val="single" w:sz="8" w:color="auto"/>
            </w:tcBorders>
            <w:shd w:val="clear" w:color="auto" w:fill="E5EDFE"/>
          </w:tcPr>
          <w:p>
            <w:pPr>
              <w:jc w:val="center"/>
              <w:spacing w:after="0" w:line="169" w:lineRule="exact"/>
              <w:rPr>
                <w:sz w:val="20"/>
                <w:szCs w:val="20"/>
                <w:color w:val="auto"/>
              </w:rPr>
            </w:pPr>
            <w:r>
              <w:rPr>
                <w:rFonts w:ascii="Arial" w:cs="Arial" w:eastAsia="Arial" w:hAnsi="Arial"/>
                <w:sz w:val="16"/>
                <w:szCs w:val="16"/>
                <w:color w:val="auto"/>
              </w:rPr>
              <w:t>100.0%</w:t>
            </w:r>
          </w:p>
        </w:tc>
        <w:tc>
          <w:tcPr>
            <w:tcW w:w="3860" w:type="dxa"/>
            <w:vAlign w:val="bottom"/>
          </w:tcPr>
          <w:p>
            <w:pPr>
              <w:spacing w:after="0"/>
              <w:rPr>
                <w:sz w:val="14"/>
                <w:szCs w:val="14"/>
                <w:color w:val="auto"/>
              </w:rPr>
            </w:pPr>
          </w:p>
        </w:tc>
      </w:tr>
      <w:tr>
        <w:trPr>
          <w:trHeight w:val="183"/>
        </w:trPr>
        <w:tc>
          <w:tcPr>
            <w:tcW w:w="3880" w:type="dxa"/>
            <w:vAlign w:val="bottom"/>
            <w:tcBorders>
              <w:right w:val="single" w:sz="8" w:color="auto"/>
            </w:tcBorders>
          </w:tcPr>
          <w:p>
            <w:pPr>
              <w:spacing w:after="0"/>
              <w:rPr>
                <w:sz w:val="15"/>
                <w:szCs w:val="15"/>
                <w:color w:val="auto"/>
              </w:rPr>
            </w:pPr>
          </w:p>
        </w:tc>
        <w:tc>
          <w:tcPr>
            <w:tcW w:w="580" w:type="dxa"/>
            <w:vAlign w:val="bottom"/>
            <w:tcBorders>
              <w:bottom w:val="single" w:sz="8" w:color="auto"/>
            </w:tcBorders>
          </w:tcPr>
          <w:p>
            <w:pPr>
              <w:ind w:left="44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center"/>
              <w:ind w:right="199"/>
              <w:spacing w:after="0" w:line="183" w:lineRule="exact"/>
              <w:rPr>
                <w:sz w:val="20"/>
                <w:szCs w:val="20"/>
                <w:color w:val="auto"/>
              </w:rPr>
            </w:pPr>
            <w:r>
              <w:rPr>
                <w:rFonts w:ascii="Arial" w:cs="Arial" w:eastAsia="Arial" w:hAnsi="Arial"/>
                <w:sz w:val="16"/>
                <w:szCs w:val="16"/>
                <w:color w:val="auto"/>
                <w:w w:val="99"/>
              </w:rPr>
              <w:t>90%</w:t>
            </w:r>
          </w:p>
        </w:tc>
        <w:tc>
          <w:tcPr>
            <w:tcW w:w="16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85.0%</w:t>
            </w:r>
          </w:p>
        </w:tc>
        <w:tc>
          <w:tcPr>
            <w:tcW w:w="3860" w:type="dxa"/>
            <w:vAlign w:val="bottom"/>
          </w:tcPr>
          <w:p>
            <w:pPr>
              <w:spacing w:after="0"/>
              <w:rPr>
                <w:sz w:val="15"/>
                <w:szCs w:val="15"/>
                <w:color w:val="auto"/>
              </w:rPr>
            </w:pPr>
          </w:p>
        </w:tc>
      </w:tr>
      <w:tr>
        <w:trPr>
          <w:trHeight w:val="183"/>
        </w:trPr>
        <w:tc>
          <w:tcPr>
            <w:tcW w:w="3880" w:type="dxa"/>
            <w:vAlign w:val="bottom"/>
            <w:tcBorders>
              <w:right w:val="single" w:sz="8" w:color="auto"/>
            </w:tcBorders>
          </w:tcPr>
          <w:p>
            <w:pPr>
              <w:spacing w:after="0"/>
              <w:rPr>
                <w:sz w:val="15"/>
                <w:szCs w:val="15"/>
                <w:color w:val="auto"/>
              </w:rPr>
            </w:pPr>
          </w:p>
        </w:tc>
        <w:tc>
          <w:tcPr>
            <w:tcW w:w="580" w:type="dxa"/>
            <w:vAlign w:val="bottom"/>
            <w:tcBorders>
              <w:bottom w:val="single" w:sz="8" w:color="auto"/>
            </w:tcBorders>
            <w:shd w:val="clear" w:color="auto" w:fill="E5EDFE"/>
          </w:tcPr>
          <w:p>
            <w:pPr>
              <w:ind w:left="440"/>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5EDFE"/>
          </w:tcPr>
          <w:p>
            <w:pPr>
              <w:jc w:val="center"/>
              <w:ind w:right="199"/>
              <w:spacing w:after="0" w:line="183" w:lineRule="exact"/>
              <w:rPr>
                <w:sz w:val="20"/>
                <w:szCs w:val="20"/>
                <w:color w:val="auto"/>
              </w:rPr>
            </w:pPr>
            <w:r>
              <w:rPr>
                <w:rFonts w:ascii="Arial" w:cs="Arial" w:eastAsia="Arial" w:hAnsi="Arial"/>
                <w:sz w:val="16"/>
                <w:szCs w:val="16"/>
                <w:color w:val="auto"/>
                <w:w w:val="99"/>
              </w:rPr>
              <w:t>75%</w:t>
            </w:r>
          </w:p>
        </w:tc>
        <w:tc>
          <w:tcPr>
            <w:tcW w:w="160" w:type="dxa"/>
            <w:vAlign w:val="bottom"/>
            <w:tcBorders>
              <w:bottom w:val="single" w:sz="8" w:color="auto"/>
              <w:right w:val="single" w:sz="8" w:color="auto"/>
            </w:tcBorders>
            <w:shd w:val="clear" w:color="auto" w:fill="E5EDFE"/>
          </w:tcPr>
          <w:p>
            <w:pPr>
              <w:spacing w:after="0"/>
              <w:rPr>
                <w:sz w:val="15"/>
                <w:szCs w:val="15"/>
                <w:color w:val="auto"/>
              </w:rPr>
            </w:pPr>
          </w:p>
        </w:tc>
        <w:tc>
          <w:tcPr>
            <w:tcW w:w="1500" w:type="dxa"/>
            <w:vAlign w:val="bottom"/>
            <w:tcBorders>
              <w:bottom w:val="single" w:sz="8" w:color="auto"/>
              <w:right w:val="single" w:sz="8" w:color="auto"/>
            </w:tcBorders>
            <w:shd w:val="clear" w:color="auto" w:fill="E5EDFE"/>
          </w:tcPr>
          <w:p>
            <w:pPr>
              <w:jc w:val="center"/>
              <w:spacing w:after="0" w:line="183" w:lineRule="exact"/>
              <w:rPr>
                <w:sz w:val="20"/>
                <w:szCs w:val="20"/>
                <w:color w:val="auto"/>
              </w:rPr>
            </w:pPr>
            <w:r>
              <w:rPr>
                <w:rFonts w:ascii="Arial" w:cs="Arial" w:eastAsia="Arial" w:hAnsi="Arial"/>
                <w:sz w:val="16"/>
                <w:szCs w:val="16"/>
                <w:color w:val="auto"/>
              </w:rPr>
              <w:t>50.0%</w:t>
            </w:r>
          </w:p>
        </w:tc>
        <w:tc>
          <w:tcPr>
            <w:tcW w:w="3860" w:type="dxa"/>
            <w:vAlign w:val="bottom"/>
          </w:tcPr>
          <w:p>
            <w:pPr>
              <w:spacing w:after="0"/>
              <w:rPr>
                <w:sz w:val="15"/>
                <w:szCs w:val="15"/>
                <w:color w:val="auto"/>
              </w:rPr>
            </w:pPr>
          </w:p>
        </w:tc>
      </w:tr>
      <w:tr>
        <w:trPr>
          <w:trHeight w:val="460"/>
        </w:trPr>
        <w:tc>
          <w:tcPr>
            <w:tcW w:w="3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gridSpan w:val="2"/>
          </w:tcPr>
          <w:p>
            <w:pPr>
              <w:jc w:val="right"/>
              <w:ind w:right="1339"/>
              <w:spacing w:after="0"/>
              <w:rPr>
                <w:sz w:val="20"/>
                <w:szCs w:val="20"/>
                <w:color w:val="auto"/>
              </w:rPr>
            </w:pPr>
            <w:r>
              <w:rPr>
                <w:rFonts w:ascii="Arial" w:cs="Arial" w:eastAsia="Arial" w:hAnsi="Arial"/>
                <w:sz w:val="16"/>
                <w:szCs w:val="16"/>
                <w:color w:val="auto"/>
              </w:rPr>
              <w:t>36</w:t>
            </w:r>
          </w:p>
        </w:tc>
        <w:tc>
          <w:tcPr>
            <w:tcW w:w="3860" w:type="dxa"/>
            <w:vAlign w:val="bottom"/>
          </w:tcPr>
          <w:p>
            <w:pPr>
              <w:spacing w:after="0"/>
              <w:rPr>
                <w:sz w:val="24"/>
                <w:szCs w:val="24"/>
                <w:color w:val="auto"/>
              </w:rPr>
            </w:pPr>
          </w:p>
        </w:tc>
      </w:tr>
      <w:tr>
        <w:trPr>
          <w:trHeight w:val="391"/>
        </w:trPr>
        <w:tc>
          <w:tcPr>
            <w:tcW w:w="3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1260" w:right="759"/>
        <w:spacing w:after="0" w:line="260" w:lineRule="auto"/>
        <w:rPr>
          <w:sz w:val="20"/>
          <w:szCs w:val="20"/>
          <w:color w:val="auto"/>
        </w:rPr>
      </w:pPr>
      <w:r>
        <w:rPr>
          <w:rFonts w:ascii="Arial" w:cs="Arial" w:eastAsia="Arial" w:hAnsi="Arial"/>
          <w:sz w:val="16"/>
          <w:szCs w:val="16"/>
          <w:color w:val="auto"/>
        </w:rPr>
        <w:t>The second tranche of performance shares under the 2013 – 2015 Value Creation PSP was achieved at approximately 94% of target since Value Creation was $174.7 million compared to the target of $186.4 million.</w:t>
      </w:r>
    </w:p>
    <w:p>
      <w:pPr>
        <w:spacing w:after="0" w:line="162"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004FF9"/>
        </w:rPr>
        <w:t>2014 – 2016 Value Creation PSP</w:t>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196"/>
        </w:trPr>
        <w:tc>
          <w:tcPr>
            <w:tcW w:w="60" w:type="dxa"/>
            <w:vAlign w:val="bottom"/>
            <w:tcBorders>
              <w:top w:val="single" w:sz="8" w:color="auto"/>
              <w:left w:val="single" w:sz="8" w:color="auto"/>
              <w:bottom w:val="single" w:sz="8" w:color="auto"/>
            </w:tcBorders>
            <w:shd w:val="clear" w:color="auto" w:fill="B1C9FD"/>
          </w:tcPr>
          <w:p>
            <w:pPr>
              <w:spacing w:after="0"/>
              <w:rPr>
                <w:sz w:val="17"/>
                <w:szCs w:val="17"/>
                <w:color w:val="auto"/>
              </w:rPr>
            </w:pPr>
          </w:p>
        </w:tc>
        <w:tc>
          <w:tcPr>
            <w:tcW w:w="4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8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0" w:type="dxa"/>
            <w:vAlign w:val="bottom"/>
            <w:tcBorders>
              <w:top w:val="single" w:sz="8" w:color="auto"/>
              <w:bottom w:val="single" w:sz="8" w:color="auto"/>
            </w:tcBorders>
            <w:shd w:val="clear" w:color="auto" w:fill="B1C9FD"/>
          </w:tcPr>
          <w:p>
            <w:pPr>
              <w:spacing w:after="0"/>
              <w:rPr>
                <w:sz w:val="17"/>
                <w:szCs w:val="17"/>
                <w:color w:val="auto"/>
              </w:rPr>
            </w:pPr>
          </w:p>
        </w:tc>
        <w:tc>
          <w:tcPr>
            <w:tcW w:w="4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6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20" w:type="dxa"/>
            <w:vAlign w:val="bottom"/>
            <w:tcBorders>
              <w:top w:val="single" w:sz="8" w:color="auto"/>
              <w:bottom w:val="single" w:sz="8" w:color="auto"/>
            </w:tcBorders>
            <w:gridSpan w:val="3"/>
            <w:shd w:val="clear" w:color="auto" w:fill="B1C9FD"/>
          </w:tcPr>
          <w:p>
            <w:pPr>
              <w:jc w:val="right"/>
              <w:spacing w:after="0"/>
              <w:rPr>
                <w:sz w:val="20"/>
                <w:szCs w:val="20"/>
                <w:color w:val="auto"/>
              </w:rPr>
            </w:pPr>
            <w:r>
              <w:rPr>
                <w:rFonts w:ascii="Arial" w:cs="Arial" w:eastAsia="Arial" w:hAnsi="Arial"/>
                <w:sz w:val="13"/>
                <w:szCs w:val="13"/>
                <w:b w:val="1"/>
                <w:bCs w:val="1"/>
                <w:color w:val="004FF9"/>
              </w:rPr>
              <w:t>60%</w:t>
            </w:r>
          </w:p>
        </w:tc>
        <w:tc>
          <w:tcPr>
            <w:tcW w:w="5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9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60" w:type="dxa"/>
            <w:vAlign w:val="bottom"/>
            <w:tcBorders>
              <w:top w:val="single" w:sz="8" w:color="auto"/>
              <w:bottom w:val="single" w:sz="8" w:color="auto"/>
            </w:tcBorders>
            <w:shd w:val="clear" w:color="auto" w:fill="B1C9FD"/>
          </w:tcPr>
          <w:p>
            <w:pPr>
              <w:spacing w:after="0"/>
              <w:rPr>
                <w:sz w:val="17"/>
                <w:szCs w:val="17"/>
                <w:color w:val="auto"/>
              </w:rPr>
            </w:pPr>
          </w:p>
        </w:tc>
        <w:tc>
          <w:tcPr>
            <w:tcW w:w="74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80" w:type="dxa"/>
            <w:vAlign w:val="bottom"/>
            <w:tcBorders>
              <w:top w:val="single" w:sz="8" w:color="auto"/>
              <w:bottom w:val="single" w:sz="8" w:color="auto"/>
            </w:tcBorders>
            <w:shd w:val="clear" w:color="auto" w:fill="B1C9FD"/>
          </w:tcPr>
          <w:p>
            <w:pPr>
              <w:spacing w:after="0"/>
              <w:rPr>
                <w:sz w:val="17"/>
                <w:szCs w:val="17"/>
                <w:color w:val="auto"/>
              </w:rPr>
            </w:pPr>
          </w:p>
        </w:tc>
        <w:tc>
          <w:tcPr>
            <w:tcW w:w="520" w:type="dxa"/>
            <w:vAlign w:val="bottom"/>
            <w:tcBorders>
              <w:top w:val="single" w:sz="8" w:color="auto"/>
              <w:bottom w:val="single" w:sz="8" w:color="auto"/>
              <w:right w:val="single" w:sz="8" w:color="auto"/>
            </w:tcBorders>
            <w:shd w:val="clear" w:color="auto" w:fill="B1C9FD"/>
          </w:tcPr>
          <w:p>
            <w:pPr>
              <w:spacing w:after="0"/>
              <w:rPr>
                <w:sz w:val="17"/>
                <w:szCs w:val="17"/>
                <w:color w:val="auto"/>
              </w:rPr>
            </w:pPr>
          </w:p>
        </w:tc>
        <w:tc>
          <w:tcPr>
            <w:tcW w:w="80" w:type="dxa"/>
            <w:vAlign w:val="bottom"/>
            <w:tcBorders>
              <w:top w:val="single" w:sz="8" w:color="auto"/>
              <w:bottom w:val="single" w:sz="8" w:color="auto"/>
            </w:tcBorders>
            <w:shd w:val="clear" w:color="auto" w:fill="B1C9FD"/>
          </w:tcPr>
          <w:p>
            <w:pPr>
              <w:spacing w:after="0"/>
              <w:rPr>
                <w:sz w:val="17"/>
                <w:szCs w:val="17"/>
                <w:color w:val="auto"/>
              </w:rPr>
            </w:pPr>
          </w:p>
        </w:tc>
        <w:tc>
          <w:tcPr>
            <w:tcW w:w="680" w:type="dxa"/>
            <w:vAlign w:val="bottom"/>
            <w:tcBorders>
              <w:top w:val="single" w:sz="8" w:color="auto"/>
              <w:bottom w:val="single" w:sz="8" w:color="auto"/>
              <w:right w:val="single" w:sz="8" w:color="B1C9FD"/>
            </w:tcBorders>
            <w:shd w:val="clear" w:color="auto" w:fill="B1C9FD"/>
          </w:tcPr>
          <w:p>
            <w:pPr>
              <w:spacing w:after="0"/>
              <w:rPr>
                <w:sz w:val="17"/>
                <w:szCs w:val="17"/>
                <w:color w:val="auto"/>
              </w:rPr>
            </w:pPr>
          </w:p>
        </w:tc>
        <w:tc>
          <w:tcPr>
            <w:tcW w:w="700" w:type="dxa"/>
            <w:vAlign w:val="bottom"/>
            <w:tcBorders>
              <w:top w:val="single" w:sz="8" w:color="auto"/>
              <w:bottom w:val="single" w:sz="8" w:color="auto"/>
              <w:right w:val="single" w:sz="8" w:color="B1C9FD"/>
            </w:tcBorders>
            <w:gridSpan w:val="2"/>
            <w:shd w:val="clear" w:color="auto" w:fill="B1C9FD"/>
          </w:tcPr>
          <w:p>
            <w:pPr>
              <w:jc w:val="right"/>
              <w:ind w:right="233"/>
              <w:spacing w:after="0"/>
              <w:rPr>
                <w:sz w:val="20"/>
                <w:szCs w:val="20"/>
                <w:color w:val="auto"/>
              </w:rPr>
            </w:pPr>
            <w:r>
              <w:rPr>
                <w:rFonts w:ascii="Arial" w:cs="Arial" w:eastAsia="Arial" w:hAnsi="Arial"/>
                <w:sz w:val="13"/>
                <w:szCs w:val="13"/>
                <w:b w:val="1"/>
                <w:bCs w:val="1"/>
                <w:color w:val="004FF9"/>
              </w:rPr>
              <w:t>40%</w:t>
            </w:r>
          </w:p>
        </w:tc>
        <w:tc>
          <w:tcPr>
            <w:tcW w:w="80" w:type="dxa"/>
            <w:vAlign w:val="bottom"/>
            <w:tcBorders>
              <w:top w:val="single" w:sz="8" w:color="auto"/>
              <w:bottom w:val="single" w:sz="8" w:color="auto"/>
            </w:tcBorders>
            <w:shd w:val="clear" w:color="auto" w:fill="B1C9FD"/>
          </w:tcPr>
          <w:p>
            <w:pPr>
              <w:spacing w:after="0"/>
              <w:rPr>
                <w:sz w:val="17"/>
                <w:szCs w:val="17"/>
                <w:color w:val="auto"/>
              </w:rPr>
            </w:pPr>
          </w:p>
        </w:tc>
        <w:tc>
          <w:tcPr>
            <w:tcW w:w="520" w:type="dxa"/>
            <w:vAlign w:val="bottom"/>
            <w:tcBorders>
              <w:top w:val="single" w:sz="8" w:color="auto"/>
              <w:bottom w:val="single" w:sz="8" w:color="auto"/>
              <w:right w:val="single" w:sz="8" w:color="auto"/>
            </w:tcBorders>
            <w:shd w:val="clear" w:color="auto" w:fill="B1C9FD"/>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shd w:val="clear" w:color="auto" w:fill="B1C9FD"/>
          </w:tcPr>
          <w:p>
            <w:pPr>
              <w:spacing w:after="0"/>
              <w:rPr>
                <w:sz w:val="10"/>
                <w:szCs w:val="10"/>
                <w:color w:val="auto"/>
              </w:rPr>
            </w:pP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7"/>
              </w:rPr>
              <w:t>Operating</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vMerge w:val="restart"/>
            <w:shd w:val="clear" w:color="auto" w:fill="B1C9FD"/>
          </w:tcPr>
          <w:p>
            <w:pPr>
              <w:jc w:val="center"/>
              <w:ind w:right="13"/>
              <w:spacing w:after="0"/>
              <w:rPr>
                <w:sz w:val="20"/>
                <w:szCs w:val="20"/>
                <w:color w:val="auto"/>
              </w:rPr>
            </w:pPr>
            <w:r>
              <w:rPr>
                <w:rFonts w:ascii="Arial" w:cs="Arial" w:eastAsia="Arial" w:hAnsi="Arial"/>
                <w:sz w:val="13"/>
                <w:szCs w:val="13"/>
                <w:b w:val="1"/>
                <w:bCs w:val="1"/>
                <w:color w:val="004FF9"/>
                <w:w w:val="97"/>
              </w:rPr>
              <w:t>Adjusted</w:t>
            </w: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vMerge w:val="restart"/>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7"/>
              </w:rPr>
              <w:t>Value</w:t>
            </w: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2"/>
              </w:rPr>
              <w:t>Value</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vMerge w:val="restart"/>
            <w:shd w:val="clear" w:color="auto" w:fill="B1C9FD"/>
          </w:tcPr>
          <w:p>
            <w:pPr>
              <w:jc w:val="center"/>
              <w:ind w:right="22"/>
              <w:spacing w:after="0"/>
              <w:rPr>
                <w:sz w:val="20"/>
                <w:szCs w:val="20"/>
                <w:color w:val="auto"/>
              </w:rPr>
            </w:pPr>
            <w:r>
              <w:rPr>
                <w:rFonts w:ascii="Arial" w:cs="Arial" w:eastAsia="Arial" w:hAnsi="Arial"/>
                <w:sz w:val="13"/>
                <w:szCs w:val="13"/>
                <w:b w:val="1"/>
                <w:bCs w:val="1"/>
                <w:color w:val="004FF9"/>
                <w:w w:val="95"/>
              </w:rPr>
              <w:t>Award</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680" w:type="dxa"/>
            <w:vAlign w:val="bottom"/>
            <w:tcBorders>
              <w:right w:val="single" w:sz="8" w:color="auto"/>
            </w:tcBorders>
            <w:vMerge w:val="restart"/>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7"/>
              </w:rPr>
              <w:t>Adjusted</w:t>
            </w: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vMerge w:val="restart"/>
            <w:shd w:val="clear" w:color="auto" w:fill="B1C9FD"/>
          </w:tcPr>
          <w:p>
            <w:pPr>
              <w:jc w:val="center"/>
              <w:ind w:right="53"/>
              <w:spacing w:after="0"/>
              <w:rPr>
                <w:sz w:val="20"/>
                <w:szCs w:val="20"/>
                <w:color w:val="auto"/>
              </w:rPr>
            </w:pPr>
            <w:r>
              <w:rPr>
                <w:rFonts w:ascii="Arial" w:cs="Arial" w:eastAsia="Arial" w:hAnsi="Arial"/>
                <w:sz w:val="13"/>
                <w:szCs w:val="13"/>
                <w:b w:val="1"/>
                <w:bCs w:val="1"/>
                <w:color w:val="004FF9"/>
                <w:w w:val="95"/>
              </w:rPr>
              <w:t>Award</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shd w:val="clear" w:color="auto" w:fill="B1C9FD"/>
          </w:tcPr>
          <w:p>
            <w:pPr>
              <w:spacing w:after="0"/>
              <w:rPr>
                <w:sz w:val="10"/>
                <w:szCs w:val="10"/>
                <w:color w:val="auto"/>
              </w:rPr>
            </w:pP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4"/>
              </w:rPr>
              <w:t>Cash</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vMerge w:val="continue"/>
            <w:shd w:val="clear" w:color="auto" w:fill="B1C9FD"/>
          </w:tcPr>
          <w:p>
            <w:pPr>
              <w:spacing w:after="0"/>
              <w:rPr>
                <w:sz w:val="10"/>
                <w:szCs w:val="10"/>
                <w:color w:val="auto"/>
              </w:rPr>
            </w:pP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8"/>
              </w:rPr>
              <w:t>Creation</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680" w:type="dxa"/>
            <w:vAlign w:val="bottom"/>
            <w:tcBorders>
              <w:right w:val="single" w:sz="8" w:color="auto"/>
            </w:tcBorders>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vMerge w:val="continue"/>
            <w:shd w:val="clear" w:color="auto" w:fill="B1C9FD"/>
          </w:tcPr>
          <w:p>
            <w:pPr>
              <w:spacing w:after="0"/>
              <w:rPr>
                <w:sz w:val="10"/>
                <w:szCs w:val="10"/>
                <w:color w:val="auto"/>
              </w:rPr>
            </w:pP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shd w:val="clear" w:color="auto" w:fill="B1C9FD"/>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left w:val="single" w:sz="8" w:color="auto"/>
            </w:tcBorders>
            <w:shd w:val="clear" w:color="auto" w:fill="B1C9FD"/>
          </w:tcPr>
          <w:p>
            <w:pPr>
              <w:spacing w:after="0"/>
              <w:rPr>
                <w:sz w:val="10"/>
                <w:szCs w:val="10"/>
                <w:color w:val="auto"/>
              </w:rPr>
            </w:pPr>
          </w:p>
        </w:tc>
        <w:tc>
          <w:tcPr>
            <w:tcW w:w="460" w:type="dxa"/>
            <w:vAlign w:val="bottom"/>
            <w:tcBorders>
              <w:right w:val="single" w:sz="8" w:color="auto"/>
            </w:tcBorders>
            <w:vMerge w:val="restart"/>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9"/>
              </w:rPr>
              <w:t>Year</w:t>
            </w:r>
          </w:p>
        </w:tc>
        <w:tc>
          <w:tcPr>
            <w:tcW w:w="86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4"/>
              </w:rPr>
              <w:t>Flow</w:t>
            </w:r>
          </w:p>
        </w:tc>
        <w:tc>
          <w:tcPr>
            <w:tcW w:w="60" w:type="dxa"/>
            <w:vAlign w:val="bottom"/>
            <w:shd w:val="clear" w:color="auto" w:fill="B1C9FD"/>
          </w:tcPr>
          <w:p>
            <w:pPr>
              <w:spacing w:after="0"/>
              <w:rPr>
                <w:sz w:val="10"/>
                <w:szCs w:val="10"/>
                <w:color w:val="auto"/>
              </w:rPr>
            </w:pPr>
          </w:p>
        </w:tc>
        <w:tc>
          <w:tcPr>
            <w:tcW w:w="1140" w:type="dxa"/>
            <w:vAlign w:val="bottom"/>
            <w:tcBorders>
              <w:right w:val="single" w:sz="8" w:color="auto"/>
            </w:tcBorders>
            <w:gridSpan w:val="2"/>
            <w:shd w:val="clear" w:color="auto" w:fill="B1C9FD"/>
          </w:tcPr>
          <w:p>
            <w:pPr>
              <w:jc w:val="center"/>
              <w:ind w:right="13"/>
              <w:spacing w:after="0" w:line="122" w:lineRule="exact"/>
              <w:rPr>
                <w:sz w:val="20"/>
                <w:szCs w:val="20"/>
                <w:color w:val="auto"/>
              </w:rPr>
            </w:pPr>
            <w:r>
              <w:rPr>
                <w:rFonts w:ascii="Arial" w:cs="Arial" w:eastAsia="Arial" w:hAnsi="Arial"/>
                <w:sz w:val="13"/>
                <w:szCs w:val="13"/>
                <w:b w:val="1"/>
                <w:bCs w:val="1"/>
                <w:color w:val="004FF9"/>
                <w:w w:val="94"/>
              </w:rPr>
              <w:t>EBITDA</w:t>
            </w:r>
          </w:p>
        </w:tc>
        <w:tc>
          <w:tcPr>
            <w:tcW w:w="80" w:type="dxa"/>
            <w:vAlign w:val="bottom"/>
            <w:shd w:val="clear" w:color="auto" w:fill="B1C9FD"/>
          </w:tcPr>
          <w:p>
            <w:pPr>
              <w:spacing w:after="0"/>
              <w:rPr>
                <w:sz w:val="10"/>
                <w:szCs w:val="10"/>
                <w:color w:val="auto"/>
              </w:rPr>
            </w:pPr>
          </w:p>
        </w:tc>
        <w:tc>
          <w:tcPr>
            <w:tcW w:w="1120" w:type="dxa"/>
            <w:vAlign w:val="bottom"/>
            <w:tcBorders>
              <w:right w:val="single" w:sz="8" w:color="auto"/>
            </w:tcBorders>
            <w:gridSpan w:val="3"/>
            <w:shd w:val="clear" w:color="auto" w:fill="B1C9FD"/>
          </w:tcPr>
          <w:p>
            <w:pPr>
              <w:jc w:val="center"/>
              <w:ind w:right="33"/>
              <w:spacing w:after="0" w:line="122" w:lineRule="exact"/>
              <w:rPr>
                <w:sz w:val="20"/>
                <w:szCs w:val="20"/>
                <w:color w:val="auto"/>
              </w:rPr>
            </w:pPr>
            <w:r>
              <w:rPr>
                <w:rFonts w:ascii="Arial" w:cs="Arial" w:eastAsia="Arial" w:hAnsi="Arial"/>
                <w:sz w:val="10"/>
                <w:szCs w:val="10"/>
                <w:b w:val="1"/>
                <w:bCs w:val="1"/>
                <w:color w:val="004FF9"/>
              </w:rPr>
              <w:t>Creation</w:t>
            </w:r>
            <w:r>
              <w:rPr>
                <w:rFonts w:ascii="Arial" w:cs="Arial" w:eastAsia="Arial" w:hAnsi="Arial"/>
                <w:sz w:val="14"/>
                <w:szCs w:val="14"/>
                <w:b w:val="1"/>
                <w:bCs w:val="1"/>
                <w:color w:val="004FF9"/>
                <w:vertAlign w:val="superscript"/>
              </w:rPr>
              <w:t>(1)</w:t>
            </w:r>
          </w:p>
        </w:tc>
        <w:tc>
          <w:tcPr>
            <w:tcW w:w="980" w:type="dxa"/>
            <w:vAlign w:val="bottom"/>
            <w:tcBorders>
              <w:right w:val="single" w:sz="8" w:color="auto"/>
            </w:tcBorders>
            <w:shd w:val="clear" w:color="auto" w:fill="B1C9FD"/>
          </w:tcPr>
          <w:p>
            <w:pPr>
              <w:jc w:val="center"/>
              <w:spacing w:after="0" w:line="122" w:lineRule="exact"/>
              <w:rPr>
                <w:sz w:val="20"/>
                <w:szCs w:val="20"/>
                <w:color w:val="auto"/>
              </w:rPr>
            </w:pPr>
            <w:r>
              <w:rPr>
                <w:rFonts w:ascii="Arial" w:cs="Arial" w:eastAsia="Arial" w:hAnsi="Arial"/>
                <w:sz w:val="13"/>
                <w:szCs w:val="13"/>
                <w:b w:val="1"/>
                <w:bCs w:val="1"/>
                <w:color w:val="004FF9"/>
                <w:w w:val="96"/>
              </w:rPr>
              <w:t>Achievement</w:t>
            </w:r>
          </w:p>
        </w:tc>
        <w:tc>
          <w:tcPr>
            <w:tcW w:w="60" w:type="dxa"/>
            <w:vAlign w:val="bottom"/>
            <w:shd w:val="clear" w:color="auto" w:fill="B1C9FD"/>
          </w:tcPr>
          <w:p>
            <w:pPr>
              <w:spacing w:after="0"/>
              <w:rPr>
                <w:sz w:val="10"/>
                <w:szCs w:val="10"/>
                <w:color w:val="auto"/>
              </w:rPr>
            </w:pPr>
          </w:p>
        </w:tc>
        <w:tc>
          <w:tcPr>
            <w:tcW w:w="740" w:type="dxa"/>
            <w:vAlign w:val="bottom"/>
            <w:tcBorders>
              <w:right w:val="single" w:sz="8" w:color="auto"/>
            </w:tcBorders>
            <w:shd w:val="clear" w:color="auto" w:fill="B1C9FD"/>
          </w:tcPr>
          <w:p>
            <w:pPr>
              <w:jc w:val="center"/>
              <w:ind w:right="22"/>
              <w:spacing w:after="0" w:line="122" w:lineRule="exact"/>
              <w:rPr>
                <w:sz w:val="20"/>
                <w:szCs w:val="20"/>
                <w:color w:val="auto"/>
              </w:rPr>
            </w:pPr>
            <w:r>
              <w:rPr>
                <w:rFonts w:ascii="Arial" w:cs="Arial" w:eastAsia="Arial" w:hAnsi="Arial"/>
                <w:sz w:val="10"/>
                <w:szCs w:val="10"/>
                <w:b w:val="1"/>
                <w:bCs w:val="1"/>
                <w:color w:val="004FF9"/>
              </w:rPr>
              <w:t>Funding</w:t>
            </w:r>
            <w:r>
              <w:rPr>
                <w:rFonts w:ascii="Arial" w:cs="Arial" w:eastAsia="Arial" w:hAnsi="Arial"/>
                <w:sz w:val="14"/>
                <w:szCs w:val="14"/>
                <w:b w:val="1"/>
                <w:bCs w:val="1"/>
                <w:color w:val="004FF9"/>
                <w:vertAlign w:val="superscript"/>
              </w:rPr>
              <w:t>(2)</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vMerge w:val="restart"/>
            <w:shd w:val="clear" w:color="auto" w:fill="B1C9FD"/>
          </w:tcPr>
          <w:p>
            <w:pPr>
              <w:jc w:val="right"/>
              <w:ind w:right="37"/>
              <w:spacing w:after="0"/>
              <w:rPr>
                <w:sz w:val="20"/>
                <w:szCs w:val="20"/>
                <w:color w:val="auto"/>
              </w:rPr>
            </w:pPr>
            <w:r>
              <w:rPr>
                <w:rFonts w:ascii="Arial" w:cs="Arial" w:eastAsia="Arial" w:hAnsi="Arial"/>
                <w:sz w:val="13"/>
                <w:szCs w:val="13"/>
                <w:b w:val="1"/>
                <w:bCs w:val="1"/>
                <w:color w:val="004FF9"/>
                <w:w w:val="92"/>
              </w:rPr>
              <w:t>Weight</w:t>
            </w:r>
          </w:p>
        </w:tc>
        <w:tc>
          <w:tcPr>
            <w:tcW w:w="80" w:type="dxa"/>
            <w:vAlign w:val="bottom"/>
            <w:shd w:val="clear" w:color="auto" w:fill="B1C9FD"/>
          </w:tcPr>
          <w:p>
            <w:pPr>
              <w:spacing w:after="0"/>
              <w:rPr>
                <w:sz w:val="10"/>
                <w:szCs w:val="10"/>
                <w:color w:val="auto"/>
              </w:rPr>
            </w:pPr>
          </w:p>
        </w:tc>
        <w:tc>
          <w:tcPr>
            <w:tcW w:w="680" w:type="dxa"/>
            <w:vAlign w:val="bottom"/>
            <w:tcBorders>
              <w:right w:val="single" w:sz="8" w:color="auto"/>
            </w:tcBorders>
            <w:shd w:val="clear" w:color="auto" w:fill="B1C9FD"/>
          </w:tcPr>
          <w:p>
            <w:pPr>
              <w:jc w:val="center"/>
              <w:ind w:right="33"/>
              <w:spacing w:after="0" w:line="122" w:lineRule="exact"/>
              <w:rPr>
                <w:sz w:val="20"/>
                <w:szCs w:val="20"/>
                <w:color w:val="auto"/>
              </w:rPr>
            </w:pPr>
            <w:r>
              <w:rPr>
                <w:rFonts w:ascii="Arial" w:cs="Arial" w:eastAsia="Arial" w:hAnsi="Arial"/>
                <w:sz w:val="13"/>
                <w:szCs w:val="13"/>
                <w:b w:val="1"/>
                <w:bCs w:val="1"/>
                <w:color w:val="004FF9"/>
                <w:w w:val="94"/>
              </w:rPr>
              <w:t>EBITDA</w:t>
            </w:r>
          </w:p>
        </w:tc>
        <w:tc>
          <w:tcPr>
            <w:tcW w:w="80" w:type="dxa"/>
            <w:vAlign w:val="bottom"/>
            <w:shd w:val="clear" w:color="auto" w:fill="B1C9FD"/>
          </w:tcPr>
          <w:p>
            <w:pPr>
              <w:spacing w:after="0"/>
              <w:rPr>
                <w:sz w:val="10"/>
                <w:szCs w:val="10"/>
                <w:color w:val="auto"/>
              </w:rPr>
            </w:pPr>
          </w:p>
        </w:tc>
        <w:tc>
          <w:tcPr>
            <w:tcW w:w="620" w:type="dxa"/>
            <w:vAlign w:val="bottom"/>
            <w:tcBorders>
              <w:right w:val="single" w:sz="8" w:color="auto"/>
            </w:tcBorders>
            <w:shd w:val="clear" w:color="auto" w:fill="B1C9FD"/>
          </w:tcPr>
          <w:p>
            <w:pPr>
              <w:jc w:val="center"/>
              <w:ind w:right="53"/>
              <w:spacing w:after="0" w:line="122" w:lineRule="exact"/>
              <w:rPr>
                <w:sz w:val="20"/>
                <w:szCs w:val="20"/>
                <w:color w:val="auto"/>
              </w:rPr>
            </w:pPr>
            <w:r>
              <w:rPr>
                <w:rFonts w:ascii="Arial" w:cs="Arial" w:eastAsia="Arial" w:hAnsi="Arial"/>
                <w:sz w:val="13"/>
                <w:szCs w:val="13"/>
                <w:b w:val="1"/>
                <w:bCs w:val="1"/>
                <w:color w:val="004FF9"/>
                <w:w w:val="97"/>
              </w:rPr>
              <w:t>Funding</w:t>
            </w:r>
          </w:p>
        </w:tc>
        <w:tc>
          <w:tcPr>
            <w:tcW w:w="80" w:type="dxa"/>
            <w:vAlign w:val="bottom"/>
            <w:shd w:val="clear" w:color="auto" w:fill="B1C9FD"/>
          </w:tcPr>
          <w:p>
            <w:pPr>
              <w:spacing w:after="0"/>
              <w:rPr>
                <w:sz w:val="10"/>
                <w:szCs w:val="10"/>
                <w:color w:val="auto"/>
              </w:rPr>
            </w:pPr>
          </w:p>
        </w:tc>
        <w:tc>
          <w:tcPr>
            <w:tcW w:w="52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3"/>
                <w:szCs w:val="13"/>
                <w:b w:val="1"/>
                <w:bCs w:val="1"/>
                <w:color w:val="004FF9"/>
                <w:w w:val="96"/>
              </w:rPr>
              <w:t>Weight</w:t>
            </w:r>
          </w:p>
        </w:tc>
        <w:tc>
          <w:tcPr>
            <w:tcW w:w="0" w:type="dxa"/>
            <w:vAlign w:val="bottom"/>
          </w:tcPr>
          <w:p>
            <w:pPr>
              <w:spacing w:after="0"/>
              <w:rPr>
                <w:sz w:val="1"/>
                <w:szCs w:val="1"/>
                <w:color w:val="auto"/>
              </w:rPr>
            </w:pPr>
          </w:p>
        </w:tc>
      </w:tr>
      <w:tr>
        <w:trPr>
          <w:trHeight w:val="172"/>
        </w:trPr>
        <w:tc>
          <w:tcPr>
            <w:tcW w:w="60" w:type="dxa"/>
            <w:vAlign w:val="bottom"/>
            <w:tcBorders>
              <w:left w:val="single" w:sz="8" w:color="auto"/>
              <w:bottom w:val="single" w:sz="8" w:color="auto"/>
            </w:tcBorders>
            <w:shd w:val="clear" w:color="auto" w:fill="B1C9FD"/>
          </w:tcPr>
          <w:p>
            <w:pPr>
              <w:spacing w:after="0"/>
              <w:rPr>
                <w:sz w:val="14"/>
                <w:szCs w:val="14"/>
                <w:color w:val="auto"/>
              </w:rPr>
            </w:pPr>
          </w:p>
        </w:tc>
        <w:tc>
          <w:tcPr>
            <w:tcW w:w="46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8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6"/>
              </w:rPr>
              <w:t>($ millions)</w:t>
            </w:r>
          </w:p>
        </w:tc>
        <w:tc>
          <w:tcPr>
            <w:tcW w:w="60" w:type="dxa"/>
            <w:vAlign w:val="bottom"/>
            <w:tcBorders>
              <w:bottom w:val="single" w:sz="8" w:color="auto"/>
            </w:tcBorders>
            <w:shd w:val="clear" w:color="auto" w:fill="B1C9FD"/>
          </w:tcPr>
          <w:p>
            <w:pPr>
              <w:spacing w:after="0"/>
              <w:rPr>
                <w:sz w:val="14"/>
                <w:szCs w:val="14"/>
                <w:color w:val="auto"/>
              </w:rPr>
            </w:pPr>
          </w:p>
        </w:tc>
        <w:tc>
          <w:tcPr>
            <w:tcW w:w="1140" w:type="dxa"/>
            <w:vAlign w:val="bottom"/>
            <w:tcBorders>
              <w:bottom w:val="single" w:sz="8" w:color="auto"/>
              <w:right w:val="single" w:sz="8" w:color="auto"/>
            </w:tcBorders>
            <w:gridSpan w:val="2"/>
            <w:shd w:val="clear" w:color="auto" w:fill="B1C9FD"/>
          </w:tcPr>
          <w:p>
            <w:pPr>
              <w:jc w:val="center"/>
              <w:ind w:right="13"/>
              <w:spacing w:after="0"/>
              <w:rPr>
                <w:sz w:val="20"/>
                <w:szCs w:val="20"/>
                <w:color w:val="auto"/>
              </w:rPr>
            </w:pPr>
            <w:r>
              <w:rPr>
                <w:rFonts w:ascii="Arial" w:cs="Arial" w:eastAsia="Arial" w:hAnsi="Arial"/>
                <w:sz w:val="13"/>
                <w:szCs w:val="13"/>
                <w:b w:val="1"/>
                <w:bCs w:val="1"/>
                <w:color w:val="004FF9"/>
                <w:w w:val="96"/>
              </w:rPr>
              <w:t>($ millions)</w:t>
            </w:r>
          </w:p>
        </w:tc>
        <w:tc>
          <w:tcPr>
            <w:tcW w:w="80" w:type="dxa"/>
            <w:vAlign w:val="bottom"/>
            <w:tcBorders>
              <w:bottom w:val="single" w:sz="8" w:color="auto"/>
            </w:tcBorders>
            <w:shd w:val="clear" w:color="auto" w:fill="B1C9FD"/>
          </w:tcPr>
          <w:p>
            <w:pPr>
              <w:spacing w:after="0"/>
              <w:rPr>
                <w:sz w:val="14"/>
                <w:szCs w:val="14"/>
                <w:color w:val="auto"/>
              </w:rPr>
            </w:pPr>
          </w:p>
        </w:tc>
        <w:tc>
          <w:tcPr>
            <w:tcW w:w="1120" w:type="dxa"/>
            <w:vAlign w:val="bottom"/>
            <w:tcBorders>
              <w:bottom w:val="single" w:sz="8" w:color="auto"/>
              <w:right w:val="single" w:sz="8" w:color="auto"/>
            </w:tcBorders>
            <w:gridSpan w:val="3"/>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6"/>
              </w:rPr>
              <w:t>($ millions)</w:t>
            </w:r>
          </w:p>
        </w:tc>
        <w:tc>
          <w:tcPr>
            <w:tcW w:w="980" w:type="dxa"/>
            <w:vAlign w:val="bottom"/>
            <w:tcBorders>
              <w:bottom w:val="single" w:sz="8" w:color="auto"/>
              <w:right w:val="single" w:sz="8" w:color="auto"/>
            </w:tcBorders>
            <w:shd w:val="clear" w:color="auto" w:fill="B1C9FD"/>
          </w:tcPr>
          <w:p>
            <w:pPr>
              <w:jc w:val="right"/>
              <w:ind w:right="335"/>
              <w:spacing w:after="0"/>
              <w:rPr>
                <w:sz w:val="20"/>
                <w:szCs w:val="20"/>
                <w:color w:val="auto"/>
              </w:rPr>
            </w:pPr>
            <w:r>
              <w:rPr>
                <w:rFonts w:ascii="Arial" w:cs="Arial" w:eastAsia="Arial" w:hAnsi="Arial"/>
                <w:sz w:val="13"/>
                <w:szCs w:val="13"/>
                <w:b w:val="1"/>
                <w:bCs w:val="1"/>
                <w:color w:val="004FF9"/>
              </w:rPr>
              <w:t>(%)</w:t>
            </w:r>
          </w:p>
        </w:tc>
        <w:tc>
          <w:tcPr>
            <w:tcW w:w="60" w:type="dxa"/>
            <w:vAlign w:val="bottom"/>
            <w:tcBorders>
              <w:bottom w:val="single" w:sz="8" w:color="auto"/>
            </w:tcBorders>
            <w:shd w:val="clear" w:color="auto" w:fill="B1C9FD"/>
          </w:tcPr>
          <w:p>
            <w:pPr>
              <w:spacing w:after="0"/>
              <w:rPr>
                <w:sz w:val="14"/>
                <w:szCs w:val="14"/>
                <w:color w:val="auto"/>
              </w:rPr>
            </w:pPr>
          </w:p>
        </w:tc>
        <w:tc>
          <w:tcPr>
            <w:tcW w:w="740" w:type="dxa"/>
            <w:vAlign w:val="bottom"/>
            <w:tcBorders>
              <w:bottom w:val="single" w:sz="8" w:color="auto"/>
              <w:right w:val="single" w:sz="8" w:color="auto"/>
            </w:tcBorders>
            <w:shd w:val="clear" w:color="auto" w:fill="B1C9FD"/>
          </w:tcPr>
          <w:p>
            <w:pPr>
              <w:jc w:val="right"/>
              <w:ind w:right="262"/>
              <w:spacing w:after="0"/>
              <w:rPr>
                <w:sz w:val="20"/>
                <w:szCs w:val="20"/>
                <w:color w:val="auto"/>
              </w:rPr>
            </w:pPr>
            <w:r>
              <w:rPr>
                <w:rFonts w:ascii="Arial" w:cs="Arial" w:eastAsia="Arial" w:hAnsi="Arial"/>
                <w:sz w:val="13"/>
                <w:szCs w:val="13"/>
                <w:b w:val="1"/>
                <w:bCs w:val="1"/>
                <w:color w:val="004FF9"/>
              </w:rPr>
              <w:t>(%)</w:t>
            </w: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680" w:type="dxa"/>
            <w:vAlign w:val="bottom"/>
            <w:tcBorders>
              <w:bottom w:val="single" w:sz="8" w:color="auto"/>
              <w:right w:val="single" w:sz="8" w:color="auto"/>
            </w:tcBorders>
            <w:shd w:val="clear" w:color="auto" w:fill="B1C9FD"/>
          </w:tcPr>
          <w:p>
            <w:pPr>
              <w:jc w:val="center"/>
              <w:ind w:right="53"/>
              <w:spacing w:after="0"/>
              <w:rPr>
                <w:sz w:val="20"/>
                <w:szCs w:val="20"/>
                <w:color w:val="auto"/>
              </w:rPr>
            </w:pPr>
            <w:r>
              <w:rPr>
                <w:rFonts w:ascii="Arial" w:cs="Arial" w:eastAsia="Arial" w:hAnsi="Arial"/>
                <w:sz w:val="13"/>
                <w:szCs w:val="13"/>
                <w:b w:val="1"/>
                <w:bCs w:val="1"/>
                <w:color w:val="004FF9"/>
                <w:w w:val="96"/>
              </w:rPr>
              <w:t>Growth</w:t>
            </w:r>
          </w:p>
        </w:tc>
        <w:tc>
          <w:tcPr>
            <w:tcW w:w="80" w:type="dxa"/>
            <w:vAlign w:val="bottom"/>
            <w:tcBorders>
              <w:bottom w:val="single" w:sz="8" w:color="auto"/>
            </w:tcBorders>
            <w:shd w:val="clear" w:color="auto" w:fill="B1C9FD"/>
          </w:tcPr>
          <w:p>
            <w:pPr>
              <w:spacing w:after="0"/>
              <w:rPr>
                <w:sz w:val="14"/>
                <w:szCs w:val="14"/>
                <w:color w:val="auto"/>
              </w:rPr>
            </w:pPr>
          </w:p>
        </w:tc>
        <w:tc>
          <w:tcPr>
            <w:tcW w:w="620" w:type="dxa"/>
            <w:vAlign w:val="bottom"/>
            <w:tcBorders>
              <w:bottom w:val="single" w:sz="8" w:color="auto"/>
              <w:right w:val="single" w:sz="8" w:color="auto"/>
            </w:tcBorders>
            <w:shd w:val="clear" w:color="auto" w:fill="B1C9FD"/>
          </w:tcPr>
          <w:p>
            <w:pPr>
              <w:jc w:val="center"/>
              <w:ind w:right="33"/>
              <w:spacing w:after="0"/>
              <w:rPr>
                <w:sz w:val="20"/>
                <w:szCs w:val="20"/>
                <w:color w:val="auto"/>
              </w:rPr>
            </w:pPr>
            <w:r>
              <w:rPr>
                <w:rFonts w:ascii="Arial" w:cs="Arial" w:eastAsia="Arial" w:hAnsi="Arial"/>
                <w:sz w:val="13"/>
                <w:szCs w:val="13"/>
                <w:b w:val="1"/>
                <w:bCs w:val="1"/>
                <w:color w:val="004FF9"/>
                <w:w w:val="98"/>
              </w:rPr>
              <w:t>(%)</w:t>
            </w: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vMerge w:val="continue"/>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shd w:val="clear" w:color="auto" w:fill="B1C9FD"/>
          </w:tcPr>
          <w:p>
            <w:pPr>
              <w:spacing w:after="0"/>
              <w:rPr>
                <w:sz w:val="14"/>
                <w:szCs w:val="14"/>
                <w:color w:val="auto"/>
              </w:rPr>
            </w:pPr>
          </w:p>
        </w:tc>
        <w:tc>
          <w:tcPr>
            <w:tcW w:w="460" w:type="dxa"/>
            <w:vAlign w:val="bottom"/>
            <w:tcBorders>
              <w:bottom w:val="single" w:sz="8" w:color="auto"/>
              <w:right w:val="single" w:sz="8" w:color="auto"/>
            </w:tcBorders>
            <w:shd w:val="clear" w:color="auto" w:fill="B1C9FD"/>
          </w:tcPr>
          <w:p>
            <w:pPr>
              <w:spacing w:after="0"/>
              <w:rPr>
                <w:sz w:val="14"/>
                <w:szCs w:val="14"/>
                <w:color w:val="auto"/>
              </w:rPr>
            </w:pPr>
          </w:p>
        </w:tc>
        <w:tc>
          <w:tcPr>
            <w:tcW w:w="8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7"/>
              </w:rPr>
              <w:t>Results</w:t>
            </w:r>
          </w:p>
        </w:tc>
        <w:tc>
          <w:tcPr>
            <w:tcW w:w="60" w:type="dxa"/>
            <w:vAlign w:val="bottom"/>
            <w:tcBorders>
              <w:bottom w:val="single" w:sz="8" w:color="auto"/>
            </w:tcBorders>
            <w:shd w:val="clear" w:color="auto" w:fill="B1C9FD"/>
          </w:tcPr>
          <w:p>
            <w:pPr>
              <w:spacing w:after="0"/>
              <w:rPr>
                <w:sz w:val="14"/>
                <w:szCs w:val="14"/>
                <w:color w:val="auto"/>
              </w:rPr>
            </w:pPr>
          </w:p>
        </w:tc>
        <w:tc>
          <w:tcPr>
            <w:tcW w:w="480" w:type="dxa"/>
            <w:vAlign w:val="bottom"/>
            <w:tcBorders>
              <w:bottom w:val="single" w:sz="8" w:color="auto"/>
              <w:right w:val="single" w:sz="8" w:color="auto"/>
            </w:tcBorders>
            <w:shd w:val="clear" w:color="auto" w:fill="B1C9FD"/>
          </w:tcPr>
          <w:p>
            <w:pPr>
              <w:jc w:val="center"/>
              <w:ind w:right="17"/>
              <w:spacing w:after="0"/>
              <w:rPr>
                <w:sz w:val="20"/>
                <w:szCs w:val="20"/>
                <w:color w:val="auto"/>
              </w:rPr>
            </w:pPr>
            <w:r>
              <w:rPr>
                <w:rFonts w:ascii="Arial" w:cs="Arial" w:eastAsia="Arial" w:hAnsi="Arial"/>
                <w:sz w:val="13"/>
                <w:szCs w:val="13"/>
                <w:b w:val="1"/>
                <w:bCs w:val="1"/>
                <w:color w:val="004FF9"/>
              </w:rPr>
              <w:t>Plan</w:t>
            </w:r>
          </w:p>
        </w:tc>
        <w:tc>
          <w:tcPr>
            <w:tcW w:w="6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3"/>
                <w:szCs w:val="13"/>
                <w:b w:val="1"/>
                <w:bCs w:val="1"/>
                <w:color w:val="004FF9"/>
                <w:w w:val="97"/>
              </w:rPr>
              <w:t>Results</w:t>
            </w:r>
          </w:p>
        </w:tc>
        <w:tc>
          <w:tcPr>
            <w:tcW w:w="80" w:type="dxa"/>
            <w:vAlign w:val="bottom"/>
            <w:tcBorders>
              <w:bottom w:val="single" w:sz="8" w:color="auto"/>
            </w:tcBorders>
            <w:shd w:val="clear" w:color="auto" w:fill="B1C9FD"/>
          </w:tcPr>
          <w:p>
            <w:pPr>
              <w:spacing w:after="0"/>
              <w:rPr>
                <w:sz w:val="14"/>
                <w:szCs w:val="14"/>
                <w:color w:val="auto"/>
              </w:rPr>
            </w:pPr>
          </w:p>
        </w:tc>
        <w:tc>
          <w:tcPr>
            <w:tcW w:w="480" w:type="dxa"/>
            <w:vAlign w:val="bottom"/>
            <w:tcBorders>
              <w:bottom w:val="single" w:sz="8" w:color="auto"/>
              <w:right w:val="single" w:sz="8" w:color="auto"/>
            </w:tcBorders>
            <w:shd w:val="clear" w:color="auto" w:fill="B1C9FD"/>
          </w:tcPr>
          <w:p>
            <w:pPr>
              <w:jc w:val="center"/>
              <w:ind w:right="41"/>
              <w:spacing w:after="0"/>
              <w:rPr>
                <w:sz w:val="20"/>
                <w:szCs w:val="20"/>
                <w:color w:val="auto"/>
              </w:rPr>
            </w:pPr>
            <w:r>
              <w:rPr>
                <w:rFonts w:ascii="Arial" w:cs="Arial" w:eastAsia="Arial" w:hAnsi="Arial"/>
                <w:sz w:val="13"/>
                <w:szCs w:val="13"/>
                <w:b w:val="1"/>
                <w:bCs w:val="1"/>
                <w:color w:val="004FF9"/>
                <w:w w:val="94"/>
              </w:rPr>
              <w:t>Plan</w:t>
            </w:r>
          </w:p>
        </w:tc>
        <w:tc>
          <w:tcPr>
            <w:tcW w:w="60" w:type="dxa"/>
            <w:vAlign w:val="bottom"/>
            <w:tcBorders>
              <w:bottom w:val="single" w:sz="8" w:color="auto"/>
            </w:tcBorders>
            <w:shd w:val="clear" w:color="auto" w:fill="B1C9FD"/>
          </w:tcPr>
          <w:p>
            <w:pPr>
              <w:spacing w:after="0"/>
              <w:rPr>
                <w:sz w:val="14"/>
                <w:szCs w:val="14"/>
                <w:color w:val="auto"/>
              </w:rPr>
            </w:pPr>
          </w:p>
        </w:tc>
        <w:tc>
          <w:tcPr>
            <w:tcW w:w="580" w:type="dxa"/>
            <w:vAlign w:val="bottom"/>
            <w:tcBorders>
              <w:bottom w:val="single" w:sz="8" w:color="auto"/>
              <w:right w:val="single" w:sz="8" w:color="auto"/>
            </w:tcBorders>
            <w:shd w:val="clear" w:color="auto" w:fill="B1C9FD"/>
          </w:tcPr>
          <w:p>
            <w:pPr>
              <w:jc w:val="center"/>
              <w:ind w:right="13"/>
              <w:spacing w:after="0"/>
              <w:rPr>
                <w:sz w:val="20"/>
                <w:szCs w:val="20"/>
                <w:color w:val="auto"/>
              </w:rPr>
            </w:pPr>
            <w:r>
              <w:rPr>
                <w:rFonts w:ascii="Arial" w:cs="Arial" w:eastAsia="Arial" w:hAnsi="Arial"/>
                <w:sz w:val="13"/>
                <w:szCs w:val="13"/>
                <w:b w:val="1"/>
                <w:bCs w:val="1"/>
                <w:color w:val="004FF9"/>
                <w:w w:val="97"/>
              </w:rPr>
              <w:t>Results</w:t>
            </w:r>
          </w:p>
        </w:tc>
        <w:tc>
          <w:tcPr>
            <w:tcW w:w="980" w:type="dxa"/>
            <w:vAlign w:val="bottom"/>
            <w:tcBorders>
              <w:bottom w:val="single" w:sz="8" w:color="auto"/>
              <w:right w:val="single" w:sz="8" w:color="auto"/>
            </w:tcBorders>
            <w:shd w:val="clear" w:color="auto" w:fill="B1C9FD"/>
          </w:tcPr>
          <w:p>
            <w:pPr>
              <w:spacing w:after="0"/>
              <w:rPr>
                <w:sz w:val="14"/>
                <w:szCs w:val="14"/>
                <w:color w:val="auto"/>
              </w:rPr>
            </w:pPr>
          </w:p>
        </w:tc>
        <w:tc>
          <w:tcPr>
            <w:tcW w:w="60" w:type="dxa"/>
            <w:vAlign w:val="bottom"/>
            <w:tcBorders>
              <w:bottom w:val="single" w:sz="8" w:color="auto"/>
            </w:tcBorders>
            <w:shd w:val="clear" w:color="auto" w:fill="B1C9FD"/>
          </w:tcPr>
          <w:p>
            <w:pPr>
              <w:spacing w:after="0"/>
              <w:rPr>
                <w:sz w:val="14"/>
                <w:szCs w:val="14"/>
                <w:color w:val="auto"/>
              </w:rPr>
            </w:pPr>
          </w:p>
        </w:tc>
        <w:tc>
          <w:tcPr>
            <w:tcW w:w="74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68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620" w:type="dxa"/>
            <w:vAlign w:val="bottom"/>
            <w:tcBorders>
              <w:bottom w:val="single" w:sz="8" w:color="auto"/>
              <w:right w:val="single" w:sz="8" w:color="auto"/>
            </w:tcBorders>
            <w:shd w:val="clear" w:color="auto" w:fill="B1C9FD"/>
          </w:tcPr>
          <w:p>
            <w:pPr>
              <w:spacing w:after="0"/>
              <w:rPr>
                <w:sz w:val="14"/>
                <w:szCs w:val="14"/>
                <w:color w:val="auto"/>
              </w:rPr>
            </w:pPr>
          </w:p>
        </w:tc>
        <w:tc>
          <w:tcPr>
            <w:tcW w:w="80" w:type="dxa"/>
            <w:vAlign w:val="bottom"/>
            <w:tcBorders>
              <w:bottom w:val="single" w:sz="8" w:color="auto"/>
            </w:tcBorders>
            <w:shd w:val="clear" w:color="auto" w:fill="B1C9FD"/>
          </w:tcPr>
          <w:p>
            <w:pPr>
              <w:spacing w:after="0"/>
              <w:rPr>
                <w:sz w:val="14"/>
                <w:szCs w:val="14"/>
                <w:color w:val="auto"/>
              </w:rPr>
            </w:pPr>
          </w:p>
        </w:tc>
        <w:tc>
          <w:tcPr>
            <w:tcW w:w="520" w:type="dxa"/>
            <w:vAlign w:val="bottom"/>
            <w:tcBorders>
              <w:bottom w:val="single" w:sz="8" w:color="auto"/>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120.7</w:t>
            </w:r>
          </w:p>
        </w:tc>
        <w:tc>
          <w:tcPr>
            <w:tcW w:w="540" w:type="dxa"/>
            <w:vAlign w:val="bottom"/>
            <w:tcBorders>
              <w:bottom w:val="single" w:sz="8" w:color="auto"/>
              <w:right w:val="single" w:sz="8" w:color="auto"/>
            </w:tcBorders>
            <w:gridSpan w:val="2"/>
          </w:tcPr>
          <w:p>
            <w:pPr>
              <w:jc w:val="right"/>
              <w:ind w:right="17"/>
              <w:spacing w:after="0"/>
              <w:rPr>
                <w:sz w:val="20"/>
                <w:szCs w:val="20"/>
                <w:color w:val="auto"/>
              </w:rPr>
            </w:pPr>
            <w:r>
              <w:rPr>
                <w:rFonts w:ascii="Arial" w:cs="Arial" w:eastAsia="Arial" w:hAnsi="Arial"/>
                <w:sz w:val="14"/>
                <w:szCs w:val="14"/>
                <w:color w:val="auto"/>
              </w:rPr>
              <w:t>218.7</w:t>
            </w:r>
          </w:p>
        </w:tc>
        <w:tc>
          <w:tcPr>
            <w:tcW w:w="66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4"/>
                <w:szCs w:val="14"/>
                <w:color w:val="auto"/>
              </w:rPr>
              <w:t>216.7</w:t>
            </w:r>
          </w:p>
        </w:tc>
        <w:tc>
          <w:tcPr>
            <w:tcW w:w="560" w:type="dxa"/>
            <w:vAlign w:val="bottom"/>
            <w:tcBorders>
              <w:bottom w:val="single" w:sz="8" w:color="auto"/>
              <w:right w:val="single" w:sz="8" w:color="auto"/>
            </w:tcBorders>
            <w:gridSpan w:val="2"/>
          </w:tcPr>
          <w:p>
            <w:pPr>
              <w:jc w:val="right"/>
              <w:ind w:right="41"/>
              <w:spacing w:after="0"/>
              <w:rPr>
                <w:sz w:val="20"/>
                <w:szCs w:val="20"/>
                <w:color w:val="auto"/>
              </w:rPr>
            </w:pPr>
            <w:r>
              <w:rPr>
                <w:rFonts w:ascii="Arial" w:cs="Arial" w:eastAsia="Arial" w:hAnsi="Arial"/>
                <w:sz w:val="14"/>
                <w:szCs w:val="14"/>
                <w:color w:val="auto"/>
              </w:rPr>
              <w:t>188.0</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right"/>
              <w:ind w:right="93"/>
              <w:spacing w:after="0"/>
              <w:rPr>
                <w:sz w:val="20"/>
                <w:szCs w:val="20"/>
                <w:color w:val="auto"/>
              </w:rPr>
            </w:pPr>
            <w:r>
              <w:rPr>
                <w:rFonts w:ascii="Arial" w:cs="Arial" w:eastAsia="Arial" w:hAnsi="Arial"/>
                <w:sz w:val="14"/>
                <w:szCs w:val="14"/>
                <w:color w:val="auto"/>
              </w:rPr>
              <w:t>174.7</w:t>
            </w:r>
          </w:p>
        </w:tc>
        <w:tc>
          <w:tcPr>
            <w:tcW w:w="980" w:type="dxa"/>
            <w:vAlign w:val="bottom"/>
            <w:tcBorders>
              <w:bottom w:val="single" w:sz="8" w:color="auto"/>
              <w:right w:val="single" w:sz="8" w:color="auto"/>
            </w:tcBorders>
          </w:tcPr>
          <w:p>
            <w:pPr>
              <w:jc w:val="right"/>
              <w:ind w:right="295"/>
              <w:spacing w:after="0"/>
              <w:rPr>
                <w:sz w:val="20"/>
                <w:szCs w:val="20"/>
                <w:color w:val="auto"/>
              </w:rPr>
            </w:pPr>
            <w:r>
              <w:rPr>
                <w:rFonts w:ascii="Arial" w:cs="Arial" w:eastAsia="Arial" w:hAnsi="Arial"/>
                <w:sz w:val="14"/>
                <w:szCs w:val="14"/>
                <w:color w:val="auto"/>
              </w:rPr>
              <w:t>92.9</w:t>
            </w:r>
          </w:p>
        </w:tc>
        <w:tc>
          <w:tcPr>
            <w:tcW w:w="800" w:type="dxa"/>
            <w:vAlign w:val="bottom"/>
            <w:tcBorders>
              <w:bottom w:val="single" w:sz="8" w:color="auto"/>
              <w:right w:val="single" w:sz="8" w:color="auto"/>
            </w:tcBorders>
            <w:gridSpan w:val="2"/>
          </w:tcPr>
          <w:p>
            <w:pPr>
              <w:jc w:val="right"/>
              <w:ind w:right="222"/>
              <w:spacing w:after="0"/>
              <w:rPr>
                <w:sz w:val="20"/>
                <w:szCs w:val="20"/>
                <w:color w:val="auto"/>
              </w:rPr>
            </w:pPr>
            <w:r>
              <w:rPr>
                <w:rFonts w:ascii="Arial" w:cs="Arial" w:eastAsia="Arial" w:hAnsi="Arial"/>
                <w:sz w:val="14"/>
                <w:szCs w:val="14"/>
                <w:color w:val="auto"/>
              </w:rPr>
              <w:t>89.4</w:t>
            </w:r>
          </w:p>
        </w:tc>
        <w:tc>
          <w:tcPr>
            <w:tcW w:w="600" w:type="dxa"/>
            <w:vAlign w:val="bottom"/>
            <w:tcBorders>
              <w:bottom w:val="single" w:sz="8" w:color="auto"/>
              <w:right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ind w:right="53"/>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9"/>
        </w:trPr>
        <w:tc>
          <w:tcPr>
            <w:tcW w:w="520" w:type="dxa"/>
            <w:vAlign w:val="bottom"/>
            <w:tcBorders>
              <w:left w:val="single" w:sz="8" w:color="auto"/>
              <w:bottom w:val="single" w:sz="8" w:color="auto"/>
              <w:right w:val="single" w:sz="8" w:color="auto"/>
            </w:tcBorders>
            <w:gridSpan w:val="2"/>
            <w:shd w:val="clear" w:color="auto" w:fill="E5EDFE"/>
          </w:tcPr>
          <w:p>
            <w:pPr>
              <w:jc w:val="center"/>
              <w:spacing w:after="0"/>
              <w:rPr>
                <w:sz w:val="20"/>
                <w:szCs w:val="20"/>
                <w:color w:val="auto"/>
              </w:rPr>
            </w:pPr>
            <w:r>
              <w:rPr>
                <w:rFonts w:ascii="Arial" w:cs="Arial" w:eastAsia="Arial" w:hAnsi="Arial"/>
                <w:sz w:val="14"/>
                <w:szCs w:val="14"/>
                <w:color w:val="auto"/>
              </w:rPr>
              <w:t>2015</w:t>
            </w:r>
          </w:p>
        </w:tc>
        <w:tc>
          <w:tcPr>
            <w:tcW w:w="86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480" w:type="dxa"/>
            <w:vAlign w:val="bottom"/>
            <w:tcBorders>
              <w:bottom w:val="single" w:sz="8" w:color="auto"/>
              <w:right w:val="single" w:sz="8" w:color="auto"/>
            </w:tcBorders>
            <w:shd w:val="clear" w:color="auto" w:fill="E5EDFE"/>
          </w:tcPr>
          <w:p>
            <w:pPr>
              <w:spacing w:after="0"/>
              <w:rPr>
                <w:sz w:val="14"/>
                <w:szCs w:val="14"/>
                <w:color w:val="auto"/>
              </w:rPr>
            </w:pPr>
          </w:p>
        </w:tc>
        <w:tc>
          <w:tcPr>
            <w:tcW w:w="66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48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580" w:type="dxa"/>
            <w:vAlign w:val="bottom"/>
            <w:tcBorders>
              <w:bottom w:val="single" w:sz="8" w:color="auto"/>
              <w:right w:val="single" w:sz="8" w:color="auto"/>
            </w:tcBorders>
            <w:shd w:val="clear" w:color="auto" w:fill="E5EDFE"/>
          </w:tcPr>
          <w:p>
            <w:pPr>
              <w:spacing w:after="0"/>
              <w:rPr>
                <w:sz w:val="14"/>
                <w:szCs w:val="14"/>
                <w:color w:val="auto"/>
              </w:rPr>
            </w:pPr>
          </w:p>
        </w:tc>
        <w:tc>
          <w:tcPr>
            <w:tcW w:w="98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740" w:type="dxa"/>
            <w:vAlign w:val="bottom"/>
            <w:tcBorders>
              <w:bottom w:val="single" w:sz="8" w:color="auto"/>
              <w:right w:val="single" w:sz="8" w:color="auto"/>
            </w:tcBorders>
            <w:shd w:val="clear" w:color="auto" w:fill="E5EDFE"/>
          </w:tcPr>
          <w:p>
            <w:pPr>
              <w:spacing w:after="0"/>
              <w:rPr>
                <w:sz w:val="14"/>
                <w:szCs w:val="14"/>
                <w:color w:val="auto"/>
              </w:rPr>
            </w:pPr>
          </w:p>
        </w:tc>
        <w:tc>
          <w:tcPr>
            <w:tcW w:w="600" w:type="dxa"/>
            <w:vAlign w:val="bottom"/>
            <w:tcBorders>
              <w:bottom w:val="single" w:sz="8" w:color="auto"/>
              <w:right w:val="single" w:sz="8" w:color="auto"/>
            </w:tcBorders>
            <w:gridSpan w:val="2"/>
            <w:shd w:val="clear" w:color="auto" w:fill="E5EDFE"/>
          </w:tcPr>
          <w:p>
            <w:pPr>
              <w:jc w:val="right"/>
              <w:ind w:right="37"/>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auto"/>
            </w:tcBorders>
            <w:shd w:val="clear" w:color="auto" w:fill="E5EDFE"/>
          </w:tcPr>
          <w:p>
            <w:pPr>
              <w:spacing w:after="0"/>
              <w:rPr>
                <w:sz w:val="14"/>
                <w:szCs w:val="14"/>
                <w:color w:val="auto"/>
              </w:rPr>
            </w:pPr>
          </w:p>
        </w:tc>
        <w:tc>
          <w:tcPr>
            <w:tcW w:w="680" w:type="dxa"/>
            <w:vAlign w:val="bottom"/>
            <w:tcBorders>
              <w:bottom w:val="single" w:sz="8" w:color="auto"/>
              <w:right w:val="single" w:sz="8" w:color="auto"/>
            </w:tcBorders>
            <w:shd w:val="clear" w:color="auto" w:fill="E5EDFE"/>
          </w:tcPr>
          <w:p>
            <w:pPr>
              <w:jc w:val="center"/>
              <w:ind w:right="53"/>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shd w:val="clear" w:color="auto" w:fill="E5EDFE"/>
          </w:tcPr>
          <w:p>
            <w:pPr>
              <w:spacing w:after="0"/>
              <w:rPr>
                <w:sz w:val="14"/>
                <w:szCs w:val="14"/>
                <w:color w:val="auto"/>
              </w:rPr>
            </w:pPr>
          </w:p>
        </w:tc>
        <w:tc>
          <w:tcPr>
            <w:tcW w:w="620" w:type="dxa"/>
            <w:vAlign w:val="bottom"/>
            <w:tcBorders>
              <w:bottom w:val="single" w:sz="8" w:color="auto"/>
              <w:right w:val="single" w:sz="8" w:color="auto"/>
            </w:tcBorders>
            <w:shd w:val="clear" w:color="auto" w:fill="E5EDFE"/>
          </w:tcPr>
          <w:p>
            <w:pPr>
              <w:jc w:val="center"/>
              <w:ind w:right="33"/>
              <w:spacing w:after="0"/>
              <w:rPr>
                <w:sz w:val="20"/>
                <w:szCs w:val="20"/>
                <w:color w:val="auto"/>
              </w:rPr>
            </w:pPr>
            <w:r>
              <w:rPr>
                <w:rFonts w:ascii="Arial" w:cs="Arial" w:eastAsia="Arial" w:hAnsi="Arial"/>
                <w:sz w:val="14"/>
                <w:szCs w:val="14"/>
                <w:color w:val="auto"/>
              </w:rPr>
              <w:t>n/a</w:t>
            </w:r>
          </w:p>
        </w:tc>
        <w:tc>
          <w:tcPr>
            <w:tcW w:w="80" w:type="dxa"/>
            <w:vAlign w:val="bottom"/>
            <w:tcBorders>
              <w:bottom w:val="single" w:sz="8" w:color="auto"/>
            </w:tcBorders>
            <w:shd w:val="clear" w:color="auto" w:fill="E5EDFE"/>
          </w:tcPr>
          <w:p>
            <w:pPr>
              <w:spacing w:after="0"/>
              <w:rPr>
                <w:sz w:val="14"/>
                <w:szCs w:val="14"/>
                <w:color w:val="auto"/>
              </w:rPr>
            </w:pPr>
          </w:p>
        </w:tc>
        <w:tc>
          <w:tcPr>
            <w:tcW w:w="52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9"/>
        </w:trPr>
        <w:tc>
          <w:tcPr>
            <w:tcW w:w="5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9"/>
        </w:trPr>
        <w:tc>
          <w:tcPr>
            <w:tcW w:w="60" w:type="dxa"/>
            <w:vAlign w:val="bottom"/>
            <w:tcBorders>
              <w:left w:val="single" w:sz="8" w:color="auto"/>
              <w:bottom w:val="single" w:sz="8" w:color="auto"/>
            </w:tcBorders>
            <w:shd w:val="clear" w:color="auto" w:fill="E5EDFE"/>
          </w:tcPr>
          <w:p>
            <w:pPr>
              <w:spacing w:after="0"/>
              <w:rPr>
                <w:sz w:val="14"/>
                <w:szCs w:val="14"/>
                <w:color w:val="auto"/>
              </w:rPr>
            </w:pPr>
          </w:p>
        </w:tc>
        <w:tc>
          <w:tcPr>
            <w:tcW w:w="460" w:type="dxa"/>
            <w:vAlign w:val="bottom"/>
            <w:tcBorders>
              <w:bottom w:val="single" w:sz="8" w:color="auto"/>
              <w:right w:val="single" w:sz="8" w:color="auto"/>
            </w:tcBorders>
            <w:shd w:val="clear" w:color="auto" w:fill="E5EDFE"/>
          </w:tcPr>
          <w:p>
            <w:pPr>
              <w:jc w:val="center"/>
              <w:ind w:right="33"/>
              <w:spacing w:after="0"/>
              <w:rPr>
                <w:sz w:val="20"/>
                <w:szCs w:val="20"/>
                <w:color w:val="auto"/>
              </w:rPr>
            </w:pPr>
            <w:r>
              <w:rPr>
                <w:rFonts w:ascii="Arial" w:cs="Arial" w:eastAsia="Arial" w:hAnsi="Arial"/>
                <w:sz w:val="14"/>
                <w:szCs w:val="14"/>
                <w:color w:val="auto"/>
              </w:rPr>
              <w:t>Final</w:t>
            </w:r>
          </w:p>
        </w:tc>
        <w:tc>
          <w:tcPr>
            <w:tcW w:w="86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480" w:type="dxa"/>
            <w:vAlign w:val="bottom"/>
            <w:tcBorders>
              <w:bottom w:val="single" w:sz="8" w:color="auto"/>
              <w:right w:val="single" w:sz="8" w:color="auto"/>
            </w:tcBorders>
            <w:shd w:val="clear" w:color="auto" w:fill="E5EDFE"/>
          </w:tcPr>
          <w:p>
            <w:pPr>
              <w:spacing w:after="0"/>
              <w:rPr>
                <w:sz w:val="14"/>
                <w:szCs w:val="14"/>
                <w:color w:val="auto"/>
              </w:rPr>
            </w:pPr>
          </w:p>
        </w:tc>
        <w:tc>
          <w:tcPr>
            <w:tcW w:w="66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48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580" w:type="dxa"/>
            <w:vAlign w:val="bottom"/>
            <w:tcBorders>
              <w:bottom w:val="single" w:sz="8" w:color="auto"/>
              <w:right w:val="single" w:sz="8" w:color="auto"/>
            </w:tcBorders>
            <w:shd w:val="clear" w:color="auto" w:fill="E5EDFE"/>
          </w:tcPr>
          <w:p>
            <w:pPr>
              <w:spacing w:after="0"/>
              <w:rPr>
                <w:sz w:val="14"/>
                <w:szCs w:val="14"/>
                <w:color w:val="auto"/>
              </w:rPr>
            </w:pPr>
          </w:p>
        </w:tc>
        <w:tc>
          <w:tcPr>
            <w:tcW w:w="980" w:type="dxa"/>
            <w:vAlign w:val="bottom"/>
            <w:tcBorders>
              <w:bottom w:val="single" w:sz="8" w:color="auto"/>
              <w:right w:val="single" w:sz="8" w:color="auto"/>
            </w:tcBorders>
            <w:shd w:val="clear" w:color="auto" w:fill="E5EDFE"/>
          </w:tcPr>
          <w:p>
            <w:pPr>
              <w:spacing w:after="0"/>
              <w:rPr>
                <w:sz w:val="14"/>
                <w:szCs w:val="14"/>
                <w:color w:val="auto"/>
              </w:rPr>
            </w:pPr>
          </w:p>
        </w:tc>
        <w:tc>
          <w:tcPr>
            <w:tcW w:w="60" w:type="dxa"/>
            <w:vAlign w:val="bottom"/>
            <w:tcBorders>
              <w:bottom w:val="single" w:sz="8" w:color="auto"/>
            </w:tcBorders>
            <w:shd w:val="clear" w:color="auto" w:fill="E5EDFE"/>
          </w:tcPr>
          <w:p>
            <w:pPr>
              <w:spacing w:after="0"/>
              <w:rPr>
                <w:sz w:val="14"/>
                <w:szCs w:val="14"/>
                <w:color w:val="auto"/>
              </w:rPr>
            </w:pPr>
          </w:p>
        </w:tc>
        <w:tc>
          <w:tcPr>
            <w:tcW w:w="74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52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68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620" w:type="dxa"/>
            <w:vAlign w:val="bottom"/>
            <w:tcBorders>
              <w:bottom w:val="single" w:sz="8" w:color="auto"/>
              <w:right w:val="single" w:sz="8" w:color="auto"/>
            </w:tcBorders>
            <w:shd w:val="clear" w:color="auto" w:fill="E5EDFE"/>
          </w:tcPr>
          <w:p>
            <w:pPr>
              <w:spacing w:after="0"/>
              <w:rPr>
                <w:sz w:val="14"/>
                <w:szCs w:val="14"/>
                <w:color w:val="auto"/>
              </w:rPr>
            </w:pPr>
          </w:p>
        </w:tc>
        <w:tc>
          <w:tcPr>
            <w:tcW w:w="80" w:type="dxa"/>
            <w:vAlign w:val="bottom"/>
            <w:tcBorders>
              <w:bottom w:val="single" w:sz="8" w:color="auto"/>
            </w:tcBorders>
            <w:shd w:val="clear" w:color="auto" w:fill="E5EDFE"/>
          </w:tcPr>
          <w:p>
            <w:pPr>
              <w:spacing w:after="0"/>
              <w:rPr>
                <w:sz w:val="14"/>
                <w:szCs w:val="14"/>
                <w:color w:val="auto"/>
              </w:rPr>
            </w:pPr>
          </w:p>
        </w:tc>
        <w:tc>
          <w:tcPr>
            <w:tcW w:w="520" w:type="dxa"/>
            <w:vAlign w:val="bottom"/>
            <w:tcBorders>
              <w:bottom w:val="single" w:sz="8" w:color="auto"/>
              <w:right w:val="single" w:sz="8" w:color="auto"/>
            </w:tcBorders>
            <w:shd w:val="clear" w:color="auto" w:fill="E5EDFE"/>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620" w:right="759" w:hanging="352"/>
        <w:spacing w:after="0" w:line="278" w:lineRule="auto"/>
        <w:tabs>
          <w:tab w:leader="none" w:pos="1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Value Creation equals Operating Cash Flow, plus change in current-year Adjusted EBITDA over prior-year adjusted EBITDA multiplied by 5.</w:t>
      </w:r>
    </w:p>
    <w:p>
      <w:pPr>
        <w:spacing w:after="0" w:line="32" w:lineRule="exact"/>
        <w:rPr>
          <w:rFonts w:ascii="Arial" w:cs="Arial" w:eastAsia="Arial" w:hAnsi="Arial"/>
          <w:sz w:val="14"/>
          <w:szCs w:val="14"/>
          <w:color w:val="auto"/>
        </w:rPr>
      </w:pPr>
    </w:p>
    <w:p>
      <w:pPr>
        <w:jc w:val="both"/>
        <w:ind w:left="1620" w:right="759" w:hanging="352"/>
        <w:spacing w:after="0" w:line="280" w:lineRule="auto"/>
        <w:tabs>
          <w:tab w:leader="none" w:pos="1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award funding percentage is determined by using the Value Creation Actual versus Plan percentage and applying it to the award funding table (shown below). Percentages in between the table values are calculated using straight-line interpolation.</w:t>
      </w:r>
    </w:p>
    <w:p>
      <w:pPr>
        <w:spacing w:after="0" w:line="275" w:lineRule="exact"/>
        <w:rPr>
          <w:sz w:val="20"/>
          <w:szCs w:val="20"/>
          <w:color w:val="auto"/>
        </w:rPr>
      </w:pPr>
    </w:p>
    <w:tbl>
      <w:tblPr>
        <w:tblLayout w:type="fixed"/>
        <w:tblInd w:w="3870" w:type="dxa"/>
        <w:tblCellMar>
          <w:top w:w="0" w:type="dxa"/>
          <w:left w:w="0" w:type="dxa"/>
          <w:bottom w:w="0" w:type="dxa"/>
          <w:right w:w="0" w:type="dxa"/>
        </w:tblCellMar>
      </w:tblPr>
      <w:tr>
        <w:trPr>
          <w:trHeight w:val="230"/>
        </w:trPr>
        <w:tc>
          <w:tcPr>
            <w:tcW w:w="1520" w:type="dxa"/>
            <w:vAlign w:val="bottom"/>
            <w:tcBorders>
              <w:top w:val="single" w:sz="8" w:color="auto"/>
              <w:left w:val="single" w:sz="8" w:color="auto"/>
              <w:bottom w:val="single" w:sz="8" w:color="auto"/>
              <w:right w:val="single" w:sz="8" w:color="auto"/>
            </w:tcBorders>
            <w:gridSpan w:val="2"/>
            <w:shd w:val="clear" w:color="auto" w:fill="B1C9FD"/>
          </w:tcPr>
          <w:p>
            <w:pPr>
              <w:ind w:left="160"/>
              <w:spacing w:after="0"/>
              <w:rPr>
                <w:sz w:val="20"/>
                <w:szCs w:val="20"/>
                <w:color w:val="auto"/>
              </w:rPr>
            </w:pPr>
            <w:r>
              <w:rPr>
                <w:rFonts w:ascii="Arial" w:cs="Arial" w:eastAsia="Arial" w:hAnsi="Arial"/>
                <w:sz w:val="16"/>
                <w:szCs w:val="16"/>
                <w:b w:val="1"/>
                <w:bCs w:val="1"/>
                <w:color w:val="004FF9"/>
              </w:rPr>
              <w:t>Value Creation</w:t>
            </w:r>
          </w:p>
        </w:tc>
        <w:tc>
          <w:tcPr>
            <w:tcW w:w="1500" w:type="dxa"/>
            <w:vAlign w:val="bottom"/>
            <w:tcBorders>
              <w:top w:val="single" w:sz="8" w:color="auto"/>
              <w:bottom w:val="single" w:sz="8" w:color="auto"/>
              <w:right w:val="single" w:sz="8" w:color="auto"/>
            </w:tcBorders>
            <w:shd w:val="clear" w:color="auto" w:fill="B1C9FD"/>
          </w:tcPr>
          <w:p>
            <w:pPr>
              <w:ind w:left="180"/>
              <w:spacing w:after="0"/>
              <w:rPr>
                <w:sz w:val="20"/>
                <w:szCs w:val="20"/>
                <w:color w:val="auto"/>
              </w:rPr>
            </w:pPr>
            <w:r>
              <w:rPr>
                <w:rFonts w:ascii="Arial" w:cs="Arial" w:eastAsia="Arial" w:hAnsi="Arial"/>
                <w:sz w:val="16"/>
                <w:szCs w:val="16"/>
                <w:b w:val="1"/>
                <w:bCs w:val="1"/>
                <w:color w:val="004FF9"/>
              </w:rPr>
              <w:t>Award Funding</w:t>
            </w:r>
          </w:p>
        </w:tc>
      </w:tr>
      <w:tr>
        <w:trPr>
          <w:trHeight w:val="196"/>
        </w:trPr>
        <w:tc>
          <w:tcPr>
            <w:tcW w:w="60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center"/>
              <w:ind w:right="339"/>
              <w:spacing w:after="0"/>
              <w:rPr>
                <w:sz w:val="20"/>
                <w:szCs w:val="20"/>
                <w:color w:val="auto"/>
              </w:rPr>
            </w:pPr>
            <w:r>
              <w:rPr>
                <w:rFonts w:ascii="Arial" w:cs="Arial" w:eastAsia="Arial" w:hAnsi="Arial"/>
                <w:sz w:val="16"/>
                <w:szCs w:val="16"/>
                <w:color w:val="auto"/>
              </w:rPr>
              <w:t>135%</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200.0%</w:t>
            </w:r>
          </w:p>
        </w:tc>
      </w:tr>
      <w:tr>
        <w:trPr>
          <w:trHeight w:val="196"/>
        </w:trPr>
        <w:tc>
          <w:tcPr>
            <w:tcW w:w="600" w:type="dxa"/>
            <w:vAlign w:val="bottom"/>
            <w:tcBorders>
              <w:left w:val="single" w:sz="8" w:color="auto"/>
              <w:bottom w:val="single" w:sz="8" w:color="auto"/>
            </w:tcBorders>
            <w:shd w:val="clear" w:color="auto" w:fill="E5EDFE"/>
          </w:tcPr>
          <w:p>
            <w:pPr>
              <w:ind w:left="4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shd w:val="clear" w:color="auto" w:fill="E5EDFE"/>
          </w:tcPr>
          <w:p>
            <w:pPr>
              <w:jc w:val="center"/>
              <w:ind w:right="339"/>
              <w:spacing w:after="0"/>
              <w:rPr>
                <w:sz w:val="20"/>
                <w:szCs w:val="20"/>
                <w:color w:val="auto"/>
              </w:rPr>
            </w:pPr>
            <w:r>
              <w:rPr>
                <w:rFonts w:ascii="Arial" w:cs="Arial" w:eastAsia="Arial" w:hAnsi="Arial"/>
                <w:sz w:val="16"/>
                <w:szCs w:val="16"/>
                <w:color w:val="auto"/>
              </w:rPr>
              <w:t>125%</w:t>
            </w:r>
          </w:p>
        </w:tc>
        <w:tc>
          <w:tcPr>
            <w:tcW w:w="15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150.0%</w:t>
            </w:r>
          </w:p>
        </w:tc>
      </w:tr>
      <w:tr>
        <w:trPr>
          <w:trHeight w:val="196"/>
        </w:trPr>
        <w:tc>
          <w:tcPr>
            <w:tcW w:w="60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center"/>
              <w:ind w:right="339"/>
              <w:spacing w:after="0"/>
              <w:rPr>
                <w:sz w:val="20"/>
                <w:szCs w:val="20"/>
                <w:color w:val="auto"/>
              </w:rPr>
            </w:pPr>
            <w:r>
              <w:rPr>
                <w:rFonts w:ascii="Arial" w:cs="Arial" w:eastAsia="Arial" w:hAnsi="Arial"/>
                <w:sz w:val="16"/>
                <w:szCs w:val="16"/>
                <w:color w:val="auto"/>
              </w:rPr>
              <w:t>115%</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125.0%</w:t>
            </w:r>
          </w:p>
        </w:tc>
      </w:tr>
      <w:tr>
        <w:trPr>
          <w:trHeight w:val="196"/>
        </w:trPr>
        <w:tc>
          <w:tcPr>
            <w:tcW w:w="600" w:type="dxa"/>
            <w:vAlign w:val="bottom"/>
            <w:tcBorders>
              <w:left w:val="single" w:sz="8" w:color="auto"/>
              <w:bottom w:val="single" w:sz="8" w:color="auto"/>
            </w:tcBorders>
            <w:shd w:val="clear" w:color="auto" w:fill="E5EDFE"/>
          </w:tcPr>
          <w:p>
            <w:pPr>
              <w:ind w:left="4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shd w:val="clear" w:color="auto" w:fill="E5EDFE"/>
          </w:tcPr>
          <w:p>
            <w:pPr>
              <w:jc w:val="center"/>
              <w:ind w:right="339"/>
              <w:spacing w:after="0"/>
              <w:rPr>
                <w:sz w:val="20"/>
                <w:szCs w:val="20"/>
                <w:color w:val="auto"/>
              </w:rPr>
            </w:pPr>
            <w:r>
              <w:rPr>
                <w:rFonts w:ascii="Arial" w:cs="Arial" w:eastAsia="Arial" w:hAnsi="Arial"/>
                <w:sz w:val="16"/>
                <w:szCs w:val="16"/>
                <w:color w:val="auto"/>
              </w:rPr>
              <w:t>100%</w:t>
            </w:r>
          </w:p>
        </w:tc>
        <w:tc>
          <w:tcPr>
            <w:tcW w:w="15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100.0%</w:t>
            </w:r>
          </w:p>
        </w:tc>
      </w:tr>
      <w:tr>
        <w:trPr>
          <w:trHeight w:val="196"/>
        </w:trPr>
        <w:tc>
          <w:tcPr>
            <w:tcW w:w="600" w:type="dxa"/>
            <w:vAlign w:val="bottom"/>
            <w:tcBorders>
              <w:left w:val="single" w:sz="8" w:color="auto"/>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center"/>
              <w:ind w:right="359"/>
              <w:spacing w:after="0"/>
              <w:rPr>
                <w:sz w:val="20"/>
                <w:szCs w:val="20"/>
                <w:color w:val="auto"/>
              </w:rPr>
            </w:pPr>
            <w:r>
              <w:rPr>
                <w:rFonts w:ascii="Arial" w:cs="Arial" w:eastAsia="Arial" w:hAnsi="Arial"/>
                <w:sz w:val="16"/>
                <w:szCs w:val="16"/>
                <w:color w:val="auto"/>
                <w:w w:val="99"/>
              </w:rPr>
              <w:t>90%</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85.0%</w:t>
            </w:r>
          </w:p>
        </w:tc>
      </w:tr>
      <w:tr>
        <w:trPr>
          <w:trHeight w:val="196"/>
        </w:trPr>
        <w:tc>
          <w:tcPr>
            <w:tcW w:w="600" w:type="dxa"/>
            <w:vAlign w:val="bottom"/>
            <w:tcBorders>
              <w:left w:val="single" w:sz="8" w:color="auto"/>
              <w:bottom w:val="single" w:sz="8" w:color="auto"/>
            </w:tcBorders>
            <w:shd w:val="clear" w:color="auto" w:fill="E5EDFE"/>
          </w:tcPr>
          <w:p>
            <w:pPr>
              <w:ind w:left="4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shd w:val="clear" w:color="auto" w:fill="E5EDFE"/>
          </w:tcPr>
          <w:p>
            <w:pPr>
              <w:jc w:val="center"/>
              <w:ind w:right="359"/>
              <w:spacing w:after="0"/>
              <w:rPr>
                <w:sz w:val="20"/>
                <w:szCs w:val="20"/>
                <w:color w:val="auto"/>
              </w:rPr>
            </w:pPr>
            <w:r>
              <w:rPr>
                <w:rFonts w:ascii="Arial" w:cs="Arial" w:eastAsia="Arial" w:hAnsi="Arial"/>
                <w:sz w:val="16"/>
                <w:szCs w:val="16"/>
                <w:color w:val="auto"/>
                <w:w w:val="99"/>
              </w:rPr>
              <w:t>75%</w:t>
            </w:r>
          </w:p>
        </w:tc>
        <w:tc>
          <w:tcPr>
            <w:tcW w:w="15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50.0%</w:t>
            </w:r>
          </w:p>
        </w:tc>
      </w:tr>
    </w:tbl>
    <w:p>
      <w:pPr>
        <w:spacing w:after="0" w:line="191" w:lineRule="exact"/>
        <w:rPr>
          <w:sz w:val="20"/>
          <w:szCs w:val="20"/>
          <w:color w:val="auto"/>
        </w:rPr>
      </w:pPr>
    </w:p>
    <w:p>
      <w:pPr>
        <w:ind w:left="1260" w:right="739"/>
        <w:spacing w:after="0" w:line="260" w:lineRule="auto"/>
        <w:rPr>
          <w:sz w:val="20"/>
          <w:szCs w:val="20"/>
          <w:color w:val="auto"/>
        </w:rPr>
      </w:pPr>
      <w:r>
        <w:rPr>
          <w:rFonts w:ascii="Arial" w:cs="Arial" w:eastAsia="Arial" w:hAnsi="Arial"/>
          <w:sz w:val="16"/>
          <w:szCs w:val="16"/>
          <w:color w:val="auto"/>
        </w:rPr>
        <w:t>The first tranche of performance shares under the 2014 – 2016 Value Creation PSP was achieved at approximately 93% of target since Value Creation was $174.7 million compared to the target of $188.0 million.</w:t>
      </w:r>
    </w:p>
    <w:p>
      <w:pPr>
        <w:spacing w:after="0" w:line="162"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004FF9"/>
        </w:rPr>
        <w:t>2014 TSR PSP</w:t>
      </w:r>
    </w:p>
    <w:p>
      <w:pPr>
        <w:sectPr>
          <w:pgSz w:w="11900" w:h="16838" w:orient="portrait"/>
          <w:cols w:equalWidth="0" w:num="1">
            <w:col w:w="10219"/>
          </w:cols>
          <w:pgMar w:left="240" w:top="132" w:right="1440" w:bottom="1440" w:gutter="0" w:footer="0" w:header="0"/>
        </w:sectPr>
      </w:pPr>
    </w:p>
    <w:p>
      <w:pPr>
        <w:spacing w:after="0" w:line="106"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Committee put a TSR-based performance share program in place in 2014. As noted earlier, these TSR-based equity awards now replace stock option grants for our NEOs and other employees who were eligible to receive stock options. The Committee believes that TSR, which is stock price appreciation plus the reinvestment of dividends over a defined period, is a significant measure of shareholder value creation and a useful supplement to other performance-based incentives. In addition, the Committee believes that the three-year measurement period is appropriate in that it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correlates awards earned with TSR outcomes. In general, higher TSR often equates with greater potential returns for shareholders and can better position the Company for growth in the future.</w:t>
      </w:r>
    </w:p>
    <w:p>
      <w:pPr>
        <w:spacing w:after="0" w:line="95"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The measurement period under the 2014 TSR PSP is a three-year period, commencing on November 1, 2013 and ending on October 31, 2016. Payout under the 2014 – 2016 TSR PSP will be measured by the Company’s three-year TSR percentile rating compared to the S&amp;P 600, as set forth in the following table.</w:t>
      </w:r>
    </w:p>
    <w:p>
      <w:pPr>
        <w:spacing w:after="0" w:line="277"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33"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004FF9"/>
        </w:rPr>
        <w:t>Payout and Performance Table</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184"/>
        </w:trPr>
        <w:tc>
          <w:tcPr>
            <w:tcW w:w="2760" w:type="dxa"/>
            <w:vAlign w:val="bottom"/>
            <w:tcBorders>
              <w:top w:val="single" w:sz="8" w:color="auto"/>
              <w:left w:val="single" w:sz="8" w:color="auto"/>
              <w:right w:val="single" w:sz="8" w:color="auto"/>
            </w:tcBorders>
            <w:shd w:val="clear" w:color="auto" w:fill="B1C9FD"/>
          </w:tcPr>
          <w:p>
            <w:pPr>
              <w:spacing w:after="0"/>
              <w:rPr>
                <w:sz w:val="16"/>
                <w:szCs w:val="16"/>
                <w:color w:val="auto"/>
              </w:rPr>
            </w:pPr>
          </w:p>
        </w:tc>
        <w:tc>
          <w:tcPr>
            <w:tcW w:w="272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Three-Year TSR Percentile</w:t>
            </w:r>
          </w:p>
        </w:tc>
        <w:tc>
          <w:tcPr>
            <w:tcW w:w="274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Shares Awarded</w:t>
            </w:r>
          </w:p>
        </w:tc>
      </w:tr>
      <w:tr>
        <w:trPr>
          <w:trHeight w:val="207"/>
        </w:trPr>
        <w:tc>
          <w:tcPr>
            <w:tcW w:w="2760" w:type="dxa"/>
            <w:vAlign w:val="bottom"/>
            <w:tcBorders>
              <w:left w:val="single" w:sz="8" w:color="auto"/>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Performance Level</w:t>
            </w:r>
          </w:p>
        </w:tc>
        <w:tc>
          <w:tcPr>
            <w:tcW w:w="27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Rating</w:t>
            </w:r>
          </w:p>
        </w:tc>
        <w:tc>
          <w:tcPr>
            <w:tcW w:w="27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6"/>
                <w:szCs w:val="16"/>
                <w:b w:val="1"/>
                <w:bCs w:val="1"/>
                <w:color w:val="004FF9"/>
              </w:rPr>
              <w:t>(as a % of Target)</w:t>
            </w:r>
          </w:p>
        </w:tc>
      </w:tr>
      <w:tr>
        <w:trPr>
          <w:trHeight w:val="210"/>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Maximum</w:t>
            </w:r>
          </w:p>
        </w:tc>
        <w:tc>
          <w:tcPr>
            <w:tcW w:w="2720" w:type="dxa"/>
            <w:vAlign w:val="bottom"/>
            <w:tcBorders>
              <w:bottom w:val="single" w:sz="8" w:color="auto"/>
              <w:right w:val="single" w:sz="8" w:color="auto"/>
            </w:tcBorders>
          </w:tcPr>
          <w:p>
            <w:pPr>
              <w:jc w:val="center"/>
              <w:spacing w:after="0" w:line="210" w:lineRule="exact"/>
              <w:rPr>
                <w:sz w:val="20"/>
                <w:szCs w:val="20"/>
                <w:color w:val="auto"/>
              </w:rPr>
            </w:pPr>
            <w:r>
              <w:rPr>
                <w:rFonts w:ascii="Arial" w:cs="Arial" w:eastAsia="Arial" w:hAnsi="Arial"/>
                <w:sz w:val="16"/>
                <w:szCs w:val="16"/>
                <w:color w:val="auto"/>
                <w:w w:val="99"/>
              </w:rPr>
              <w:t>75</w:t>
            </w:r>
            <w:r>
              <w:rPr>
                <w:rFonts w:ascii="Arial" w:cs="Arial" w:eastAsia="Arial" w:hAnsi="Arial"/>
                <w:sz w:val="24"/>
                <w:szCs w:val="24"/>
                <w:color w:val="auto"/>
                <w:w w:val="99"/>
                <w:vertAlign w:val="superscript"/>
              </w:rPr>
              <w:t>th</w:t>
            </w:r>
            <w:r>
              <w:rPr>
                <w:rFonts w:ascii="Arial" w:cs="Arial" w:eastAsia="Arial" w:hAnsi="Arial"/>
                <w:sz w:val="16"/>
                <w:szCs w:val="16"/>
                <w:color w:val="auto"/>
                <w:w w:val="99"/>
              </w:rPr>
              <w:t xml:space="preserve"> Percentile</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150%</w:t>
            </w:r>
          </w:p>
        </w:tc>
      </w:tr>
      <w:tr>
        <w:trPr>
          <w:trHeight w:val="210"/>
        </w:trPr>
        <w:tc>
          <w:tcPr>
            <w:tcW w:w="2760" w:type="dxa"/>
            <w:vAlign w:val="bottom"/>
            <w:tcBorders>
              <w:left w:val="single" w:sz="8" w:color="auto"/>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w w:val="99"/>
              </w:rPr>
              <w:t>Target</w:t>
            </w:r>
          </w:p>
        </w:tc>
        <w:tc>
          <w:tcPr>
            <w:tcW w:w="2720" w:type="dxa"/>
            <w:vAlign w:val="bottom"/>
            <w:tcBorders>
              <w:bottom w:val="single" w:sz="8" w:color="auto"/>
              <w:right w:val="single" w:sz="8" w:color="auto"/>
            </w:tcBorders>
            <w:shd w:val="clear" w:color="auto" w:fill="E5EDFE"/>
          </w:tcPr>
          <w:p>
            <w:pPr>
              <w:jc w:val="center"/>
              <w:spacing w:after="0" w:line="210" w:lineRule="exact"/>
              <w:rPr>
                <w:sz w:val="20"/>
                <w:szCs w:val="20"/>
                <w:color w:val="auto"/>
              </w:rPr>
            </w:pPr>
            <w:r>
              <w:rPr>
                <w:rFonts w:ascii="Arial" w:cs="Arial" w:eastAsia="Arial" w:hAnsi="Arial"/>
                <w:sz w:val="16"/>
                <w:szCs w:val="16"/>
                <w:color w:val="auto"/>
                <w:w w:val="99"/>
              </w:rPr>
              <w:t>50</w:t>
            </w:r>
            <w:r>
              <w:rPr>
                <w:rFonts w:ascii="Arial" w:cs="Arial" w:eastAsia="Arial" w:hAnsi="Arial"/>
                <w:sz w:val="24"/>
                <w:szCs w:val="24"/>
                <w:color w:val="auto"/>
                <w:w w:val="99"/>
                <w:vertAlign w:val="superscript"/>
              </w:rPr>
              <w:t>th</w:t>
            </w:r>
            <w:r>
              <w:rPr>
                <w:rFonts w:ascii="Arial" w:cs="Arial" w:eastAsia="Arial" w:hAnsi="Arial"/>
                <w:sz w:val="16"/>
                <w:szCs w:val="16"/>
                <w:color w:val="auto"/>
                <w:w w:val="99"/>
              </w:rPr>
              <w:t xml:space="preserve"> Percentile</w:t>
            </w:r>
          </w:p>
        </w:tc>
        <w:tc>
          <w:tcPr>
            <w:tcW w:w="274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w w:val="97"/>
              </w:rPr>
              <w:t>100%</w:t>
            </w:r>
          </w:p>
        </w:tc>
      </w:tr>
      <w:tr>
        <w:trPr>
          <w:trHeight w:val="210"/>
        </w:trPr>
        <w:tc>
          <w:tcPr>
            <w:tcW w:w="2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Threshold</w:t>
            </w:r>
          </w:p>
        </w:tc>
        <w:tc>
          <w:tcPr>
            <w:tcW w:w="2720" w:type="dxa"/>
            <w:vAlign w:val="bottom"/>
            <w:tcBorders>
              <w:bottom w:val="single" w:sz="8" w:color="auto"/>
              <w:right w:val="single" w:sz="8" w:color="auto"/>
            </w:tcBorders>
          </w:tcPr>
          <w:p>
            <w:pPr>
              <w:jc w:val="center"/>
              <w:spacing w:after="0" w:line="210" w:lineRule="exact"/>
              <w:rPr>
                <w:sz w:val="20"/>
                <w:szCs w:val="20"/>
                <w:color w:val="auto"/>
              </w:rPr>
            </w:pPr>
            <w:r>
              <w:rPr>
                <w:rFonts w:ascii="Arial" w:cs="Arial" w:eastAsia="Arial" w:hAnsi="Arial"/>
                <w:sz w:val="16"/>
                <w:szCs w:val="16"/>
                <w:color w:val="auto"/>
                <w:w w:val="99"/>
              </w:rPr>
              <w:t>25</w:t>
            </w:r>
            <w:r>
              <w:rPr>
                <w:rFonts w:ascii="Arial" w:cs="Arial" w:eastAsia="Arial" w:hAnsi="Arial"/>
                <w:sz w:val="24"/>
                <w:szCs w:val="24"/>
                <w:color w:val="auto"/>
                <w:w w:val="99"/>
                <w:vertAlign w:val="superscript"/>
              </w:rPr>
              <w:t>th</w:t>
            </w:r>
            <w:r>
              <w:rPr>
                <w:rFonts w:ascii="Arial" w:cs="Arial" w:eastAsia="Arial" w:hAnsi="Arial"/>
                <w:sz w:val="16"/>
                <w:szCs w:val="16"/>
                <w:color w:val="auto"/>
                <w:w w:val="99"/>
              </w:rPr>
              <w:t xml:space="preserve"> Percentile</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Other Compensation and Governance-Related Matters</w:t>
      </w:r>
    </w:p>
    <w:p>
      <w:pPr>
        <w:spacing w:after="0" w:line="208"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004FF9"/>
        </w:rPr>
        <w:t>CEO Succession, Employment Agreements and Management Retention</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On January 12, 2015, the Company announced that Scott Salmirs would become the Company’s President and Chief Executive Officer, effective March 31, 2015, succeeding Mr. Slipsager. Mr. Salmirs joined the Company in 2003 and currently serves as Executive Vice President, with global responsibility for the Company’s aviation division and all international activities. In an effort to ensure a smooth transition, incentivize the management team during and following the transition, and create long-term alignment with the interests of shareholders, the Compensation Committee approved the arrangements described below, based on its compensation philosophy and processes described above.</w:t>
      </w:r>
    </w:p>
    <w:p>
      <w:pPr>
        <w:spacing w:after="0" w:line="88"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i w:val="1"/>
          <w:iCs w:val="1"/>
          <w:color w:val="auto"/>
        </w:rPr>
        <w:t>Mr. Slipsager’s Transition and Separation Arrangements</w:t>
      </w:r>
      <w:r>
        <w:rPr>
          <w:rFonts w:ascii="Arial" w:cs="Arial" w:eastAsia="Arial" w:hAnsi="Arial"/>
          <w:sz w:val="16"/>
          <w:szCs w:val="16"/>
          <w:color w:val="auto"/>
        </w:rPr>
        <w:t>. Mr. Slipsager will provide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advisory consulting services to the Company through September 30, 2015, subject to extension for an additional period of between three and six months upon the agreement of the parties or subject to earlier termination by either party for any reason (such period of service, the “Transition Period”). He will receive a fee of $20,000 per month during the Transition Period.</w:t>
      </w:r>
    </w:p>
    <w:p>
      <w:pPr>
        <w:spacing w:after="0" w:line="98"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Mr. Slipsager’s separation payments and benefits from the Company in connection with his departure will generally be as set forth in his Amended and Restated Employment Agreement that was entered into on July 16, 2013, and as provided under the terms of our equity compensation awards. Under such arrangements, Mr. Slipsager will be entitled to:</w:t>
      </w:r>
    </w:p>
    <w:p>
      <w:pPr>
        <w:spacing w:after="0" w:line="114" w:lineRule="exact"/>
        <w:rPr>
          <w:sz w:val="20"/>
          <w:szCs w:val="20"/>
          <w:color w:val="auto"/>
        </w:rPr>
      </w:pPr>
    </w:p>
    <w:p>
      <w:pPr>
        <w:jc w:val="both"/>
        <w:ind w:left="1620" w:right="20" w:hanging="352"/>
        <w:spacing w:after="0" w:line="249" w:lineRule="auto"/>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receive an amount equal to two times the sum of his current base salary and current target annual incentive opportunity under the Company’s annual incentive program, payable in substantially equal installments over 24 months commencing April 2015;</w:t>
      </w:r>
    </w:p>
    <w:p>
      <w:pPr>
        <w:spacing w:after="0" w:line="124" w:lineRule="exact"/>
        <w:rPr>
          <w:rFonts w:ascii="Arial" w:cs="Arial" w:eastAsia="Arial" w:hAnsi="Arial"/>
          <w:sz w:val="16"/>
          <w:szCs w:val="16"/>
          <w:color w:val="auto"/>
        </w:rPr>
      </w:pPr>
    </w:p>
    <w:p>
      <w:pPr>
        <w:jc w:val="both"/>
        <w:ind w:left="1620" w:right="20" w:hanging="352"/>
        <w:spacing w:after="0" w:line="253" w:lineRule="auto"/>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receive a prorated annual cash incentive bonus for the fiscal year ended October 31, 2015, based on employment through March 31, 2015;</w:t>
      </w:r>
    </w:p>
    <w:p>
      <w:pPr>
        <w:spacing w:after="0" w:line="106" w:lineRule="exact"/>
        <w:rPr>
          <w:rFonts w:ascii="Arial" w:cs="Arial" w:eastAsia="Arial" w:hAnsi="Arial"/>
          <w:sz w:val="16"/>
          <w:szCs w:val="16"/>
          <w:color w:val="auto"/>
        </w:rPr>
      </w:pPr>
    </w:p>
    <w:p>
      <w:pPr>
        <w:jc w:val="both"/>
        <w:ind w:left="1620" w:right="20" w:hanging="352"/>
        <w:spacing w:after="0" w:line="251" w:lineRule="auto"/>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receive certain post-termination benefits and payments vested under the Company’s benefit plans, including certain post-employment health insurance assistance payments;</w:t>
      </w:r>
    </w:p>
    <w:p>
      <w:pPr>
        <w:spacing w:after="0" w:line="108" w:lineRule="exact"/>
        <w:rPr>
          <w:rFonts w:ascii="Arial" w:cs="Arial" w:eastAsia="Arial" w:hAnsi="Arial"/>
          <w:sz w:val="16"/>
          <w:szCs w:val="16"/>
          <w:color w:val="auto"/>
        </w:rPr>
      </w:pPr>
    </w:p>
    <w:p>
      <w:pPr>
        <w:jc w:val="both"/>
        <w:ind w:left="1620" w:right="20" w:hanging="352"/>
        <w:spacing w:after="0" w:line="250" w:lineRule="auto"/>
        <w:tabs>
          <w:tab w:leader="none" w:pos="1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vest and receive payment for his 2012 performance share awards if he continues his employment with the Company through March 8, 2015, subject to the achievement of the applicable performance conditions; and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369" w:right="759" w:hanging="369"/>
        <w:spacing w:after="0" w:line="250" w:lineRule="auto"/>
        <w:tabs>
          <w:tab w:leader="none" w:pos="3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vest and receive payment for his 2014 performance share awards on a pro rata basis through his last day of employment with the Company, subject to the achievement of the applicable performance conditions.</w:t>
      </w:r>
    </w:p>
    <w:p>
      <w:pPr>
        <w:spacing w:after="0" w:line="79" w:lineRule="exact"/>
        <w:rPr>
          <w:sz w:val="20"/>
          <w:szCs w:val="20"/>
          <w:color w:val="auto"/>
        </w:rPr>
      </w:pPr>
    </w:p>
    <w:p>
      <w:pPr>
        <w:jc w:val="both"/>
        <w:ind w:left="9" w:right="739"/>
        <w:spacing w:after="0" w:line="247" w:lineRule="auto"/>
        <w:rPr>
          <w:sz w:val="20"/>
          <w:szCs w:val="20"/>
          <w:color w:val="auto"/>
        </w:rPr>
      </w:pPr>
      <w:r>
        <w:rPr>
          <w:rFonts w:ascii="Arial" w:cs="Arial" w:eastAsia="Arial" w:hAnsi="Arial"/>
          <w:sz w:val="16"/>
          <w:szCs w:val="16"/>
          <w:i w:val="1"/>
          <w:iCs w:val="1"/>
          <w:color w:val="auto"/>
        </w:rPr>
        <w:t>New CEO Agreements</w:t>
      </w:r>
      <w:r>
        <w:rPr>
          <w:rFonts w:ascii="Arial" w:cs="Arial" w:eastAsia="Arial" w:hAnsi="Arial"/>
          <w:sz w:val="16"/>
          <w:szCs w:val="16"/>
          <w:color w:val="auto"/>
        </w:rPr>
        <w:t>. In connection with his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as the Company’s President and Chief Executive Officer, on January 12, 2015, the Company and Mr. Salmirs entered into an executive employment agreement. The executive employment agreement, effective as of March 31, 2015, has a term ending October 31, 2017, unless sooner terminated under the terms of the executive employment agreement. Mr. Salmirs’ initial base salary under the executive employment agreement will be $760,000. In addition, under the terms of the executive employment agreement, Mr. Salmirs is eligible for a target bonus equal to 100% of his base salary, with a maximum of up to 185% of his base salary, subject in all cases to achievement of the applicable performance conditions, and is eligible to participate in the Company’s long-term equity incentive plans. Mr. Salmirs will also be entitled to receive certain post-termination benefits and payments under the Company’s benefit plans, including specified post-employment health insurance assistance payments. The terms of the executive employment agreement provide that upon the termination of Mr. Salmirs’ employment for any reason, he will refrain from competing with, or soliciting the employees or customers of, the Company for one year following the termination of employment.</w:t>
      </w:r>
    </w:p>
    <w:p>
      <w:pPr>
        <w:spacing w:after="0" w:line="116" w:lineRule="exact"/>
        <w:rPr>
          <w:sz w:val="20"/>
          <w:szCs w:val="20"/>
          <w:color w:val="auto"/>
        </w:rPr>
      </w:pPr>
    </w:p>
    <w:p>
      <w:pPr>
        <w:jc w:val="both"/>
        <w:ind w:left="9" w:right="739"/>
        <w:spacing w:after="0" w:line="247" w:lineRule="auto"/>
        <w:rPr>
          <w:sz w:val="20"/>
          <w:szCs w:val="20"/>
          <w:color w:val="auto"/>
        </w:rPr>
      </w:pPr>
      <w:r>
        <w:rPr>
          <w:rFonts w:ascii="Arial" w:cs="Arial" w:eastAsia="Arial" w:hAnsi="Arial"/>
          <w:sz w:val="16"/>
          <w:szCs w:val="16"/>
          <w:color w:val="auto"/>
        </w:rPr>
        <w:t>If Mr. Salmirs’ employment during the term is terminated by the Company without “Just Cause,” as defined in the executive employment agreement, Mr. Salmirs will be entitled to receive two times the sum of his base salary and target bonus, payable in equal installments during the 24-month period following the date of termination, a lump sum payment equal to a prorated portion of his annual bonus for the year of termination, based on the performance of the Company for that year, and specified post-employment health insurance assistance payments. If Mr. Salmirs’ employment terminates at the expiration of the term and the Company has not offered to renew upon materially similar terms and conditions, Mr. Salmirs will be entitled to receive one times the sum of his base salary and target bonus, subject to certain conditions, a lump sum payment equal to a prorated portion of his annual bonus for the year of</w:t>
      </w:r>
    </w:p>
    <w:p>
      <w:pPr>
        <w:spacing w:after="0" w:line="369" w:lineRule="exact"/>
        <w:rPr>
          <w:sz w:val="20"/>
          <w:szCs w:val="20"/>
          <w:color w:val="auto"/>
        </w:rPr>
      </w:pPr>
    </w:p>
    <w:p>
      <w:pPr>
        <w:sectPr>
          <w:pgSz w:w="11900" w:h="16838" w:orient="portrait"/>
          <w:cols w:equalWidth="0" w:num="2">
            <w:col w:w="5080" w:space="591"/>
            <w:col w:w="4548"/>
          </w:cols>
          <w:pgMar w:left="240" w:top="132" w:right="1440" w:bottom="1440" w:gutter="0" w:footer="0" w:header="0"/>
          <w:type w:val="continuous"/>
        </w:sectPr>
      </w:pPr>
    </w:p>
    <w:p>
      <w:pPr>
        <w:spacing w:after="0" w:line="15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right="20"/>
        <w:spacing w:after="0" w:line="253" w:lineRule="auto"/>
        <w:rPr>
          <w:sz w:val="20"/>
          <w:szCs w:val="20"/>
          <w:color w:val="auto"/>
        </w:rPr>
      </w:pPr>
      <w:r>
        <w:rPr>
          <w:rFonts w:ascii="Arial" w:cs="Arial" w:eastAsia="Arial" w:hAnsi="Arial"/>
          <w:sz w:val="16"/>
          <w:szCs w:val="16"/>
          <w:color w:val="auto"/>
        </w:rPr>
        <w:t>termination, based on the performance of the Company for that year, and specified post-employment health insurance assistance payments.</w:t>
      </w: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On January 12, 2015, the Company also entered into an agreement providing “double-trigger” severance benefits in the event that Mr. Salmirs’ employment terminates under certain defined circumstances following a “Change-in-Control,” as defined in the severance agreement. These double-trigger severance arrangements are similar to those described for our NEOs below under “Potential Payments upon Qualifying Terminations of Employment Following a Change-in-Control on October 31, 2014,” except that his severance multiple is 2.5 times salary and target bonus. There is no tax gross-up under this agreement.</w:t>
      </w:r>
    </w:p>
    <w:p>
      <w:pPr>
        <w:spacing w:after="0" w:line="104"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On January 13, 2015, the Company entered into amended and restated executive employment agreements with each of James P. McClure, Executive Vice President, and Tracy K. Price, Executive Vice President. The amended employment agreements amend, extend and restate the prior employment agreements of Mr. McClure and Mr. Price that were entered into in October 2014 to extend the term of the agreements through October 31, 2017, eliminate the automatic annual renewal of a one-year term for the amended employment agreements.</w:t>
      </w:r>
    </w:p>
    <w:p>
      <w:pPr>
        <w:spacing w:after="0" w:line="105"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In addition, under the amended and restated employment agreements with each of Messrs. McClure and Price, unless there is a mutual agreement to extend the term, the executive’s employment shall terminate at the expiration of the term. In such event, the Company shall pay the executive all compensation to which executive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entitled up through the date of termination and a prorated portion of executive’s bonus for the fraction of the fiscal year that has been completed prior to the date of termination based on ABM’s actual performance for the entire fiscal year. Further, in the event that the executive’s employment terminates at the end of the term, and ABM had not offered to renew executive’s employment upon materially similar terms and conditions, the Company will pay the executive an amount equal to one times the sum of his base salary and target bonus over the twelve-month period following his termination of employment. These payments will cease in the event that the executive finds full time employment which does not violate certain restrictive covenants in the employment agreement or the Company notifies the executive that it is waiving its rights with respect to applicable restrictions on competition in the employment agreement.</w:t>
      </w:r>
    </w:p>
    <w:p>
      <w:pPr>
        <w:spacing w:after="0" w:line="10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In addition, in January 2015, in recognition of the importance of incentivizing our operational management team during a time of leadership transition, the Compensation Committee of the Company approved one-time retention awards consisting of performance share units for Mr. McClure and Mr. Price. Each award was granted for 61,855 shares on January 15, 2015. The performance share units granted to Messrs. McClure and Price will vest in one installment on October 31, 2017 and do not contain accelerated vesting in the event of retirement or involuntary termination prior to the vesting date. The Company must achieve income from continuing operations before taxes of at least $100 million, as set forth in the Company’s annual report on Form 10-K for any one of the fiscal years 2015, 2016 or 2017 for the performance share units to vest.</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32"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004FF9"/>
        </w:rPr>
        <w:t>Annual Compensation-Related Risk Evaluation</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We annually review risks associated with our executive compensation program, as well as other broad-based employee incentive plans with respect to enterprise risk factors, with the assistance of management’s compensation consultant, Towers Watson. The Compensation Committee and its independent compensation consultant, Semler Brossy, review this analysis. In connection with this review, the Committee noted the various ways in which risk is managed or mitigated. Practices and policies mitigating risks included the balance of</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corporate, business unit and department and individual weightings in incentive compensation plans, the mix between long-term and short-term incentives, use of stock ownership requirements, Company policy prohibiting hedging, and the Company’s recoupment or “clawback” policy. Based on this review, the Compensation Committee agreed with the findings in the study that the Company’s compensation policies and practices do not create risks that are reasonably likely to have a material adverse effect on the Company.</w:t>
      </w:r>
    </w:p>
    <w:p>
      <w:pPr>
        <w:spacing w:after="0" w:line="200"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5"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004FF9"/>
        </w:rPr>
        <w:t>Stock Ownership Requirements</w:t>
      </w:r>
    </w:p>
    <w:p>
      <w:pPr>
        <w:sectPr>
          <w:pgSz w:w="11900" w:h="16838" w:orient="portrait"/>
          <w:cols w:equalWidth="0" w:num="1">
            <w:col w:w="10219"/>
          </w:cols>
          <w:pgMar w:left="240" w:top="131" w:right="1440" w:bottom="1440" w:gutter="0" w:footer="0" w:header="0"/>
          <w:type w:val="continuous"/>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The Company has stock ownership requirements for certain officers, including NEOs. Executives are expected to achieve their targets within five years of becoming subject to the stock ownership policy.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Stock ownership requirements are based on a multiple of base salary. Individuals who have not met their stock ownership level at the end of the applicable five-year period are required to retain 50%</w:t>
      </w:r>
    </w:p>
    <w:p>
      <w:pPr>
        <w:spacing w:after="0" w:line="203" w:lineRule="exact"/>
        <w:rPr>
          <w:sz w:val="20"/>
          <w:szCs w:val="20"/>
          <w:color w:val="auto"/>
        </w:rPr>
      </w:pPr>
    </w:p>
    <w:p>
      <w:pPr>
        <w:sectPr>
          <w:pgSz w:w="11900" w:h="16838" w:orient="portrait"/>
          <w:cols w:equalWidth="0" w:num="2">
            <w:col w:w="5080" w:space="600"/>
            <w:col w:w="4539"/>
          </w:cols>
          <w:pgMar w:left="240" w:top="131"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of net shares paid under any Company long-term incentive plan or program, such as shares paid out under the performance share program and vested restricted stock units, until their ownership requirements are satisfied. The Committee periodically reviews the stock ownership requirements and makes adjustments to these requirements to the extent that it believes such adjustments are appropriate. The Committee periodically assesses the requirements and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officers’ ownership relative to these requirements. Progress toward targeted ownership levels may be taken into consideration in future grants to executives. Unvested RSUs are taken into consideration when determining if ownership requirements have been achieved; unearned performance shares are not included nor are stock options, whether vested or unvested. Current stock ownership requirements are described below:</w:t>
      </w:r>
    </w:p>
    <w:p>
      <w:pPr>
        <w:spacing w:after="0" w:line="39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38" w:lineRule="exact"/>
        <w:rPr>
          <w:sz w:val="20"/>
          <w:szCs w:val="20"/>
          <w:color w:val="auto"/>
        </w:rPr>
      </w:pPr>
    </w:p>
    <w:tbl>
      <w:tblPr>
        <w:tblLayout w:type="fixed"/>
        <w:tblInd w:w="1270" w:type="dxa"/>
        <w:tblCellMar>
          <w:top w:w="0" w:type="dxa"/>
          <w:left w:w="0" w:type="dxa"/>
          <w:bottom w:w="0" w:type="dxa"/>
          <w:right w:w="0" w:type="dxa"/>
        </w:tblCellMar>
      </w:tblPr>
      <w:tr>
        <w:trPr>
          <w:trHeight w:val="358"/>
        </w:trPr>
        <w:tc>
          <w:tcPr>
            <w:tcW w:w="4120" w:type="dxa"/>
            <w:vAlign w:val="bottom"/>
            <w:tcBorders>
              <w:top w:val="single" w:sz="8" w:color="auto"/>
              <w:left w:val="single" w:sz="8" w:color="auto"/>
              <w:bottom w:val="single" w:sz="8" w:color="auto"/>
              <w:right w:val="single" w:sz="8" w:color="auto"/>
            </w:tcBorders>
            <w:shd w:val="clear" w:color="auto" w:fill="B1C9FD"/>
          </w:tcPr>
          <w:p>
            <w:pPr>
              <w:ind w:left="1720"/>
              <w:spacing w:after="0"/>
              <w:rPr>
                <w:sz w:val="20"/>
                <w:szCs w:val="20"/>
                <w:color w:val="auto"/>
              </w:rPr>
            </w:pPr>
            <w:r>
              <w:rPr>
                <w:rFonts w:ascii="Arial" w:cs="Arial" w:eastAsia="Arial" w:hAnsi="Arial"/>
                <w:sz w:val="16"/>
                <w:szCs w:val="16"/>
                <w:b w:val="1"/>
                <w:bCs w:val="1"/>
                <w:color w:val="004FF9"/>
              </w:rPr>
              <w:t>Position</w:t>
            </w:r>
          </w:p>
        </w:tc>
        <w:tc>
          <w:tcPr>
            <w:tcW w:w="4100" w:type="dxa"/>
            <w:vAlign w:val="bottom"/>
            <w:tcBorders>
              <w:top w:val="single" w:sz="8" w:color="auto"/>
              <w:bottom w:val="single" w:sz="8" w:color="auto"/>
              <w:right w:val="single" w:sz="8" w:color="auto"/>
            </w:tcBorders>
            <w:shd w:val="clear" w:color="auto" w:fill="B1C9FD"/>
          </w:tcPr>
          <w:p>
            <w:pPr>
              <w:ind w:left="1520"/>
              <w:spacing w:after="0"/>
              <w:rPr>
                <w:sz w:val="20"/>
                <w:szCs w:val="20"/>
                <w:color w:val="auto"/>
              </w:rPr>
            </w:pPr>
            <w:r>
              <w:rPr>
                <w:rFonts w:ascii="Arial" w:cs="Arial" w:eastAsia="Arial" w:hAnsi="Arial"/>
                <w:sz w:val="16"/>
                <w:szCs w:val="16"/>
                <w:b w:val="1"/>
                <w:bCs w:val="1"/>
                <w:color w:val="004FF9"/>
              </w:rPr>
              <w:t>Requirements</w:t>
            </w:r>
          </w:p>
        </w:tc>
      </w:tr>
      <w:tr>
        <w:trPr>
          <w:trHeight w:val="191"/>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CEO</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Shares with a fair market value equal to six times base</w:t>
            </w:r>
          </w:p>
        </w:tc>
      </w:tr>
      <w:tr>
        <w:trPr>
          <w:trHeight w:val="208"/>
        </w:trPr>
        <w:tc>
          <w:tcPr>
            <w:tcW w:w="4120" w:type="dxa"/>
            <w:vAlign w:val="bottom"/>
            <w:tcBorders>
              <w:left w:val="single" w:sz="8" w:color="auto"/>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salary</w:t>
            </w:r>
          </w:p>
        </w:tc>
      </w:tr>
      <w:tr>
        <w:trPr>
          <w:trHeight w:val="191"/>
        </w:trPr>
        <w:tc>
          <w:tcPr>
            <w:tcW w:w="412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Executive Vice Presidents</w:t>
            </w:r>
          </w:p>
        </w:tc>
        <w:tc>
          <w:tcPr>
            <w:tcW w:w="4100" w:type="dxa"/>
            <w:vAlign w:val="bottom"/>
            <w:tcBorders>
              <w:right w:val="single" w:sz="8" w:color="auto"/>
            </w:tcBorders>
            <w:shd w:val="clear" w:color="auto" w:fill="E5EDFE"/>
          </w:tcPr>
          <w:p>
            <w:pPr>
              <w:ind w:left="80"/>
              <w:spacing w:after="0"/>
              <w:rPr>
                <w:sz w:val="20"/>
                <w:szCs w:val="20"/>
                <w:color w:val="auto"/>
              </w:rPr>
            </w:pPr>
            <w:r>
              <w:rPr>
                <w:rFonts w:ascii="Arial" w:cs="Arial" w:eastAsia="Arial" w:hAnsi="Arial"/>
                <w:sz w:val="16"/>
                <w:szCs w:val="16"/>
                <w:color w:val="auto"/>
              </w:rPr>
              <w:t>Shares with a fair market value equal to three times</w:t>
            </w:r>
          </w:p>
        </w:tc>
      </w:tr>
      <w:tr>
        <w:trPr>
          <w:trHeight w:val="208"/>
        </w:trPr>
        <w:tc>
          <w:tcPr>
            <w:tcW w:w="4120" w:type="dxa"/>
            <w:vAlign w:val="bottom"/>
            <w:tcBorders>
              <w:left w:val="single" w:sz="8" w:color="auto"/>
              <w:bottom w:val="single" w:sz="8" w:color="auto"/>
              <w:right w:val="single" w:sz="8" w:color="auto"/>
            </w:tcBorders>
            <w:shd w:val="clear" w:color="auto" w:fill="E5EDFE"/>
          </w:tcPr>
          <w:p>
            <w:pPr>
              <w:spacing w:after="0"/>
              <w:rPr>
                <w:sz w:val="18"/>
                <w:szCs w:val="18"/>
                <w:color w:val="auto"/>
              </w:rPr>
            </w:pPr>
          </w:p>
        </w:tc>
        <w:tc>
          <w:tcPr>
            <w:tcW w:w="4100" w:type="dxa"/>
            <w:vAlign w:val="bottom"/>
            <w:tcBorders>
              <w:bottom w:val="single" w:sz="8" w:color="auto"/>
              <w:right w:val="single" w:sz="8" w:color="auto"/>
            </w:tcBorders>
            <w:shd w:val="clear" w:color="auto" w:fill="E5EDFE"/>
          </w:tcPr>
          <w:p>
            <w:pPr>
              <w:ind w:left="80"/>
              <w:spacing w:after="0"/>
              <w:rPr>
                <w:sz w:val="20"/>
                <w:szCs w:val="20"/>
                <w:color w:val="auto"/>
              </w:rPr>
            </w:pPr>
            <w:r>
              <w:rPr>
                <w:rFonts w:ascii="Arial" w:cs="Arial" w:eastAsia="Arial" w:hAnsi="Arial"/>
                <w:sz w:val="16"/>
                <w:szCs w:val="16"/>
                <w:color w:val="auto"/>
              </w:rPr>
              <w:t>base salary</w:t>
            </w:r>
          </w:p>
        </w:tc>
      </w:tr>
      <w:tr>
        <w:trPr>
          <w:trHeight w:val="191"/>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Senior Vice Presidents and certain subsidiary senior</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Shares with a fair market value equal to base salary</w:t>
            </w:r>
          </w:p>
        </w:tc>
      </w:tr>
      <w:tr>
        <w:trPr>
          <w:trHeight w:val="208"/>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officers</w:t>
            </w:r>
          </w:p>
        </w:tc>
        <w:tc>
          <w:tcPr>
            <w:tcW w:w="4100" w:type="dxa"/>
            <w:vAlign w:val="bottom"/>
            <w:tcBorders>
              <w:bottom w:val="single" w:sz="8" w:color="auto"/>
              <w:right w:val="single" w:sz="8" w:color="auto"/>
            </w:tcBorders>
          </w:tcPr>
          <w:p>
            <w:pPr>
              <w:spacing w:after="0"/>
              <w:rPr>
                <w:sz w:val="18"/>
                <w:szCs w:val="18"/>
                <w:color w:val="auto"/>
              </w:rPr>
            </w:pPr>
          </w:p>
        </w:tc>
      </w:tr>
    </w:tbl>
    <w:p>
      <w:pPr>
        <w:spacing w:after="0" w:line="69"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ind w:left="1260"/>
        <w:spacing w:after="0" w:line="260" w:lineRule="auto"/>
        <w:rPr>
          <w:sz w:val="20"/>
          <w:szCs w:val="20"/>
          <w:color w:val="auto"/>
        </w:rPr>
      </w:pPr>
      <w:r>
        <w:rPr>
          <w:rFonts w:ascii="Arial" w:cs="Arial" w:eastAsia="Arial" w:hAnsi="Arial"/>
          <w:sz w:val="16"/>
          <w:szCs w:val="16"/>
          <w:color w:val="auto"/>
        </w:rPr>
        <w:t>All of our NEOs are either at or above stock ownership requirements or are well positioned</w:t>
      </w:r>
    </w:p>
    <w:p>
      <w:pPr>
        <w:spacing w:after="0" w:line="20" w:lineRule="exact"/>
        <w:rPr>
          <w:sz w:val="20"/>
          <w:szCs w:val="20"/>
          <w:color w:val="auto"/>
        </w:rPr>
      </w:pPr>
      <w:r>
        <w:rPr>
          <w:sz w:val="20"/>
          <w:szCs w:val="20"/>
          <w:color w:val="auto"/>
        </w:rPr>
        <w:br w:type="column"/>
      </w:r>
    </w:p>
    <w:p>
      <w:pPr>
        <w:ind w:right="759"/>
        <w:spacing w:after="0" w:line="260" w:lineRule="auto"/>
        <w:rPr>
          <w:sz w:val="20"/>
          <w:szCs w:val="20"/>
          <w:color w:val="auto"/>
        </w:rPr>
      </w:pPr>
      <w:r>
        <w:rPr>
          <w:rFonts w:ascii="Arial" w:cs="Arial" w:eastAsia="Arial" w:hAnsi="Arial"/>
          <w:sz w:val="16"/>
          <w:szCs w:val="16"/>
          <w:color w:val="auto"/>
        </w:rPr>
        <w:t>to achieve compliance within the required time period.</w:t>
      </w:r>
    </w:p>
    <w:p>
      <w:pPr>
        <w:spacing w:after="0" w:line="200" w:lineRule="exact"/>
        <w:rPr>
          <w:sz w:val="20"/>
          <w:szCs w:val="20"/>
          <w:color w:val="auto"/>
        </w:rPr>
      </w:pPr>
    </w:p>
    <w:p>
      <w:pPr>
        <w:sectPr>
          <w:pgSz w:w="11900" w:h="16838" w:orient="portrait"/>
          <w:cols w:equalWidth="0" w:num="2">
            <w:col w:w="5060" w:space="620"/>
            <w:col w:w="4539"/>
          </w:cols>
          <w:pgMar w:left="240" w:top="132" w:right="1440" w:bottom="1440" w:gutter="0" w:footer="0" w:header="0"/>
          <w:type w:val="continuous"/>
        </w:sectPr>
      </w:pPr>
    </w:p>
    <w:p>
      <w:pPr>
        <w:spacing w:after="0" w:line="16"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004FF9"/>
        </w:rPr>
        <w:t>Window Trading and Rule 10b5-1 Trading Plans</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Under the Company’s insider trading policy, officers may only purchase or sell ABM securities during “window” periods, which begin on the third business day following the date of each quarterly earnings announcement and end at the close of trading on the fifteenth day of the third month of the fiscal quarter. The only exception to this is for officers who have entered into a trading plan pursuant to SEC Rule 10b5-1.</w:t>
      </w:r>
    </w:p>
    <w:p>
      <w:pPr>
        <w:spacing w:after="0" w:line="99"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NEOs are permitted to establish trading plans under Section 10b5-1 of the Securities Exchange Act during open trading windows. These plans enable an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executive to diversify his or her holdings of Company stock during periods in which the executive would otherwise be unable to buy or sell such stock because he or she possessed material, nonpublic information about the Company. Any trading plan must be submitted in writing to the Company’s General Counsel for review and approval prior to its effective date.</w:t>
      </w:r>
    </w:p>
    <w:p>
      <w:pPr>
        <w:spacing w:after="0" w:line="107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2"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004FF9"/>
        </w:rPr>
        <w:t>Compensation Recoupment Policy</w:t>
      </w:r>
    </w:p>
    <w:p>
      <w:pPr>
        <w:sectPr>
          <w:pgSz w:w="11900" w:h="16838" w:orient="portrait"/>
          <w:cols w:equalWidth="0" w:num="1">
            <w:col w:w="10219"/>
          </w:cols>
          <w:pgMar w:left="240" w:top="132" w:right="1440" w:bottom="1440" w:gutter="0" w:footer="0" w:header="0"/>
          <w:type w:val="continuous"/>
        </w:sectPr>
      </w:pPr>
    </w:p>
    <w:p>
      <w:pPr>
        <w:spacing w:after="0" w:line="106"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In December 2009, the Board of Directors adopted a policy relating to the recoupment of cash and equity compensation. The policy provides that, if the Company’s financial statements are the subject of a restatement due to misconduct, fraud or malfeasance, then, to the extent permitted by applicable law, the independent members of the Board, or a committee consisting of independent members of the Board designated by the Board, may, in their discretion, recover cash compensation paid to an executive officer of the Company or rescind or make other adjustments to an equity award made to an executive officer of the Company, including recovering cash proceeds relating to the sale or other disposition of an equity award, to the extent that the payment or award was predicated upon the achievement of certain financial results that were subsequently the subject of a restatement.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Where applicable, the Company may seek to recover any amount determined to have been inappropriately received by the individual executive officer. In addition, it is the Board of Directors’ policy that if the independent members of the Board, or a committee consisting of independent members of the Board, determine that an employee who has received a cash incentive payment or an equity award has engaged in conduct constituting “cause” (such as serious misconduct, dishonesty, disloyalty, conviction of a felony or misdemeanor involving moral turpitude, or failure to substantially perform employment-related duties or responsibilities), the Board or such Committee may take such action it deems necessary to address such conduct, including recovery of cash incentive payments, rescission of equity grants made to the employee in the 36-month period prior to the date on which the Board or such</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10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Committee makes such determination and recovery</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of proceeds relating to the sale or other disposition</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of an equity award during such 36-month period.</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004FF9"/>
        </w:rPr>
        <w:t>Benefits and Perquisites</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NEOs are eligible for customary employee benefits, which include participation in ABM’s 401(k) Plan, as well as group life, health and accidental death and disability insurance programs and executive health examinations. In addition, Mr. Price receives certain perquisites that have carried over from his employment with The Linc Group, LLC, prior to its acquisition by the Company. These perquisites are set forth in the Summary Compensation Table.</w:t>
      </w:r>
    </w:p>
    <w:p>
      <w:pPr>
        <w:spacing w:after="0" w:line="85"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Mr. Slipsager and Mr. McClure qualify for benefits under the Supplemental Executive Retirement Plan (SERP), an unfunded retirement plan that was closed to new participants prior to the employment of Messrs. Lusk and Price and Ms. McConnell. Messrs. Slipsager and McClure also participate in the Service Award Benefit Plan (SAB), which provides participants, upon termination of employment, with a minimum of seven days of pay for each year of</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employment between November 1989 and January 2002. The SAB was closed to new participants prior to the employment of Messrs. Lusk and Price and Ms. McConnell.</w:t>
      </w:r>
    </w:p>
    <w:p>
      <w:pPr>
        <w:spacing w:after="0" w:line="95"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The NEOs are eligible to participate in ABM’s Employee Deferred Compensation Plan, which is an unfunded deferred compensation plan available to highly compensated employees. The Employee Deferred Compensation Plan benefits are shown in the “Nonqualified Deferred Compensation in Fiscal Year 2014” table, followed by a description of the plan. The Committee regularly reviews the benefits provided under this and other plans, and as a result of such a review, in January 2011, the Company entered into a trust agreement that will fund amounts due under the Employee Deferred Compensation Plan in the event of a change-in-control of ABM.</w:t>
      </w:r>
    </w:p>
    <w:p>
      <w:pPr>
        <w:spacing w:after="0" w:line="381"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004FF9"/>
        </w:rPr>
        <w:t>Change-in-Control Agreements</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In order to assure continuity of ABM’s senior management in the event of a potential change-in-control, ABM has agreed to provide the NEOs with “double-trigger” severance compensation should their employment with ABM be terminated following a change-in-control. The payment of severance compensation is predicated upon the occurrence of two triggering events: (1) the occurrence of a change-in-control and (2) either the involuntary termination of employment with ABM (other than for “cause” as defined in the change-in-control agreements) or the termination of</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employment with ABM by the executive for “good reason” as defined in the change-in-control agreements.</w:t>
      </w:r>
    </w:p>
    <w:p>
      <w:pPr>
        <w:spacing w:after="0" w:line="93" w:lineRule="exact"/>
        <w:rPr>
          <w:sz w:val="20"/>
          <w:szCs w:val="20"/>
          <w:color w:val="auto"/>
        </w:rPr>
      </w:pPr>
    </w:p>
    <w:p>
      <w:pPr>
        <w:jc w:val="both"/>
        <w:ind w:right="759"/>
        <w:spacing w:after="0" w:line="260" w:lineRule="auto"/>
        <w:rPr>
          <w:sz w:val="20"/>
          <w:szCs w:val="20"/>
          <w:color w:val="auto"/>
        </w:rPr>
      </w:pPr>
      <w:r>
        <w:rPr>
          <w:rFonts w:ascii="Arial" w:cs="Arial" w:eastAsia="Arial" w:hAnsi="Arial"/>
          <w:sz w:val="16"/>
          <w:szCs w:val="16"/>
          <w:color w:val="auto"/>
        </w:rPr>
        <w:t>In addition, our NEOs may be eligible for severance benefits outside of a change-in-control.</w:t>
      </w:r>
    </w:p>
    <w:p>
      <w:pPr>
        <w:spacing w:after="0" w:line="88"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The potential benefits to executives under these severance and change-in-control arrangements are described and quantified under “Potential Benefits on Termination.”</w:t>
      </w:r>
    </w:p>
    <w:p>
      <w:pPr>
        <w:spacing w:after="0" w:line="541"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33"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004FF9"/>
        </w:rPr>
        <w:t>Accounting and Tax Considerations</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Compensation Committee takes into consideration the accounting, tax and related financial implications to the Company and executives when designing compensation and benefit programs. From an accounting perspective, in general, base salary, annual cash incentive bonus payments and the costs related to benefits and perquisites are recognized as compensation expense at the time they are earned or provided, and equity-based compensation expense is recognized over the vesting period of the grant. Subject to the exceptions and limits described below, the Company deducts for federal income tax purposes payments of compensation and other benefits to executives. The Company does not deduct nonqualified deferred compensation until the year that the deferred compensation is paid to the executive.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Section 162(m) of the Internal Revenue Code generally does not allow a tax deduction to public companies for compensation over $1 million paid to the CEO or any of the three other most highly compensated executive officers (other than the chief financial officer), unless the compensation is paid based solely on the attainment of one or more preestablished objective performance goals and certain other requirements are met. While generally the Company intends to structure components of its compensation in a manner that would comply with Section 162(m), the Compensation Committee has the flexibility to pay nondeductible compensation if it believes it is in the best interests of the Company. The Company’s Executive Officer Incentive Plan and 2006 Equity Incentive Plan, both of which have been approved by the Company’s shareholders, have</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been designed to permit the Company to make incentive payments and awards of performance shares and stock options that are not subject to the deduction limits of Section 162(m). From time to time, the Compensation Committee or, in the case of the CEO, the CEO Committee, has awarded, and may in the future award, compensation that is not fully deductible.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Our change-in-control arrangements do not provide for tax gross-ups in the event that executives become subject to excise taxes under Section 4999 and Section 280G of the Internal Revenue Code as a result of receiving benefits in connection with a change-in-control of ABM.</w:t>
      </w:r>
    </w:p>
    <w:p>
      <w:pPr>
        <w:spacing w:after="0" w:line="575"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8"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004FF9"/>
        </w:rPr>
        <w:t>Compensation Committee Report</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Compensation Committee has reviewed the Compensation Discussion and Analysis and discussed the Compensation Discussion and Analysis with management. Based on its review and discussions with management, the Compensation Committee recommended to the Board of Directors that the Compensation Discussion and Analysis be</w:t>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Sudhakar Kesavan, Chair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Linda Chavez</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Luke S. Helms</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Maryellen C. Herringer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included in ABM’s Annual Report on Form 10-K for the fiscal year ended October 31, 2014 and ABM’s 2015 Proxy Statement.</w:t>
      </w:r>
    </w:p>
    <w:p>
      <w:pPr>
        <w:spacing w:after="0" w:line="93" w:lineRule="exact"/>
        <w:rPr>
          <w:sz w:val="20"/>
          <w:szCs w:val="20"/>
          <w:color w:val="auto"/>
        </w:rPr>
      </w:pPr>
    </w:p>
    <w:p>
      <w:pPr>
        <w:jc w:val="both"/>
        <w:ind w:right="759"/>
        <w:spacing w:after="0" w:line="253" w:lineRule="auto"/>
        <w:rPr>
          <w:sz w:val="20"/>
          <w:szCs w:val="20"/>
          <w:color w:val="auto"/>
        </w:rPr>
      </w:pPr>
      <w:r>
        <w:rPr>
          <w:rFonts w:ascii="Arial" w:cs="Arial" w:eastAsia="Arial" w:hAnsi="Arial"/>
          <w:sz w:val="16"/>
          <w:szCs w:val="16"/>
          <w:color w:val="auto"/>
        </w:rPr>
        <w:t>This report is provided by the following independent and outside directors, who comprise the Compensation Committee:</w:t>
      </w:r>
    </w:p>
    <w:p>
      <w:pPr>
        <w:spacing w:after="0" w:line="1287"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7480"/>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04FF9"/>
        </w:rPr>
        <w:t>Compensation of Executive Officers</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tables and accompanying narrative describe the compensation of the NEOs.</w:t>
      </w:r>
    </w:p>
    <w:p>
      <w:pPr>
        <w:spacing w:after="0" w:line="18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004FF9"/>
        </w:rPr>
        <w:t>2014 Summary Compensation Table</w:t>
      </w:r>
    </w:p>
    <w:p>
      <w:pPr>
        <w:spacing w:after="0" w:line="111" w:lineRule="exact"/>
        <w:rPr>
          <w:sz w:val="20"/>
          <w:szCs w:val="20"/>
          <w:color w:val="auto"/>
        </w:rPr>
      </w:pPr>
    </w:p>
    <w:tbl>
      <w:tblPr>
        <w:tblLayout w:type="fixed"/>
        <w:tblInd w:w="510" w:type="dxa"/>
        <w:tblCellMar>
          <w:top w:w="0" w:type="dxa"/>
          <w:left w:w="0" w:type="dxa"/>
          <w:bottom w:w="0" w:type="dxa"/>
          <w:right w:w="0" w:type="dxa"/>
        </w:tblCellMar>
      </w:tblPr>
      <w:tr>
        <w:trPr>
          <w:trHeight w:val="500"/>
        </w:trPr>
        <w:tc>
          <w:tcPr>
            <w:tcW w:w="250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520" w:type="dxa"/>
            <w:vAlign w:val="bottom"/>
            <w:tcBorders>
              <w:top w:val="single" w:sz="8" w:color="auto"/>
              <w:right w:val="single" w:sz="8" w:color="auto"/>
            </w:tcBorders>
            <w:shd w:val="clear" w:color="auto" w:fill="B1C9FD"/>
          </w:tcPr>
          <w:p>
            <w:pPr>
              <w:spacing w:after="0"/>
              <w:rPr>
                <w:sz w:val="24"/>
                <w:szCs w:val="24"/>
                <w:color w:val="auto"/>
              </w:rPr>
            </w:pPr>
          </w:p>
        </w:tc>
        <w:tc>
          <w:tcPr>
            <w:tcW w:w="640" w:type="dxa"/>
            <w:vAlign w:val="bottom"/>
            <w:tcBorders>
              <w:top w:val="single" w:sz="8" w:color="auto"/>
              <w:right w:val="single" w:sz="8" w:color="auto"/>
            </w:tcBorders>
            <w:shd w:val="clear" w:color="auto" w:fill="B1C9FD"/>
          </w:tcPr>
          <w:p>
            <w:pPr>
              <w:spacing w:after="0"/>
              <w:rPr>
                <w:sz w:val="24"/>
                <w:szCs w:val="24"/>
                <w:color w:val="auto"/>
              </w:rPr>
            </w:pPr>
          </w:p>
        </w:tc>
        <w:tc>
          <w:tcPr>
            <w:tcW w:w="780" w:type="dxa"/>
            <w:vAlign w:val="bottom"/>
            <w:tcBorders>
              <w:top w:val="single" w:sz="8" w:color="auto"/>
              <w:right w:val="single" w:sz="8" w:color="auto"/>
            </w:tcBorders>
            <w:shd w:val="clear" w:color="auto" w:fill="B1C9FD"/>
          </w:tcPr>
          <w:p>
            <w:pPr>
              <w:spacing w:after="0"/>
              <w:rPr>
                <w:sz w:val="24"/>
                <w:szCs w:val="24"/>
                <w:color w:val="auto"/>
              </w:rPr>
            </w:pPr>
          </w:p>
        </w:tc>
        <w:tc>
          <w:tcPr>
            <w:tcW w:w="780" w:type="dxa"/>
            <w:vAlign w:val="bottom"/>
            <w:tcBorders>
              <w:top w:val="single" w:sz="8" w:color="auto"/>
              <w:right w:val="single" w:sz="8" w:color="auto"/>
            </w:tcBorders>
            <w:shd w:val="clear" w:color="auto" w:fill="B1C9FD"/>
          </w:tcPr>
          <w:p>
            <w:pPr>
              <w:spacing w:after="0"/>
              <w:rPr>
                <w:sz w:val="24"/>
                <w:szCs w:val="24"/>
                <w:color w:val="auto"/>
              </w:rPr>
            </w:pPr>
          </w:p>
        </w:tc>
        <w:tc>
          <w:tcPr>
            <w:tcW w:w="1300" w:type="dxa"/>
            <w:vAlign w:val="bottom"/>
            <w:tcBorders>
              <w:top w:val="single" w:sz="8" w:color="auto"/>
              <w:right w:val="single" w:sz="8" w:color="auto"/>
            </w:tcBorders>
            <w:shd w:val="clear" w:color="auto" w:fill="B1C9FD"/>
          </w:tcPr>
          <w:p>
            <w:pPr>
              <w:spacing w:after="0"/>
              <w:rPr>
                <w:sz w:val="24"/>
                <w:szCs w:val="24"/>
                <w:color w:val="auto"/>
              </w:rPr>
            </w:pPr>
          </w:p>
        </w:tc>
        <w:tc>
          <w:tcPr>
            <w:tcW w:w="114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5"/>
                <w:szCs w:val="15"/>
                <w:b w:val="1"/>
                <w:bCs w:val="1"/>
                <w:color w:val="004FF9"/>
              </w:rPr>
              <w:t>Change in</w:t>
            </w:r>
          </w:p>
        </w:tc>
        <w:tc>
          <w:tcPr>
            <w:tcW w:w="1300" w:type="dxa"/>
            <w:vAlign w:val="bottom"/>
            <w:tcBorders>
              <w:top w:val="single" w:sz="8" w:color="auto"/>
              <w:right w:val="single" w:sz="8" w:color="auto"/>
            </w:tcBorders>
            <w:shd w:val="clear" w:color="auto" w:fill="B1C9FD"/>
          </w:tcPr>
          <w:p>
            <w:pPr>
              <w:spacing w:after="0"/>
              <w:rPr>
                <w:sz w:val="24"/>
                <w:szCs w:val="24"/>
                <w:color w:val="auto"/>
              </w:rPr>
            </w:pPr>
          </w:p>
        </w:tc>
        <w:tc>
          <w:tcPr>
            <w:tcW w:w="800" w:type="dxa"/>
            <w:vAlign w:val="bottom"/>
            <w:tcBorders>
              <w:top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shd w:val="clear" w:color="auto" w:fill="B1C9FD"/>
          </w:tcPr>
          <w:p>
            <w:pPr>
              <w:spacing w:after="0"/>
              <w:rPr>
                <w:sz w:val="12"/>
                <w:szCs w:val="12"/>
                <w:color w:val="auto"/>
              </w:rPr>
            </w:pPr>
          </w:p>
        </w:tc>
        <w:tc>
          <w:tcPr>
            <w:tcW w:w="520" w:type="dxa"/>
            <w:vAlign w:val="bottom"/>
            <w:tcBorders>
              <w:right w:val="single" w:sz="8" w:color="auto"/>
            </w:tcBorders>
            <w:shd w:val="clear" w:color="auto" w:fill="B1C9FD"/>
          </w:tcPr>
          <w:p>
            <w:pPr>
              <w:spacing w:after="0"/>
              <w:rPr>
                <w:sz w:val="12"/>
                <w:szCs w:val="12"/>
                <w:color w:val="auto"/>
              </w:rPr>
            </w:pPr>
          </w:p>
        </w:tc>
        <w:tc>
          <w:tcPr>
            <w:tcW w:w="640" w:type="dxa"/>
            <w:vAlign w:val="bottom"/>
            <w:tcBorders>
              <w:right w:val="single" w:sz="8" w:color="auto"/>
            </w:tcBorders>
            <w:shd w:val="clear" w:color="auto" w:fill="B1C9FD"/>
          </w:tcPr>
          <w:p>
            <w:pPr>
              <w:spacing w:after="0"/>
              <w:rPr>
                <w:sz w:val="12"/>
                <w:szCs w:val="12"/>
                <w:color w:val="auto"/>
              </w:rPr>
            </w:pPr>
          </w:p>
        </w:tc>
        <w:tc>
          <w:tcPr>
            <w:tcW w:w="780" w:type="dxa"/>
            <w:vAlign w:val="bottom"/>
            <w:tcBorders>
              <w:right w:val="single" w:sz="8" w:color="auto"/>
            </w:tcBorders>
            <w:shd w:val="clear" w:color="auto" w:fill="B1C9FD"/>
          </w:tcPr>
          <w:p>
            <w:pPr>
              <w:spacing w:after="0"/>
              <w:rPr>
                <w:sz w:val="12"/>
                <w:szCs w:val="12"/>
                <w:color w:val="auto"/>
              </w:rPr>
            </w:pPr>
          </w:p>
        </w:tc>
        <w:tc>
          <w:tcPr>
            <w:tcW w:w="780" w:type="dxa"/>
            <w:vAlign w:val="bottom"/>
            <w:tcBorders>
              <w:right w:val="single" w:sz="8" w:color="auto"/>
            </w:tcBorders>
            <w:shd w:val="clear" w:color="auto" w:fill="B1C9FD"/>
          </w:tcPr>
          <w:p>
            <w:pPr>
              <w:spacing w:after="0"/>
              <w:rPr>
                <w:sz w:val="12"/>
                <w:szCs w:val="12"/>
                <w:color w:val="auto"/>
              </w:rPr>
            </w:pPr>
          </w:p>
        </w:tc>
        <w:tc>
          <w:tcPr>
            <w:tcW w:w="1300" w:type="dxa"/>
            <w:vAlign w:val="bottom"/>
            <w:tcBorders>
              <w:right w:val="single" w:sz="8" w:color="auto"/>
            </w:tcBorders>
            <w:shd w:val="clear" w:color="auto" w:fill="B1C9FD"/>
          </w:tcPr>
          <w:p>
            <w:pPr>
              <w:spacing w:after="0"/>
              <w:rPr>
                <w:sz w:val="12"/>
                <w:szCs w:val="12"/>
                <w:color w:val="auto"/>
              </w:rPr>
            </w:pPr>
          </w:p>
        </w:tc>
        <w:tc>
          <w:tcPr>
            <w:tcW w:w="114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5"/>
                <w:szCs w:val="15"/>
                <w:b w:val="1"/>
                <w:bCs w:val="1"/>
                <w:color w:val="004FF9"/>
              </w:rPr>
              <w:t>Pension Value</w:t>
            </w:r>
          </w:p>
        </w:tc>
        <w:tc>
          <w:tcPr>
            <w:tcW w:w="1300" w:type="dxa"/>
            <w:vAlign w:val="bottom"/>
            <w:tcBorders>
              <w:right w:val="single" w:sz="8" w:color="auto"/>
            </w:tcBorders>
            <w:shd w:val="clear" w:color="auto" w:fill="B1C9FD"/>
          </w:tcPr>
          <w:p>
            <w:pPr>
              <w:spacing w:after="0"/>
              <w:rPr>
                <w:sz w:val="12"/>
                <w:szCs w:val="12"/>
                <w:color w:val="auto"/>
              </w:rPr>
            </w:pPr>
          </w:p>
        </w:tc>
        <w:tc>
          <w:tcPr>
            <w:tcW w:w="800" w:type="dxa"/>
            <w:vAlign w:val="bottom"/>
            <w:tcBorders>
              <w:right w:val="single" w:sz="8" w:color="auto"/>
            </w:tcBorders>
            <w:shd w:val="clear" w:color="auto" w:fill="B1C9F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shd w:val="clear" w:color="auto" w:fill="B1C9FD"/>
          </w:tcPr>
          <w:p>
            <w:pPr>
              <w:spacing w:after="0"/>
              <w:rPr>
                <w:sz w:val="12"/>
                <w:szCs w:val="12"/>
                <w:color w:val="auto"/>
              </w:rPr>
            </w:pPr>
          </w:p>
        </w:tc>
        <w:tc>
          <w:tcPr>
            <w:tcW w:w="520" w:type="dxa"/>
            <w:vAlign w:val="bottom"/>
            <w:tcBorders>
              <w:right w:val="single" w:sz="8" w:color="auto"/>
            </w:tcBorders>
            <w:shd w:val="clear" w:color="auto" w:fill="B1C9FD"/>
          </w:tcPr>
          <w:p>
            <w:pPr>
              <w:spacing w:after="0"/>
              <w:rPr>
                <w:sz w:val="12"/>
                <w:szCs w:val="12"/>
                <w:color w:val="auto"/>
              </w:rPr>
            </w:pPr>
          </w:p>
        </w:tc>
        <w:tc>
          <w:tcPr>
            <w:tcW w:w="640" w:type="dxa"/>
            <w:vAlign w:val="bottom"/>
            <w:tcBorders>
              <w:right w:val="single" w:sz="8" w:color="auto"/>
            </w:tcBorders>
            <w:shd w:val="clear" w:color="auto" w:fill="B1C9FD"/>
          </w:tcPr>
          <w:p>
            <w:pPr>
              <w:spacing w:after="0"/>
              <w:rPr>
                <w:sz w:val="12"/>
                <w:szCs w:val="12"/>
                <w:color w:val="auto"/>
              </w:rPr>
            </w:pPr>
          </w:p>
        </w:tc>
        <w:tc>
          <w:tcPr>
            <w:tcW w:w="780" w:type="dxa"/>
            <w:vAlign w:val="bottom"/>
            <w:tcBorders>
              <w:right w:val="single" w:sz="8" w:color="auto"/>
            </w:tcBorders>
            <w:shd w:val="clear" w:color="auto" w:fill="B1C9FD"/>
          </w:tcPr>
          <w:p>
            <w:pPr>
              <w:spacing w:after="0"/>
              <w:rPr>
                <w:sz w:val="12"/>
                <w:szCs w:val="12"/>
                <w:color w:val="auto"/>
              </w:rPr>
            </w:pPr>
          </w:p>
        </w:tc>
        <w:tc>
          <w:tcPr>
            <w:tcW w:w="780" w:type="dxa"/>
            <w:vAlign w:val="bottom"/>
            <w:tcBorders>
              <w:right w:val="single" w:sz="8" w:color="auto"/>
            </w:tcBorders>
            <w:shd w:val="clear" w:color="auto" w:fill="B1C9FD"/>
          </w:tcPr>
          <w:p>
            <w:pPr>
              <w:spacing w:after="0"/>
              <w:rPr>
                <w:sz w:val="12"/>
                <w:szCs w:val="12"/>
                <w:color w:val="auto"/>
              </w:rPr>
            </w:pPr>
          </w:p>
        </w:tc>
        <w:tc>
          <w:tcPr>
            <w:tcW w:w="130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5"/>
                <w:szCs w:val="15"/>
                <w:b w:val="1"/>
                <w:bCs w:val="1"/>
                <w:color w:val="004FF9"/>
              </w:rPr>
              <w:t>Non-Equity</w:t>
            </w:r>
          </w:p>
        </w:tc>
        <w:tc>
          <w:tcPr>
            <w:tcW w:w="114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5"/>
                <w:szCs w:val="15"/>
                <w:b w:val="1"/>
                <w:bCs w:val="1"/>
                <w:color w:val="004FF9"/>
                <w:w w:val="97"/>
              </w:rPr>
              <w:t>and</w:t>
            </w:r>
          </w:p>
        </w:tc>
        <w:tc>
          <w:tcPr>
            <w:tcW w:w="1300" w:type="dxa"/>
            <w:vAlign w:val="bottom"/>
            <w:tcBorders>
              <w:right w:val="single" w:sz="8" w:color="auto"/>
            </w:tcBorders>
            <w:shd w:val="clear" w:color="auto" w:fill="B1C9FD"/>
          </w:tcPr>
          <w:p>
            <w:pPr>
              <w:spacing w:after="0"/>
              <w:rPr>
                <w:sz w:val="12"/>
                <w:szCs w:val="12"/>
                <w:color w:val="auto"/>
              </w:rPr>
            </w:pPr>
          </w:p>
        </w:tc>
        <w:tc>
          <w:tcPr>
            <w:tcW w:w="800" w:type="dxa"/>
            <w:vAlign w:val="bottom"/>
            <w:tcBorders>
              <w:right w:val="single" w:sz="8" w:color="auto"/>
            </w:tcBorders>
            <w:shd w:val="clear" w:color="auto" w:fill="B1C9F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shd w:val="clear" w:color="auto" w:fill="B1C9FD"/>
          </w:tcPr>
          <w:p>
            <w:pPr>
              <w:spacing w:after="0"/>
              <w:rPr>
                <w:sz w:val="12"/>
                <w:szCs w:val="12"/>
                <w:color w:val="auto"/>
              </w:rPr>
            </w:pPr>
          </w:p>
        </w:tc>
        <w:tc>
          <w:tcPr>
            <w:tcW w:w="520" w:type="dxa"/>
            <w:vAlign w:val="bottom"/>
            <w:tcBorders>
              <w:right w:val="single" w:sz="8" w:color="auto"/>
            </w:tcBorders>
            <w:shd w:val="clear" w:color="auto" w:fill="B1C9FD"/>
          </w:tcPr>
          <w:p>
            <w:pPr>
              <w:spacing w:after="0"/>
              <w:rPr>
                <w:sz w:val="12"/>
                <w:szCs w:val="12"/>
                <w:color w:val="auto"/>
              </w:rPr>
            </w:pPr>
          </w:p>
        </w:tc>
        <w:tc>
          <w:tcPr>
            <w:tcW w:w="640" w:type="dxa"/>
            <w:vAlign w:val="bottom"/>
            <w:tcBorders>
              <w:right w:val="single" w:sz="8" w:color="auto"/>
            </w:tcBorders>
            <w:shd w:val="clear" w:color="auto" w:fill="B1C9FD"/>
          </w:tcPr>
          <w:p>
            <w:pPr>
              <w:spacing w:after="0"/>
              <w:rPr>
                <w:sz w:val="12"/>
                <w:szCs w:val="12"/>
                <w:color w:val="auto"/>
              </w:rPr>
            </w:pPr>
          </w:p>
        </w:tc>
        <w:tc>
          <w:tcPr>
            <w:tcW w:w="780" w:type="dxa"/>
            <w:vAlign w:val="bottom"/>
            <w:tcBorders>
              <w:right w:val="single" w:sz="8" w:color="auto"/>
            </w:tcBorders>
            <w:shd w:val="clear" w:color="auto" w:fill="B1C9FD"/>
          </w:tcPr>
          <w:p>
            <w:pPr>
              <w:spacing w:after="0"/>
              <w:rPr>
                <w:sz w:val="12"/>
                <w:szCs w:val="12"/>
                <w:color w:val="auto"/>
              </w:rPr>
            </w:pPr>
          </w:p>
        </w:tc>
        <w:tc>
          <w:tcPr>
            <w:tcW w:w="780" w:type="dxa"/>
            <w:vAlign w:val="bottom"/>
            <w:tcBorders>
              <w:right w:val="single" w:sz="8" w:color="auto"/>
            </w:tcBorders>
            <w:shd w:val="clear" w:color="auto" w:fill="B1C9FD"/>
          </w:tcPr>
          <w:p>
            <w:pPr>
              <w:spacing w:after="0"/>
              <w:rPr>
                <w:sz w:val="12"/>
                <w:szCs w:val="12"/>
                <w:color w:val="auto"/>
              </w:rPr>
            </w:pPr>
          </w:p>
        </w:tc>
        <w:tc>
          <w:tcPr>
            <w:tcW w:w="1300" w:type="dxa"/>
            <w:vAlign w:val="bottom"/>
            <w:tcBorders>
              <w:right w:val="single" w:sz="8" w:color="auto"/>
            </w:tcBorders>
            <w:vMerge w:val="continue"/>
            <w:shd w:val="clear" w:color="auto" w:fill="B1C9FD"/>
          </w:tcPr>
          <w:p>
            <w:pPr>
              <w:spacing w:after="0"/>
              <w:rPr>
                <w:sz w:val="12"/>
                <w:szCs w:val="12"/>
                <w:color w:val="auto"/>
              </w:rPr>
            </w:pPr>
          </w:p>
        </w:tc>
        <w:tc>
          <w:tcPr>
            <w:tcW w:w="114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5"/>
                <w:szCs w:val="15"/>
                <w:b w:val="1"/>
                <w:bCs w:val="1"/>
                <w:color w:val="004FF9"/>
              </w:rPr>
              <w:t>Nonqualified</w:t>
            </w:r>
          </w:p>
        </w:tc>
        <w:tc>
          <w:tcPr>
            <w:tcW w:w="130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5"/>
                <w:szCs w:val="15"/>
                <w:b w:val="1"/>
                <w:bCs w:val="1"/>
                <w:color w:val="004FF9"/>
                <w:w w:val="93"/>
              </w:rPr>
              <w:t>All</w:t>
            </w:r>
          </w:p>
        </w:tc>
        <w:tc>
          <w:tcPr>
            <w:tcW w:w="800" w:type="dxa"/>
            <w:vAlign w:val="bottom"/>
            <w:tcBorders>
              <w:right w:val="single" w:sz="8" w:color="auto"/>
            </w:tcBorders>
            <w:shd w:val="clear" w:color="auto" w:fill="B1C9F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shd w:val="clear" w:color="auto" w:fill="B1C9FD"/>
          </w:tcPr>
          <w:p>
            <w:pPr>
              <w:spacing w:after="0"/>
              <w:rPr>
                <w:sz w:val="12"/>
                <w:szCs w:val="12"/>
                <w:color w:val="auto"/>
              </w:rPr>
            </w:pPr>
          </w:p>
        </w:tc>
        <w:tc>
          <w:tcPr>
            <w:tcW w:w="520" w:type="dxa"/>
            <w:vAlign w:val="bottom"/>
            <w:tcBorders>
              <w:right w:val="single" w:sz="8" w:color="auto"/>
            </w:tcBorders>
            <w:shd w:val="clear" w:color="auto" w:fill="B1C9FD"/>
          </w:tcPr>
          <w:p>
            <w:pPr>
              <w:spacing w:after="0"/>
              <w:rPr>
                <w:sz w:val="12"/>
                <w:szCs w:val="12"/>
                <w:color w:val="auto"/>
              </w:rPr>
            </w:pPr>
          </w:p>
        </w:tc>
        <w:tc>
          <w:tcPr>
            <w:tcW w:w="640" w:type="dxa"/>
            <w:vAlign w:val="bottom"/>
            <w:tcBorders>
              <w:right w:val="single" w:sz="8" w:color="auto"/>
            </w:tcBorders>
            <w:shd w:val="clear" w:color="auto" w:fill="B1C9FD"/>
          </w:tcPr>
          <w:p>
            <w:pPr>
              <w:spacing w:after="0"/>
              <w:rPr>
                <w:sz w:val="12"/>
                <w:szCs w:val="12"/>
                <w:color w:val="auto"/>
              </w:rPr>
            </w:pPr>
          </w:p>
        </w:tc>
        <w:tc>
          <w:tcPr>
            <w:tcW w:w="78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5"/>
                <w:szCs w:val="15"/>
                <w:b w:val="1"/>
                <w:bCs w:val="1"/>
                <w:color w:val="004FF9"/>
              </w:rPr>
              <w:t>Stock</w:t>
            </w:r>
          </w:p>
        </w:tc>
        <w:tc>
          <w:tcPr>
            <w:tcW w:w="78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5"/>
                <w:szCs w:val="15"/>
                <w:b w:val="1"/>
                <w:bCs w:val="1"/>
                <w:color w:val="004FF9"/>
                <w:w w:val="99"/>
              </w:rPr>
              <w:t>Option</w:t>
            </w:r>
          </w:p>
        </w:tc>
        <w:tc>
          <w:tcPr>
            <w:tcW w:w="130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5"/>
                <w:szCs w:val="15"/>
                <w:b w:val="1"/>
                <w:bCs w:val="1"/>
                <w:color w:val="004FF9"/>
              </w:rPr>
              <w:t>Incentive</w:t>
            </w:r>
          </w:p>
        </w:tc>
        <w:tc>
          <w:tcPr>
            <w:tcW w:w="114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5"/>
                <w:szCs w:val="15"/>
                <w:b w:val="1"/>
                <w:bCs w:val="1"/>
                <w:color w:val="004FF9"/>
              </w:rPr>
              <w:t>Deferred</w:t>
            </w:r>
          </w:p>
        </w:tc>
        <w:tc>
          <w:tcPr>
            <w:tcW w:w="1300" w:type="dxa"/>
            <w:vAlign w:val="bottom"/>
            <w:tcBorders>
              <w:right w:val="single" w:sz="8" w:color="auto"/>
            </w:tcBorders>
            <w:vMerge w:val="continue"/>
            <w:shd w:val="clear" w:color="auto" w:fill="B1C9FD"/>
          </w:tcPr>
          <w:p>
            <w:pPr>
              <w:spacing w:after="0"/>
              <w:rPr>
                <w:sz w:val="12"/>
                <w:szCs w:val="12"/>
                <w:color w:val="auto"/>
              </w:rPr>
            </w:pPr>
          </w:p>
        </w:tc>
        <w:tc>
          <w:tcPr>
            <w:tcW w:w="800" w:type="dxa"/>
            <w:vAlign w:val="bottom"/>
            <w:tcBorders>
              <w:right w:val="single" w:sz="8" w:color="auto"/>
            </w:tcBorders>
            <w:shd w:val="clear" w:color="auto" w:fill="B1C9FD"/>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Borders>
              <w:left w:val="single" w:sz="8" w:color="auto"/>
              <w:right w:val="single" w:sz="8" w:color="auto"/>
            </w:tcBorders>
            <w:shd w:val="clear" w:color="auto" w:fill="B1C9FD"/>
          </w:tcPr>
          <w:p>
            <w:pPr>
              <w:spacing w:after="0"/>
              <w:rPr>
                <w:sz w:val="12"/>
                <w:szCs w:val="12"/>
                <w:color w:val="auto"/>
              </w:rPr>
            </w:pPr>
          </w:p>
        </w:tc>
        <w:tc>
          <w:tcPr>
            <w:tcW w:w="520" w:type="dxa"/>
            <w:vAlign w:val="bottom"/>
            <w:tcBorders>
              <w:right w:val="single" w:sz="8" w:color="auto"/>
            </w:tcBorders>
            <w:shd w:val="clear" w:color="auto" w:fill="B1C9FD"/>
          </w:tcPr>
          <w:p>
            <w:pPr>
              <w:spacing w:after="0"/>
              <w:rPr>
                <w:sz w:val="12"/>
                <w:szCs w:val="12"/>
                <w:color w:val="auto"/>
              </w:rPr>
            </w:pPr>
          </w:p>
        </w:tc>
        <w:tc>
          <w:tcPr>
            <w:tcW w:w="640" w:type="dxa"/>
            <w:vAlign w:val="bottom"/>
            <w:tcBorders>
              <w:right w:val="single" w:sz="8" w:color="auto"/>
            </w:tcBorders>
            <w:shd w:val="clear" w:color="auto" w:fill="B1C9FD"/>
          </w:tcPr>
          <w:p>
            <w:pPr>
              <w:spacing w:after="0"/>
              <w:rPr>
                <w:sz w:val="12"/>
                <w:szCs w:val="12"/>
                <w:color w:val="auto"/>
              </w:rPr>
            </w:pPr>
          </w:p>
        </w:tc>
        <w:tc>
          <w:tcPr>
            <w:tcW w:w="780" w:type="dxa"/>
            <w:vAlign w:val="bottom"/>
            <w:tcBorders>
              <w:right w:val="single" w:sz="8" w:color="auto"/>
            </w:tcBorders>
            <w:vMerge w:val="continue"/>
            <w:shd w:val="clear" w:color="auto" w:fill="B1C9FD"/>
          </w:tcPr>
          <w:p>
            <w:pPr>
              <w:spacing w:after="0"/>
              <w:rPr>
                <w:sz w:val="12"/>
                <w:szCs w:val="12"/>
                <w:color w:val="auto"/>
              </w:rPr>
            </w:pPr>
          </w:p>
        </w:tc>
        <w:tc>
          <w:tcPr>
            <w:tcW w:w="780" w:type="dxa"/>
            <w:vAlign w:val="bottom"/>
            <w:tcBorders>
              <w:right w:val="single" w:sz="8" w:color="auto"/>
            </w:tcBorders>
            <w:vMerge w:val="continue"/>
            <w:shd w:val="clear" w:color="auto" w:fill="B1C9FD"/>
          </w:tcPr>
          <w:p>
            <w:pPr>
              <w:spacing w:after="0"/>
              <w:rPr>
                <w:sz w:val="12"/>
                <w:szCs w:val="12"/>
                <w:color w:val="auto"/>
              </w:rPr>
            </w:pPr>
          </w:p>
        </w:tc>
        <w:tc>
          <w:tcPr>
            <w:tcW w:w="130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5"/>
                <w:szCs w:val="15"/>
                <w:b w:val="1"/>
                <w:bCs w:val="1"/>
                <w:color w:val="004FF9"/>
              </w:rPr>
              <w:t>Plan</w:t>
            </w:r>
          </w:p>
        </w:tc>
        <w:tc>
          <w:tcPr>
            <w:tcW w:w="114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5"/>
                <w:szCs w:val="15"/>
                <w:b w:val="1"/>
                <w:bCs w:val="1"/>
                <w:color w:val="004FF9"/>
              </w:rPr>
              <w:t>Compensation</w:t>
            </w:r>
          </w:p>
        </w:tc>
        <w:tc>
          <w:tcPr>
            <w:tcW w:w="130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5"/>
                <w:szCs w:val="15"/>
                <w:b w:val="1"/>
                <w:bCs w:val="1"/>
                <w:color w:val="004FF9"/>
              </w:rPr>
              <w:t>Other</w:t>
            </w:r>
          </w:p>
        </w:tc>
        <w:tc>
          <w:tcPr>
            <w:tcW w:w="800" w:type="dxa"/>
            <w:vAlign w:val="bottom"/>
            <w:tcBorders>
              <w:right w:val="single" w:sz="8" w:color="auto"/>
            </w:tcBorders>
            <w:shd w:val="clear" w:color="auto" w:fill="B1C9F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Borders>
              <w:left w:val="single" w:sz="8" w:color="auto"/>
              <w:right w:val="single" w:sz="8" w:color="auto"/>
            </w:tcBorders>
            <w:vMerge w:val="restart"/>
            <w:shd w:val="clear" w:color="auto" w:fill="B1C9FD"/>
          </w:tcPr>
          <w:p>
            <w:pPr>
              <w:ind w:left="60"/>
              <w:spacing w:after="0"/>
              <w:rPr>
                <w:sz w:val="20"/>
                <w:szCs w:val="20"/>
                <w:color w:val="auto"/>
              </w:rPr>
            </w:pPr>
            <w:r>
              <w:rPr>
                <w:rFonts w:ascii="Arial" w:cs="Arial" w:eastAsia="Arial" w:hAnsi="Arial"/>
                <w:sz w:val="15"/>
                <w:szCs w:val="15"/>
                <w:b w:val="1"/>
                <w:bCs w:val="1"/>
                <w:color w:val="004FF9"/>
              </w:rPr>
              <w:t>Name</w:t>
            </w:r>
          </w:p>
        </w:tc>
        <w:tc>
          <w:tcPr>
            <w:tcW w:w="52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5"/>
                <w:szCs w:val="15"/>
                <w:b w:val="1"/>
                <w:bCs w:val="1"/>
                <w:color w:val="004FF9"/>
              </w:rPr>
              <w:t>Fiscal</w:t>
            </w:r>
          </w:p>
        </w:tc>
        <w:tc>
          <w:tcPr>
            <w:tcW w:w="64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5"/>
                <w:szCs w:val="15"/>
                <w:b w:val="1"/>
                <w:bCs w:val="1"/>
                <w:color w:val="004FF9"/>
              </w:rPr>
              <w:t>Salary</w:t>
            </w:r>
          </w:p>
        </w:tc>
        <w:tc>
          <w:tcPr>
            <w:tcW w:w="78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2"/>
                <w:szCs w:val="12"/>
                <w:b w:val="1"/>
                <w:bCs w:val="1"/>
                <w:color w:val="004FF9"/>
              </w:rPr>
              <w:t>Awards</w:t>
            </w:r>
            <w:r>
              <w:rPr>
                <w:rFonts w:ascii="Arial" w:cs="Arial" w:eastAsia="Arial" w:hAnsi="Arial"/>
                <w:sz w:val="18"/>
                <w:szCs w:val="18"/>
                <w:b w:val="1"/>
                <w:bCs w:val="1"/>
                <w:color w:val="004FF9"/>
                <w:vertAlign w:val="superscript"/>
              </w:rPr>
              <w:t>(1)</w:t>
            </w:r>
          </w:p>
        </w:tc>
        <w:tc>
          <w:tcPr>
            <w:tcW w:w="78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2"/>
                <w:szCs w:val="12"/>
                <w:b w:val="1"/>
                <w:bCs w:val="1"/>
                <w:color w:val="004FF9"/>
              </w:rPr>
              <w:t>Awards</w:t>
            </w:r>
            <w:r>
              <w:rPr>
                <w:rFonts w:ascii="Arial" w:cs="Arial" w:eastAsia="Arial" w:hAnsi="Arial"/>
                <w:sz w:val="18"/>
                <w:szCs w:val="18"/>
                <w:b w:val="1"/>
                <w:bCs w:val="1"/>
                <w:color w:val="004FF9"/>
                <w:vertAlign w:val="superscript"/>
              </w:rPr>
              <w:t>(2)</w:t>
            </w:r>
          </w:p>
        </w:tc>
        <w:tc>
          <w:tcPr>
            <w:tcW w:w="130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2"/>
                <w:szCs w:val="12"/>
                <w:b w:val="1"/>
                <w:bCs w:val="1"/>
                <w:color w:val="004FF9"/>
              </w:rPr>
              <w:t>Compensation</w:t>
            </w:r>
            <w:r>
              <w:rPr>
                <w:rFonts w:ascii="Arial" w:cs="Arial" w:eastAsia="Arial" w:hAnsi="Arial"/>
                <w:sz w:val="18"/>
                <w:szCs w:val="18"/>
                <w:b w:val="1"/>
                <w:bCs w:val="1"/>
                <w:color w:val="004FF9"/>
                <w:vertAlign w:val="superscript"/>
              </w:rPr>
              <w:t>(3)</w:t>
            </w:r>
          </w:p>
        </w:tc>
        <w:tc>
          <w:tcPr>
            <w:tcW w:w="114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2"/>
                <w:szCs w:val="12"/>
                <w:b w:val="1"/>
                <w:bCs w:val="1"/>
                <w:color w:val="004FF9"/>
              </w:rPr>
              <w:t>Earnings</w:t>
            </w:r>
            <w:r>
              <w:rPr>
                <w:rFonts w:ascii="Arial" w:cs="Arial" w:eastAsia="Arial" w:hAnsi="Arial"/>
                <w:sz w:val="18"/>
                <w:szCs w:val="18"/>
                <w:b w:val="1"/>
                <w:bCs w:val="1"/>
                <w:color w:val="004FF9"/>
                <w:vertAlign w:val="superscript"/>
              </w:rPr>
              <w:t>(4)</w:t>
            </w:r>
          </w:p>
        </w:tc>
        <w:tc>
          <w:tcPr>
            <w:tcW w:w="1300" w:type="dxa"/>
            <w:vAlign w:val="bottom"/>
            <w:tcBorders>
              <w:right w:val="single" w:sz="8" w:color="auto"/>
            </w:tcBorders>
            <w:shd w:val="clear" w:color="auto" w:fill="B1C9FD"/>
          </w:tcPr>
          <w:p>
            <w:pPr>
              <w:jc w:val="center"/>
              <w:spacing w:after="0" w:line="162" w:lineRule="exact"/>
              <w:rPr>
                <w:sz w:val="20"/>
                <w:szCs w:val="20"/>
                <w:color w:val="auto"/>
              </w:rPr>
            </w:pPr>
            <w:r>
              <w:rPr>
                <w:rFonts w:ascii="Arial" w:cs="Arial" w:eastAsia="Arial" w:hAnsi="Arial"/>
                <w:sz w:val="12"/>
                <w:szCs w:val="12"/>
                <w:b w:val="1"/>
                <w:bCs w:val="1"/>
                <w:color w:val="004FF9"/>
              </w:rPr>
              <w:t>Compensation</w:t>
            </w:r>
            <w:r>
              <w:rPr>
                <w:rFonts w:ascii="Arial" w:cs="Arial" w:eastAsia="Arial" w:hAnsi="Arial"/>
                <w:sz w:val="18"/>
                <w:szCs w:val="18"/>
                <w:b w:val="1"/>
                <w:bCs w:val="1"/>
                <w:color w:val="004FF9"/>
                <w:vertAlign w:val="superscript"/>
              </w:rPr>
              <w:t>(5)</w:t>
            </w:r>
          </w:p>
        </w:tc>
        <w:tc>
          <w:tcPr>
            <w:tcW w:w="800" w:type="dxa"/>
            <w:vAlign w:val="bottom"/>
            <w:tcBorders>
              <w:right w:val="single" w:sz="8" w:color="auto"/>
            </w:tcBorders>
            <w:shd w:val="clear" w:color="auto" w:fill="B1C9FD"/>
          </w:tcPr>
          <w:p>
            <w:pPr>
              <w:jc w:val="right"/>
              <w:ind w:right="183"/>
              <w:spacing w:after="0" w:line="162" w:lineRule="exact"/>
              <w:rPr>
                <w:sz w:val="20"/>
                <w:szCs w:val="20"/>
                <w:color w:val="auto"/>
              </w:rPr>
            </w:pPr>
            <w:r>
              <w:rPr>
                <w:rFonts w:ascii="Arial" w:cs="Arial" w:eastAsia="Arial" w:hAnsi="Arial"/>
                <w:sz w:val="15"/>
                <w:szCs w:val="15"/>
                <w:b w:val="1"/>
                <w:bCs w:val="1"/>
                <w:color w:val="004FF9"/>
              </w:rPr>
              <w:t>Total</w:t>
            </w: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bottom w:val="single" w:sz="8" w:color="auto"/>
              <w:right w:val="single" w:sz="8" w:color="auto"/>
            </w:tcBorders>
            <w:vMerge w:val="continue"/>
            <w:shd w:val="clear" w:color="auto" w:fill="B1C9FD"/>
          </w:tcPr>
          <w:p>
            <w:pPr>
              <w:spacing w:after="0"/>
              <w:rPr>
                <w:sz w:val="17"/>
                <w:szCs w:val="17"/>
                <w:color w:val="auto"/>
              </w:rPr>
            </w:pPr>
          </w:p>
        </w:tc>
        <w:tc>
          <w:tcPr>
            <w:tcW w:w="5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5"/>
                <w:szCs w:val="15"/>
                <w:b w:val="1"/>
                <w:bCs w:val="1"/>
                <w:color w:val="004FF9"/>
                <w:w w:val="98"/>
              </w:rPr>
              <w:t>Year</w:t>
            </w:r>
          </w:p>
        </w:tc>
        <w:tc>
          <w:tcPr>
            <w:tcW w:w="6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5"/>
                <w:szCs w:val="15"/>
                <w:b w:val="1"/>
                <w:bCs w:val="1"/>
                <w:color w:val="004FF9"/>
                <w:w w:val="97"/>
              </w:rPr>
              <w:t>($)</w:t>
            </w:r>
          </w:p>
        </w:tc>
        <w:tc>
          <w:tcPr>
            <w:tcW w:w="7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5"/>
                <w:szCs w:val="15"/>
                <w:b w:val="1"/>
                <w:bCs w:val="1"/>
                <w:color w:val="004FF9"/>
                <w:w w:val="97"/>
              </w:rPr>
              <w:t>($)</w:t>
            </w:r>
          </w:p>
        </w:tc>
        <w:tc>
          <w:tcPr>
            <w:tcW w:w="7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5"/>
                <w:szCs w:val="15"/>
                <w:b w:val="1"/>
                <w:bCs w:val="1"/>
                <w:color w:val="004FF9"/>
              </w:rPr>
              <w:t>($)</w:t>
            </w:r>
          </w:p>
        </w:tc>
        <w:tc>
          <w:tcPr>
            <w:tcW w:w="13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5"/>
                <w:szCs w:val="15"/>
                <w:b w:val="1"/>
                <w:bCs w:val="1"/>
                <w:color w:val="004FF9"/>
              </w:rPr>
              <w:t>($)</w:t>
            </w:r>
          </w:p>
        </w:tc>
        <w:tc>
          <w:tcPr>
            <w:tcW w:w="11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5"/>
                <w:szCs w:val="15"/>
                <w:b w:val="1"/>
                <w:bCs w:val="1"/>
                <w:color w:val="004FF9"/>
                <w:w w:val="97"/>
              </w:rPr>
              <w:t>($)</w:t>
            </w:r>
          </w:p>
        </w:tc>
        <w:tc>
          <w:tcPr>
            <w:tcW w:w="13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5"/>
                <w:szCs w:val="15"/>
                <w:b w:val="1"/>
                <w:bCs w:val="1"/>
                <w:color w:val="004FF9"/>
                <w:w w:val="97"/>
              </w:rPr>
              <w:t>($)</w:t>
            </w:r>
          </w:p>
        </w:tc>
        <w:tc>
          <w:tcPr>
            <w:tcW w:w="800" w:type="dxa"/>
            <w:vAlign w:val="bottom"/>
            <w:tcBorders>
              <w:bottom w:val="single" w:sz="8" w:color="auto"/>
              <w:right w:val="single" w:sz="8" w:color="auto"/>
            </w:tcBorders>
            <w:shd w:val="clear" w:color="auto" w:fill="B1C9FD"/>
          </w:tcPr>
          <w:p>
            <w:pPr>
              <w:jc w:val="right"/>
              <w:ind w:right="263"/>
              <w:spacing w:after="0"/>
              <w:rPr>
                <w:sz w:val="20"/>
                <w:szCs w:val="20"/>
                <w:color w:val="auto"/>
              </w:rPr>
            </w:pPr>
            <w:r>
              <w:rPr>
                <w:rFonts w:ascii="Arial" w:cs="Arial" w:eastAsia="Arial" w:hAnsi="Arial"/>
                <w:sz w:val="15"/>
                <w:szCs w:val="15"/>
                <w:b w:val="1"/>
                <w:bCs w:val="1"/>
                <w:color w:val="004FF9"/>
              </w:rPr>
              <w:t>($)</w:t>
            </w:r>
          </w:p>
        </w:tc>
        <w:tc>
          <w:tcPr>
            <w:tcW w:w="0" w:type="dxa"/>
            <w:vAlign w:val="bottom"/>
          </w:tcPr>
          <w:p>
            <w:pPr>
              <w:spacing w:after="0"/>
              <w:rPr>
                <w:sz w:val="1"/>
                <w:szCs w:val="1"/>
                <w:color w:val="auto"/>
              </w:rPr>
            </w:pPr>
          </w:p>
        </w:tc>
      </w:tr>
      <w:tr>
        <w:trPr>
          <w:trHeight w:val="190"/>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Henrik C. Slipsager</w:t>
            </w:r>
          </w:p>
        </w:tc>
        <w:tc>
          <w:tcPr>
            <w:tcW w:w="52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2014</w:t>
            </w:r>
          </w:p>
        </w:tc>
        <w:tc>
          <w:tcPr>
            <w:tcW w:w="6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w w:val="99"/>
                <w:shd w:val="clear" w:color="auto" w:fill="E5EDFE"/>
              </w:rPr>
              <w:t>888,666</w:t>
            </w:r>
          </w:p>
        </w:tc>
        <w:tc>
          <w:tcPr>
            <w:tcW w:w="780" w:type="dxa"/>
            <w:vAlign w:val="bottom"/>
            <w:tcBorders>
              <w:bottom w:val="single" w:sz="8" w:color="E5EDFE"/>
              <w:right w:val="single" w:sz="8" w:color="auto"/>
            </w:tcBorders>
            <w:shd w:val="clear" w:color="auto" w:fill="E5EDFE"/>
          </w:tcPr>
          <w:p>
            <w:pPr>
              <w:jc w:val="right"/>
              <w:spacing w:after="0"/>
              <w:rPr>
                <w:sz w:val="20"/>
                <w:szCs w:val="20"/>
                <w:color w:val="auto"/>
              </w:rPr>
            </w:pPr>
            <w:r>
              <w:rPr>
                <w:rFonts w:ascii="Arial" w:cs="Arial" w:eastAsia="Arial" w:hAnsi="Arial"/>
                <w:sz w:val="15"/>
                <w:szCs w:val="15"/>
                <w:color w:val="auto"/>
                <w:shd w:val="clear" w:color="auto" w:fill="E5EDFE"/>
              </w:rPr>
              <w:t>1,759,971</w:t>
            </w:r>
          </w:p>
        </w:tc>
        <w:tc>
          <w:tcPr>
            <w:tcW w:w="780" w:type="dxa"/>
            <w:vAlign w:val="bottom"/>
            <w:tcBorders>
              <w:bottom w:val="single" w:sz="8" w:color="E5EDFE"/>
              <w:right w:val="single" w:sz="8" w:color="auto"/>
            </w:tcBorders>
            <w:shd w:val="clear" w:color="auto" w:fill="E5EDFE"/>
          </w:tcPr>
          <w:p>
            <w:pPr>
              <w:jc w:val="right"/>
              <w:ind w:right="44"/>
              <w:spacing w:after="0"/>
              <w:rPr>
                <w:sz w:val="20"/>
                <w:szCs w:val="20"/>
                <w:color w:val="auto"/>
              </w:rPr>
            </w:pPr>
            <w:r>
              <w:rPr>
                <w:rFonts w:ascii="Arial" w:cs="Arial" w:eastAsia="Arial" w:hAnsi="Arial"/>
                <w:sz w:val="15"/>
                <w:szCs w:val="15"/>
                <w:color w:val="auto"/>
              </w:rPr>
              <w:t>0</w:t>
            </w:r>
          </w:p>
        </w:tc>
        <w:tc>
          <w:tcPr>
            <w:tcW w:w="1300" w:type="dxa"/>
            <w:vAlign w:val="bottom"/>
            <w:tcBorders>
              <w:bottom w:val="single" w:sz="8" w:color="E5EDFE"/>
              <w:right w:val="single" w:sz="8" w:color="auto"/>
            </w:tcBorders>
            <w:shd w:val="clear" w:color="auto" w:fill="E5EDFE"/>
          </w:tcPr>
          <w:p>
            <w:pPr>
              <w:jc w:val="right"/>
              <w:ind w:right="244"/>
              <w:spacing w:after="0"/>
              <w:rPr>
                <w:sz w:val="20"/>
                <w:szCs w:val="20"/>
                <w:color w:val="auto"/>
              </w:rPr>
            </w:pPr>
            <w:r>
              <w:rPr>
                <w:rFonts w:ascii="Arial" w:cs="Arial" w:eastAsia="Arial" w:hAnsi="Arial"/>
                <w:sz w:val="15"/>
                <w:szCs w:val="15"/>
                <w:color w:val="auto"/>
              </w:rPr>
              <w:t>1,048,806</w:t>
            </w:r>
          </w:p>
        </w:tc>
        <w:tc>
          <w:tcPr>
            <w:tcW w:w="1140" w:type="dxa"/>
            <w:vAlign w:val="bottom"/>
            <w:tcBorders>
              <w:bottom w:val="single" w:sz="8" w:color="E5EDFE"/>
              <w:right w:val="single" w:sz="8" w:color="auto"/>
            </w:tcBorders>
            <w:shd w:val="clear" w:color="auto" w:fill="E5EDFE"/>
          </w:tcPr>
          <w:p>
            <w:pPr>
              <w:jc w:val="right"/>
              <w:ind w:right="224"/>
              <w:spacing w:after="0"/>
              <w:rPr>
                <w:sz w:val="20"/>
                <w:szCs w:val="20"/>
                <w:color w:val="auto"/>
              </w:rPr>
            </w:pPr>
            <w:r>
              <w:rPr>
                <w:rFonts w:ascii="Arial" w:cs="Arial" w:eastAsia="Arial" w:hAnsi="Arial"/>
                <w:sz w:val="15"/>
                <w:szCs w:val="15"/>
                <w:color w:val="auto"/>
              </w:rPr>
              <w:t>43,027</w:t>
            </w:r>
          </w:p>
        </w:tc>
        <w:tc>
          <w:tcPr>
            <w:tcW w:w="130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69,073</w:t>
            </w:r>
          </w:p>
        </w:tc>
        <w:tc>
          <w:tcPr>
            <w:tcW w:w="800" w:type="dxa"/>
            <w:vAlign w:val="bottom"/>
            <w:tcBorders>
              <w:bottom w:val="single" w:sz="8" w:color="E5EDFE"/>
              <w:right w:val="single" w:sz="8" w:color="auto"/>
            </w:tcBorders>
            <w:shd w:val="clear" w:color="auto" w:fill="E5EDFE"/>
          </w:tcPr>
          <w:p>
            <w:pPr>
              <w:jc w:val="right"/>
              <w:ind w:right="3"/>
              <w:spacing w:after="0"/>
              <w:rPr>
                <w:sz w:val="20"/>
                <w:szCs w:val="20"/>
                <w:color w:val="auto"/>
              </w:rPr>
            </w:pPr>
            <w:r>
              <w:rPr>
                <w:rFonts w:ascii="Arial" w:cs="Arial" w:eastAsia="Arial" w:hAnsi="Arial"/>
                <w:sz w:val="15"/>
                <w:szCs w:val="15"/>
                <w:color w:val="auto"/>
                <w:shd w:val="clear" w:color="auto" w:fill="E5EDFE"/>
              </w:rPr>
              <w:t>3,809,543</w:t>
            </w: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right w:val="single" w:sz="8" w:color="auto"/>
            </w:tcBorders>
          </w:tcPr>
          <w:p>
            <w:pPr>
              <w:ind w:left="220"/>
              <w:spacing w:after="0" w:line="159" w:lineRule="exact"/>
              <w:rPr>
                <w:sz w:val="20"/>
                <w:szCs w:val="20"/>
                <w:color w:val="auto"/>
              </w:rPr>
            </w:pPr>
            <w:r>
              <w:rPr>
                <w:rFonts w:ascii="Arial" w:cs="Arial" w:eastAsia="Arial" w:hAnsi="Arial"/>
                <w:sz w:val="15"/>
                <w:szCs w:val="15"/>
                <w:color w:val="auto"/>
              </w:rPr>
              <w:t>President &amp;</w:t>
            </w:r>
          </w:p>
        </w:tc>
        <w:tc>
          <w:tcPr>
            <w:tcW w:w="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2013</w:t>
            </w:r>
          </w:p>
        </w:tc>
        <w:tc>
          <w:tcPr>
            <w:tcW w:w="6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9"/>
              </w:rPr>
              <w:t>864,166</w:t>
            </w:r>
          </w:p>
        </w:tc>
        <w:tc>
          <w:tcPr>
            <w:tcW w:w="78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5"/>
                <w:szCs w:val="15"/>
                <w:color w:val="auto"/>
              </w:rPr>
              <w:t>1,044,983</w:t>
            </w:r>
          </w:p>
        </w:tc>
        <w:tc>
          <w:tcPr>
            <w:tcW w:w="780" w:type="dxa"/>
            <w:vAlign w:val="bottom"/>
            <w:tcBorders>
              <w:right w:val="single" w:sz="8" w:color="auto"/>
            </w:tcBorders>
          </w:tcPr>
          <w:p>
            <w:pPr>
              <w:jc w:val="right"/>
              <w:ind w:right="44"/>
              <w:spacing w:after="0" w:line="159" w:lineRule="exact"/>
              <w:rPr>
                <w:sz w:val="20"/>
                <w:szCs w:val="20"/>
                <w:color w:val="auto"/>
              </w:rPr>
            </w:pPr>
            <w:r>
              <w:rPr>
                <w:rFonts w:ascii="Arial" w:cs="Arial" w:eastAsia="Arial" w:hAnsi="Arial"/>
                <w:sz w:val="15"/>
                <w:szCs w:val="15"/>
                <w:color w:val="auto"/>
              </w:rPr>
              <w:t>449,997</w:t>
            </w:r>
          </w:p>
        </w:tc>
        <w:tc>
          <w:tcPr>
            <w:tcW w:w="1300" w:type="dxa"/>
            <w:vAlign w:val="bottom"/>
            <w:tcBorders>
              <w:right w:val="single" w:sz="8" w:color="auto"/>
            </w:tcBorders>
          </w:tcPr>
          <w:p>
            <w:pPr>
              <w:jc w:val="right"/>
              <w:ind w:right="244"/>
              <w:spacing w:after="0" w:line="159" w:lineRule="exact"/>
              <w:rPr>
                <w:sz w:val="20"/>
                <w:szCs w:val="20"/>
                <w:color w:val="auto"/>
              </w:rPr>
            </w:pPr>
            <w:r>
              <w:rPr>
                <w:rFonts w:ascii="Arial" w:cs="Arial" w:eastAsia="Arial" w:hAnsi="Arial"/>
                <w:sz w:val="15"/>
                <w:szCs w:val="15"/>
                <w:color w:val="auto"/>
              </w:rPr>
              <w:t>1,303,448</w:t>
            </w:r>
          </w:p>
        </w:tc>
        <w:tc>
          <w:tcPr>
            <w:tcW w:w="1140" w:type="dxa"/>
            <w:vAlign w:val="bottom"/>
            <w:tcBorders>
              <w:right w:val="single" w:sz="8" w:color="auto"/>
            </w:tcBorders>
          </w:tcPr>
          <w:p>
            <w:pPr>
              <w:jc w:val="right"/>
              <w:ind w:right="224"/>
              <w:spacing w:after="0" w:line="159" w:lineRule="exact"/>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37,453</w:t>
            </w:r>
          </w:p>
        </w:tc>
        <w:tc>
          <w:tcPr>
            <w:tcW w:w="800" w:type="dxa"/>
            <w:vAlign w:val="bottom"/>
            <w:tcBorders>
              <w:right w:val="single" w:sz="8" w:color="auto"/>
            </w:tcBorders>
          </w:tcPr>
          <w:p>
            <w:pPr>
              <w:jc w:val="right"/>
              <w:ind w:right="3"/>
              <w:spacing w:after="0" w:line="159" w:lineRule="exact"/>
              <w:rPr>
                <w:sz w:val="20"/>
                <w:szCs w:val="20"/>
                <w:color w:val="auto"/>
              </w:rPr>
            </w:pPr>
            <w:r>
              <w:rPr>
                <w:rFonts w:ascii="Arial" w:cs="Arial" w:eastAsia="Arial" w:hAnsi="Arial"/>
                <w:sz w:val="15"/>
                <w:szCs w:val="15"/>
                <w:color w:val="auto"/>
              </w:rPr>
              <w:t>3,700,047</w:t>
            </w:r>
          </w:p>
        </w:tc>
        <w:tc>
          <w:tcPr>
            <w:tcW w:w="0" w:type="dxa"/>
            <w:vAlign w:val="bottom"/>
          </w:tcPr>
          <w:p>
            <w:pPr>
              <w:spacing w:after="0"/>
              <w:rPr>
                <w:sz w:val="1"/>
                <w:szCs w:val="1"/>
                <w:color w:val="auto"/>
              </w:rPr>
            </w:pPr>
          </w:p>
        </w:tc>
      </w:tr>
      <w:tr>
        <w:trPr>
          <w:trHeight w:val="198"/>
        </w:trPr>
        <w:tc>
          <w:tcPr>
            <w:tcW w:w="25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Chief Executive Officer</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2012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847,898</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999,994</w:t>
            </w:r>
          </w:p>
        </w:tc>
        <w:tc>
          <w:tcPr>
            <w:tcW w:w="780" w:type="dxa"/>
            <w:vAlign w:val="bottom"/>
            <w:tcBorders>
              <w:right w:val="single" w:sz="8" w:color="auto"/>
            </w:tcBorders>
          </w:tcPr>
          <w:p>
            <w:pPr>
              <w:jc w:val="right"/>
              <w:ind w:right="44"/>
              <w:spacing w:after="0"/>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tcPr>
          <w:p>
            <w:pPr>
              <w:jc w:val="right"/>
              <w:ind w:right="244"/>
              <w:spacing w:after="0"/>
              <w:rPr>
                <w:sz w:val="20"/>
                <w:szCs w:val="20"/>
                <w:color w:val="auto"/>
              </w:rPr>
            </w:pPr>
            <w:r>
              <w:rPr>
                <w:rFonts w:ascii="Arial" w:cs="Arial" w:eastAsia="Arial" w:hAnsi="Arial"/>
                <w:sz w:val="15"/>
                <w:szCs w:val="15"/>
                <w:color w:val="auto"/>
              </w:rPr>
              <w:t>646,000</w:t>
            </w:r>
          </w:p>
        </w:tc>
        <w:tc>
          <w:tcPr>
            <w:tcW w:w="1140" w:type="dxa"/>
            <w:vAlign w:val="bottom"/>
            <w:tcBorders>
              <w:right w:val="single" w:sz="8" w:color="auto"/>
            </w:tcBorders>
          </w:tcPr>
          <w:p>
            <w:pPr>
              <w:jc w:val="right"/>
              <w:ind w:right="224"/>
              <w:spacing w:after="0"/>
              <w:rPr>
                <w:sz w:val="20"/>
                <w:szCs w:val="20"/>
                <w:color w:val="auto"/>
              </w:rPr>
            </w:pPr>
            <w:r>
              <w:rPr>
                <w:rFonts w:ascii="Arial" w:cs="Arial" w:eastAsia="Arial" w:hAnsi="Arial"/>
                <w:sz w:val="15"/>
                <w:szCs w:val="15"/>
                <w:color w:val="auto"/>
              </w:rPr>
              <w:t>116,433</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57,976</w:t>
            </w:r>
          </w:p>
        </w:tc>
        <w:tc>
          <w:tcPr>
            <w:tcW w:w="80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2,668,301</w:t>
            </w:r>
          </w:p>
        </w:tc>
        <w:tc>
          <w:tcPr>
            <w:tcW w:w="0" w:type="dxa"/>
            <w:vAlign w:val="bottom"/>
          </w:tcPr>
          <w:p>
            <w:pPr>
              <w:spacing w:after="0"/>
              <w:rPr>
                <w:sz w:val="1"/>
                <w:szCs w:val="1"/>
                <w:color w:val="auto"/>
              </w:rPr>
            </w:pP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James S. Lusk</w:t>
            </w:r>
          </w:p>
        </w:tc>
        <w:tc>
          <w:tcPr>
            <w:tcW w:w="52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2014</w:t>
            </w:r>
          </w:p>
        </w:tc>
        <w:tc>
          <w:tcPr>
            <w:tcW w:w="64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w w:val="99"/>
                <w:shd w:val="clear" w:color="auto" w:fill="E5EDFE"/>
              </w:rPr>
              <w:t>559,342</w:t>
            </w:r>
          </w:p>
        </w:tc>
        <w:tc>
          <w:tcPr>
            <w:tcW w:w="780" w:type="dxa"/>
            <w:vAlign w:val="bottom"/>
            <w:tcBorders>
              <w:bottom w:val="single" w:sz="8" w:color="E5EDFE"/>
              <w:right w:val="single" w:sz="8" w:color="auto"/>
            </w:tcBorders>
            <w:shd w:val="clear" w:color="auto" w:fill="E5EDFE"/>
          </w:tcPr>
          <w:p>
            <w:pPr>
              <w:jc w:val="right"/>
              <w:spacing w:after="0"/>
              <w:rPr>
                <w:sz w:val="20"/>
                <w:szCs w:val="20"/>
                <w:color w:val="auto"/>
              </w:rPr>
            </w:pPr>
            <w:r>
              <w:rPr>
                <w:rFonts w:ascii="Arial" w:cs="Arial" w:eastAsia="Arial" w:hAnsi="Arial"/>
                <w:sz w:val="15"/>
                <w:szCs w:val="15"/>
                <w:color w:val="auto"/>
              </w:rPr>
              <w:t>553,851</w:t>
            </w:r>
          </w:p>
        </w:tc>
        <w:tc>
          <w:tcPr>
            <w:tcW w:w="780" w:type="dxa"/>
            <w:vAlign w:val="bottom"/>
            <w:tcBorders>
              <w:bottom w:val="single" w:sz="8" w:color="E5EDFE"/>
              <w:right w:val="single" w:sz="8" w:color="auto"/>
            </w:tcBorders>
            <w:shd w:val="clear" w:color="auto" w:fill="E5EDFE"/>
          </w:tcPr>
          <w:p>
            <w:pPr>
              <w:jc w:val="right"/>
              <w:ind w:right="44"/>
              <w:spacing w:after="0"/>
              <w:rPr>
                <w:sz w:val="20"/>
                <w:szCs w:val="20"/>
                <w:color w:val="auto"/>
              </w:rPr>
            </w:pPr>
            <w:r>
              <w:rPr>
                <w:rFonts w:ascii="Arial" w:cs="Arial" w:eastAsia="Arial" w:hAnsi="Arial"/>
                <w:sz w:val="15"/>
                <w:szCs w:val="15"/>
                <w:color w:val="auto"/>
              </w:rPr>
              <w:t>0</w:t>
            </w:r>
          </w:p>
        </w:tc>
        <w:tc>
          <w:tcPr>
            <w:tcW w:w="1300" w:type="dxa"/>
            <w:vAlign w:val="bottom"/>
            <w:tcBorders>
              <w:bottom w:val="single" w:sz="8" w:color="E5EDFE"/>
              <w:right w:val="single" w:sz="8" w:color="auto"/>
            </w:tcBorders>
            <w:shd w:val="clear" w:color="auto" w:fill="E5EDFE"/>
          </w:tcPr>
          <w:p>
            <w:pPr>
              <w:jc w:val="right"/>
              <w:ind w:right="244"/>
              <w:spacing w:after="0"/>
              <w:rPr>
                <w:sz w:val="20"/>
                <w:szCs w:val="20"/>
                <w:color w:val="auto"/>
              </w:rPr>
            </w:pPr>
            <w:r>
              <w:rPr>
                <w:rFonts w:ascii="Arial" w:cs="Arial" w:eastAsia="Arial" w:hAnsi="Arial"/>
                <w:sz w:val="15"/>
                <w:szCs w:val="15"/>
                <w:color w:val="auto"/>
              </w:rPr>
              <w:t>455,221</w:t>
            </w:r>
          </w:p>
        </w:tc>
        <w:tc>
          <w:tcPr>
            <w:tcW w:w="1140" w:type="dxa"/>
            <w:vAlign w:val="bottom"/>
            <w:tcBorders>
              <w:bottom w:val="single" w:sz="8" w:color="E5EDFE"/>
              <w:right w:val="single" w:sz="8" w:color="auto"/>
            </w:tcBorders>
            <w:shd w:val="clear" w:color="auto" w:fill="E5EDFE"/>
          </w:tcPr>
          <w:p>
            <w:pPr>
              <w:jc w:val="right"/>
              <w:ind w:right="224"/>
              <w:spacing w:after="0"/>
              <w:rPr>
                <w:sz w:val="20"/>
                <w:szCs w:val="20"/>
                <w:color w:val="auto"/>
              </w:rPr>
            </w:pPr>
            <w:r>
              <w:rPr>
                <w:rFonts w:ascii="Arial" w:cs="Arial" w:eastAsia="Arial" w:hAnsi="Arial"/>
                <w:sz w:val="15"/>
                <w:szCs w:val="15"/>
                <w:color w:val="auto"/>
              </w:rPr>
              <w:t>0</w:t>
            </w:r>
          </w:p>
        </w:tc>
        <w:tc>
          <w:tcPr>
            <w:tcW w:w="1300" w:type="dxa"/>
            <w:vAlign w:val="bottom"/>
            <w:tcBorders>
              <w:bottom w:val="single" w:sz="8" w:color="E5EDFE"/>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26,257</w:t>
            </w:r>
          </w:p>
        </w:tc>
        <w:tc>
          <w:tcPr>
            <w:tcW w:w="800" w:type="dxa"/>
            <w:vAlign w:val="bottom"/>
            <w:tcBorders>
              <w:bottom w:val="single" w:sz="8" w:color="E5EDFE"/>
              <w:right w:val="single" w:sz="8" w:color="auto"/>
            </w:tcBorders>
            <w:shd w:val="clear" w:color="auto" w:fill="E5EDFE"/>
          </w:tcPr>
          <w:p>
            <w:pPr>
              <w:jc w:val="right"/>
              <w:ind w:right="3"/>
              <w:spacing w:after="0"/>
              <w:rPr>
                <w:sz w:val="20"/>
                <w:szCs w:val="20"/>
                <w:color w:val="auto"/>
              </w:rPr>
            </w:pPr>
            <w:r>
              <w:rPr>
                <w:rFonts w:ascii="Arial" w:cs="Arial" w:eastAsia="Arial" w:hAnsi="Arial"/>
                <w:sz w:val="15"/>
                <w:szCs w:val="15"/>
                <w:color w:val="auto"/>
                <w:shd w:val="clear" w:color="auto" w:fill="E5EDFE"/>
              </w:rPr>
              <w:t>1,594,671</w:t>
            </w:r>
          </w:p>
        </w:tc>
        <w:tc>
          <w:tcPr>
            <w:tcW w:w="0" w:type="dxa"/>
            <w:vAlign w:val="bottom"/>
          </w:tcPr>
          <w:p>
            <w:pPr>
              <w:spacing w:after="0"/>
              <w:rPr>
                <w:sz w:val="1"/>
                <w:szCs w:val="1"/>
                <w:color w:val="auto"/>
              </w:rPr>
            </w:pPr>
          </w:p>
        </w:tc>
      </w:tr>
      <w:tr>
        <w:trPr>
          <w:trHeight w:val="159"/>
        </w:trPr>
        <w:tc>
          <w:tcPr>
            <w:tcW w:w="2500" w:type="dxa"/>
            <w:vAlign w:val="bottom"/>
            <w:tcBorders>
              <w:left w:val="single" w:sz="8" w:color="auto"/>
              <w:right w:val="single" w:sz="8" w:color="auto"/>
            </w:tcBorders>
          </w:tcPr>
          <w:p>
            <w:pPr>
              <w:ind w:left="220"/>
              <w:spacing w:after="0" w:line="159" w:lineRule="exact"/>
              <w:rPr>
                <w:sz w:val="20"/>
                <w:szCs w:val="20"/>
                <w:color w:val="auto"/>
              </w:rPr>
            </w:pPr>
            <w:r>
              <w:rPr>
                <w:rFonts w:ascii="Arial" w:cs="Arial" w:eastAsia="Arial" w:hAnsi="Arial"/>
                <w:sz w:val="15"/>
                <w:szCs w:val="15"/>
                <w:color w:val="auto"/>
              </w:rPr>
              <w:t>Executive Vice President</w:t>
            </w:r>
          </w:p>
        </w:tc>
        <w:tc>
          <w:tcPr>
            <w:tcW w:w="52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2013</w:t>
            </w:r>
          </w:p>
        </w:tc>
        <w:tc>
          <w:tcPr>
            <w:tcW w:w="6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w w:val="99"/>
              </w:rPr>
              <w:t>543,916</w:t>
            </w:r>
          </w:p>
        </w:tc>
        <w:tc>
          <w:tcPr>
            <w:tcW w:w="78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5"/>
                <w:szCs w:val="15"/>
                <w:color w:val="auto"/>
              </w:rPr>
              <w:t>337,222</w:t>
            </w:r>
          </w:p>
        </w:tc>
        <w:tc>
          <w:tcPr>
            <w:tcW w:w="780" w:type="dxa"/>
            <w:vAlign w:val="bottom"/>
            <w:tcBorders>
              <w:right w:val="single" w:sz="8" w:color="auto"/>
            </w:tcBorders>
          </w:tcPr>
          <w:p>
            <w:pPr>
              <w:jc w:val="right"/>
              <w:ind w:right="44"/>
              <w:spacing w:after="0" w:line="159" w:lineRule="exact"/>
              <w:rPr>
                <w:sz w:val="20"/>
                <w:szCs w:val="20"/>
                <w:color w:val="auto"/>
              </w:rPr>
            </w:pPr>
            <w:r>
              <w:rPr>
                <w:rFonts w:ascii="Arial" w:cs="Arial" w:eastAsia="Arial" w:hAnsi="Arial"/>
                <w:sz w:val="15"/>
                <w:szCs w:val="15"/>
                <w:color w:val="auto"/>
              </w:rPr>
              <w:t>149,994</w:t>
            </w:r>
          </w:p>
        </w:tc>
        <w:tc>
          <w:tcPr>
            <w:tcW w:w="1300" w:type="dxa"/>
            <w:vAlign w:val="bottom"/>
            <w:tcBorders>
              <w:right w:val="single" w:sz="8" w:color="auto"/>
            </w:tcBorders>
          </w:tcPr>
          <w:p>
            <w:pPr>
              <w:jc w:val="right"/>
              <w:ind w:right="244"/>
              <w:spacing w:after="0" w:line="159" w:lineRule="exact"/>
              <w:rPr>
                <w:sz w:val="20"/>
                <w:szCs w:val="20"/>
                <w:color w:val="auto"/>
              </w:rPr>
            </w:pPr>
            <w:r>
              <w:rPr>
                <w:rFonts w:ascii="Arial" w:cs="Arial" w:eastAsia="Arial" w:hAnsi="Arial"/>
                <w:sz w:val="15"/>
                <w:szCs w:val="15"/>
                <w:color w:val="auto"/>
              </w:rPr>
              <w:t>537,078</w:t>
            </w:r>
          </w:p>
        </w:tc>
        <w:tc>
          <w:tcPr>
            <w:tcW w:w="1140" w:type="dxa"/>
            <w:vAlign w:val="bottom"/>
            <w:tcBorders>
              <w:right w:val="single" w:sz="8" w:color="auto"/>
            </w:tcBorders>
          </w:tcPr>
          <w:p>
            <w:pPr>
              <w:jc w:val="right"/>
              <w:ind w:right="224"/>
              <w:spacing w:after="0" w:line="159" w:lineRule="exact"/>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18,292</w:t>
            </w:r>
          </w:p>
        </w:tc>
        <w:tc>
          <w:tcPr>
            <w:tcW w:w="800" w:type="dxa"/>
            <w:vAlign w:val="bottom"/>
            <w:tcBorders>
              <w:right w:val="single" w:sz="8" w:color="auto"/>
            </w:tcBorders>
          </w:tcPr>
          <w:p>
            <w:pPr>
              <w:jc w:val="right"/>
              <w:ind w:right="3"/>
              <w:spacing w:after="0" w:line="159" w:lineRule="exact"/>
              <w:rPr>
                <w:sz w:val="20"/>
                <w:szCs w:val="20"/>
                <w:color w:val="auto"/>
              </w:rPr>
            </w:pPr>
            <w:r>
              <w:rPr>
                <w:rFonts w:ascii="Arial" w:cs="Arial" w:eastAsia="Arial" w:hAnsi="Arial"/>
                <w:sz w:val="15"/>
                <w:szCs w:val="15"/>
                <w:color w:val="auto"/>
              </w:rPr>
              <w:t>1,586,502</w:t>
            </w:r>
          </w:p>
        </w:tc>
        <w:tc>
          <w:tcPr>
            <w:tcW w:w="0" w:type="dxa"/>
            <w:vAlign w:val="bottom"/>
          </w:tcPr>
          <w:p>
            <w:pPr>
              <w:spacing w:after="0"/>
              <w:rPr>
                <w:sz w:val="1"/>
                <w:szCs w:val="1"/>
                <w:color w:val="auto"/>
              </w:rPr>
            </w:pPr>
          </w:p>
        </w:tc>
      </w:tr>
      <w:tr>
        <w:trPr>
          <w:trHeight w:val="198"/>
        </w:trPr>
        <w:tc>
          <w:tcPr>
            <w:tcW w:w="25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&amp; Chief Financial Officer</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2012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526,763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401,234</w:t>
            </w:r>
          </w:p>
        </w:tc>
        <w:tc>
          <w:tcPr>
            <w:tcW w:w="780" w:type="dxa"/>
            <w:vAlign w:val="bottom"/>
            <w:tcBorders>
              <w:right w:val="single" w:sz="8" w:color="auto"/>
            </w:tcBorders>
          </w:tcPr>
          <w:p>
            <w:pPr>
              <w:jc w:val="right"/>
              <w:ind w:right="44"/>
              <w:spacing w:after="0"/>
              <w:rPr>
                <w:sz w:val="20"/>
                <w:szCs w:val="20"/>
                <w:color w:val="auto"/>
              </w:rPr>
            </w:pPr>
            <w:r>
              <w:rPr>
                <w:rFonts w:ascii="Arial" w:cs="Arial" w:eastAsia="Arial" w:hAnsi="Arial"/>
                <w:sz w:val="15"/>
                <w:szCs w:val="15"/>
                <w:color w:val="auto"/>
              </w:rPr>
              <w:t>133,749</w:t>
            </w:r>
          </w:p>
        </w:tc>
        <w:tc>
          <w:tcPr>
            <w:tcW w:w="1300" w:type="dxa"/>
            <w:vAlign w:val="bottom"/>
            <w:tcBorders>
              <w:right w:val="single" w:sz="8" w:color="auto"/>
            </w:tcBorders>
          </w:tcPr>
          <w:p>
            <w:pPr>
              <w:jc w:val="right"/>
              <w:ind w:right="244"/>
              <w:spacing w:after="0"/>
              <w:rPr>
                <w:sz w:val="20"/>
                <w:szCs w:val="20"/>
                <w:color w:val="auto"/>
              </w:rPr>
            </w:pPr>
            <w:r>
              <w:rPr>
                <w:rFonts w:ascii="Arial" w:cs="Arial" w:eastAsia="Arial" w:hAnsi="Arial"/>
                <w:sz w:val="15"/>
                <w:szCs w:val="15"/>
                <w:color w:val="auto"/>
              </w:rPr>
              <w:t>304,843</w:t>
            </w:r>
          </w:p>
        </w:tc>
        <w:tc>
          <w:tcPr>
            <w:tcW w:w="1140" w:type="dxa"/>
            <w:vAlign w:val="bottom"/>
            <w:tcBorders>
              <w:right w:val="single" w:sz="8" w:color="auto"/>
            </w:tcBorders>
          </w:tcPr>
          <w:p>
            <w:pPr>
              <w:jc w:val="right"/>
              <w:ind w:right="224"/>
              <w:spacing w:after="0"/>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28,580</w:t>
            </w:r>
          </w:p>
        </w:tc>
        <w:tc>
          <w:tcPr>
            <w:tcW w:w="800" w:type="dxa"/>
            <w:vAlign w:val="bottom"/>
            <w:tcBorders>
              <w:right w:val="single" w:sz="8" w:color="auto"/>
            </w:tcBorders>
          </w:tcPr>
          <w:p>
            <w:pPr>
              <w:jc w:val="right"/>
              <w:ind w:right="3"/>
              <w:spacing w:after="0"/>
              <w:rPr>
                <w:sz w:val="20"/>
                <w:szCs w:val="20"/>
                <w:color w:val="auto"/>
              </w:rPr>
            </w:pPr>
            <w:r>
              <w:rPr>
                <w:rFonts w:ascii="Arial" w:cs="Arial" w:eastAsia="Arial" w:hAnsi="Arial"/>
                <w:sz w:val="15"/>
                <w:szCs w:val="15"/>
                <w:color w:val="auto"/>
              </w:rPr>
              <w:t>1,395,169</w:t>
            </w:r>
          </w:p>
        </w:tc>
        <w:tc>
          <w:tcPr>
            <w:tcW w:w="0" w:type="dxa"/>
            <w:vAlign w:val="bottom"/>
          </w:tcPr>
          <w:p>
            <w:pPr>
              <w:spacing w:after="0"/>
              <w:rPr>
                <w:sz w:val="1"/>
                <w:szCs w:val="1"/>
                <w:color w:val="auto"/>
              </w:rPr>
            </w:pP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James P. McClure</w:t>
            </w:r>
          </w:p>
        </w:tc>
        <w:tc>
          <w:tcPr>
            <w:tcW w:w="52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2014</w:t>
            </w:r>
          </w:p>
        </w:tc>
        <w:tc>
          <w:tcPr>
            <w:tcW w:w="64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w w:val="99"/>
                <w:shd w:val="clear" w:color="auto" w:fill="E5EDFE"/>
              </w:rPr>
              <w:t>674,347</w:t>
            </w:r>
          </w:p>
        </w:tc>
        <w:tc>
          <w:tcPr>
            <w:tcW w:w="78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5"/>
                <w:szCs w:val="15"/>
                <w:color w:val="auto"/>
              </w:rPr>
              <w:t>734,511</w:t>
            </w:r>
          </w:p>
        </w:tc>
        <w:tc>
          <w:tcPr>
            <w:tcW w:w="780" w:type="dxa"/>
            <w:vAlign w:val="bottom"/>
            <w:tcBorders>
              <w:right w:val="single" w:sz="8" w:color="auto"/>
            </w:tcBorders>
            <w:shd w:val="clear" w:color="auto" w:fill="E5EDFE"/>
          </w:tcPr>
          <w:p>
            <w:pPr>
              <w:jc w:val="right"/>
              <w:ind w:right="44"/>
              <w:spacing w:after="0"/>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shd w:val="clear" w:color="auto" w:fill="E5EDFE"/>
          </w:tcPr>
          <w:p>
            <w:pPr>
              <w:jc w:val="right"/>
              <w:ind w:right="244"/>
              <w:spacing w:after="0"/>
              <w:rPr>
                <w:sz w:val="20"/>
                <w:szCs w:val="20"/>
                <w:color w:val="auto"/>
              </w:rPr>
            </w:pPr>
            <w:r>
              <w:rPr>
                <w:rFonts w:ascii="Arial" w:cs="Arial" w:eastAsia="Arial" w:hAnsi="Arial"/>
                <w:sz w:val="15"/>
                <w:szCs w:val="15"/>
                <w:color w:val="auto"/>
              </w:rPr>
              <w:t>572,773</w:t>
            </w:r>
          </w:p>
        </w:tc>
        <w:tc>
          <w:tcPr>
            <w:tcW w:w="1140" w:type="dxa"/>
            <w:vAlign w:val="bottom"/>
            <w:tcBorders>
              <w:right w:val="single" w:sz="8" w:color="auto"/>
            </w:tcBorders>
            <w:shd w:val="clear" w:color="auto" w:fill="E5EDFE"/>
          </w:tcPr>
          <w:p>
            <w:pPr>
              <w:jc w:val="right"/>
              <w:ind w:right="224"/>
              <w:spacing w:after="0"/>
              <w:rPr>
                <w:sz w:val="20"/>
                <w:szCs w:val="20"/>
                <w:color w:val="auto"/>
              </w:rPr>
            </w:pPr>
            <w:r>
              <w:rPr>
                <w:rFonts w:ascii="Arial" w:cs="Arial" w:eastAsia="Arial" w:hAnsi="Arial"/>
                <w:sz w:val="15"/>
                <w:szCs w:val="15"/>
                <w:color w:val="auto"/>
              </w:rPr>
              <w:t>22,155</w:t>
            </w:r>
          </w:p>
        </w:tc>
        <w:tc>
          <w:tcPr>
            <w:tcW w:w="130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14,176</w:t>
            </w:r>
          </w:p>
        </w:tc>
        <w:tc>
          <w:tcPr>
            <w:tcW w:w="800" w:type="dxa"/>
            <w:vAlign w:val="bottom"/>
            <w:tcBorders>
              <w:right w:val="single" w:sz="8" w:color="auto"/>
            </w:tcBorders>
            <w:shd w:val="clear" w:color="auto" w:fill="E5EDFE"/>
          </w:tcPr>
          <w:p>
            <w:pPr>
              <w:jc w:val="right"/>
              <w:ind w:right="3"/>
              <w:spacing w:after="0"/>
              <w:rPr>
                <w:sz w:val="20"/>
                <w:szCs w:val="20"/>
                <w:color w:val="auto"/>
              </w:rPr>
            </w:pPr>
            <w:r>
              <w:rPr>
                <w:rFonts w:ascii="Arial" w:cs="Arial" w:eastAsia="Arial" w:hAnsi="Arial"/>
                <w:sz w:val="15"/>
                <w:szCs w:val="15"/>
                <w:color w:val="auto"/>
                <w:shd w:val="clear" w:color="auto" w:fill="E5EDFE"/>
              </w:rPr>
              <w:t>2,017,962</w:t>
            </w:r>
          </w:p>
        </w:tc>
        <w:tc>
          <w:tcPr>
            <w:tcW w:w="0" w:type="dxa"/>
            <w:vAlign w:val="bottom"/>
          </w:tcPr>
          <w:p>
            <w:pPr>
              <w:spacing w:after="0"/>
              <w:rPr>
                <w:sz w:val="1"/>
                <w:szCs w:val="1"/>
                <w:color w:val="auto"/>
              </w:rPr>
            </w:pPr>
          </w:p>
        </w:tc>
      </w:tr>
      <w:tr>
        <w:trPr>
          <w:trHeight w:val="135"/>
        </w:trPr>
        <w:tc>
          <w:tcPr>
            <w:tcW w:w="2500" w:type="dxa"/>
            <w:vAlign w:val="bottom"/>
            <w:tcBorders>
              <w:left w:val="single" w:sz="8" w:color="auto"/>
              <w:right w:val="single" w:sz="8" w:color="auto"/>
            </w:tcBorders>
          </w:tcPr>
          <w:p>
            <w:pPr>
              <w:ind w:left="220"/>
              <w:spacing w:after="0" w:line="135" w:lineRule="exact"/>
              <w:rPr>
                <w:sz w:val="20"/>
                <w:szCs w:val="20"/>
                <w:color w:val="auto"/>
              </w:rPr>
            </w:pPr>
            <w:r>
              <w:rPr>
                <w:rFonts w:ascii="Arial" w:cs="Arial" w:eastAsia="Arial" w:hAnsi="Arial"/>
                <w:sz w:val="15"/>
                <w:szCs w:val="15"/>
                <w:color w:val="auto"/>
              </w:rPr>
              <w:t>Executive Vice President</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rPr>
              <w:t>2013</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99"/>
              </w:rPr>
              <w:t>655,750</w:t>
            </w:r>
          </w:p>
        </w:tc>
        <w:tc>
          <w:tcPr>
            <w:tcW w:w="78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5"/>
                <w:szCs w:val="15"/>
                <w:color w:val="auto"/>
              </w:rPr>
              <w:t>448,315</w:t>
            </w:r>
          </w:p>
        </w:tc>
        <w:tc>
          <w:tcPr>
            <w:tcW w:w="780" w:type="dxa"/>
            <w:vAlign w:val="bottom"/>
            <w:tcBorders>
              <w:right w:val="single" w:sz="8" w:color="auto"/>
            </w:tcBorders>
          </w:tcPr>
          <w:p>
            <w:pPr>
              <w:jc w:val="right"/>
              <w:ind w:right="44"/>
              <w:spacing w:after="0" w:line="135" w:lineRule="exact"/>
              <w:rPr>
                <w:sz w:val="20"/>
                <w:szCs w:val="20"/>
                <w:color w:val="auto"/>
              </w:rPr>
            </w:pPr>
            <w:r>
              <w:rPr>
                <w:rFonts w:ascii="Arial" w:cs="Arial" w:eastAsia="Arial" w:hAnsi="Arial"/>
                <w:sz w:val="15"/>
                <w:szCs w:val="15"/>
                <w:color w:val="auto"/>
              </w:rPr>
              <w:t>199,994</w:t>
            </w:r>
          </w:p>
        </w:tc>
        <w:tc>
          <w:tcPr>
            <w:tcW w:w="1300" w:type="dxa"/>
            <w:vAlign w:val="bottom"/>
            <w:tcBorders>
              <w:right w:val="single" w:sz="8" w:color="auto"/>
            </w:tcBorders>
          </w:tcPr>
          <w:p>
            <w:pPr>
              <w:jc w:val="right"/>
              <w:ind w:right="244"/>
              <w:spacing w:after="0" w:line="135" w:lineRule="exact"/>
              <w:rPr>
                <w:sz w:val="20"/>
                <w:szCs w:val="20"/>
                <w:color w:val="auto"/>
              </w:rPr>
            </w:pPr>
            <w:r>
              <w:rPr>
                <w:rFonts w:ascii="Arial" w:cs="Arial" w:eastAsia="Arial" w:hAnsi="Arial"/>
                <w:sz w:val="15"/>
                <w:szCs w:val="15"/>
                <w:color w:val="auto"/>
              </w:rPr>
              <w:t>683,657</w:t>
            </w:r>
          </w:p>
        </w:tc>
        <w:tc>
          <w:tcPr>
            <w:tcW w:w="1140" w:type="dxa"/>
            <w:vAlign w:val="bottom"/>
            <w:tcBorders>
              <w:right w:val="single" w:sz="8" w:color="auto"/>
            </w:tcBorders>
          </w:tcPr>
          <w:p>
            <w:pPr>
              <w:jc w:val="right"/>
              <w:ind w:right="224"/>
              <w:spacing w:after="0" w:line="135" w:lineRule="exact"/>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rPr>
              <w:t>14,815</w:t>
            </w:r>
          </w:p>
        </w:tc>
        <w:tc>
          <w:tcPr>
            <w:tcW w:w="800" w:type="dxa"/>
            <w:vAlign w:val="bottom"/>
            <w:tcBorders>
              <w:right w:val="single" w:sz="8" w:color="auto"/>
            </w:tcBorders>
          </w:tcPr>
          <w:p>
            <w:pPr>
              <w:jc w:val="right"/>
              <w:ind w:right="3"/>
              <w:spacing w:after="0" w:line="135" w:lineRule="exact"/>
              <w:rPr>
                <w:sz w:val="20"/>
                <w:szCs w:val="20"/>
                <w:color w:val="auto"/>
              </w:rPr>
            </w:pPr>
            <w:r>
              <w:rPr>
                <w:rFonts w:ascii="Arial" w:cs="Arial" w:eastAsia="Arial" w:hAnsi="Arial"/>
                <w:sz w:val="15"/>
                <w:szCs w:val="15"/>
                <w:color w:val="auto"/>
              </w:rPr>
              <w:t>2,002,531</w:t>
            </w:r>
          </w:p>
        </w:tc>
        <w:tc>
          <w:tcPr>
            <w:tcW w:w="0" w:type="dxa"/>
            <w:vAlign w:val="bottom"/>
          </w:tcPr>
          <w:p>
            <w:pPr>
              <w:spacing w:after="0"/>
              <w:rPr>
                <w:sz w:val="1"/>
                <w:szCs w:val="1"/>
                <w:color w:val="auto"/>
              </w:rPr>
            </w:pPr>
          </w:p>
        </w:tc>
      </w:tr>
      <w:tr>
        <w:trPr>
          <w:trHeight w:val="187"/>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2012</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637,324</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532,102</w:t>
            </w:r>
          </w:p>
        </w:tc>
        <w:tc>
          <w:tcPr>
            <w:tcW w:w="7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5"/>
                <w:szCs w:val="15"/>
                <w:color w:val="auto"/>
              </w:rPr>
              <w:t>177,371</w:t>
            </w:r>
          </w:p>
        </w:tc>
        <w:tc>
          <w:tcPr>
            <w:tcW w:w="1300" w:type="dxa"/>
            <w:vAlign w:val="bottom"/>
            <w:tcBorders>
              <w:bottom w:val="single" w:sz="8" w:color="auto"/>
              <w:right w:val="single" w:sz="8" w:color="auto"/>
            </w:tcBorders>
          </w:tcPr>
          <w:p>
            <w:pPr>
              <w:jc w:val="right"/>
              <w:ind w:right="244"/>
              <w:spacing w:after="0"/>
              <w:rPr>
                <w:sz w:val="20"/>
                <w:szCs w:val="20"/>
                <w:color w:val="auto"/>
              </w:rPr>
            </w:pPr>
            <w:r>
              <w:rPr>
                <w:rFonts w:ascii="Arial" w:cs="Arial" w:eastAsia="Arial" w:hAnsi="Arial"/>
                <w:sz w:val="15"/>
                <w:szCs w:val="15"/>
                <w:color w:val="auto"/>
              </w:rPr>
              <w:t>403,931</w:t>
            </w:r>
          </w:p>
        </w:tc>
        <w:tc>
          <w:tcPr>
            <w:tcW w:w="1140" w:type="dxa"/>
            <w:vAlign w:val="bottom"/>
            <w:tcBorders>
              <w:bottom w:val="single" w:sz="8" w:color="auto"/>
              <w:right w:val="single" w:sz="8" w:color="auto"/>
            </w:tcBorders>
          </w:tcPr>
          <w:p>
            <w:pPr>
              <w:jc w:val="right"/>
              <w:ind w:right="224"/>
              <w:spacing w:after="0"/>
              <w:rPr>
                <w:sz w:val="20"/>
                <w:szCs w:val="20"/>
                <w:color w:val="auto"/>
              </w:rPr>
            </w:pPr>
            <w:r>
              <w:rPr>
                <w:rFonts w:ascii="Arial" w:cs="Arial" w:eastAsia="Arial" w:hAnsi="Arial"/>
                <w:sz w:val="15"/>
                <w:szCs w:val="15"/>
                <w:color w:val="auto"/>
              </w:rPr>
              <w:t>30,308</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49,167</w:t>
            </w:r>
          </w:p>
        </w:tc>
        <w:tc>
          <w:tcPr>
            <w:tcW w:w="80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1,830,203</w:t>
            </w:r>
          </w:p>
        </w:tc>
        <w:tc>
          <w:tcPr>
            <w:tcW w:w="0" w:type="dxa"/>
            <w:vAlign w:val="bottom"/>
          </w:tcPr>
          <w:p>
            <w:pPr>
              <w:spacing w:after="0"/>
              <w:rPr>
                <w:sz w:val="1"/>
                <w:szCs w:val="1"/>
                <w:color w:val="auto"/>
              </w:rPr>
            </w:pPr>
          </w:p>
        </w:tc>
      </w:tr>
      <w:tr>
        <w:trPr>
          <w:trHeight w:val="198"/>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Tracy K. Price</w:t>
            </w:r>
          </w:p>
        </w:tc>
        <w:tc>
          <w:tcPr>
            <w:tcW w:w="52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2014</w:t>
            </w:r>
          </w:p>
        </w:tc>
        <w:tc>
          <w:tcPr>
            <w:tcW w:w="64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w w:val="99"/>
                <w:shd w:val="clear" w:color="auto" w:fill="E5EDFE"/>
              </w:rPr>
              <w:t>674,347</w:t>
            </w:r>
          </w:p>
        </w:tc>
        <w:tc>
          <w:tcPr>
            <w:tcW w:w="78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5"/>
                <w:szCs w:val="15"/>
                <w:color w:val="auto"/>
              </w:rPr>
              <w:t>734,511</w:t>
            </w:r>
          </w:p>
        </w:tc>
        <w:tc>
          <w:tcPr>
            <w:tcW w:w="780" w:type="dxa"/>
            <w:vAlign w:val="bottom"/>
            <w:tcBorders>
              <w:right w:val="single" w:sz="8" w:color="auto"/>
            </w:tcBorders>
            <w:shd w:val="clear" w:color="auto" w:fill="E5EDFE"/>
          </w:tcPr>
          <w:p>
            <w:pPr>
              <w:jc w:val="right"/>
              <w:ind w:right="44"/>
              <w:spacing w:after="0"/>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shd w:val="clear" w:color="auto" w:fill="E5EDFE"/>
          </w:tcPr>
          <w:p>
            <w:pPr>
              <w:jc w:val="right"/>
              <w:ind w:right="244"/>
              <w:spacing w:after="0"/>
              <w:rPr>
                <w:sz w:val="20"/>
                <w:szCs w:val="20"/>
                <w:color w:val="auto"/>
              </w:rPr>
            </w:pPr>
            <w:r>
              <w:rPr>
                <w:rFonts w:ascii="Arial" w:cs="Arial" w:eastAsia="Arial" w:hAnsi="Arial"/>
                <w:sz w:val="15"/>
                <w:szCs w:val="15"/>
                <w:color w:val="auto"/>
              </w:rPr>
              <w:t>683,129</w:t>
            </w:r>
          </w:p>
        </w:tc>
        <w:tc>
          <w:tcPr>
            <w:tcW w:w="1140" w:type="dxa"/>
            <w:vAlign w:val="bottom"/>
            <w:tcBorders>
              <w:right w:val="single" w:sz="8" w:color="auto"/>
            </w:tcBorders>
            <w:shd w:val="clear" w:color="auto" w:fill="E5EDFE"/>
          </w:tcPr>
          <w:p>
            <w:pPr>
              <w:jc w:val="right"/>
              <w:ind w:right="224"/>
              <w:spacing w:after="0"/>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44,648</w:t>
            </w:r>
          </w:p>
        </w:tc>
        <w:tc>
          <w:tcPr>
            <w:tcW w:w="800" w:type="dxa"/>
            <w:vAlign w:val="bottom"/>
            <w:tcBorders>
              <w:right w:val="single" w:sz="8" w:color="auto"/>
            </w:tcBorders>
            <w:shd w:val="clear" w:color="auto" w:fill="E5EDFE"/>
          </w:tcPr>
          <w:p>
            <w:pPr>
              <w:jc w:val="right"/>
              <w:ind w:right="3"/>
              <w:spacing w:after="0"/>
              <w:rPr>
                <w:sz w:val="20"/>
                <w:szCs w:val="20"/>
                <w:color w:val="auto"/>
              </w:rPr>
            </w:pPr>
            <w:r>
              <w:rPr>
                <w:rFonts w:ascii="Arial" w:cs="Arial" w:eastAsia="Arial" w:hAnsi="Arial"/>
                <w:sz w:val="15"/>
                <w:szCs w:val="15"/>
                <w:color w:val="auto"/>
                <w:shd w:val="clear" w:color="auto" w:fill="E5EDFE"/>
              </w:rPr>
              <w:t>2,136,635</w:t>
            </w:r>
          </w:p>
        </w:tc>
        <w:tc>
          <w:tcPr>
            <w:tcW w:w="0" w:type="dxa"/>
            <w:vAlign w:val="bottom"/>
          </w:tcPr>
          <w:p>
            <w:pPr>
              <w:spacing w:after="0"/>
              <w:rPr>
                <w:sz w:val="1"/>
                <w:szCs w:val="1"/>
                <w:color w:val="auto"/>
              </w:rPr>
            </w:pPr>
          </w:p>
        </w:tc>
      </w:tr>
      <w:tr>
        <w:trPr>
          <w:trHeight w:val="135"/>
        </w:trPr>
        <w:tc>
          <w:tcPr>
            <w:tcW w:w="2500" w:type="dxa"/>
            <w:vAlign w:val="bottom"/>
            <w:tcBorders>
              <w:left w:val="single" w:sz="8" w:color="auto"/>
              <w:right w:val="single" w:sz="8" w:color="auto"/>
            </w:tcBorders>
          </w:tcPr>
          <w:p>
            <w:pPr>
              <w:ind w:left="220"/>
              <w:spacing w:after="0" w:line="135" w:lineRule="exact"/>
              <w:rPr>
                <w:sz w:val="20"/>
                <w:szCs w:val="20"/>
                <w:color w:val="auto"/>
              </w:rPr>
            </w:pPr>
            <w:r>
              <w:rPr>
                <w:rFonts w:ascii="Arial" w:cs="Arial" w:eastAsia="Arial" w:hAnsi="Arial"/>
                <w:sz w:val="15"/>
                <w:szCs w:val="15"/>
                <w:color w:val="auto"/>
              </w:rPr>
              <w:t>Executive Vice President</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rPr>
              <w:t>2013</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99"/>
              </w:rPr>
              <w:t>655,750</w:t>
            </w:r>
          </w:p>
        </w:tc>
        <w:tc>
          <w:tcPr>
            <w:tcW w:w="78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5"/>
                <w:szCs w:val="15"/>
                <w:color w:val="auto"/>
              </w:rPr>
              <w:t>448,315</w:t>
            </w:r>
          </w:p>
        </w:tc>
        <w:tc>
          <w:tcPr>
            <w:tcW w:w="780" w:type="dxa"/>
            <w:vAlign w:val="bottom"/>
            <w:tcBorders>
              <w:right w:val="single" w:sz="8" w:color="auto"/>
            </w:tcBorders>
          </w:tcPr>
          <w:p>
            <w:pPr>
              <w:jc w:val="right"/>
              <w:ind w:right="44"/>
              <w:spacing w:after="0" w:line="135" w:lineRule="exact"/>
              <w:rPr>
                <w:sz w:val="20"/>
                <w:szCs w:val="20"/>
                <w:color w:val="auto"/>
              </w:rPr>
            </w:pPr>
            <w:r>
              <w:rPr>
                <w:rFonts w:ascii="Arial" w:cs="Arial" w:eastAsia="Arial" w:hAnsi="Arial"/>
                <w:sz w:val="15"/>
                <w:szCs w:val="15"/>
                <w:color w:val="auto"/>
              </w:rPr>
              <w:t>199,994</w:t>
            </w:r>
          </w:p>
        </w:tc>
        <w:tc>
          <w:tcPr>
            <w:tcW w:w="1300" w:type="dxa"/>
            <w:vAlign w:val="bottom"/>
            <w:tcBorders>
              <w:right w:val="single" w:sz="8" w:color="auto"/>
            </w:tcBorders>
          </w:tcPr>
          <w:p>
            <w:pPr>
              <w:jc w:val="right"/>
              <w:ind w:right="244"/>
              <w:spacing w:after="0" w:line="135" w:lineRule="exact"/>
              <w:rPr>
                <w:sz w:val="20"/>
                <w:szCs w:val="20"/>
                <w:color w:val="auto"/>
              </w:rPr>
            </w:pPr>
            <w:r>
              <w:rPr>
                <w:rFonts w:ascii="Arial" w:cs="Arial" w:eastAsia="Arial" w:hAnsi="Arial"/>
                <w:sz w:val="15"/>
                <w:szCs w:val="15"/>
                <w:color w:val="auto"/>
              </w:rPr>
              <w:t>682,900</w:t>
            </w:r>
          </w:p>
        </w:tc>
        <w:tc>
          <w:tcPr>
            <w:tcW w:w="1140" w:type="dxa"/>
            <w:vAlign w:val="bottom"/>
            <w:tcBorders>
              <w:right w:val="single" w:sz="8" w:color="auto"/>
            </w:tcBorders>
          </w:tcPr>
          <w:p>
            <w:pPr>
              <w:jc w:val="right"/>
              <w:ind w:right="224"/>
              <w:spacing w:after="0" w:line="135" w:lineRule="exact"/>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rPr>
              <w:t>42,673</w:t>
            </w:r>
          </w:p>
        </w:tc>
        <w:tc>
          <w:tcPr>
            <w:tcW w:w="800" w:type="dxa"/>
            <w:vAlign w:val="bottom"/>
            <w:tcBorders>
              <w:right w:val="single" w:sz="8" w:color="auto"/>
            </w:tcBorders>
          </w:tcPr>
          <w:p>
            <w:pPr>
              <w:jc w:val="right"/>
              <w:ind w:right="3"/>
              <w:spacing w:after="0" w:line="135" w:lineRule="exact"/>
              <w:rPr>
                <w:sz w:val="20"/>
                <w:szCs w:val="20"/>
                <w:color w:val="auto"/>
              </w:rPr>
            </w:pPr>
            <w:r>
              <w:rPr>
                <w:rFonts w:ascii="Arial" w:cs="Arial" w:eastAsia="Arial" w:hAnsi="Arial"/>
                <w:sz w:val="15"/>
                <w:szCs w:val="15"/>
                <w:color w:val="auto"/>
              </w:rPr>
              <w:t>2,029,632</w:t>
            </w:r>
          </w:p>
        </w:tc>
        <w:tc>
          <w:tcPr>
            <w:tcW w:w="0" w:type="dxa"/>
            <w:vAlign w:val="bottom"/>
          </w:tcPr>
          <w:p>
            <w:pPr>
              <w:spacing w:after="0"/>
              <w:rPr>
                <w:sz w:val="1"/>
                <w:szCs w:val="1"/>
                <w:color w:val="auto"/>
              </w:rPr>
            </w:pPr>
          </w:p>
        </w:tc>
      </w:tr>
      <w:tr>
        <w:trPr>
          <w:trHeight w:val="187"/>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2012</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643,247</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532,102</w:t>
            </w:r>
          </w:p>
        </w:tc>
        <w:tc>
          <w:tcPr>
            <w:tcW w:w="7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5"/>
                <w:szCs w:val="15"/>
                <w:color w:val="auto"/>
              </w:rPr>
              <w:t>177,371</w:t>
            </w:r>
          </w:p>
        </w:tc>
        <w:tc>
          <w:tcPr>
            <w:tcW w:w="1300" w:type="dxa"/>
            <w:vAlign w:val="bottom"/>
            <w:tcBorders>
              <w:bottom w:val="single" w:sz="8" w:color="auto"/>
              <w:right w:val="single" w:sz="8" w:color="auto"/>
            </w:tcBorders>
          </w:tcPr>
          <w:p>
            <w:pPr>
              <w:jc w:val="right"/>
              <w:ind w:right="244"/>
              <w:spacing w:after="0"/>
              <w:rPr>
                <w:sz w:val="20"/>
                <w:szCs w:val="20"/>
                <w:color w:val="auto"/>
              </w:rPr>
            </w:pPr>
            <w:r>
              <w:rPr>
                <w:rFonts w:ascii="Arial" w:cs="Arial" w:eastAsia="Arial" w:hAnsi="Arial"/>
                <w:sz w:val="15"/>
                <w:szCs w:val="15"/>
                <w:color w:val="auto"/>
              </w:rPr>
              <w:t>384,581</w:t>
            </w:r>
          </w:p>
        </w:tc>
        <w:tc>
          <w:tcPr>
            <w:tcW w:w="1140" w:type="dxa"/>
            <w:vAlign w:val="bottom"/>
            <w:tcBorders>
              <w:bottom w:val="single" w:sz="8" w:color="auto"/>
              <w:right w:val="single" w:sz="8" w:color="auto"/>
            </w:tcBorders>
          </w:tcPr>
          <w:p>
            <w:pPr>
              <w:jc w:val="right"/>
              <w:ind w:right="224"/>
              <w:spacing w:after="0"/>
              <w:rPr>
                <w:sz w:val="20"/>
                <w:szCs w:val="20"/>
                <w:color w:val="auto"/>
              </w:rPr>
            </w:pPr>
            <w:r>
              <w:rPr>
                <w:rFonts w:ascii="Arial" w:cs="Arial" w:eastAsia="Arial" w:hAnsi="Arial"/>
                <w:sz w:val="15"/>
                <w:szCs w:val="15"/>
                <w:color w:val="auto"/>
              </w:rPr>
              <w:t>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41,543</w:t>
            </w:r>
          </w:p>
        </w:tc>
        <w:tc>
          <w:tcPr>
            <w:tcW w:w="80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1,778,844</w:t>
            </w:r>
          </w:p>
        </w:tc>
        <w:tc>
          <w:tcPr>
            <w:tcW w:w="0" w:type="dxa"/>
            <w:vAlign w:val="bottom"/>
          </w:tcPr>
          <w:p>
            <w:pPr>
              <w:spacing w:after="0"/>
              <w:rPr>
                <w:sz w:val="1"/>
                <w:szCs w:val="1"/>
                <w:color w:val="auto"/>
              </w:rPr>
            </w:pPr>
          </w:p>
        </w:tc>
      </w:tr>
      <w:tr>
        <w:trPr>
          <w:trHeight w:val="198"/>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Sarah H. McConnell</w:t>
            </w:r>
          </w:p>
        </w:tc>
        <w:tc>
          <w:tcPr>
            <w:tcW w:w="52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2014</w:t>
            </w:r>
          </w:p>
        </w:tc>
        <w:tc>
          <w:tcPr>
            <w:tcW w:w="64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w w:val="99"/>
                <w:shd w:val="clear" w:color="auto" w:fill="E5EDFE"/>
              </w:rPr>
              <w:t>470,475</w:t>
            </w:r>
          </w:p>
        </w:tc>
        <w:tc>
          <w:tcPr>
            <w:tcW w:w="78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5"/>
                <w:szCs w:val="15"/>
                <w:color w:val="auto"/>
              </w:rPr>
              <w:t>465,829</w:t>
            </w:r>
          </w:p>
        </w:tc>
        <w:tc>
          <w:tcPr>
            <w:tcW w:w="780" w:type="dxa"/>
            <w:vAlign w:val="bottom"/>
            <w:tcBorders>
              <w:right w:val="single" w:sz="8" w:color="auto"/>
            </w:tcBorders>
            <w:shd w:val="clear" w:color="auto" w:fill="E5EDFE"/>
          </w:tcPr>
          <w:p>
            <w:pPr>
              <w:jc w:val="right"/>
              <w:ind w:right="44"/>
              <w:spacing w:after="0"/>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shd w:val="clear" w:color="auto" w:fill="E5EDFE"/>
          </w:tcPr>
          <w:p>
            <w:pPr>
              <w:jc w:val="right"/>
              <w:ind w:right="244"/>
              <w:spacing w:after="0"/>
              <w:rPr>
                <w:sz w:val="20"/>
                <w:szCs w:val="20"/>
                <w:color w:val="auto"/>
              </w:rPr>
            </w:pPr>
            <w:r>
              <w:rPr>
                <w:rFonts w:ascii="Arial" w:cs="Arial" w:eastAsia="Arial" w:hAnsi="Arial"/>
                <w:sz w:val="15"/>
                <w:szCs w:val="15"/>
                <w:color w:val="auto"/>
              </w:rPr>
              <w:t>375,928</w:t>
            </w:r>
          </w:p>
        </w:tc>
        <w:tc>
          <w:tcPr>
            <w:tcW w:w="1140" w:type="dxa"/>
            <w:vAlign w:val="bottom"/>
            <w:tcBorders>
              <w:right w:val="single" w:sz="8" w:color="auto"/>
            </w:tcBorders>
            <w:shd w:val="clear" w:color="auto" w:fill="E5EDFE"/>
          </w:tcPr>
          <w:p>
            <w:pPr>
              <w:jc w:val="right"/>
              <w:ind w:right="224"/>
              <w:spacing w:after="0"/>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shd w:val="clear" w:color="auto" w:fill="E5EDFE"/>
          </w:tcPr>
          <w:p>
            <w:pPr>
              <w:jc w:val="center"/>
              <w:spacing w:after="0"/>
              <w:rPr>
                <w:sz w:val="20"/>
                <w:szCs w:val="20"/>
                <w:color w:val="auto"/>
              </w:rPr>
            </w:pPr>
            <w:r>
              <w:rPr>
                <w:rFonts w:ascii="Arial" w:cs="Arial" w:eastAsia="Arial" w:hAnsi="Arial"/>
                <w:sz w:val="15"/>
                <w:szCs w:val="15"/>
                <w:color w:val="auto"/>
              </w:rPr>
              <w:t>13,818</w:t>
            </w:r>
          </w:p>
        </w:tc>
        <w:tc>
          <w:tcPr>
            <w:tcW w:w="800" w:type="dxa"/>
            <w:vAlign w:val="bottom"/>
            <w:tcBorders>
              <w:right w:val="single" w:sz="8" w:color="auto"/>
            </w:tcBorders>
            <w:shd w:val="clear" w:color="auto" w:fill="E5EDFE"/>
          </w:tcPr>
          <w:p>
            <w:pPr>
              <w:jc w:val="right"/>
              <w:ind w:right="3"/>
              <w:spacing w:after="0"/>
              <w:rPr>
                <w:sz w:val="20"/>
                <w:szCs w:val="20"/>
                <w:color w:val="auto"/>
              </w:rPr>
            </w:pPr>
            <w:r>
              <w:rPr>
                <w:rFonts w:ascii="Arial" w:cs="Arial" w:eastAsia="Arial" w:hAnsi="Arial"/>
                <w:sz w:val="15"/>
                <w:szCs w:val="15"/>
                <w:color w:val="auto"/>
                <w:shd w:val="clear" w:color="auto" w:fill="E5EDFE"/>
              </w:rPr>
              <w:t>1,326,050</w:t>
            </w:r>
          </w:p>
        </w:tc>
        <w:tc>
          <w:tcPr>
            <w:tcW w:w="0" w:type="dxa"/>
            <w:vAlign w:val="bottom"/>
          </w:tcPr>
          <w:p>
            <w:pPr>
              <w:spacing w:after="0"/>
              <w:rPr>
                <w:sz w:val="1"/>
                <w:szCs w:val="1"/>
                <w:color w:val="auto"/>
              </w:rPr>
            </w:pPr>
          </w:p>
        </w:tc>
      </w:tr>
      <w:tr>
        <w:trPr>
          <w:trHeight w:val="135"/>
        </w:trPr>
        <w:tc>
          <w:tcPr>
            <w:tcW w:w="2500" w:type="dxa"/>
            <w:vAlign w:val="bottom"/>
            <w:tcBorders>
              <w:left w:val="single" w:sz="8" w:color="auto"/>
              <w:right w:val="single" w:sz="8" w:color="auto"/>
            </w:tcBorders>
          </w:tcPr>
          <w:p>
            <w:pPr>
              <w:ind w:left="220"/>
              <w:spacing w:after="0" w:line="135" w:lineRule="exact"/>
              <w:rPr>
                <w:sz w:val="20"/>
                <w:szCs w:val="20"/>
                <w:color w:val="auto"/>
              </w:rPr>
            </w:pPr>
            <w:r>
              <w:rPr>
                <w:rFonts w:ascii="Arial" w:cs="Arial" w:eastAsia="Arial" w:hAnsi="Arial"/>
                <w:sz w:val="15"/>
                <w:szCs w:val="15"/>
                <w:color w:val="auto"/>
              </w:rPr>
              <w:t>Executive Vice President</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rPr>
              <w:t>2013</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w w:val="99"/>
              </w:rPr>
              <w:t>457,500</w:t>
            </w:r>
          </w:p>
        </w:tc>
        <w:tc>
          <w:tcPr>
            <w:tcW w:w="78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5"/>
                <w:szCs w:val="15"/>
                <w:color w:val="auto"/>
              </w:rPr>
              <w:t>209,986</w:t>
            </w:r>
          </w:p>
        </w:tc>
        <w:tc>
          <w:tcPr>
            <w:tcW w:w="780" w:type="dxa"/>
            <w:vAlign w:val="bottom"/>
            <w:tcBorders>
              <w:right w:val="single" w:sz="8" w:color="auto"/>
            </w:tcBorders>
          </w:tcPr>
          <w:p>
            <w:pPr>
              <w:jc w:val="right"/>
              <w:ind w:right="44"/>
              <w:spacing w:after="0" w:line="135" w:lineRule="exact"/>
              <w:rPr>
                <w:sz w:val="20"/>
                <w:szCs w:val="20"/>
                <w:color w:val="auto"/>
              </w:rPr>
            </w:pPr>
            <w:r>
              <w:rPr>
                <w:rFonts w:ascii="Arial" w:cs="Arial" w:eastAsia="Arial" w:hAnsi="Arial"/>
                <w:sz w:val="15"/>
                <w:szCs w:val="15"/>
                <w:color w:val="auto"/>
              </w:rPr>
              <w:t>74,997</w:t>
            </w:r>
          </w:p>
        </w:tc>
        <w:tc>
          <w:tcPr>
            <w:tcW w:w="1300" w:type="dxa"/>
            <w:vAlign w:val="bottom"/>
            <w:tcBorders>
              <w:right w:val="single" w:sz="8" w:color="auto"/>
            </w:tcBorders>
          </w:tcPr>
          <w:p>
            <w:pPr>
              <w:jc w:val="right"/>
              <w:ind w:right="244"/>
              <w:spacing w:after="0" w:line="135" w:lineRule="exact"/>
              <w:rPr>
                <w:sz w:val="20"/>
                <w:szCs w:val="20"/>
                <w:color w:val="auto"/>
              </w:rPr>
            </w:pPr>
            <w:r>
              <w:rPr>
                <w:rFonts w:ascii="Arial" w:cs="Arial" w:eastAsia="Arial" w:hAnsi="Arial"/>
                <w:sz w:val="15"/>
                <w:szCs w:val="15"/>
                <w:color w:val="auto"/>
              </w:rPr>
              <w:t>370,688</w:t>
            </w:r>
          </w:p>
        </w:tc>
        <w:tc>
          <w:tcPr>
            <w:tcW w:w="1140" w:type="dxa"/>
            <w:vAlign w:val="bottom"/>
            <w:tcBorders>
              <w:right w:val="single" w:sz="8" w:color="auto"/>
            </w:tcBorders>
          </w:tcPr>
          <w:p>
            <w:pPr>
              <w:jc w:val="right"/>
              <w:ind w:right="224"/>
              <w:spacing w:after="0" w:line="135" w:lineRule="exact"/>
              <w:rPr>
                <w:sz w:val="20"/>
                <w:szCs w:val="20"/>
                <w:color w:val="auto"/>
              </w:rPr>
            </w:pPr>
            <w:r>
              <w:rPr>
                <w:rFonts w:ascii="Arial" w:cs="Arial" w:eastAsia="Arial" w:hAnsi="Arial"/>
                <w:sz w:val="15"/>
                <w:szCs w:val="15"/>
                <w:color w:val="auto"/>
              </w:rPr>
              <w:t>0</w:t>
            </w:r>
          </w:p>
        </w:tc>
        <w:tc>
          <w:tcPr>
            <w:tcW w:w="13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5"/>
                <w:szCs w:val="15"/>
                <w:color w:val="auto"/>
              </w:rPr>
              <w:t>11,841</w:t>
            </w:r>
          </w:p>
        </w:tc>
        <w:tc>
          <w:tcPr>
            <w:tcW w:w="800" w:type="dxa"/>
            <w:vAlign w:val="bottom"/>
            <w:tcBorders>
              <w:right w:val="single" w:sz="8" w:color="auto"/>
            </w:tcBorders>
          </w:tcPr>
          <w:p>
            <w:pPr>
              <w:jc w:val="right"/>
              <w:ind w:right="3"/>
              <w:spacing w:after="0" w:line="135" w:lineRule="exact"/>
              <w:rPr>
                <w:sz w:val="20"/>
                <w:szCs w:val="20"/>
                <w:color w:val="auto"/>
              </w:rPr>
            </w:pPr>
            <w:r>
              <w:rPr>
                <w:rFonts w:ascii="Arial" w:cs="Arial" w:eastAsia="Arial" w:hAnsi="Arial"/>
                <w:sz w:val="15"/>
                <w:szCs w:val="15"/>
                <w:color w:val="auto"/>
              </w:rPr>
              <w:t>1,125,012</w:t>
            </w:r>
          </w:p>
        </w:tc>
        <w:tc>
          <w:tcPr>
            <w:tcW w:w="0" w:type="dxa"/>
            <w:vAlign w:val="bottom"/>
          </w:tcPr>
          <w:p>
            <w:pPr>
              <w:spacing w:after="0"/>
              <w:rPr>
                <w:sz w:val="1"/>
                <w:szCs w:val="1"/>
                <w:color w:val="auto"/>
              </w:rPr>
            </w:pPr>
          </w:p>
        </w:tc>
      </w:tr>
      <w:tr>
        <w:trPr>
          <w:trHeight w:val="187"/>
        </w:trPr>
        <w:tc>
          <w:tcPr>
            <w:tcW w:w="2500" w:type="dxa"/>
            <w:vAlign w:val="bottom"/>
            <w:tcBorders>
              <w:left w:val="single" w:sz="8" w:color="auto"/>
              <w:bottom w:val="single" w:sz="8" w:color="auto"/>
              <w:right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2012</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441,778</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202,479</w:t>
            </w:r>
          </w:p>
        </w:tc>
        <w:tc>
          <w:tcPr>
            <w:tcW w:w="7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5"/>
                <w:szCs w:val="15"/>
                <w:color w:val="auto"/>
              </w:rPr>
              <w:t>67,499</w:t>
            </w:r>
          </w:p>
        </w:tc>
        <w:tc>
          <w:tcPr>
            <w:tcW w:w="1300" w:type="dxa"/>
            <w:vAlign w:val="bottom"/>
            <w:tcBorders>
              <w:bottom w:val="single" w:sz="8" w:color="auto"/>
              <w:right w:val="single" w:sz="8" w:color="auto"/>
            </w:tcBorders>
          </w:tcPr>
          <w:p>
            <w:pPr>
              <w:jc w:val="right"/>
              <w:ind w:right="244"/>
              <w:spacing w:after="0"/>
              <w:rPr>
                <w:sz w:val="20"/>
                <w:szCs w:val="20"/>
                <w:color w:val="auto"/>
              </w:rPr>
            </w:pPr>
            <w:r>
              <w:rPr>
                <w:rFonts w:ascii="Arial" w:cs="Arial" w:eastAsia="Arial" w:hAnsi="Arial"/>
                <w:sz w:val="15"/>
                <w:szCs w:val="15"/>
                <w:color w:val="auto"/>
              </w:rPr>
              <w:t>234,090</w:t>
            </w:r>
          </w:p>
        </w:tc>
        <w:tc>
          <w:tcPr>
            <w:tcW w:w="1140" w:type="dxa"/>
            <w:vAlign w:val="bottom"/>
            <w:tcBorders>
              <w:bottom w:val="single" w:sz="8" w:color="auto"/>
              <w:right w:val="single" w:sz="8" w:color="auto"/>
            </w:tcBorders>
          </w:tcPr>
          <w:p>
            <w:pPr>
              <w:jc w:val="right"/>
              <w:ind w:right="224"/>
              <w:spacing w:after="0"/>
              <w:rPr>
                <w:sz w:val="20"/>
                <w:szCs w:val="20"/>
                <w:color w:val="auto"/>
              </w:rPr>
            </w:pPr>
            <w:r>
              <w:rPr>
                <w:rFonts w:ascii="Arial" w:cs="Arial" w:eastAsia="Arial" w:hAnsi="Arial"/>
                <w:sz w:val="15"/>
                <w:szCs w:val="15"/>
                <w:color w:val="auto"/>
              </w:rPr>
              <w:t>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13,855</w:t>
            </w:r>
          </w:p>
        </w:tc>
        <w:tc>
          <w:tcPr>
            <w:tcW w:w="80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5"/>
                <w:szCs w:val="15"/>
                <w:color w:val="auto"/>
              </w:rPr>
              <w:t>959,701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left="1620" w:right="780" w:hanging="352"/>
        <w:spacing w:after="0" w:line="261" w:lineRule="auto"/>
        <w:tabs>
          <w:tab w:leader="none" w:pos="1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value shown is the aggregate grant date value for performance share and RSU awards computed in accordance with FASB ASC Topic No. 718, based on target levels of achievement (the probable outcome at grant), in the case of performance shares. A discussion of assumptions used in calculating these values may be found in Note 14, “Share-Based Compensation Plans,” in the Notes to the Consolidated Financial Statements included in the Company’s Annual Report on</w:t>
      </w:r>
    </w:p>
    <w:p>
      <w:pPr>
        <w:spacing w:after="0" w:line="2" w:lineRule="exact"/>
        <w:rPr>
          <w:sz w:val="20"/>
          <w:szCs w:val="20"/>
          <w:color w:val="auto"/>
        </w:rPr>
      </w:pPr>
    </w:p>
    <w:p>
      <w:pPr>
        <w:jc w:val="both"/>
        <w:ind w:left="1620" w:right="780"/>
        <w:spacing w:after="0" w:line="265" w:lineRule="auto"/>
        <w:rPr>
          <w:sz w:val="20"/>
          <w:szCs w:val="20"/>
          <w:color w:val="auto"/>
        </w:rPr>
      </w:pPr>
      <w:r>
        <w:rPr>
          <w:rFonts w:ascii="Arial" w:cs="Arial" w:eastAsia="Arial" w:hAnsi="Arial"/>
          <w:sz w:val="14"/>
          <w:szCs w:val="14"/>
          <w:color w:val="auto"/>
        </w:rPr>
        <w:t>Form 10-K for the fiscal year ended October 31, 2014. The maximum value for performance share awards granted in fiscal year 2014 under the 2014 – 2016 Fiscal Year Performance Share Program is as follows: Mr. Slipsager: $1,733,985; Mr. Lusk: $545,668; Mr. McClure: $723,670; Mr. Price: $723,670; and Ms. McConnell: $458,955. The maximum value for performance share awards granted under the TSR-Based 2014 – 2016 Performance Share Program is as follows: . Mr. Slipsager: $669,722; Mr. Lusk: $210,761; Mr. McClure: $279,510; Mr. Price: $279,510; and Ms. McConnell: $106,354.</w:t>
      </w:r>
    </w:p>
    <w:p>
      <w:pPr>
        <w:spacing w:after="0" w:line="43" w:lineRule="exact"/>
        <w:rPr>
          <w:sz w:val="20"/>
          <w:szCs w:val="20"/>
          <w:color w:val="auto"/>
        </w:rPr>
      </w:pPr>
    </w:p>
    <w:p>
      <w:pPr>
        <w:jc w:val="both"/>
        <w:ind w:left="1620" w:right="780" w:hanging="352"/>
        <w:spacing w:after="0" w:line="267" w:lineRule="auto"/>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value shown is the aggregate grant date value for stock option awards computed in accordance with FASB ASC Topic 718. A discussion of assumptions used in calculating these values may be found in Note 14, “Share-Based Compensation Plans,” in the Notes to the Consolidated Financial Statements included in the Company’s Annual Report on Form 10-K for the fiscal year ended October 31, 2014.</w:t>
      </w:r>
    </w:p>
    <w:p>
      <w:pPr>
        <w:spacing w:after="0" w:line="39" w:lineRule="exact"/>
        <w:rPr>
          <w:rFonts w:ascii="Arial" w:cs="Arial" w:eastAsia="Arial" w:hAnsi="Arial"/>
          <w:sz w:val="14"/>
          <w:szCs w:val="14"/>
          <w:color w:val="auto"/>
        </w:rPr>
      </w:pPr>
    </w:p>
    <w:p>
      <w:pPr>
        <w:ind w:left="1620" w:hanging="352"/>
        <w:spacing w:after="0"/>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shown in this column represent annual performance-based cash bonuses.</w:t>
      </w:r>
    </w:p>
    <w:p>
      <w:pPr>
        <w:spacing w:after="0" w:line="68" w:lineRule="exact"/>
        <w:rPr>
          <w:rFonts w:ascii="Arial" w:cs="Arial" w:eastAsia="Arial" w:hAnsi="Arial"/>
          <w:sz w:val="14"/>
          <w:szCs w:val="14"/>
          <w:color w:val="auto"/>
        </w:rPr>
      </w:pPr>
    </w:p>
    <w:p>
      <w:pPr>
        <w:ind w:left="1620" w:hanging="352"/>
        <w:spacing w:after="0"/>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Fiscal year 2014 amounts are attributable to the following:</w:t>
      </w:r>
    </w:p>
    <w:p>
      <w:pPr>
        <w:spacing w:after="0" w:line="14" w:lineRule="exact"/>
        <w:rPr>
          <w:rFonts w:ascii="Arial" w:cs="Arial" w:eastAsia="Arial" w:hAnsi="Arial"/>
          <w:sz w:val="14"/>
          <w:szCs w:val="14"/>
          <w:color w:val="auto"/>
        </w:rPr>
      </w:pPr>
    </w:p>
    <w:p>
      <w:pPr>
        <w:ind w:left="1620"/>
        <w:spacing w:after="0"/>
        <w:rPr>
          <w:rFonts w:ascii="Arial" w:cs="Arial" w:eastAsia="Arial" w:hAnsi="Arial"/>
          <w:sz w:val="14"/>
          <w:szCs w:val="14"/>
          <w:color w:val="auto"/>
        </w:rPr>
      </w:pPr>
      <w:r>
        <w:rPr>
          <w:rFonts w:ascii="Arial" w:cs="Arial" w:eastAsia="Arial" w:hAnsi="Arial"/>
          <w:sz w:val="14"/>
          <w:szCs w:val="14"/>
          <w:color w:val="auto"/>
        </w:rPr>
        <w:t>Mr. Slipsager: change in value of SERP, $43,027; and change in value of SAB, $0;</w:t>
      </w:r>
    </w:p>
    <w:p>
      <w:pPr>
        <w:spacing w:after="0" w:line="14" w:lineRule="exact"/>
        <w:rPr>
          <w:rFonts w:ascii="Arial" w:cs="Arial" w:eastAsia="Arial" w:hAnsi="Arial"/>
          <w:sz w:val="14"/>
          <w:szCs w:val="14"/>
          <w:color w:val="auto"/>
        </w:rPr>
      </w:pPr>
    </w:p>
    <w:p>
      <w:pPr>
        <w:ind w:left="1620"/>
        <w:spacing w:after="0"/>
        <w:rPr>
          <w:rFonts w:ascii="Arial" w:cs="Arial" w:eastAsia="Arial" w:hAnsi="Arial"/>
          <w:sz w:val="14"/>
          <w:szCs w:val="14"/>
          <w:color w:val="auto"/>
        </w:rPr>
      </w:pPr>
      <w:r>
        <w:rPr>
          <w:rFonts w:ascii="Arial" w:cs="Arial" w:eastAsia="Arial" w:hAnsi="Arial"/>
          <w:sz w:val="14"/>
          <w:szCs w:val="14"/>
          <w:color w:val="auto"/>
        </w:rPr>
        <w:t>Mr. McClure: change in value of SERP, $22,155; and change in value of SAB, $0.</w:t>
      </w:r>
    </w:p>
    <w:p>
      <w:pPr>
        <w:spacing w:after="0" w:line="68" w:lineRule="exact"/>
        <w:rPr>
          <w:rFonts w:ascii="Arial" w:cs="Arial" w:eastAsia="Arial" w:hAnsi="Arial"/>
          <w:sz w:val="14"/>
          <w:szCs w:val="14"/>
          <w:color w:val="auto"/>
        </w:rPr>
      </w:pPr>
    </w:p>
    <w:p>
      <w:pPr>
        <w:jc w:val="both"/>
        <w:ind w:left="1620" w:right="780" w:hanging="352"/>
        <w:spacing w:after="0" w:line="263" w:lineRule="auto"/>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 fiscal year 2014, represents: For Mr. Slipsager: ABM contributions to the 401(k) plan in the amount of $10,400; spousal travel, $785; medical exam, $8,795; value of realized dividend equivalents (DEUs) upon distribution of Performance Shares, $9,454; and value of realized DEUs upon distribution of RSUs, $39,639. For Mr. Lusk: ABM contributions to the 401(k) plan in the amount of $10,400; medical exam, $1,396; value of realized DEUs upon distribution of Performance Shares, $2,725; and value of realized DEUs upon distribution of RSUs, $11,736. For Mr. McClure: ABM contributions to the 401(k) plan in the amount of $10,400 and value of realized DEUs upon distribution of Performance Shares, $3,776. For Mr. Price: ABM contributions to the 401(k) plan in the amount of $10,400; auto allowance, $16,800; value of realized DEUs upon distribution of Performance Shares, $3,776; value of realized DEUs upon distribution of RSUs, $5,422; and an allowance for, among other things, certain benefits relating to investment advice and other professional services in the amount of $8,250. For Ms. McConnell: ABM contributions to the 401(k) plan in the amount of $10,400; medical exam, $721; and value of realized DEUs upon distribution of Performance Shares, $2,697.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Payments which may be made to an NEO upon certain terminations of employment are described under “Potential Benefits on Termination,” beginning on page 50 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60"/>
        <w:spacing w:after="0" w:line="251" w:lineRule="auto"/>
        <w:rPr>
          <w:sz w:val="20"/>
          <w:szCs w:val="20"/>
          <w:color w:val="auto"/>
        </w:rPr>
      </w:pPr>
      <w:r>
        <w:rPr>
          <w:rFonts w:ascii="Arial" w:cs="Arial" w:eastAsia="Arial" w:hAnsi="Arial"/>
          <w:sz w:val="16"/>
          <w:szCs w:val="16"/>
          <w:color w:val="auto"/>
        </w:rPr>
        <w:t>The table below shows payout ranges for the NEOs with respect to non-equity incentive plan awards and equity incentive plan awards, as well as other information.</w:t>
      </w:r>
    </w:p>
    <w:p>
      <w:pPr>
        <w:spacing w:after="0" w:line="200" w:lineRule="exact"/>
        <w:rPr>
          <w:sz w:val="20"/>
          <w:szCs w:val="20"/>
          <w:color w:val="auto"/>
        </w:rPr>
      </w:pPr>
    </w:p>
    <w:p>
      <w:pPr>
        <w:sectPr>
          <w:pgSz w:w="11900" w:h="16838" w:orient="portrait"/>
          <w:cols w:equalWidth="0" w:num="2">
            <w:col w:w="5080" w:space="600"/>
            <w:col w:w="4560"/>
          </w:cols>
          <w:pgMar w:left="240" w:top="132" w:right="1419" w:bottom="1440" w:gutter="0" w:footer="0" w:header="0"/>
          <w:type w:val="continuous"/>
        </w:sectPr>
      </w:pPr>
    </w:p>
    <w:p>
      <w:pPr>
        <w:spacing w:after="0" w:line="23"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004FF9"/>
        </w:rPr>
        <w:t>Grants of Plan-Based Awards During Fiscal Year 2014</w:t>
      </w:r>
    </w:p>
    <w:p>
      <w:pPr>
        <w:spacing w:after="0" w:line="98" w:lineRule="exact"/>
        <w:rPr>
          <w:sz w:val="20"/>
          <w:szCs w:val="20"/>
          <w:color w:val="auto"/>
        </w:rPr>
      </w:pPr>
    </w:p>
    <w:tbl>
      <w:tblPr>
        <w:tblLayout w:type="fixed"/>
        <w:tblInd w:w="510" w:type="dxa"/>
        <w:tblCellMar>
          <w:top w:w="0" w:type="dxa"/>
          <w:left w:w="0" w:type="dxa"/>
          <w:bottom w:w="0" w:type="dxa"/>
          <w:right w:w="0" w:type="dxa"/>
        </w:tblCellMar>
      </w:tblPr>
      <w:tr>
        <w:trPr>
          <w:trHeight w:val="567"/>
        </w:trPr>
        <w:tc>
          <w:tcPr>
            <w:tcW w:w="178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900" w:type="dxa"/>
            <w:vAlign w:val="bottom"/>
            <w:tcBorders>
              <w:top w:val="single" w:sz="8" w:color="auto"/>
              <w:right w:val="single" w:sz="8" w:color="auto"/>
            </w:tcBorders>
            <w:shd w:val="clear" w:color="auto" w:fill="B1C9FD"/>
          </w:tcPr>
          <w:p>
            <w:pPr>
              <w:spacing w:after="0"/>
              <w:rPr>
                <w:sz w:val="24"/>
                <w:szCs w:val="24"/>
                <w:color w:val="auto"/>
              </w:rPr>
            </w:pPr>
          </w:p>
        </w:tc>
        <w:tc>
          <w:tcPr>
            <w:tcW w:w="920" w:type="dxa"/>
            <w:vAlign w:val="bottom"/>
            <w:tcBorders>
              <w:top w:val="single" w:sz="8" w:color="auto"/>
              <w:right w:val="single" w:sz="8" w:color="auto"/>
            </w:tcBorders>
            <w:shd w:val="clear" w:color="auto" w:fill="B1C9FD"/>
          </w:tcPr>
          <w:p>
            <w:pPr>
              <w:spacing w:after="0"/>
              <w:rPr>
                <w:sz w:val="24"/>
                <w:szCs w:val="24"/>
                <w:color w:val="auto"/>
              </w:rPr>
            </w:pPr>
          </w:p>
        </w:tc>
        <w:tc>
          <w:tcPr>
            <w:tcW w:w="780" w:type="dxa"/>
            <w:vAlign w:val="bottom"/>
            <w:tcBorders>
              <w:top w:val="single" w:sz="8" w:color="auto"/>
            </w:tcBorders>
            <w:shd w:val="clear" w:color="auto" w:fill="B1C9FD"/>
          </w:tcPr>
          <w:p>
            <w:pPr>
              <w:spacing w:after="0"/>
              <w:rPr>
                <w:sz w:val="24"/>
                <w:szCs w:val="24"/>
                <w:color w:val="auto"/>
              </w:rPr>
            </w:pPr>
          </w:p>
        </w:tc>
        <w:tc>
          <w:tcPr>
            <w:tcW w:w="700" w:type="dxa"/>
            <w:vAlign w:val="bottom"/>
            <w:tcBorders>
              <w:top w:val="single" w:sz="8" w:color="auto"/>
            </w:tcBorders>
            <w:shd w:val="clear" w:color="auto" w:fill="B1C9FD"/>
          </w:tcPr>
          <w:p>
            <w:pPr>
              <w:spacing w:after="0"/>
              <w:rPr>
                <w:sz w:val="24"/>
                <w:szCs w:val="24"/>
                <w:color w:val="auto"/>
              </w:rPr>
            </w:pPr>
          </w:p>
        </w:tc>
        <w:tc>
          <w:tcPr>
            <w:tcW w:w="820" w:type="dxa"/>
            <w:vAlign w:val="bottom"/>
            <w:tcBorders>
              <w:top w:val="single" w:sz="8" w:color="auto"/>
              <w:right w:val="single" w:sz="8" w:color="auto"/>
            </w:tcBorders>
            <w:shd w:val="clear" w:color="auto" w:fill="B1C9FD"/>
          </w:tcPr>
          <w:p>
            <w:pPr>
              <w:spacing w:after="0"/>
              <w:rPr>
                <w:sz w:val="24"/>
                <w:szCs w:val="24"/>
                <w:color w:val="auto"/>
              </w:rPr>
            </w:pPr>
          </w:p>
        </w:tc>
        <w:tc>
          <w:tcPr>
            <w:tcW w:w="840" w:type="dxa"/>
            <w:vAlign w:val="bottom"/>
            <w:tcBorders>
              <w:top w:val="single" w:sz="8" w:color="auto"/>
            </w:tcBorders>
            <w:shd w:val="clear" w:color="auto" w:fill="B1C9FD"/>
          </w:tcPr>
          <w:p>
            <w:pPr>
              <w:spacing w:after="0"/>
              <w:rPr>
                <w:sz w:val="24"/>
                <w:szCs w:val="24"/>
                <w:color w:val="auto"/>
              </w:rPr>
            </w:pPr>
          </w:p>
        </w:tc>
        <w:tc>
          <w:tcPr>
            <w:tcW w:w="640" w:type="dxa"/>
            <w:vAlign w:val="bottom"/>
            <w:tcBorders>
              <w:top w:val="single" w:sz="8" w:color="auto"/>
            </w:tcBorders>
            <w:shd w:val="clear" w:color="auto" w:fill="B1C9FD"/>
          </w:tcPr>
          <w:p>
            <w:pPr>
              <w:spacing w:after="0"/>
              <w:rPr>
                <w:sz w:val="24"/>
                <w:szCs w:val="24"/>
                <w:color w:val="auto"/>
              </w:rPr>
            </w:pPr>
          </w:p>
        </w:tc>
        <w:tc>
          <w:tcPr>
            <w:tcW w:w="820" w:type="dxa"/>
            <w:vAlign w:val="bottom"/>
            <w:tcBorders>
              <w:top w:val="single" w:sz="8" w:color="auto"/>
              <w:right w:val="single" w:sz="8" w:color="auto"/>
            </w:tcBorders>
            <w:shd w:val="clear" w:color="auto" w:fill="B1C9FD"/>
          </w:tcPr>
          <w:p>
            <w:pPr>
              <w:spacing w:after="0"/>
              <w:rPr>
                <w:sz w:val="24"/>
                <w:szCs w:val="24"/>
                <w:color w:val="auto"/>
              </w:rPr>
            </w:pPr>
          </w:p>
        </w:tc>
        <w:tc>
          <w:tcPr>
            <w:tcW w:w="68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All</w:t>
            </w:r>
          </w:p>
        </w:tc>
        <w:tc>
          <w:tcPr>
            <w:tcW w:w="880" w:type="dxa"/>
            <w:vAlign w:val="bottom"/>
            <w:tcBorders>
              <w:top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shd w:val="clear" w:color="auto" w:fill="B1C9FD"/>
          </w:tcPr>
          <w:p>
            <w:pPr>
              <w:spacing w:after="0"/>
              <w:rPr>
                <w:sz w:val="14"/>
                <w:szCs w:val="14"/>
                <w:color w:val="auto"/>
              </w:rPr>
            </w:pPr>
          </w:p>
        </w:tc>
        <w:tc>
          <w:tcPr>
            <w:tcW w:w="900" w:type="dxa"/>
            <w:vAlign w:val="bottom"/>
            <w:tcBorders>
              <w:right w:val="single" w:sz="8" w:color="auto"/>
            </w:tcBorders>
            <w:shd w:val="clear" w:color="auto" w:fill="B1C9FD"/>
          </w:tcPr>
          <w:p>
            <w:pPr>
              <w:spacing w:after="0"/>
              <w:rPr>
                <w:sz w:val="14"/>
                <w:szCs w:val="14"/>
                <w:color w:val="auto"/>
              </w:rPr>
            </w:pPr>
          </w:p>
        </w:tc>
        <w:tc>
          <w:tcPr>
            <w:tcW w:w="920" w:type="dxa"/>
            <w:vAlign w:val="bottom"/>
            <w:tcBorders>
              <w:right w:val="single" w:sz="8" w:color="auto"/>
            </w:tcBorders>
            <w:shd w:val="clear" w:color="auto" w:fill="B1C9FD"/>
          </w:tcPr>
          <w:p>
            <w:pPr>
              <w:spacing w:after="0"/>
              <w:rPr>
                <w:sz w:val="14"/>
                <w:szCs w:val="14"/>
                <w:color w:val="auto"/>
              </w:rPr>
            </w:pPr>
          </w:p>
        </w:tc>
        <w:tc>
          <w:tcPr>
            <w:tcW w:w="780" w:type="dxa"/>
            <w:vAlign w:val="bottom"/>
            <w:shd w:val="clear" w:color="auto" w:fill="B1C9FD"/>
          </w:tcPr>
          <w:p>
            <w:pPr>
              <w:spacing w:after="0"/>
              <w:rPr>
                <w:sz w:val="14"/>
                <w:szCs w:val="14"/>
                <w:color w:val="auto"/>
              </w:rPr>
            </w:pPr>
          </w:p>
        </w:tc>
        <w:tc>
          <w:tcPr>
            <w:tcW w:w="700" w:type="dxa"/>
            <w:vAlign w:val="bottom"/>
            <w:shd w:val="clear" w:color="auto" w:fill="B1C9FD"/>
          </w:tcPr>
          <w:p>
            <w:pPr>
              <w:spacing w:after="0"/>
              <w:rPr>
                <w:sz w:val="14"/>
                <w:szCs w:val="14"/>
                <w:color w:val="auto"/>
              </w:rPr>
            </w:pPr>
          </w:p>
        </w:tc>
        <w:tc>
          <w:tcPr>
            <w:tcW w:w="820" w:type="dxa"/>
            <w:vAlign w:val="bottom"/>
            <w:tcBorders>
              <w:right w:val="single" w:sz="8" w:color="auto"/>
            </w:tcBorders>
            <w:shd w:val="clear" w:color="auto" w:fill="B1C9FD"/>
          </w:tcPr>
          <w:p>
            <w:pPr>
              <w:spacing w:after="0"/>
              <w:rPr>
                <w:sz w:val="14"/>
                <w:szCs w:val="14"/>
                <w:color w:val="auto"/>
              </w:rPr>
            </w:pPr>
          </w:p>
        </w:tc>
        <w:tc>
          <w:tcPr>
            <w:tcW w:w="840" w:type="dxa"/>
            <w:vAlign w:val="bottom"/>
            <w:shd w:val="clear" w:color="auto" w:fill="B1C9FD"/>
          </w:tcPr>
          <w:p>
            <w:pPr>
              <w:spacing w:after="0"/>
              <w:rPr>
                <w:sz w:val="14"/>
                <w:szCs w:val="14"/>
                <w:color w:val="auto"/>
              </w:rPr>
            </w:pPr>
          </w:p>
        </w:tc>
        <w:tc>
          <w:tcPr>
            <w:tcW w:w="640" w:type="dxa"/>
            <w:vAlign w:val="bottom"/>
            <w:shd w:val="clear" w:color="auto" w:fill="B1C9FD"/>
          </w:tcPr>
          <w:p>
            <w:pPr>
              <w:spacing w:after="0"/>
              <w:rPr>
                <w:sz w:val="14"/>
                <w:szCs w:val="14"/>
                <w:color w:val="auto"/>
              </w:rPr>
            </w:pPr>
          </w:p>
        </w:tc>
        <w:tc>
          <w:tcPr>
            <w:tcW w:w="820" w:type="dxa"/>
            <w:vAlign w:val="bottom"/>
            <w:tcBorders>
              <w:right w:val="single" w:sz="8" w:color="auto"/>
            </w:tcBorders>
            <w:shd w:val="clear" w:color="auto" w:fill="B1C9FD"/>
          </w:tcPr>
          <w:p>
            <w:pPr>
              <w:spacing w:after="0"/>
              <w:rPr>
                <w:sz w:val="14"/>
                <w:szCs w:val="14"/>
                <w:color w:val="auto"/>
              </w:rPr>
            </w:pPr>
          </w:p>
        </w:tc>
        <w:tc>
          <w:tcPr>
            <w:tcW w:w="6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Other</w:t>
            </w:r>
          </w:p>
        </w:tc>
        <w:tc>
          <w:tcPr>
            <w:tcW w:w="88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right w:val="single" w:sz="8" w:color="auto"/>
            </w:tcBorders>
            <w:shd w:val="clear" w:color="auto" w:fill="B1C9FD"/>
          </w:tcPr>
          <w:p>
            <w:pPr>
              <w:spacing w:after="0"/>
              <w:rPr>
                <w:sz w:val="15"/>
                <w:szCs w:val="15"/>
                <w:color w:val="auto"/>
              </w:rPr>
            </w:pPr>
          </w:p>
        </w:tc>
        <w:tc>
          <w:tcPr>
            <w:tcW w:w="900" w:type="dxa"/>
            <w:vAlign w:val="bottom"/>
            <w:tcBorders>
              <w:right w:val="single" w:sz="8" w:color="auto"/>
            </w:tcBorders>
            <w:shd w:val="clear" w:color="auto" w:fill="B1C9FD"/>
          </w:tcPr>
          <w:p>
            <w:pPr>
              <w:spacing w:after="0"/>
              <w:rPr>
                <w:sz w:val="15"/>
                <w:szCs w:val="15"/>
                <w:color w:val="auto"/>
              </w:rPr>
            </w:pPr>
          </w:p>
        </w:tc>
        <w:tc>
          <w:tcPr>
            <w:tcW w:w="920" w:type="dxa"/>
            <w:vAlign w:val="bottom"/>
            <w:tcBorders>
              <w:right w:val="single" w:sz="8" w:color="auto"/>
            </w:tcBorders>
            <w:shd w:val="clear" w:color="auto" w:fill="B1C9FD"/>
          </w:tcPr>
          <w:p>
            <w:pPr>
              <w:spacing w:after="0"/>
              <w:rPr>
                <w:sz w:val="15"/>
                <w:szCs w:val="15"/>
                <w:color w:val="auto"/>
              </w:rPr>
            </w:pPr>
          </w:p>
        </w:tc>
        <w:tc>
          <w:tcPr>
            <w:tcW w:w="780" w:type="dxa"/>
            <w:vAlign w:val="bottom"/>
            <w:shd w:val="clear" w:color="auto" w:fill="B1C9FD"/>
          </w:tcPr>
          <w:p>
            <w:pPr>
              <w:spacing w:after="0"/>
              <w:rPr>
                <w:sz w:val="15"/>
                <w:szCs w:val="15"/>
                <w:color w:val="auto"/>
              </w:rPr>
            </w:pPr>
          </w:p>
        </w:tc>
        <w:tc>
          <w:tcPr>
            <w:tcW w:w="700" w:type="dxa"/>
            <w:vAlign w:val="bottom"/>
            <w:shd w:val="clear" w:color="auto" w:fill="B1C9FD"/>
          </w:tcPr>
          <w:p>
            <w:pPr>
              <w:spacing w:after="0"/>
              <w:rPr>
                <w:sz w:val="15"/>
                <w:szCs w:val="15"/>
                <w:color w:val="auto"/>
              </w:rPr>
            </w:pPr>
          </w:p>
        </w:tc>
        <w:tc>
          <w:tcPr>
            <w:tcW w:w="820" w:type="dxa"/>
            <w:vAlign w:val="bottom"/>
            <w:tcBorders>
              <w:right w:val="single" w:sz="8" w:color="auto"/>
            </w:tcBorders>
            <w:shd w:val="clear" w:color="auto" w:fill="B1C9FD"/>
          </w:tcPr>
          <w:p>
            <w:pPr>
              <w:spacing w:after="0"/>
              <w:rPr>
                <w:sz w:val="15"/>
                <w:szCs w:val="15"/>
                <w:color w:val="auto"/>
              </w:rPr>
            </w:pPr>
          </w:p>
        </w:tc>
        <w:tc>
          <w:tcPr>
            <w:tcW w:w="840" w:type="dxa"/>
            <w:vAlign w:val="bottom"/>
            <w:shd w:val="clear" w:color="auto" w:fill="B1C9FD"/>
          </w:tcPr>
          <w:p>
            <w:pPr>
              <w:spacing w:after="0"/>
              <w:rPr>
                <w:sz w:val="15"/>
                <w:szCs w:val="15"/>
                <w:color w:val="auto"/>
              </w:rPr>
            </w:pPr>
          </w:p>
        </w:tc>
        <w:tc>
          <w:tcPr>
            <w:tcW w:w="640" w:type="dxa"/>
            <w:vAlign w:val="bottom"/>
            <w:shd w:val="clear" w:color="auto" w:fill="B1C9FD"/>
          </w:tcPr>
          <w:p>
            <w:pPr>
              <w:spacing w:after="0"/>
              <w:rPr>
                <w:sz w:val="15"/>
                <w:szCs w:val="15"/>
                <w:color w:val="auto"/>
              </w:rPr>
            </w:pPr>
          </w:p>
        </w:tc>
        <w:tc>
          <w:tcPr>
            <w:tcW w:w="820" w:type="dxa"/>
            <w:vAlign w:val="bottom"/>
            <w:tcBorders>
              <w:right w:val="single" w:sz="8" w:color="auto"/>
            </w:tcBorders>
            <w:shd w:val="clear" w:color="auto" w:fill="B1C9FD"/>
          </w:tcPr>
          <w:p>
            <w:pPr>
              <w:spacing w:after="0"/>
              <w:rPr>
                <w:sz w:val="15"/>
                <w:szCs w:val="15"/>
                <w:color w:val="auto"/>
              </w:rPr>
            </w:pPr>
          </w:p>
        </w:tc>
        <w:tc>
          <w:tcPr>
            <w:tcW w:w="6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Stock</w:t>
            </w:r>
          </w:p>
        </w:tc>
        <w:tc>
          <w:tcPr>
            <w:tcW w:w="880" w:type="dxa"/>
            <w:vAlign w:val="bottom"/>
            <w:tcBorders>
              <w:right w:val="single" w:sz="8" w:color="auto"/>
            </w:tcBorders>
            <w:shd w:val="clear" w:color="auto" w:fill="B1C9FD"/>
          </w:tcPr>
          <w:p>
            <w:pPr>
              <w:jc w:val="center"/>
              <w:ind w:right="2"/>
              <w:spacing w:after="0"/>
              <w:rPr>
                <w:sz w:val="20"/>
                <w:szCs w:val="20"/>
                <w:color w:val="auto"/>
              </w:rPr>
            </w:pPr>
            <w:r>
              <w:rPr>
                <w:rFonts w:ascii="Arial" w:cs="Arial" w:eastAsia="Arial" w:hAnsi="Arial"/>
                <w:sz w:val="14"/>
                <w:szCs w:val="14"/>
                <w:b w:val="1"/>
                <w:bCs w:val="1"/>
                <w:color w:val="004FF9"/>
              </w:rPr>
              <w:t>Grant Date</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shd w:val="clear" w:color="auto" w:fill="B1C9FD"/>
          </w:tcPr>
          <w:p>
            <w:pPr>
              <w:spacing w:after="0"/>
              <w:rPr>
                <w:sz w:val="14"/>
                <w:szCs w:val="14"/>
                <w:color w:val="auto"/>
              </w:rPr>
            </w:pPr>
          </w:p>
        </w:tc>
        <w:tc>
          <w:tcPr>
            <w:tcW w:w="900" w:type="dxa"/>
            <w:vAlign w:val="bottom"/>
            <w:tcBorders>
              <w:right w:val="single" w:sz="8" w:color="auto"/>
            </w:tcBorders>
            <w:shd w:val="clear" w:color="auto" w:fill="B1C9FD"/>
          </w:tcPr>
          <w:p>
            <w:pPr>
              <w:spacing w:after="0"/>
              <w:rPr>
                <w:sz w:val="14"/>
                <w:szCs w:val="14"/>
                <w:color w:val="auto"/>
              </w:rPr>
            </w:pPr>
          </w:p>
        </w:tc>
        <w:tc>
          <w:tcPr>
            <w:tcW w:w="920" w:type="dxa"/>
            <w:vAlign w:val="bottom"/>
            <w:tcBorders>
              <w:right w:val="single" w:sz="8" w:color="auto"/>
            </w:tcBorders>
            <w:shd w:val="clear" w:color="auto" w:fill="B1C9FD"/>
          </w:tcPr>
          <w:p>
            <w:pPr>
              <w:spacing w:after="0"/>
              <w:rPr>
                <w:sz w:val="14"/>
                <w:szCs w:val="14"/>
                <w:color w:val="auto"/>
              </w:rPr>
            </w:pPr>
          </w:p>
        </w:tc>
        <w:tc>
          <w:tcPr>
            <w:tcW w:w="780" w:type="dxa"/>
            <w:vAlign w:val="bottom"/>
            <w:shd w:val="clear" w:color="auto" w:fill="B1C9FD"/>
          </w:tcPr>
          <w:p>
            <w:pPr>
              <w:spacing w:after="0"/>
              <w:rPr>
                <w:sz w:val="14"/>
                <w:szCs w:val="14"/>
                <w:color w:val="auto"/>
              </w:rPr>
            </w:pPr>
          </w:p>
        </w:tc>
        <w:tc>
          <w:tcPr>
            <w:tcW w:w="700" w:type="dxa"/>
            <w:vAlign w:val="bottom"/>
            <w:shd w:val="clear" w:color="auto" w:fill="B1C9FD"/>
          </w:tcPr>
          <w:p>
            <w:pPr>
              <w:spacing w:after="0"/>
              <w:rPr>
                <w:sz w:val="14"/>
                <w:szCs w:val="14"/>
                <w:color w:val="auto"/>
              </w:rPr>
            </w:pPr>
          </w:p>
        </w:tc>
        <w:tc>
          <w:tcPr>
            <w:tcW w:w="820" w:type="dxa"/>
            <w:vAlign w:val="bottom"/>
            <w:tcBorders>
              <w:right w:val="single" w:sz="8" w:color="auto"/>
            </w:tcBorders>
            <w:shd w:val="clear" w:color="auto" w:fill="B1C9FD"/>
          </w:tcPr>
          <w:p>
            <w:pPr>
              <w:spacing w:after="0"/>
              <w:rPr>
                <w:sz w:val="14"/>
                <w:szCs w:val="14"/>
                <w:color w:val="auto"/>
              </w:rPr>
            </w:pPr>
          </w:p>
        </w:tc>
        <w:tc>
          <w:tcPr>
            <w:tcW w:w="840" w:type="dxa"/>
            <w:vAlign w:val="bottom"/>
            <w:shd w:val="clear" w:color="auto" w:fill="B1C9FD"/>
          </w:tcPr>
          <w:p>
            <w:pPr>
              <w:spacing w:after="0"/>
              <w:rPr>
                <w:sz w:val="14"/>
                <w:szCs w:val="14"/>
                <w:color w:val="auto"/>
              </w:rPr>
            </w:pPr>
          </w:p>
        </w:tc>
        <w:tc>
          <w:tcPr>
            <w:tcW w:w="640" w:type="dxa"/>
            <w:vAlign w:val="bottom"/>
            <w:shd w:val="clear" w:color="auto" w:fill="B1C9FD"/>
          </w:tcPr>
          <w:p>
            <w:pPr>
              <w:spacing w:after="0"/>
              <w:rPr>
                <w:sz w:val="14"/>
                <w:szCs w:val="14"/>
                <w:color w:val="auto"/>
              </w:rPr>
            </w:pPr>
          </w:p>
        </w:tc>
        <w:tc>
          <w:tcPr>
            <w:tcW w:w="820" w:type="dxa"/>
            <w:vAlign w:val="bottom"/>
            <w:tcBorders>
              <w:right w:val="single" w:sz="8" w:color="auto"/>
            </w:tcBorders>
            <w:shd w:val="clear" w:color="auto" w:fill="B1C9FD"/>
          </w:tcPr>
          <w:p>
            <w:pPr>
              <w:spacing w:after="0"/>
              <w:rPr>
                <w:sz w:val="14"/>
                <w:szCs w:val="14"/>
                <w:color w:val="auto"/>
              </w:rPr>
            </w:pPr>
          </w:p>
        </w:tc>
        <w:tc>
          <w:tcPr>
            <w:tcW w:w="6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Awards:</w:t>
            </w:r>
          </w:p>
        </w:tc>
        <w:tc>
          <w:tcPr>
            <w:tcW w:w="880" w:type="dxa"/>
            <w:vAlign w:val="bottom"/>
            <w:tcBorders>
              <w:right w:val="single" w:sz="8" w:color="auto"/>
            </w:tcBorders>
            <w:shd w:val="clear" w:color="auto" w:fill="B1C9FD"/>
          </w:tcPr>
          <w:p>
            <w:pPr>
              <w:jc w:val="center"/>
              <w:ind w:right="2"/>
              <w:spacing w:after="0"/>
              <w:rPr>
                <w:sz w:val="20"/>
                <w:szCs w:val="20"/>
                <w:color w:val="auto"/>
              </w:rPr>
            </w:pPr>
            <w:r>
              <w:rPr>
                <w:rFonts w:ascii="Arial" w:cs="Arial" w:eastAsia="Arial" w:hAnsi="Arial"/>
                <w:sz w:val="14"/>
                <w:szCs w:val="14"/>
                <w:b w:val="1"/>
                <w:bCs w:val="1"/>
                <w:color w:val="004FF9"/>
              </w:rPr>
              <w:t>Fair Value</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shd w:val="clear" w:color="auto" w:fill="B1C9FD"/>
          </w:tcPr>
          <w:p>
            <w:pPr>
              <w:spacing w:after="0"/>
              <w:rPr>
                <w:sz w:val="14"/>
                <w:szCs w:val="14"/>
                <w:color w:val="auto"/>
              </w:rPr>
            </w:pPr>
          </w:p>
        </w:tc>
        <w:tc>
          <w:tcPr>
            <w:tcW w:w="900" w:type="dxa"/>
            <w:vAlign w:val="bottom"/>
            <w:tcBorders>
              <w:right w:val="single" w:sz="8" w:color="auto"/>
            </w:tcBorders>
            <w:shd w:val="clear" w:color="auto" w:fill="B1C9FD"/>
          </w:tcPr>
          <w:p>
            <w:pPr>
              <w:spacing w:after="0"/>
              <w:rPr>
                <w:sz w:val="14"/>
                <w:szCs w:val="14"/>
                <w:color w:val="auto"/>
              </w:rPr>
            </w:pPr>
          </w:p>
        </w:tc>
        <w:tc>
          <w:tcPr>
            <w:tcW w:w="920" w:type="dxa"/>
            <w:vAlign w:val="bottom"/>
            <w:tcBorders>
              <w:right w:val="single" w:sz="8" w:color="auto"/>
            </w:tcBorders>
            <w:shd w:val="clear" w:color="auto" w:fill="B1C9FD"/>
          </w:tcPr>
          <w:p>
            <w:pPr>
              <w:spacing w:after="0"/>
              <w:rPr>
                <w:sz w:val="14"/>
                <w:szCs w:val="14"/>
                <w:color w:val="auto"/>
              </w:rPr>
            </w:pPr>
          </w:p>
        </w:tc>
        <w:tc>
          <w:tcPr>
            <w:tcW w:w="780" w:type="dxa"/>
            <w:vAlign w:val="bottom"/>
            <w:shd w:val="clear" w:color="auto" w:fill="B1C9FD"/>
          </w:tcPr>
          <w:p>
            <w:pPr>
              <w:spacing w:after="0"/>
              <w:rPr>
                <w:sz w:val="14"/>
                <w:szCs w:val="14"/>
                <w:color w:val="auto"/>
              </w:rPr>
            </w:pPr>
          </w:p>
        </w:tc>
        <w:tc>
          <w:tcPr>
            <w:tcW w:w="700" w:type="dxa"/>
            <w:vAlign w:val="bottom"/>
            <w:shd w:val="clear" w:color="auto" w:fill="B1C9FD"/>
          </w:tcPr>
          <w:p>
            <w:pPr>
              <w:spacing w:after="0"/>
              <w:rPr>
                <w:sz w:val="14"/>
                <w:szCs w:val="14"/>
                <w:color w:val="auto"/>
              </w:rPr>
            </w:pPr>
          </w:p>
        </w:tc>
        <w:tc>
          <w:tcPr>
            <w:tcW w:w="820" w:type="dxa"/>
            <w:vAlign w:val="bottom"/>
            <w:tcBorders>
              <w:right w:val="single" w:sz="8" w:color="auto"/>
            </w:tcBorders>
            <w:shd w:val="clear" w:color="auto" w:fill="B1C9FD"/>
          </w:tcPr>
          <w:p>
            <w:pPr>
              <w:spacing w:after="0"/>
              <w:rPr>
                <w:sz w:val="14"/>
                <w:szCs w:val="14"/>
                <w:color w:val="auto"/>
              </w:rPr>
            </w:pPr>
          </w:p>
        </w:tc>
        <w:tc>
          <w:tcPr>
            <w:tcW w:w="840" w:type="dxa"/>
            <w:vAlign w:val="bottom"/>
            <w:shd w:val="clear" w:color="auto" w:fill="B1C9FD"/>
          </w:tcPr>
          <w:p>
            <w:pPr>
              <w:spacing w:after="0"/>
              <w:rPr>
                <w:sz w:val="14"/>
                <w:szCs w:val="14"/>
                <w:color w:val="auto"/>
              </w:rPr>
            </w:pPr>
          </w:p>
        </w:tc>
        <w:tc>
          <w:tcPr>
            <w:tcW w:w="640" w:type="dxa"/>
            <w:vAlign w:val="bottom"/>
            <w:shd w:val="clear" w:color="auto" w:fill="B1C9FD"/>
          </w:tcPr>
          <w:p>
            <w:pPr>
              <w:spacing w:after="0"/>
              <w:rPr>
                <w:sz w:val="14"/>
                <w:szCs w:val="14"/>
                <w:color w:val="auto"/>
              </w:rPr>
            </w:pPr>
          </w:p>
        </w:tc>
        <w:tc>
          <w:tcPr>
            <w:tcW w:w="820" w:type="dxa"/>
            <w:vAlign w:val="bottom"/>
            <w:tcBorders>
              <w:right w:val="single" w:sz="8" w:color="auto"/>
            </w:tcBorders>
            <w:shd w:val="clear" w:color="auto" w:fill="B1C9FD"/>
          </w:tcPr>
          <w:p>
            <w:pPr>
              <w:spacing w:after="0"/>
              <w:rPr>
                <w:sz w:val="14"/>
                <w:szCs w:val="14"/>
                <w:color w:val="auto"/>
              </w:rPr>
            </w:pPr>
          </w:p>
        </w:tc>
        <w:tc>
          <w:tcPr>
            <w:tcW w:w="6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6"/>
              </w:rPr>
              <w:t># of</w:t>
            </w:r>
          </w:p>
        </w:tc>
        <w:tc>
          <w:tcPr>
            <w:tcW w:w="880" w:type="dxa"/>
            <w:vAlign w:val="bottom"/>
            <w:tcBorders>
              <w:right w:val="single" w:sz="8" w:color="auto"/>
            </w:tcBorders>
            <w:shd w:val="clear" w:color="auto" w:fill="B1C9FD"/>
          </w:tcPr>
          <w:p>
            <w:pPr>
              <w:jc w:val="center"/>
              <w:ind w:right="2"/>
              <w:spacing w:after="0"/>
              <w:rPr>
                <w:sz w:val="20"/>
                <w:szCs w:val="20"/>
                <w:color w:val="auto"/>
              </w:rPr>
            </w:pPr>
            <w:r>
              <w:rPr>
                <w:rFonts w:ascii="Arial" w:cs="Arial" w:eastAsia="Arial" w:hAnsi="Arial"/>
                <w:sz w:val="14"/>
                <w:szCs w:val="14"/>
                <w:b w:val="1"/>
                <w:bCs w:val="1"/>
                <w:color w:val="004FF9"/>
              </w:rPr>
              <w:t>of Stock</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Named</w:t>
            </w:r>
          </w:p>
        </w:tc>
        <w:tc>
          <w:tcPr>
            <w:tcW w:w="900" w:type="dxa"/>
            <w:vAlign w:val="bottom"/>
            <w:tcBorders>
              <w:right w:val="single" w:sz="8" w:color="auto"/>
            </w:tcBorders>
            <w:shd w:val="clear" w:color="auto" w:fill="B1C9FD"/>
          </w:tcPr>
          <w:p>
            <w:pPr>
              <w:spacing w:after="0"/>
              <w:rPr>
                <w:sz w:val="14"/>
                <w:szCs w:val="14"/>
                <w:color w:val="auto"/>
              </w:rPr>
            </w:pPr>
          </w:p>
        </w:tc>
        <w:tc>
          <w:tcPr>
            <w:tcW w:w="920" w:type="dxa"/>
            <w:vAlign w:val="bottom"/>
            <w:tcBorders>
              <w:right w:val="single" w:sz="8" w:color="auto"/>
            </w:tcBorders>
            <w:shd w:val="clear" w:color="auto" w:fill="B1C9FD"/>
          </w:tcPr>
          <w:p>
            <w:pPr>
              <w:ind w:left="80"/>
              <w:spacing w:after="0"/>
              <w:rPr>
                <w:sz w:val="20"/>
                <w:szCs w:val="20"/>
                <w:color w:val="auto"/>
              </w:rPr>
            </w:pPr>
            <w:r>
              <w:rPr>
                <w:rFonts w:ascii="Arial" w:cs="Arial" w:eastAsia="Arial" w:hAnsi="Arial"/>
                <w:sz w:val="14"/>
                <w:szCs w:val="14"/>
                <w:b w:val="1"/>
                <w:bCs w:val="1"/>
                <w:color w:val="004FF9"/>
              </w:rPr>
              <w:t>Committee</w:t>
            </w:r>
          </w:p>
        </w:tc>
        <w:tc>
          <w:tcPr>
            <w:tcW w:w="2300" w:type="dxa"/>
            <w:vAlign w:val="bottom"/>
            <w:tcBorders>
              <w:right w:val="single" w:sz="8" w:color="auto"/>
            </w:tcBorders>
            <w:gridSpan w:val="3"/>
            <w:shd w:val="clear" w:color="auto" w:fill="B1C9FD"/>
          </w:tcPr>
          <w:p>
            <w:pPr>
              <w:jc w:val="center"/>
              <w:spacing w:after="0"/>
              <w:rPr>
                <w:sz w:val="20"/>
                <w:szCs w:val="20"/>
                <w:color w:val="auto"/>
              </w:rPr>
            </w:pPr>
            <w:r>
              <w:rPr>
                <w:rFonts w:ascii="Arial" w:cs="Arial" w:eastAsia="Arial" w:hAnsi="Arial"/>
                <w:sz w:val="14"/>
                <w:szCs w:val="14"/>
                <w:b w:val="1"/>
                <w:bCs w:val="1"/>
                <w:color w:val="004FF9"/>
              </w:rPr>
              <w:t>Estimated Future Payouts under</w:t>
            </w:r>
          </w:p>
        </w:tc>
        <w:tc>
          <w:tcPr>
            <w:tcW w:w="2300" w:type="dxa"/>
            <w:vAlign w:val="bottom"/>
            <w:tcBorders>
              <w:right w:val="single" w:sz="8" w:color="auto"/>
            </w:tcBorders>
            <w:gridSpan w:val="3"/>
            <w:shd w:val="clear" w:color="auto" w:fill="B1C9FD"/>
          </w:tcPr>
          <w:p>
            <w:pPr>
              <w:jc w:val="right"/>
              <w:spacing w:after="0"/>
              <w:rPr>
                <w:sz w:val="20"/>
                <w:szCs w:val="20"/>
                <w:color w:val="auto"/>
              </w:rPr>
            </w:pPr>
            <w:r>
              <w:rPr>
                <w:rFonts w:ascii="Arial" w:cs="Arial" w:eastAsia="Arial" w:hAnsi="Arial"/>
                <w:sz w:val="14"/>
                <w:szCs w:val="14"/>
                <w:b w:val="1"/>
                <w:bCs w:val="1"/>
                <w:color w:val="004FF9"/>
              </w:rPr>
              <w:t>Estimated Future Payouts under</w:t>
            </w:r>
          </w:p>
        </w:tc>
        <w:tc>
          <w:tcPr>
            <w:tcW w:w="6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Shares</w:t>
            </w:r>
          </w:p>
        </w:tc>
        <w:tc>
          <w:tcPr>
            <w:tcW w:w="880" w:type="dxa"/>
            <w:vAlign w:val="bottom"/>
            <w:tcBorders>
              <w:right w:val="single" w:sz="8" w:color="auto"/>
            </w:tcBorders>
            <w:shd w:val="clear" w:color="auto" w:fill="B1C9FD"/>
          </w:tcPr>
          <w:p>
            <w:pPr>
              <w:jc w:val="center"/>
              <w:ind w:right="2"/>
              <w:spacing w:after="0"/>
              <w:rPr>
                <w:sz w:val="20"/>
                <w:szCs w:val="20"/>
                <w:color w:val="auto"/>
              </w:rPr>
            </w:pPr>
            <w:r>
              <w:rPr>
                <w:rFonts w:ascii="Arial" w:cs="Arial" w:eastAsia="Arial" w:hAnsi="Arial"/>
                <w:sz w:val="14"/>
                <w:szCs w:val="14"/>
                <w:b w:val="1"/>
                <w:bCs w:val="1"/>
                <w:color w:val="004FF9"/>
              </w:rPr>
              <w:t>and Option</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Executive</w:t>
            </w:r>
          </w:p>
        </w:tc>
        <w:tc>
          <w:tcPr>
            <w:tcW w:w="9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Grant</w:t>
            </w:r>
          </w:p>
        </w:tc>
        <w:tc>
          <w:tcPr>
            <w:tcW w:w="9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Approval</w:t>
            </w:r>
          </w:p>
        </w:tc>
        <w:tc>
          <w:tcPr>
            <w:tcW w:w="2300" w:type="dxa"/>
            <w:vAlign w:val="bottom"/>
            <w:tcBorders>
              <w:right w:val="single" w:sz="8" w:color="auto"/>
            </w:tcBorders>
            <w:gridSpan w:val="3"/>
            <w:shd w:val="clear" w:color="auto" w:fill="B1C9FD"/>
          </w:tcPr>
          <w:p>
            <w:pPr>
              <w:jc w:val="center"/>
              <w:spacing w:after="0"/>
              <w:rPr>
                <w:sz w:val="20"/>
                <w:szCs w:val="20"/>
                <w:color w:val="auto"/>
              </w:rPr>
            </w:pPr>
            <w:r>
              <w:rPr>
                <w:rFonts w:ascii="Arial" w:cs="Arial" w:eastAsia="Arial" w:hAnsi="Arial"/>
                <w:sz w:val="14"/>
                <w:szCs w:val="14"/>
                <w:b w:val="1"/>
                <w:bCs w:val="1"/>
                <w:color w:val="004FF9"/>
              </w:rPr>
              <w:t>Non-Equity Incentive Plan</w:t>
            </w:r>
          </w:p>
        </w:tc>
        <w:tc>
          <w:tcPr>
            <w:tcW w:w="2300" w:type="dxa"/>
            <w:vAlign w:val="bottom"/>
            <w:tcBorders>
              <w:right w:val="single" w:sz="8" w:color="auto"/>
            </w:tcBorders>
            <w:gridSpan w:val="3"/>
            <w:shd w:val="clear" w:color="auto" w:fill="B1C9FD"/>
          </w:tcPr>
          <w:p>
            <w:pPr>
              <w:jc w:val="right"/>
              <w:ind w:right="20"/>
              <w:spacing w:after="0" w:line="162" w:lineRule="exact"/>
              <w:rPr>
                <w:sz w:val="20"/>
                <w:szCs w:val="20"/>
                <w:color w:val="auto"/>
              </w:rPr>
            </w:pPr>
            <w:r>
              <w:rPr>
                <w:rFonts w:ascii="Arial" w:cs="Arial" w:eastAsia="Arial" w:hAnsi="Arial"/>
                <w:sz w:val="13"/>
                <w:szCs w:val="13"/>
                <w:b w:val="1"/>
                <w:bCs w:val="1"/>
                <w:color w:val="004FF9"/>
              </w:rPr>
              <w:t>Equity Incentive Plan Awards</w:t>
            </w:r>
            <w:r>
              <w:rPr>
                <w:rFonts w:ascii="Arial" w:cs="Arial" w:eastAsia="Arial" w:hAnsi="Arial"/>
                <w:sz w:val="18"/>
                <w:szCs w:val="18"/>
                <w:b w:val="1"/>
                <w:bCs w:val="1"/>
                <w:color w:val="004FF9"/>
                <w:vertAlign w:val="superscript"/>
              </w:rPr>
              <w:t>(2)</w:t>
            </w:r>
          </w:p>
        </w:tc>
        <w:tc>
          <w:tcPr>
            <w:tcW w:w="6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9"/>
              </w:rPr>
              <w:t>or Stock</w:t>
            </w:r>
          </w:p>
        </w:tc>
        <w:tc>
          <w:tcPr>
            <w:tcW w:w="880" w:type="dxa"/>
            <w:vAlign w:val="bottom"/>
            <w:tcBorders>
              <w:right w:val="single" w:sz="8" w:color="auto"/>
            </w:tcBorders>
            <w:shd w:val="clear" w:color="auto" w:fill="B1C9FD"/>
          </w:tcPr>
          <w:p>
            <w:pPr>
              <w:jc w:val="center"/>
              <w:ind w:right="2"/>
              <w:spacing w:after="0"/>
              <w:rPr>
                <w:sz w:val="20"/>
                <w:szCs w:val="20"/>
                <w:color w:val="auto"/>
              </w:rPr>
            </w:pPr>
            <w:r>
              <w:rPr>
                <w:rFonts w:ascii="Arial" w:cs="Arial" w:eastAsia="Arial" w:hAnsi="Arial"/>
                <w:sz w:val="14"/>
                <w:szCs w:val="14"/>
                <w:b w:val="1"/>
                <w:bCs w:val="1"/>
                <w:color w:val="004FF9"/>
              </w:rPr>
              <w:t>Awards</w:t>
            </w:r>
          </w:p>
        </w:tc>
        <w:tc>
          <w:tcPr>
            <w:tcW w:w="0" w:type="dxa"/>
            <w:vAlign w:val="bottom"/>
          </w:tcPr>
          <w:p>
            <w:pPr>
              <w:spacing w:after="0"/>
              <w:rPr>
                <w:sz w:val="1"/>
                <w:szCs w:val="1"/>
                <w:color w:val="auto"/>
              </w:rPr>
            </w:pPr>
          </w:p>
        </w:tc>
      </w:tr>
      <w:tr>
        <w:trPr>
          <w:trHeight w:val="189"/>
        </w:trPr>
        <w:tc>
          <w:tcPr>
            <w:tcW w:w="1780" w:type="dxa"/>
            <w:vAlign w:val="bottom"/>
            <w:tcBorders>
              <w:left w:val="single" w:sz="8" w:color="auto"/>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Officer</w:t>
            </w:r>
          </w:p>
        </w:tc>
        <w:tc>
          <w:tcPr>
            <w:tcW w:w="9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Date</w:t>
            </w:r>
          </w:p>
        </w:tc>
        <w:tc>
          <w:tcPr>
            <w:tcW w:w="9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Date</w:t>
            </w:r>
          </w:p>
        </w:tc>
        <w:tc>
          <w:tcPr>
            <w:tcW w:w="2300" w:type="dxa"/>
            <w:vAlign w:val="bottom"/>
            <w:tcBorders>
              <w:bottom w:val="single" w:sz="8" w:color="auto"/>
              <w:right w:val="single" w:sz="8" w:color="auto"/>
            </w:tcBorders>
            <w:gridSpan w:val="3"/>
            <w:shd w:val="clear" w:color="auto" w:fill="B1C9FD"/>
          </w:tcPr>
          <w:p>
            <w:pPr>
              <w:jc w:val="center"/>
              <w:spacing w:after="0" w:line="189" w:lineRule="exact"/>
              <w:rPr>
                <w:sz w:val="20"/>
                <w:szCs w:val="20"/>
                <w:color w:val="auto"/>
              </w:rPr>
            </w:pPr>
            <w:r>
              <w:rPr>
                <w:rFonts w:ascii="Arial" w:cs="Arial" w:eastAsia="Arial" w:hAnsi="Arial"/>
                <w:sz w:val="14"/>
                <w:szCs w:val="14"/>
                <w:b w:val="1"/>
                <w:bCs w:val="1"/>
                <w:color w:val="004FF9"/>
                <w:w w:val="96"/>
              </w:rPr>
              <w:t>Awards</w:t>
            </w:r>
            <w:r>
              <w:rPr>
                <w:rFonts w:ascii="Arial" w:cs="Arial" w:eastAsia="Arial" w:hAnsi="Arial"/>
                <w:sz w:val="21"/>
                <w:szCs w:val="21"/>
                <w:b w:val="1"/>
                <w:bCs w:val="1"/>
                <w:color w:val="004FF9"/>
                <w:w w:val="96"/>
                <w:vertAlign w:val="superscript"/>
              </w:rPr>
              <w:t>(1)</w:t>
            </w:r>
            <w:r>
              <w:rPr>
                <w:rFonts w:ascii="Arial" w:cs="Arial" w:eastAsia="Arial" w:hAnsi="Arial"/>
                <w:sz w:val="14"/>
                <w:szCs w:val="14"/>
                <w:b w:val="1"/>
                <w:bCs w:val="1"/>
                <w:color w:val="004FF9"/>
                <w:w w:val="96"/>
              </w:rPr>
              <w:t xml:space="preserve"> ($)</w:t>
            </w:r>
          </w:p>
        </w:tc>
        <w:tc>
          <w:tcPr>
            <w:tcW w:w="840" w:type="dxa"/>
            <w:vAlign w:val="bottom"/>
            <w:tcBorders>
              <w:bottom w:val="single" w:sz="8" w:color="auto"/>
            </w:tcBorders>
            <w:shd w:val="clear" w:color="auto" w:fill="B1C9FD"/>
          </w:tcPr>
          <w:p>
            <w:pPr>
              <w:spacing w:after="0"/>
              <w:rPr>
                <w:sz w:val="16"/>
                <w:szCs w:val="16"/>
                <w:color w:val="auto"/>
              </w:rPr>
            </w:pPr>
          </w:p>
        </w:tc>
        <w:tc>
          <w:tcPr>
            <w:tcW w:w="640" w:type="dxa"/>
            <w:vAlign w:val="bottom"/>
            <w:tcBorders>
              <w:bottom w:val="single" w:sz="8" w:color="auto"/>
            </w:tcBorders>
            <w:shd w:val="clear" w:color="auto" w:fill="B1C9FD"/>
          </w:tcPr>
          <w:p>
            <w:pPr>
              <w:jc w:val="right"/>
              <w:ind w:right="180"/>
              <w:spacing w:after="0"/>
              <w:rPr>
                <w:sz w:val="20"/>
                <w:szCs w:val="20"/>
                <w:color w:val="auto"/>
              </w:rPr>
            </w:pPr>
            <w:r>
              <w:rPr>
                <w:rFonts w:ascii="Arial" w:cs="Arial" w:eastAsia="Arial" w:hAnsi="Arial"/>
                <w:sz w:val="14"/>
                <w:szCs w:val="14"/>
                <w:b w:val="1"/>
                <w:bCs w:val="1"/>
                <w:color w:val="004FF9"/>
              </w:rPr>
              <w:t>(#)</w:t>
            </w:r>
          </w:p>
        </w:tc>
        <w:tc>
          <w:tcPr>
            <w:tcW w:w="820" w:type="dxa"/>
            <w:vAlign w:val="bottom"/>
            <w:tcBorders>
              <w:bottom w:val="single" w:sz="8" w:color="auto"/>
              <w:right w:val="single" w:sz="8" w:color="auto"/>
            </w:tcBorders>
            <w:shd w:val="clear" w:color="auto" w:fill="B1C9FD"/>
          </w:tcPr>
          <w:p>
            <w:pPr>
              <w:spacing w:after="0"/>
              <w:rPr>
                <w:sz w:val="16"/>
                <w:szCs w:val="16"/>
                <w:color w:val="auto"/>
              </w:rPr>
            </w:pPr>
          </w:p>
        </w:tc>
        <w:tc>
          <w:tcPr>
            <w:tcW w:w="680" w:type="dxa"/>
            <w:vAlign w:val="bottom"/>
            <w:tcBorders>
              <w:bottom w:val="single" w:sz="8" w:color="auto"/>
              <w:right w:val="single" w:sz="8" w:color="auto"/>
            </w:tcBorders>
            <w:shd w:val="clear" w:color="auto" w:fill="B1C9FD"/>
          </w:tcPr>
          <w:p>
            <w:pPr>
              <w:jc w:val="center"/>
              <w:spacing w:after="0" w:line="189" w:lineRule="exact"/>
              <w:rPr>
                <w:sz w:val="20"/>
                <w:szCs w:val="20"/>
                <w:color w:val="auto"/>
              </w:rPr>
            </w:pPr>
            <w:r>
              <w:rPr>
                <w:rFonts w:ascii="Arial" w:cs="Arial" w:eastAsia="Arial" w:hAnsi="Arial"/>
                <w:sz w:val="14"/>
                <w:szCs w:val="14"/>
                <w:b w:val="1"/>
                <w:bCs w:val="1"/>
                <w:color w:val="004FF9"/>
                <w:w w:val="92"/>
              </w:rPr>
              <w:t>Units</w:t>
            </w:r>
            <w:r>
              <w:rPr>
                <w:rFonts w:ascii="Arial" w:cs="Arial" w:eastAsia="Arial" w:hAnsi="Arial"/>
                <w:sz w:val="21"/>
                <w:szCs w:val="21"/>
                <w:b w:val="1"/>
                <w:bCs w:val="1"/>
                <w:color w:val="004FF9"/>
                <w:w w:val="92"/>
                <w:vertAlign w:val="superscript"/>
              </w:rPr>
              <w:t>(3)</w:t>
            </w:r>
          </w:p>
        </w:tc>
        <w:tc>
          <w:tcPr>
            <w:tcW w:w="880" w:type="dxa"/>
            <w:vAlign w:val="bottom"/>
            <w:tcBorders>
              <w:bottom w:val="single" w:sz="8" w:color="auto"/>
              <w:right w:val="single" w:sz="8" w:color="auto"/>
            </w:tcBorders>
            <w:shd w:val="clear" w:color="auto" w:fill="B1C9FD"/>
          </w:tcPr>
          <w:p>
            <w:pPr>
              <w:jc w:val="center"/>
              <w:ind w:right="2"/>
              <w:spacing w:after="0"/>
              <w:rPr>
                <w:sz w:val="20"/>
                <w:szCs w:val="20"/>
                <w:color w:val="auto"/>
              </w:rPr>
            </w:pPr>
            <w:r>
              <w:rPr>
                <w:rFonts w:ascii="Arial" w:cs="Arial" w:eastAsia="Arial" w:hAnsi="Arial"/>
                <w:sz w:val="14"/>
                <w:szCs w:val="14"/>
                <w:b w:val="1"/>
                <w:bCs w:val="1"/>
                <w:color w:val="004FF9"/>
                <w:w w:val="93"/>
              </w:rPr>
              <w:t>($)</w:t>
            </w:r>
          </w:p>
        </w:tc>
        <w:tc>
          <w:tcPr>
            <w:tcW w:w="0" w:type="dxa"/>
            <w:vAlign w:val="bottom"/>
          </w:tcPr>
          <w:p>
            <w:pPr>
              <w:spacing w:after="0"/>
              <w:rPr>
                <w:sz w:val="1"/>
                <w:szCs w:val="1"/>
                <w:color w:val="auto"/>
              </w:rPr>
            </w:pPr>
          </w:p>
        </w:tc>
      </w:tr>
      <w:tr>
        <w:trPr>
          <w:trHeight w:val="426"/>
        </w:trPr>
        <w:tc>
          <w:tcPr>
            <w:tcW w:w="1780" w:type="dxa"/>
            <w:vAlign w:val="bottom"/>
            <w:tcBorders>
              <w:left w:val="single" w:sz="8" w:color="auto"/>
              <w:bottom w:val="single" w:sz="8" w:color="auto"/>
              <w:right w:val="single" w:sz="8" w:color="B1C9FD"/>
            </w:tcBorders>
            <w:shd w:val="clear" w:color="auto" w:fill="B1C9FD"/>
          </w:tcPr>
          <w:p>
            <w:pPr>
              <w:spacing w:after="0"/>
              <w:rPr>
                <w:sz w:val="24"/>
                <w:szCs w:val="24"/>
                <w:color w:val="auto"/>
              </w:rPr>
            </w:pPr>
          </w:p>
        </w:tc>
        <w:tc>
          <w:tcPr>
            <w:tcW w:w="900" w:type="dxa"/>
            <w:vAlign w:val="bottom"/>
            <w:tcBorders>
              <w:bottom w:val="single" w:sz="8" w:color="auto"/>
              <w:right w:val="single" w:sz="8" w:color="B1C9FD"/>
            </w:tcBorders>
            <w:shd w:val="clear" w:color="auto" w:fill="B1C9FD"/>
          </w:tcPr>
          <w:p>
            <w:pPr>
              <w:spacing w:after="0"/>
              <w:rPr>
                <w:sz w:val="24"/>
                <w:szCs w:val="24"/>
                <w:color w:val="auto"/>
              </w:rPr>
            </w:pPr>
          </w:p>
        </w:tc>
        <w:tc>
          <w:tcPr>
            <w:tcW w:w="920" w:type="dxa"/>
            <w:vAlign w:val="bottom"/>
            <w:tcBorders>
              <w:bottom w:val="single" w:sz="8" w:color="auto"/>
              <w:right w:val="single" w:sz="8" w:color="B1C9FD"/>
            </w:tcBorders>
            <w:shd w:val="clear" w:color="auto" w:fill="B1C9FD"/>
          </w:tcPr>
          <w:p>
            <w:pPr>
              <w:spacing w:after="0"/>
              <w:rPr>
                <w:sz w:val="24"/>
                <w:szCs w:val="24"/>
                <w:color w:val="auto"/>
              </w:rPr>
            </w:pPr>
          </w:p>
        </w:tc>
        <w:tc>
          <w:tcPr>
            <w:tcW w:w="780" w:type="dxa"/>
            <w:vAlign w:val="bottom"/>
            <w:tcBorders>
              <w:bottom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Threshold</w:t>
            </w:r>
          </w:p>
        </w:tc>
        <w:tc>
          <w:tcPr>
            <w:tcW w:w="700" w:type="dxa"/>
            <w:vAlign w:val="bottom"/>
            <w:tcBorders>
              <w:bottom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8"/>
              </w:rPr>
              <w:t>Target</w:t>
            </w:r>
          </w:p>
        </w:tc>
        <w:tc>
          <w:tcPr>
            <w:tcW w:w="820" w:type="dxa"/>
            <w:vAlign w:val="bottom"/>
            <w:tcBorders>
              <w:bottom w:val="single" w:sz="8" w:color="auto"/>
              <w:right w:val="single" w:sz="8" w:color="B1C9FD"/>
            </w:tcBorders>
            <w:shd w:val="clear" w:color="auto" w:fill="B1C9FD"/>
          </w:tcPr>
          <w:p>
            <w:pPr>
              <w:jc w:val="right"/>
              <w:ind w:right="20"/>
              <w:spacing w:after="0"/>
              <w:rPr>
                <w:sz w:val="20"/>
                <w:szCs w:val="20"/>
                <w:color w:val="auto"/>
              </w:rPr>
            </w:pPr>
            <w:r>
              <w:rPr>
                <w:rFonts w:ascii="Arial" w:cs="Arial" w:eastAsia="Arial" w:hAnsi="Arial"/>
                <w:sz w:val="14"/>
                <w:szCs w:val="14"/>
                <w:b w:val="1"/>
                <w:bCs w:val="1"/>
                <w:color w:val="004FF9"/>
              </w:rPr>
              <w:t>Maximum</w:t>
            </w:r>
          </w:p>
        </w:tc>
        <w:tc>
          <w:tcPr>
            <w:tcW w:w="840" w:type="dxa"/>
            <w:vAlign w:val="bottom"/>
            <w:tcBorders>
              <w:bottom w:val="single" w:sz="8" w:color="auto"/>
            </w:tcBorders>
            <w:shd w:val="clear" w:color="auto" w:fill="B1C9FD"/>
          </w:tcPr>
          <w:p>
            <w:pPr>
              <w:jc w:val="right"/>
              <w:ind w:right="2"/>
              <w:spacing w:after="0"/>
              <w:rPr>
                <w:sz w:val="20"/>
                <w:szCs w:val="20"/>
                <w:color w:val="auto"/>
              </w:rPr>
            </w:pPr>
            <w:r>
              <w:rPr>
                <w:rFonts w:ascii="Arial" w:cs="Arial" w:eastAsia="Arial" w:hAnsi="Arial"/>
                <w:sz w:val="14"/>
                <w:szCs w:val="14"/>
                <w:b w:val="1"/>
                <w:bCs w:val="1"/>
                <w:color w:val="004FF9"/>
              </w:rPr>
              <w:t>Threshold</w:t>
            </w:r>
          </w:p>
        </w:tc>
        <w:tc>
          <w:tcPr>
            <w:tcW w:w="640" w:type="dxa"/>
            <w:vAlign w:val="bottom"/>
            <w:tcBorders>
              <w:bottom w:val="single" w:sz="8" w:color="auto"/>
            </w:tcBorders>
            <w:shd w:val="clear" w:color="auto" w:fill="B1C9FD"/>
          </w:tcPr>
          <w:p>
            <w:pPr>
              <w:jc w:val="right"/>
              <w:ind w:right="20"/>
              <w:spacing w:after="0"/>
              <w:rPr>
                <w:sz w:val="20"/>
                <w:szCs w:val="20"/>
                <w:color w:val="auto"/>
              </w:rPr>
            </w:pPr>
            <w:r>
              <w:rPr>
                <w:rFonts w:ascii="Arial" w:cs="Arial" w:eastAsia="Arial" w:hAnsi="Arial"/>
                <w:sz w:val="14"/>
                <w:szCs w:val="14"/>
                <w:b w:val="1"/>
                <w:bCs w:val="1"/>
                <w:color w:val="004FF9"/>
              </w:rPr>
              <w:t>Target</w:t>
            </w:r>
          </w:p>
        </w:tc>
        <w:tc>
          <w:tcPr>
            <w:tcW w:w="820" w:type="dxa"/>
            <w:vAlign w:val="bottom"/>
            <w:tcBorders>
              <w:bottom w:val="single" w:sz="8" w:color="auto"/>
              <w:right w:val="single" w:sz="8" w:color="B1C9FD"/>
            </w:tcBorders>
            <w:shd w:val="clear" w:color="auto" w:fill="B1C9FD"/>
          </w:tcPr>
          <w:p>
            <w:pPr>
              <w:jc w:val="right"/>
              <w:ind w:right="20"/>
              <w:spacing w:after="0"/>
              <w:rPr>
                <w:sz w:val="20"/>
                <w:szCs w:val="20"/>
                <w:color w:val="auto"/>
              </w:rPr>
            </w:pPr>
            <w:r>
              <w:rPr>
                <w:rFonts w:ascii="Arial" w:cs="Arial" w:eastAsia="Arial" w:hAnsi="Arial"/>
                <w:sz w:val="14"/>
                <w:szCs w:val="14"/>
                <w:b w:val="1"/>
                <w:bCs w:val="1"/>
                <w:color w:val="004FF9"/>
              </w:rPr>
              <w:t>Maximum</w:t>
            </w:r>
          </w:p>
        </w:tc>
        <w:tc>
          <w:tcPr>
            <w:tcW w:w="680" w:type="dxa"/>
            <w:vAlign w:val="bottom"/>
            <w:tcBorders>
              <w:bottom w:val="single" w:sz="8" w:color="auto"/>
              <w:right w:val="single" w:sz="8" w:color="B1C9FD"/>
            </w:tcBorders>
            <w:shd w:val="clear" w:color="auto" w:fill="B1C9FD"/>
          </w:tcPr>
          <w:p>
            <w:pPr>
              <w:spacing w:after="0"/>
              <w:rPr>
                <w:sz w:val="24"/>
                <w:szCs w:val="24"/>
                <w:color w:val="auto"/>
              </w:rPr>
            </w:pPr>
          </w:p>
        </w:tc>
        <w:tc>
          <w:tcPr>
            <w:tcW w:w="880" w:type="dxa"/>
            <w:vAlign w:val="bottom"/>
            <w:tcBorders>
              <w:bottom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Henrik C. Slipsager</w:t>
            </w: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9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700" w:type="dxa"/>
            <w:vAlign w:val="bottom"/>
          </w:tcPr>
          <w:p>
            <w:pPr>
              <w:jc w:val="center"/>
              <w:spacing w:after="0"/>
              <w:rPr>
                <w:sz w:val="20"/>
                <w:szCs w:val="20"/>
                <w:color w:val="auto"/>
              </w:rPr>
            </w:pPr>
            <w:r>
              <w:rPr>
                <w:rFonts w:ascii="Arial" w:cs="Arial" w:eastAsia="Arial" w:hAnsi="Arial"/>
                <w:sz w:val="16"/>
                <w:szCs w:val="16"/>
                <w:color w:val="auto"/>
              </w:rPr>
              <w:t>893,000</w:t>
            </w:r>
          </w:p>
        </w:tc>
        <w:tc>
          <w:tcPr>
            <w:tcW w:w="820" w:type="dxa"/>
            <w:vAlign w:val="bottom"/>
          </w:tcPr>
          <w:p>
            <w:pPr>
              <w:jc w:val="right"/>
              <w:spacing w:after="0"/>
              <w:rPr>
                <w:sz w:val="20"/>
                <w:szCs w:val="20"/>
                <w:color w:val="auto"/>
              </w:rPr>
            </w:pPr>
            <w:r>
              <w:rPr>
                <w:rFonts w:ascii="Arial" w:cs="Arial" w:eastAsia="Arial" w:hAnsi="Arial"/>
                <w:sz w:val="16"/>
                <w:szCs w:val="16"/>
                <w:color w:val="auto"/>
              </w:rPr>
              <w:t>1,652,050</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tcBorders>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color w:val="auto"/>
              </w:rPr>
              <w:t>01/14/2014</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99"/>
              </w:rPr>
              <w:t>01/14/2014</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02"/>
              <w:spacing w:after="0" w:line="162" w:lineRule="exact"/>
              <w:rPr>
                <w:sz w:val="20"/>
                <w:szCs w:val="20"/>
                <w:color w:val="auto"/>
              </w:rPr>
            </w:pPr>
            <w:r>
              <w:rPr>
                <w:rFonts w:ascii="Arial" w:cs="Arial" w:eastAsia="Arial" w:hAnsi="Arial"/>
                <w:sz w:val="16"/>
                <w:szCs w:val="16"/>
                <w:color w:val="auto"/>
              </w:rPr>
              <w:t>15,538</w:t>
            </w: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31,075</w:t>
            </w:r>
          </w:p>
        </w:tc>
        <w:tc>
          <w:tcPr>
            <w:tcW w:w="820" w:type="dxa"/>
            <w:vAlign w:val="bottom"/>
          </w:tcPr>
          <w:p>
            <w:pPr>
              <w:jc w:val="right"/>
              <w:ind w:right="100"/>
              <w:spacing w:after="0" w:line="162" w:lineRule="exact"/>
              <w:rPr>
                <w:sz w:val="20"/>
                <w:szCs w:val="20"/>
                <w:color w:val="auto"/>
              </w:rPr>
            </w:pPr>
            <w:r>
              <w:rPr>
                <w:rFonts w:ascii="Arial" w:cs="Arial" w:eastAsia="Arial" w:hAnsi="Arial"/>
                <w:sz w:val="16"/>
                <w:szCs w:val="16"/>
                <w:color w:val="auto"/>
              </w:rPr>
              <w:t>62,150</w:t>
            </w:r>
          </w:p>
        </w:tc>
        <w:tc>
          <w:tcPr>
            <w:tcW w:w="680" w:type="dxa"/>
            <w:vAlign w:val="bottom"/>
          </w:tcPr>
          <w:p>
            <w:pPr>
              <w:spacing w:after="0"/>
              <w:rPr>
                <w:sz w:val="14"/>
                <w:szCs w:val="14"/>
                <w:color w:val="auto"/>
              </w:rPr>
            </w:pPr>
          </w:p>
        </w:tc>
        <w:tc>
          <w:tcPr>
            <w:tcW w:w="880" w:type="dxa"/>
            <w:vAlign w:val="bottom"/>
            <w:tcBorders>
              <w:right w:val="single" w:sz="8" w:color="auto"/>
            </w:tcBorders>
          </w:tcPr>
          <w:p>
            <w:pPr>
              <w:jc w:val="right"/>
              <w:ind w:right="102"/>
              <w:spacing w:after="0" w:line="162" w:lineRule="exact"/>
              <w:rPr>
                <w:sz w:val="20"/>
                <w:szCs w:val="20"/>
                <w:color w:val="auto"/>
              </w:rPr>
            </w:pPr>
            <w:r>
              <w:rPr>
                <w:rFonts w:ascii="Arial" w:cs="Arial" w:eastAsia="Arial" w:hAnsi="Arial"/>
                <w:sz w:val="16"/>
                <w:szCs w:val="16"/>
                <w:color w:val="auto"/>
              </w:rPr>
              <w:t>866,993</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tcBorders>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color w:val="auto"/>
              </w:rPr>
              <w:t>09/08/2014</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99"/>
              </w:rPr>
              <w:t>09/03/2014</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jc w:val="right"/>
              <w:ind w:right="45"/>
              <w:spacing w:after="0" w:line="162" w:lineRule="exact"/>
              <w:rPr>
                <w:sz w:val="20"/>
                <w:szCs w:val="20"/>
                <w:color w:val="auto"/>
              </w:rPr>
            </w:pPr>
            <w:r>
              <w:rPr>
                <w:rFonts w:ascii="Arial" w:cs="Arial" w:eastAsia="Arial" w:hAnsi="Arial"/>
                <w:sz w:val="16"/>
                <w:szCs w:val="16"/>
                <w:color w:val="auto"/>
              </w:rPr>
              <w:t>15,755</w:t>
            </w:r>
          </w:p>
        </w:tc>
        <w:tc>
          <w:tcPr>
            <w:tcW w:w="880" w:type="dxa"/>
            <w:vAlign w:val="bottom"/>
            <w:tcBorders>
              <w:right w:val="single" w:sz="8" w:color="auto"/>
            </w:tcBorders>
          </w:tcPr>
          <w:p>
            <w:pPr>
              <w:jc w:val="right"/>
              <w:ind w:right="102"/>
              <w:spacing w:after="0" w:line="162" w:lineRule="exact"/>
              <w:rPr>
                <w:sz w:val="20"/>
                <w:szCs w:val="20"/>
                <w:color w:val="auto"/>
              </w:rPr>
            </w:pPr>
            <w:r>
              <w:rPr>
                <w:rFonts w:ascii="Arial" w:cs="Arial" w:eastAsia="Arial" w:hAnsi="Arial"/>
                <w:sz w:val="16"/>
                <w:szCs w:val="16"/>
                <w:color w:val="auto"/>
              </w:rPr>
              <w:t>446,497</w:t>
            </w:r>
          </w:p>
        </w:tc>
        <w:tc>
          <w:tcPr>
            <w:tcW w:w="0" w:type="dxa"/>
            <w:vAlign w:val="bottom"/>
          </w:tcPr>
          <w:p>
            <w:pPr>
              <w:spacing w:after="0"/>
              <w:rPr>
                <w:sz w:val="1"/>
                <w:szCs w:val="1"/>
                <w:color w:val="auto"/>
              </w:rPr>
            </w:pPr>
          </w:p>
        </w:tc>
      </w:tr>
      <w:tr>
        <w:trPr>
          <w:trHeight w:val="187"/>
        </w:trPr>
        <w:tc>
          <w:tcPr>
            <w:tcW w:w="1780" w:type="dxa"/>
            <w:vAlign w:val="bottom"/>
            <w:tcBorders>
              <w:left w:val="single" w:sz="8" w:color="auto"/>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09/08/2014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09/03/2014</w:t>
            </w: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8,086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16,171</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24,257</w:t>
            </w: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6"/>
                <w:szCs w:val="16"/>
                <w:color w:val="auto"/>
              </w:rPr>
              <w:t>446,481</w:t>
            </w:r>
          </w:p>
        </w:tc>
        <w:tc>
          <w:tcPr>
            <w:tcW w:w="0" w:type="dxa"/>
            <w:vAlign w:val="bottom"/>
          </w:tcPr>
          <w:p>
            <w:pPr>
              <w:spacing w:after="0"/>
              <w:rPr>
                <w:sz w:val="1"/>
                <w:szCs w:val="1"/>
                <w:color w:val="auto"/>
              </w:rPr>
            </w:pPr>
          </w:p>
        </w:tc>
      </w:tr>
      <w:tr>
        <w:trPr>
          <w:trHeight w:val="183"/>
        </w:trPr>
        <w:tc>
          <w:tcPr>
            <w:tcW w:w="1780" w:type="dxa"/>
            <w:vAlign w:val="bottom"/>
            <w:tcBorders>
              <w:left w:val="single" w:sz="8" w:color="auto"/>
              <w:right w:val="single" w:sz="8" w:color="E5EDFE"/>
            </w:tcBorders>
            <w:shd w:val="clear" w:color="auto" w:fill="E5EDFE"/>
          </w:tcPr>
          <w:p>
            <w:pPr>
              <w:ind w:left="40"/>
              <w:spacing w:after="0" w:line="183" w:lineRule="exact"/>
              <w:rPr>
                <w:sz w:val="20"/>
                <w:szCs w:val="20"/>
                <w:color w:val="auto"/>
              </w:rPr>
            </w:pPr>
            <w:r>
              <w:rPr>
                <w:rFonts w:ascii="Arial" w:cs="Arial" w:eastAsia="Arial" w:hAnsi="Arial"/>
                <w:sz w:val="16"/>
                <w:szCs w:val="16"/>
                <w:color w:val="auto"/>
              </w:rPr>
              <w:t>James S. Lusk</w:t>
            </w:r>
          </w:p>
        </w:tc>
        <w:tc>
          <w:tcPr>
            <w:tcW w:w="900" w:type="dxa"/>
            <w:vAlign w:val="bottom"/>
            <w:tcBorders>
              <w:right w:val="single" w:sz="8" w:color="E5EDFE"/>
            </w:tcBorders>
            <w:shd w:val="clear" w:color="auto" w:fill="E5EDFE"/>
          </w:tcPr>
          <w:p>
            <w:pPr>
              <w:jc w:val="center"/>
              <w:spacing w:after="0" w:line="183" w:lineRule="exact"/>
              <w:rPr>
                <w:sz w:val="20"/>
                <w:szCs w:val="20"/>
                <w:color w:val="auto"/>
              </w:rPr>
            </w:pPr>
            <w:r>
              <w:rPr>
                <w:rFonts w:ascii="Arial" w:cs="Arial" w:eastAsia="Arial" w:hAnsi="Arial"/>
                <w:sz w:val="16"/>
                <w:szCs w:val="16"/>
                <w:color w:val="auto"/>
              </w:rPr>
              <w:t>n/a</w:t>
            </w:r>
          </w:p>
        </w:tc>
        <w:tc>
          <w:tcPr>
            <w:tcW w:w="920" w:type="dxa"/>
            <w:vAlign w:val="bottom"/>
            <w:tcBorders>
              <w:right w:val="single" w:sz="8" w:color="E5EDFE"/>
            </w:tcBorders>
            <w:shd w:val="clear" w:color="auto" w:fill="E5EDFE"/>
          </w:tcPr>
          <w:p>
            <w:pPr>
              <w:spacing w:after="0"/>
              <w:rPr>
                <w:sz w:val="15"/>
                <w:szCs w:val="15"/>
                <w:color w:val="auto"/>
              </w:rPr>
            </w:pPr>
          </w:p>
        </w:tc>
        <w:tc>
          <w:tcPr>
            <w:tcW w:w="780" w:type="dxa"/>
            <w:vAlign w:val="bottom"/>
            <w:shd w:val="clear" w:color="auto" w:fill="E5EDFE"/>
          </w:tcPr>
          <w:p>
            <w:pPr>
              <w:jc w:val="center"/>
              <w:spacing w:after="0" w:line="183" w:lineRule="exact"/>
              <w:rPr>
                <w:sz w:val="20"/>
                <w:szCs w:val="20"/>
                <w:color w:val="auto"/>
              </w:rPr>
            </w:pPr>
            <w:r>
              <w:rPr>
                <w:rFonts w:ascii="Arial" w:cs="Arial" w:eastAsia="Arial" w:hAnsi="Arial"/>
                <w:sz w:val="16"/>
                <w:szCs w:val="16"/>
                <w:color w:val="auto"/>
              </w:rPr>
              <w:t>196,725</w:t>
            </w:r>
          </w:p>
        </w:tc>
        <w:tc>
          <w:tcPr>
            <w:tcW w:w="700" w:type="dxa"/>
            <w:vAlign w:val="bottom"/>
            <w:shd w:val="clear" w:color="auto" w:fill="E5EDFE"/>
          </w:tcPr>
          <w:p>
            <w:pPr>
              <w:jc w:val="center"/>
              <w:spacing w:after="0" w:line="183" w:lineRule="exact"/>
              <w:rPr>
                <w:sz w:val="20"/>
                <w:szCs w:val="20"/>
                <w:color w:val="auto"/>
              </w:rPr>
            </w:pPr>
            <w:r>
              <w:rPr>
                <w:rFonts w:ascii="Arial" w:cs="Arial" w:eastAsia="Arial" w:hAnsi="Arial"/>
                <w:sz w:val="16"/>
                <w:szCs w:val="16"/>
                <w:color w:val="auto"/>
              </w:rPr>
              <w:t>393,449</w:t>
            </w:r>
          </w:p>
        </w:tc>
        <w:tc>
          <w:tcPr>
            <w:tcW w:w="820" w:type="dxa"/>
            <w:vAlign w:val="bottom"/>
            <w:tcBorders>
              <w:right w:val="single" w:sz="8" w:color="E5EDFE"/>
            </w:tcBorders>
            <w:shd w:val="clear" w:color="auto" w:fill="E5EDFE"/>
          </w:tcPr>
          <w:p>
            <w:pPr>
              <w:jc w:val="right"/>
              <w:spacing w:after="0" w:line="183" w:lineRule="exact"/>
              <w:rPr>
                <w:sz w:val="20"/>
                <w:szCs w:val="20"/>
                <w:color w:val="auto"/>
              </w:rPr>
            </w:pPr>
            <w:r>
              <w:rPr>
                <w:rFonts w:ascii="Arial" w:cs="Arial" w:eastAsia="Arial" w:hAnsi="Arial"/>
                <w:sz w:val="16"/>
                <w:szCs w:val="16"/>
                <w:color w:val="auto"/>
              </w:rPr>
              <w:t>727,881</w:t>
            </w:r>
          </w:p>
        </w:tc>
        <w:tc>
          <w:tcPr>
            <w:tcW w:w="840" w:type="dxa"/>
            <w:vAlign w:val="bottom"/>
            <w:shd w:val="clear" w:color="auto" w:fill="E5EDFE"/>
          </w:tcPr>
          <w:p>
            <w:pPr>
              <w:spacing w:after="0"/>
              <w:rPr>
                <w:sz w:val="15"/>
                <w:szCs w:val="15"/>
                <w:color w:val="auto"/>
              </w:rPr>
            </w:pPr>
          </w:p>
        </w:tc>
        <w:tc>
          <w:tcPr>
            <w:tcW w:w="640" w:type="dxa"/>
            <w:vAlign w:val="bottom"/>
            <w:shd w:val="clear" w:color="auto" w:fill="E5EDFE"/>
          </w:tcPr>
          <w:p>
            <w:pPr>
              <w:spacing w:after="0"/>
              <w:rPr>
                <w:sz w:val="15"/>
                <w:szCs w:val="15"/>
                <w:color w:val="auto"/>
              </w:rPr>
            </w:pPr>
          </w:p>
        </w:tc>
        <w:tc>
          <w:tcPr>
            <w:tcW w:w="820" w:type="dxa"/>
            <w:vAlign w:val="bottom"/>
            <w:tcBorders>
              <w:right w:val="single" w:sz="8" w:color="E5EDFE"/>
            </w:tcBorders>
            <w:shd w:val="clear" w:color="auto" w:fill="E5EDFE"/>
          </w:tcPr>
          <w:p>
            <w:pPr>
              <w:spacing w:after="0"/>
              <w:rPr>
                <w:sz w:val="15"/>
                <w:szCs w:val="15"/>
                <w:color w:val="auto"/>
              </w:rPr>
            </w:pPr>
          </w:p>
        </w:tc>
        <w:tc>
          <w:tcPr>
            <w:tcW w:w="680" w:type="dxa"/>
            <w:vAlign w:val="bottom"/>
            <w:tcBorders>
              <w:right w:val="single" w:sz="8" w:color="E5EDFE"/>
            </w:tcBorders>
            <w:shd w:val="clear" w:color="auto" w:fill="E5EDFE"/>
          </w:tcPr>
          <w:p>
            <w:pPr>
              <w:spacing w:after="0"/>
              <w:rPr>
                <w:sz w:val="15"/>
                <w:szCs w:val="15"/>
                <w:color w:val="auto"/>
              </w:rPr>
            </w:pPr>
          </w:p>
        </w:tc>
        <w:tc>
          <w:tcPr>
            <w:tcW w:w="880" w:type="dxa"/>
            <w:vAlign w:val="bottom"/>
            <w:tcBorders>
              <w:right w:val="single" w:sz="8" w:color="auto"/>
            </w:tcBorders>
            <w:shd w:val="clear" w:color="auto" w:fill="E5EDF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right w:val="single" w:sz="8" w:color="E5EDFE"/>
            </w:tcBorders>
            <w:shd w:val="clear" w:color="auto" w:fill="E5EDFE"/>
          </w:tcPr>
          <w:p>
            <w:pPr>
              <w:spacing w:after="0"/>
              <w:rPr>
                <w:sz w:val="14"/>
                <w:szCs w:val="14"/>
                <w:color w:val="auto"/>
              </w:rPr>
            </w:pPr>
          </w:p>
        </w:tc>
        <w:tc>
          <w:tcPr>
            <w:tcW w:w="900" w:type="dxa"/>
            <w:vAlign w:val="bottom"/>
            <w:tcBorders>
              <w:right w:val="single" w:sz="8" w:color="E5EDFE"/>
            </w:tcBorders>
            <w:shd w:val="clear" w:color="auto" w:fill="E5EDFE"/>
          </w:tcPr>
          <w:p>
            <w:pPr>
              <w:jc w:val="center"/>
              <w:spacing w:after="0" w:line="164" w:lineRule="exact"/>
              <w:rPr>
                <w:sz w:val="20"/>
                <w:szCs w:val="20"/>
                <w:color w:val="auto"/>
              </w:rPr>
            </w:pPr>
            <w:r>
              <w:rPr>
                <w:rFonts w:ascii="Arial" w:cs="Arial" w:eastAsia="Arial" w:hAnsi="Arial"/>
                <w:sz w:val="16"/>
                <w:szCs w:val="16"/>
                <w:color w:val="auto"/>
              </w:rPr>
              <w:t>01/14/2014</w:t>
            </w:r>
          </w:p>
        </w:tc>
        <w:tc>
          <w:tcPr>
            <w:tcW w:w="920" w:type="dxa"/>
            <w:vAlign w:val="bottom"/>
            <w:tcBorders>
              <w:right w:val="single" w:sz="8" w:color="E5EDFE"/>
            </w:tcBorders>
            <w:shd w:val="clear" w:color="auto" w:fill="E5EDFE"/>
          </w:tcPr>
          <w:p>
            <w:pPr>
              <w:jc w:val="center"/>
              <w:spacing w:after="0" w:line="164" w:lineRule="exact"/>
              <w:rPr>
                <w:sz w:val="20"/>
                <w:szCs w:val="20"/>
                <w:color w:val="auto"/>
              </w:rPr>
            </w:pPr>
            <w:r>
              <w:rPr>
                <w:rFonts w:ascii="Arial" w:cs="Arial" w:eastAsia="Arial" w:hAnsi="Arial"/>
                <w:sz w:val="16"/>
                <w:szCs w:val="16"/>
                <w:color w:val="auto"/>
                <w:w w:val="99"/>
              </w:rPr>
              <w:t>01/14/2014</w:t>
            </w:r>
          </w:p>
        </w:tc>
        <w:tc>
          <w:tcPr>
            <w:tcW w:w="780" w:type="dxa"/>
            <w:vAlign w:val="bottom"/>
            <w:shd w:val="clear" w:color="auto" w:fill="E5EDFE"/>
          </w:tcPr>
          <w:p>
            <w:pPr>
              <w:spacing w:after="0"/>
              <w:rPr>
                <w:sz w:val="14"/>
                <w:szCs w:val="14"/>
                <w:color w:val="auto"/>
              </w:rPr>
            </w:pPr>
          </w:p>
        </w:tc>
        <w:tc>
          <w:tcPr>
            <w:tcW w:w="700" w:type="dxa"/>
            <w:vAlign w:val="bottom"/>
            <w:shd w:val="clear" w:color="auto" w:fill="E5EDFE"/>
          </w:tcPr>
          <w:p>
            <w:pPr>
              <w:spacing w:after="0"/>
              <w:rPr>
                <w:sz w:val="14"/>
                <w:szCs w:val="14"/>
                <w:color w:val="auto"/>
              </w:rPr>
            </w:pPr>
          </w:p>
        </w:tc>
        <w:tc>
          <w:tcPr>
            <w:tcW w:w="820" w:type="dxa"/>
            <w:vAlign w:val="bottom"/>
            <w:tcBorders>
              <w:right w:val="single" w:sz="8" w:color="E5EDFE"/>
            </w:tcBorders>
            <w:shd w:val="clear" w:color="auto" w:fill="E5EDFE"/>
          </w:tcPr>
          <w:p>
            <w:pPr>
              <w:spacing w:after="0"/>
              <w:rPr>
                <w:sz w:val="14"/>
                <w:szCs w:val="14"/>
                <w:color w:val="auto"/>
              </w:rPr>
            </w:pPr>
          </w:p>
        </w:tc>
        <w:tc>
          <w:tcPr>
            <w:tcW w:w="840" w:type="dxa"/>
            <w:vAlign w:val="bottom"/>
            <w:shd w:val="clear" w:color="auto" w:fill="E5EDFE"/>
          </w:tcPr>
          <w:p>
            <w:pPr>
              <w:jc w:val="right"/>
              <w:ind w:right="102"/>
              <w:spacing w:after="0" w:line="164" w:lineRule="exact"/>
              <w:rPr>
                <w:sz w:val="20"/>
                <w:szCs w:val="20"/>
                <w:color w:val="auto"/>
              </w:rPr>
            </w:pPr>
            <w:r>
              <w:rPr>
                <w:rFonts w:ascii="Arial" w:cs="Arial" w:eastAsia="Arial" w:hAnsi="Arial"/>
                <w:sz w:val="16"/>
                <w:szCs w:val="16"/>
                <w:color w:val="auto"/>
              </w:rPr>
              <w:t>4,890</w:t>
            </w:r>
          </w:p>
        </w:tc>
        <w:tc>
          <w:tcPr>
            <w:tcW w:w="640" w:type="dxa"/>
            <w:vAlign w:val="bottom"/>
            <w:shd w:val="clear" w:color="auto" w:fill="E5EDFE"/>
          </w:tcPr>
          <w:p>
            <w:pPr>
              <w:jc w:val="right"/>
              <w:spacing w:after="0" w:line="164" w:lineRule="exact"/>
              <w:rPr>
                <w:sz w:val="20"/>
                <w:szCs w:val="20"/>
                <w:color w:val="auto"/>
              </w:rPr>
            </w:pPr>
            <w:r>
              <w:rPr>
                <w:rFonts w:ascii="Arial" w:cs="Arial" w:eastAsia="Arial" w:hAnsi="Arial"/>
                <w:sz w:val="16"/>
                <w:szCs w:val="16"/>
                <w:color w:val="auto"/>
              </w:rPr>
              <w:t>9,779</w:t>
            </w:r>
          </w:p>
        </w:tc>
        <w:tc>
          <w:tcPr>
            <w:tcW w:w="820" w:type="dxa"/>
            <w:vAlign w:val="bottom"/>
            <w:tcBorders>
              <w:right w:val="single" w:sz="8" w:color="E5EDFE"/>
            </w:tcBorders>
            <w:shd w:val="clear" w:color="auto" w:fill="E5EDFE"/>
          </w:tcPr>
          <w:p>
            <w:pPr>
              <w:jc w:val="right"/>
              <w:ind w:right="100"/>
              <w:spacing w:after="0" w:line="164" w:lineRule="exact"/>
              <w:rPr>
                <w:sz w:val="20"/>
                <w:szCs w:val="20"/>
                <w:color w:val="auto"/>
              </w:rPr>
            </w:pPr>
            <w:r>
              <w:rPr>
                <w:rFonts w:ascii="Arial" w:cs="Arial" w:eastAsia="Arial" w:hAnsi="Arial"/>
                <w:sz w:val="16"/>
                <w:szCs w:val="16"/>
                <w:color w:val="auto"/>
              </w:rPr>
              <w:t>19,558</w:t>
            </w:r>
          </w:p>
        </w:tc>
        <w:tc>
          <w:tcPr>
            <w:tcW w:w="680" w:type="dxa"/>
            <w:vAlign w:val="bottom"/>
            <w:tcBorders>
              <w:right w:val="single" w:sz="8" w:color="E5EDFE"/>
            </w:tcBorders>
            <w:shd w:val="clear" w:color="auto" w:fill="E5EDFE"/>
          </w:tcPr>
          <w:p>
            <w:pPr>
              <w:spacing w:after="0"/>
              <w:rPr>
                <w:sz w:val="14"/>
                <w:szCs w:val="14"/>
                <w:color w:val="auto"/>
              </w:rPr>
            </w:pPr>
          </w:p>
        </w:tc>
        <w:tc>
          <w:tcPr>
            <w:tcW w:w="880" w:type="dxa"/>
            <w:vAlign w:val="bottom"/>
            <w:tcBorders>
              <w:right w:val="single" w:sz="8" w:color="auto"/>
            </w:tcBorders>
            <w:shd w:val="clear" w:color="auto" w:fill="E5EDFE"/>
          </w:tcPr>
          <w:p>
            <w:pPr>
              <w:jc w:val="right"/>
              <w:ind w:right="102"/>
              <w:spacing w:after="0" w:line="164" w:lineRule="exact"/>
              <w:rPr>
                <w:sz w:val="20"/>
                <w:szCs w:val="20"/>
                <w:color w:val="auto"/>
              </w:rPr>
            </w:pPr>
            <w:r>
              <w:rPr>
                <w:rFonts w:ascii="Arial" w:cs="Arial" w:eastAsia="Arial" w:hAnsi="Arial"/>
                <w:sz w:val="16"/>
                <w:szCs w:val="16"/>
                <w:color w:val="auto"/>
              </w:rPr>
              <w:t>272,834</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E5EDFE"/>
            </w:tcBorders>
            <w:shd w:val="clear" w:color="auto" w:fill="E5EDFE"/>
          </w:tcPr>
          <w:p>
            <w:pPr>
              <w:spacing w:after="0"/>
              <w:rPr>
                <w:sz w:val="14"/>
                <w:szCs w:val="14"/>
                <w:color w:val="auto"/>
              </w:rPr>
            </w:pPr>
          </w:p>
        </w:tc>
        <w:tc>
          <w:tcPr>
            <w:tcW w:w="900" w:type="dxa"/>
            <w:vAlign w:val="bottom"/>
            <w:tcBorders>
              <w:right w:val="single" w:sz="8" w:color="E5EDFE"/>
            </w:tcBorders>
            <w:shd w:val="clear" w:color="auto" w:fill="E5EDFE"/>
          </w:tcPr>
          <w:p>
            <w:pPr>
              <w:jc w:val="center"/>
              <w:spacing w:after="0" w:line="162" w:lineRule="exact"/>
              <w:rPr>
                <w:sz w:val="20"/>
                <w:szCs w:val="20"/>
                <w:color w:val="auto"/>
              </w:rPr>
            </w:pPr>
            <w:r>
              <w:rPr>
                <w:rFonts w:ascii="Arial" w:cs="Arial" w:eastAsia="Arial" w:hAnsi="Arial"/>
                <w:sz w:val="16"/>
                <w:szCs w:val="16"/>
                <w:color w:val="auto"/>
              </w:rPr>
              <w:t>09/08/2014</w:t>
            </w:r>
          </w:p>
        </w:tc>
        <w:tc>
          <w:tcPr>
            <w:tcW w:w="920" w:type="dxa"/>
            <w:vAlign w:val="bottom"/>
            <w:tcBorders>
              <w:right w:val="single" w:sz="8" w:color="E5EDFE"/>
            </w:tcBorders>
            <w:shd w:val="clear" w:color="auto" w:fill="E5EDFE"/>
          </w:tcPr>
          <w:p>
            <w:pPr>
              <w:jc w:val="center"/>
              <w:spacing w:after="0" w:line="162" w:lineRule="exact"/>
              <w:rPr>
                <w:sz w:val="20"/>
                <w:szCs w:val="20"/>
                <w:color w:val="auto"/>
              </w:rPr>
            </w:pPr>
            <w:r>
              <w:rPr>
                <w:rFonts w:ascii="Arial" w:cs="Arial" w:eastAsia="Arial" w:hAnsi="Arial"/>
                <w:sz w:val="16"/>
                <w:szCs w:val="16"/>
                <w:color w:val="auto"/>
                <w:w w:val="99"/>
              </w:rPr>
              <w:t>09/03/2014</w:t>
            </w:r>
          </w:p>
        </w:tc>
        <w:tc>
          <w:tcPr>
            <w:tcW w:w="780" w:type="dxa"/>
            <w:vAlign w:val="bottom"/>
            <w:shd w:val="clear" w:color="auto" w:fill="E5EDFE"/>
          </w:tcPr>
          <w:p>
            <w:pPr>
              <w:spacing w:after="0"/>
              <w:rPr>
                <w:sz w:val="14"/>
                <w:szCs w:val="14"/>
                <w:color w:val="auto"/>
              </w:rPr>
            </w:pPr>
          </w:p>
        </w:tc>
        <w:tc>
          <w:tcPr>
            <w:tcW w:w="700" w:type="dxa"/>
            <w:vAlign w:val="bottom"/>
            <w:shd w:val="clear" w:color="auto" w:fill="E5EDFE"/>
          </w:tcPr>
          <w:p>
            <w:pPr>
              <w:spacing w:after="0"/>
              <w:rPr>
                <w:sz w:val="14"/>
                <w:szCs w:val="14"/>
                <w:color w:val="auto"/>
              </w:rPr>
            </w:pPr>
          </w:p>
        </w:tc>
        <w:tc>
          <w:tcPr>
            <w:tcW w:w="820" w:type="dxa"/>
            <w:vAlign w:val="bottom"/>
            <w:tcBorders>
              <w:right w:val="single" w:sz="8" w:color="E5EDFE"/>
            </w:tcBorders>
            <w:shd w:val="clear" w:color="auto" w:fill="E5EDFE"/>
          </w:tcPr>
          <w:p>
            <w:pPr>
              <w:spacing w:after="0"/>
              <w:rPr>
                <w:sz w:val="14"/>
                <w:szCs w:val="14"/>
                <w:color w:val="auto"/>
              </w:rPr>
            </w:pPr>
          </w:p>
        </w:tc>
        <w:tc>
          <w:tcPr>
            <w:tcW w:w="840" w:type="dxa"/>
            <w:vAlign w:val="bottom"/>
            <w:shd w:val="clear" w:color="auto" w:fill="E5EDFE"/>
          </w:tcPr>
          <w:p>
            <w:pPr>
              <w:spacing w:after="0"/>
              <w:rPr>
                <w:sz w:val="14"/>
                <w:szCs w:val="14"/>
                <w:color w:val="auto"/>
              </w:rPr>
            </w:pPr>
          </w:p>
        </w:tc>
        <w:tc>
          <w:tcPr>
            <w:tcW w:w="640" w:type="dxa"/>
            <w:vAlign w:val="bottom"/>
            <w:shd w:val="clear" w:color="auto" w:fill="E5EDFE"/>
          </w:tcPr>
          <w:p>
            <w:pPr>
              <w:spacing w:after="0"/>
              <w:rPr>
                <w:sz w:val="14"/>
                <w:szCs w:val="14"/>
                <w:color w:val="auto"/>
              </w:rPr>
            </w:pPr>
          </w:p>
        </w:tc>
        <w:tc>
          <w:tcPr>
            <w:tcW w:w="820" w:type="dxa"/>
            <w:vAlign w:val="bottom"/>
            <w:tcBorders>
              <w:right w:val="single" w:sz="8" w:color="E5EDFE"/>
            </w:tcBorders>
            <w:shd w:val="clear" w:color="auto" w:fill="E5EDFE"/>
          </w:tcPr>
          <w:p>
            <w:pPr>
              <w:spacing w:after="0"/>
              <w:rPr>
                <w:sz w:val="14"/>
                <w:szCs w:val="14"/>
                <w:color w:val="auto"/>
              </w:rPr>
            </w:pPr>
          </w:p>
        </w:tc>
        <w:tc>
          <w:tcPr>
            <w:tcW w:w="680" w:type="dxa"/>
            <w:vAlign w:val="bottom"/>
            <w:tcBorders>
              <w:right w:val="single" w:sz="8" w:color="E5EDFE"/>
            </w:tcBorders>
            <w:shd w:val="clear" w:color="auto" w:fill="E5EDFE"/>
          </w:tcPr>
          <w:p>
            <w:pPr>
              <w:jc w:val="right"/>
              <w:ind w:right="45"/>
              <w:spacing w:after="0" w:line="162" w:lineRule="exact"/>
              <w:rPr>
                <w:sz w:val="20"/>
                <w:szCs w:val="20"/>
                <w:color w:val="auto"/>
              </w:rPr>
            </w:pPr>
            <w:r>
              <w:rPr>
                <w:rFonts w:ascii="Arial" w:cs="Arial" w:eastAsia="Arial" w:hAnsi="Arial"/>
                <w:sz w:val="16"/>
                <w:szCs w:val="16"/>
                <w:color w:val="auto"/>
              </w:rPr>
              <w:t>4,958</w:t>
            </w:r>
          </w:p>
        </w:tc>
        <w:tc>
          <w:tcPr>
            <w:tcW w:w="880" w:type="dxa"/>
            <w:vAlign w:val="bottom"/>
            <w:tcBorders>
              <w:right w:val="single" w:sz="8" w:color="auto"/>
            </w:tcBorders>
            <w:shd w:val="clear" w:color="auto" w:fill="E5EDFE"/>
          </w:tcPr>
          <w:p>
            <w:pPr>
              <w:jc w:val="right"/>
              <w:ind w:right="102"/>
              <w:spacing w:after="0" w:line="162" w:lineRule="exact"/>
              <w:rPr>
                <w:sz w:val="20"/>
                <w:szCs w:val="20"/>
                <w:color w:val="auto"/>
              </w:rPr>
            </w:pPr>
            <w:r>
              <w:rPr>
                <w:rFonts w:ascii="Arial" w:cs="Arial" w:eastAsia="Arial" w:hAnsi="Arial"/>
                <w:sz w:val="16"/>
                <w:szCs w:val="16"/>
                <w:color w:val="auto"/>
              </w:rPr>
              <w:t>140,510</w:t>
            </w:r>
          </w:p>
        </w:tc>
        <w:tc>
          <w:tcPr>
            <w:tcW w:w="0" w:type="dxa"/>
            <w:vAlign w:val="bottom"/>
          </w:tcPr>
          <w:p>
            <w:pPr>
              <w:spacing w:after="0"/>
              <w:rPr>
                <w:sz w:val="1"/>
                <w:szCs w:val="1"/>
                <w:color w:val="auto"/>
              </w:rPr>
            </w:pPr>
          </w:p>
        </w:tc>
      </w:tr>
      <w:tr>
        <w:trPr>
          <w:trHeight w:val="187"/>
        </w:trPr>
        <w:tc>
          <w:tcPr>
            <w:tcW w:w="1780" w:type="dxa"/>
            <w:vAlign w:val="bottom"/>
            <w:tcBorders>
              <w:left w:val="single" w:sz="8" w:color="auto"/>
              <w:bottom w:val="single" w:sz="8" w:color="auto"/>
              <w:right w:val="single" w:sz="8" w:color="E5EDFE"/>
            </w:tcBorders>
            <w:shd w:val="clear" w:color="auto" w:fill="E5EDFE"/>
          </w:tcPr>
          <w:p>
            <w:pPr>
              <w:spacing w:after="0"/>
              <w:rPr>
                <w:sz w:val="16"/>
                <w:szCs w:val="16"/>
                <w:color w:val="auto"/>
              </w:rPr>
            </w:pPr>
          </w:p>
        </w:tc>
        <w:tc>
          <w:tcPr>
            <w:tcW w:w="900" w:type="dxa"/>
            <w:vAlign w:val="bottom"/>
            <w:tcBorders>
              <w:bottom w:val="single" w:sz="8" w:color="auto"/>
              <w:right w:val="single" w:sz="8" w:color="E5EDFE"/>
            </w:tcBorders>
            <w:shd w:val="clear" w:color="auto" w:fill="E5EDFE"/>
          </w:tcPr>
          <w:p>
            <w:pPr>
              <w:jc w:val="center"/>
              <w:spacing w:after="0"/>
              <w:rPr>
                <w:sz w:val="20"/>
                <w:szCs w:val="20"/>
                <w:color w:val="auto"/>
              </w:rPr>
            </w:pPr>
            <w:r>
              <w:rPr>
                <w:rFonts w:ascii="Arial" w:cs="Arial" w:eastAsia="Arial" w:hAnsi="Arial"/>
                <w:sz w:val="16"/>
                <w:szCs w:val="16"/>
                <w:color w:val="auto"/>
              </w:rPr>
              <w:t>09/08/2014</w:t>
            </w:r>
          </w:p>
        </w:tc>
        <w:tc>
          <w:tcPr>
            <w:tcW w:w="920" w:type="dxa"/>
            <w:vAlign w:val="bottom"/>
            <w:tcBorders>
              <w:bottom w:val="single" w:sz="8" w:color="auto"/>
              <w:right w:val="single" w:sz="8" w:color="E5EDFE"/>
            </w:tcBorders>
            <w:shd w:val="clear" w:color="auto" w:fill="E5EDFE"/>
          </w:tcPr>
          <w:p>
            <w:pPr>
              <w:jc w:val="center"/>
              <w:spacing w:after="0"/>
              <w:rPr>
                <w:sz w:val="20"/>
                <w:szCs w:val="20"/>
                <w:color w:val="auto"/>
              </w:rPr>
            </w:pPr>
            <w:r>
              <w:rPr>
                <w:rFonts w:ascii="Arial" w:cs="Arial" w:eastAsia="Arial" w:hAnsi="Arial"/>
                <w:sz w:val="16"/>
                <w:szCs w:val="16"/>
                <w:color w:val="auto"/>
                <w:w w:val="99"/>
              </w:rPr>
              <w:t>09/03/2014</w:t>
            </w:r>
          </w:p>
        </w:tc>
        <w:tc>
          <w:tcPr>
            <w:tcW w:w="780" w:type="dxa"/>
            <w:vAlign w:val="bottom"/>
            <w:tcBorders>
              <w:bottom w:val="single" w:sz="8" w:color="auto"/>
            </w:tcBorders>
            <w:shd w:val="clear" w:color="auto" w:fill="E5EDFE"/>
          </w:tcPr>
          <w:p>
            <w:pPr>
              <w:spacing w:after="0"/>
              <w:rPr>
                <w:sz w:val="16"/>
                <w:szCs w:val="16"/>
                <w:color w:val="auto"/>
              </w:rPr>
            </w:pPr>
          </w:p>
        </w:tc>
        <w:tc>
          <w:tcPr>
            <w:tcW w:w="700" w:type="dxa"/>
            <w:vAlign w:val="bottom"/>
            <w:tcBorders>
              <w:bottom w:val="single" w:sz="8" w:color="auto"/>
            </w:tcBorders>
            <w:shd w:val="clear" w:color="auto" w:fill="E5EDFE"/>
          </w:tcPr>
          <w:p>
            <w:pPr>
              <w:spacing w:after="0"/>
              <w:rPr>
                <w:sz w:val="16"/>
                <w:szCs w:val="16"/>
                <w:color w:val="auto"/>
              </w:rPr>
            </w:pPr>
          </w:p>
        </w:tc>
        <w:tc>
          <w:tcPr>
            <w:tcW w:w="820" w:type="dxa"/>
            <w:vAlign w:val="bottom"/>
            <w:tcBorders>
              <w:bottom w:val="single" w:sz="8" w:color="auto"/>
              <w:right w:val="single" w:sz="8" w:color="E5EDFE"/>
            </w:tcBorders>
            <w:shd w:val="clear" w:color="auto" w:fill="E5EDFE"/>
          </w:tcPr>
          <w:p>
            <w:pPr>
              <w:spacing w:after="0"/>
              <w:rPr>
                <w:sz w:val="16"/>
                <w:szCs w:val="16"/>
                <w:color w:val="auto"/>
              </w:rPr>
            </w:pPr>
          </w:p>
        </w:tc>
        <w:tc>
          <w:tcPr>
            <w:tcW w:w="840" w:type="dxa"/>
            <w:vAlign w:val="bottom"/>
            <w:tcBorders>
              <w:bottom w:val="single" w:sz="8" w:color="auto"/>
            </w:tcBorders>
            <w:shd w:val="clear" w:color="auto" w:fill="E5EDFE"/>
          </w:tcPr>
          <w:p>
            <w:pPr>
              <w:jc w:val="right"/>
              <w:ind w:right="102"/>
              <w:spacing w:after="0"/>
              <w:rPr>
                <w:sz w:val="20"/>
                <w:szCs w:val="20"/>
                <w:color w:val="auto"/>
              </w:rPr>
            </w:pPr>
            <w:r>
              <w:rPr>
                <w:rFonts w:ascii="Arial" w:cs="Arial" w:eastAsia="Arial" w:hAnsi="Arial"/>
                <w:sz w:val="16"/>
                <w:szCs w:val="16"/>
                <w:color w:val="auto"/>
              </w:rPr>
              <w:t>2,545</w:t>
            </w:r>
          </w:p>
        </w:tc>
        <w:tc>
          <w:tcPr>
            <w:tcW w:w="640" w:type="dxa"/>
            <w:vAlign w:val="bottom"/>
            <w:tcBorders>
              <w:bottom w:val="single" w:sz="8" w:color="auto"/>
            </w:tcBorders>
            <w:shd w:val="clear" w:color="auto" w:fill="E5EDFE"/>
          </w:tcPr>
          <w:p>
            <w:pPr>
              <w:jc w:val="right"/>
              <w:spacing w:after="0"/>
              <w:rPr>
                <w:sz w:val="20"/>
                <w:szCs w:val="20"/>
                <w:color w:val="auto"/>
              </w:rPr>
            </w:pPr>
            <w:r>
              <w:rPr>
                <w:rFonts w:ascii="Arial" w:cs="Arial" w:eastAsia="Arial" w:hAnsi="Arial"/>
                <w:sz w:val="16"/>
                <w:szCs w:val="16"/>
                <w:color w:val="auto"/>
              </w:rPr>
              <w:t>5,089</w:t>
            </w:r>
          </w:p>
        </w:tc>
        <w:tc>
          <w:tcPr>
            <w:tcW w:w="820" w:type="dxa"/>
            <w:vAlign w:val="bottom"/>
            <w:tcBorders>
              <w:bottom w:val="single" w:sz="8" w:color="auto"/>
              <w:right w:val="single" w:sz="8" w:color="E5EDFE"/>
            </w:tcBorders>
            <w:shd w:val="clear" w:color="auto" w:fill="E5EDFE"/>
          </w:tcPr>
          <w:p>
            <w:pPr>
              <w:jc w:val="right"/>
              <w:ind w:right="100"/>
              <w:spacing w:after="0"/>
              <w:rPr>
                <w:sz w:val="20"/>
                <w:szCs w:val="20"/>
                <w:color w:val="auto"/>
              </w:rPr>
            </w:pPr>
            <w:r>
              <w:rPr>
                <w:rFonts w:ascii="Arial" w:cs="Arial" w:eastAsia="Arial" w:hAnsi="Arial"/>
                <w:sz w:val="16"/>
                <w:szCs w:val="16"/>
                <w:color w:val="auto"/>
              </w:rPr>
              <w:t>7,634</w:t>
            </w:r>
          </w:p>
        </w:tc>
        <w:tc>
          <w:tcPr>
            <w:tcW w:w="680" w:type="dxa"/>
            <w:vAlign w:val="bottom"/>
            <w:tcBorders>
              <w:bottom w:val="single" w:sz="8" w:color="auto"/>
              <w:right w:val="single" w:sz="8" w:color="E5EDFE"/>
            </w:tcBorders>
            <w:shd w:val="clear" w:color="auto" w:fill="E5EDFE"/>
          </w:tcPr>
          <w:p>
            <w:pPr>
              <w:spacing w:after="0"/>
              <w:rPr>
                <w:sz w:val="16"/>
                <w:szCs w:val="16"/>
                <w:color w:val="auto"/>
              </w:rPr>
            </w:pPr>
          </w:p>
        </w:tc>
        <w:tc>
          <w:tcPr>
            <w:tcW w:w="880" w:type="dxa"/>
            <w:vAlign w:val="bottom"/>
            <w:tcBorders>
              <w:bottom w:val="single" w:sz="8" w:color="auto"/>
              <w:right w:val="single" w:sz="8" w:color="auto"/>
            </w:tcBorders>
            <w:shd w:val="clear" w:color="auto" w:fill="E5EDFE"/>
          </w:tcPr>
          <w:p>
            <w:pPr>
              <w:jc w:val="right"/>
              <w:ind w:right="102"/>
              <w:spacing w:after="0"/>
              <w:rPr>
                <w:sz w:val="20"/>
                <w:szCs w:val="20"/>
                <w:color w:val="auto"/>
              </w:rPr>
            </w:pPr>
            <w:r>
              <w:rPr>
                <w:rFonts w:ascii="Arial" w:cs="Arial" w:eastAsia="Arial" w:hAnsi="Arial"/>
                <w:sz w:val="16"/>
                <w:szCs w:val="16"/>
                <w:color w:val="auto"/>
              </w:rPr>
              <w:t>140,507</w:t>
            </w:r>
          </w:p>
        </w:tc>
        <w:tc>
          <w:tcPr>
            <w:tcW w:w="0" w:type="dxa"/>
            <w:vAlign w:val="bottom"/>
          </w:tcPr>
          <w:p>
            <w:pPr>
              <w:spacing w:after="0"/>
              <w:rPr>
                <w:sz w:val="1"/>
                <w:szCs w:val="1"/>
                <w:color w:val="auto"/>
              </w:rPr>
            </w:pPr>
          </w:p>
        </w:tc>
      </w:tr>
      <w:tr>
        <w:trPr>
          <w:trHeight w:val="184"/>
        </w:trPr>
        <w:tc>
          <w:tcPr>
            <w:tcW w:w="17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James P. McClure</w:t>
            </w: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9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254,114</w:t>
            </w:r>
          </w:p>
        </w:tc>
        <w:tc>
          <w:tcPr>
            <w:tcW w:w="700" w:type="dxa"/>
            <w:vAlign w:val="bottom"/>
          </w:tcPr>
          <w:p>
            <w:pPr>
              <w:jc w:val="center"/>
              <w:spacing w:after="0"/>
              <w:rPr>
                <w:sz w:val="20"/>
                <w:szCs w:val="20"/>
                <w:color w:val="auto"/>
              </w:rPr>
            </w:pPr>
            <w:r>
              <w:rPr>
                <w:rFonts w:ascii="Arial" w:cs="Arial" w:eastAsia="Arial" w:hAnsi="Arial"/>
                <w:sz w:val="16"/>
                <w:szCs w:val="16"/>
                <w:color w:val="auto"/>
              </w:rPr>
              <w:t>508,227</w:t>
            </w:r>
          </w:p>
        </w:tc>
        <w:tc>
          <w:tcPr>
            <w:tcW w:w="820" w:type="dxa"/>
            <w:vAlign w:val="bottom"/>
          </w:tcPr>
          <w:p>
            <w:pPr>
              <w:jc w:val="right"/>
              <w:spacing w:after="0"/>
              <w:rPr>
                <w:sz w:val="20"/>
                <w:szCs w:val="20"/>
                <w:color w:val="auto"/>
              </w:rPr>
            </w:pPr>
            <w:r>
              <w:rPr>
                <w:rFonts w:ascii="Arial" w:cs="Arial" w:eastAsia="Arial" w:hAnsi="Arial"/>
                <w:sz w:val="16"/>
                <w:szCs w:val="16"/>
                <w:color w:val="auto"/>
              </w:rPr>
              <w:t>952,926</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tcBorders>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color w:val="auto"/>
              </w:rPr>
              <w:t>01/14/2014</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99"/>
              </w:rPr>
              <w:t>01/14/2014</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02"/>
              <w:spacing w:after="0" w:line="162" w:lineRule="exact"/>
              <w:rPr>
                <w:sz w:val="20"/>
                <w:szCs w:val="20"/>
                <w:color w:val="auto"/>
              </w:rPr>
            </w:pPr>
            <w:r>
              <w:rPr>
                <w:rFonts w:ascii="Arial" w:cs="Arial" w:eastAsia="Arial" w:hAnsi="Arial"/>
                <w:sz w:val="16"/>
                <w:szCs w:val="16"/>
                <w:color w:val="auto"/>
              </w:rPr>
              <w:t>6,485</w:t>
            </w: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12,969</w:t>
            </w:r>
          </w:p>
        </w:tc>
        <w:tc>
          <w:tcPr>
            <w:tcW w:w="820" w:type="dxa"/>
            <w:vAlign w:val="bottom"/>
          </w:tcPr>
          <w:p>
            <w:pPr>
              <w:jc w:val="right"/>
              <w:ind w:right="100"/>
              <w:spacing w:after="0" w:line="162" w:lineRule="exact"/>
              <w:rPr>
                <w:sz w:val="20"/>
                <w:szCs w:val="20"/>
                <w:color w:val="auto"/>
              </w:rPr>
            </w:pPr>
            <w:r>
              <w:rPr>
                <w:rFonts w:ascii="Arial" w:cs="Arial" w:eastAsia="Arial" w:hAnsi="Arial"/>
                <w:sz w:val="16"/>
                <w:szCs w:val="16"/>
                <w:color w:val="auto"/>
              </w:rPr>
              <w:t>25,938</w:t>
            </w:r>
          </w:p>
        </w:tc>
        <w:tc>
          <w:tcPr>
            <w:tcW w:w="680" w:type="dxa"/>
            <w:vAlign w:val="bottom"/>
          </w:tcPr>
          <w:p>
            <w:pPr>
              <w:spacing w:after="0"/>
              <w:rPr>
                <w:sz w:val="14"/>
                <w:szCs w:val="14"/>
                <w:color w:val="auto"/>
              </w:rPr>
            </w:pPr>
          </w:p>
        </w:tc>
        <w:tc>
          <w:tcPr>
            <w:tcW w:w="880" w:type="dxa"/>
            <w:vAlign w:val="bottom"/>
            <w:tcBorders>
              <w:right w:val="single" w:sz="8" w:color="auto"/>
            </w:tcBorders>
          </w:tcPr>
          <w:p>
            <w:pPr>
              <w:jc w:val="right"/>
              <w:ind w:right="102"/>
              <w:spacing w:after="0" w:line="162" w:lineRule="exact"/>
              <w:rPr>
                <w:sz w:val="20"/>
                <w:szCs w:val="20"/>
                <w:color w:val="auto"/>
              </w:rPr>
            </w:pPr>
            <w:r>
              <w:rPr>
                <w:rFonts w:ascii="Arial" w:cs="Arial" w:eastAsia="Arial" w:hAnsi="Arial"/>
                <w:sz w:val="16"/>
                <w:szCs w:val="16"/>
                <w:color w:val="auto"/>
              </w:rPr>
              <w:t>361,835</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tcBorders>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color w:val="auto"/>
              </w:rPr>
              <w:t>09/08/2014</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99"/>
              </w:rPr>
              <w:t>09/03/2014</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jc w:val="right"/>
              <w:ind w:right="45"/>
              <w:spacing w:after="0" w:line="162" w:lineRule="exact"/>
              <w:rPr>
                <w:sz w:val="20"/>
                <w:szCs w:val="20"/>
                <w:color w:val="auto"/>
              </w:rPr>
            </w:pPr>
            <w:r>
              <w:rPr>
                <w:rFonts w:ascii="Arial" w:cs="Arial" w:eastAsia="Arial" w:hAnsi="Arial"/>
                <w:sz w:val="16"/>
                <w:szCs w:val="16"/>
                <w:color w:val="auto"/>
              </w:rPr>
              <w:t>6,575</w:t>
            </w:r>
          </w:p>
        </w:tc>
        <w:tc>
          <w:tcPr>
            <w:tcW w:w="880" w:type="dxa"/>
            <w:vAlign w:val="bottom"/>
            <w:tcBorders>
              <w:right w:val="single" w:sz="8" w:color="auto"/>
            </w:tcBorders>
          </w:tcPr>
          <w:p>
            <w:pPr>
              <w:jc w:val="right"/>
              <w:ind w:right="102"/>
              <w:spacing w:after="0" w:line="162" w:lineRule="exact"/>
              <w:rPr>
                <w:sz w:val="20"/>
                <w:szCs w:val="20"/>
                <w:color w:val="auto"/>
              </w:rPr>
            </w:pPr>
            <w:r>
              <w:rPr>
                <w:rFonts w:ascii="Arial" w:cs="Arial" w:eastAsia="Arial" w:hAnsi="Arial"/>
                <w:sz w:val="16"/>
                <w:szCs w:val="16"/>
                <w:color w:val="auto"/>
              </w:rPr>
              <w:t>186,336</w:t>
            </w:r>
          </w:p>
        </w:tc>
        <w:tc>
          <w:tcPr>
            <w:tcW w:w="0" w:type="dxa"/>
            <w:vAlign w:val="bottom"/>
          </w:tcPr>
          <w:p>
            <w:pPr>
              <w:spacing w:after="0"/>
              <w:rPr>
                <w:sz w:val="1"/>
                <w:szCs w:val="1"/>
                <w:color w:val="auto"/>
              </w:rPr>
            </w:pPr>
          </w:p>
        </w:tc>
      </w:tr>
      <w:tr>
        <w:trPr>
          <w:trHeight w:val="187"/>
        </w:trPr>
        <w:tc>
          <w:tcPr>
            <w:tcW w:w="1780" w:type="dxa"/>
            <w:vAlign w:val="bottom"/>
            <w:tcBorders>
              <w:left w:val="single" w:sz="8" w:color="auto"/>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09/08/2014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09/03/2014</w:t>
            </w: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3,375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10,124</w:t>
            </w: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6"/>
                <w:szCs w:val="16"/>
                <w:color w:val="auto"/>
              </w:rPr>
              <w:t>186,340</w:t>
            </w:r>
          </w:p>
        </w:tc>
        <w:tc>
          <w:tcPr>
            <w:tcW w:w="0" w:type="dxa"/>
            <w:vAlign w:val="bottom"/>
          </w:tcPr>
          <w:p>
            <w:pPr>
              <w:spacing w:after="0"/>
              <w:rPr>
                <w:sz w:val="1"/>
                <w:szCs w:val="1"/>
                <w:color w:val="auto"/>
              </w:rPr>
            </w:pPr>
          </w:p>
        </w:tc>
      </w:tr>
      <w:tr>
        <w:trPr>
          <w:trHeight w:val="183"/>
        </w:trPr>
        <w:tc>
          <w:tcPr>
            <w:tcW w:w="1780" w:type="dxa"/>
            <w:vAlign w:val="bottom"/>
            <w:tcBorders>
              <w:left w:val="single" w:sz="8" w:color="auto"/>
              <w:right w:val="single" w:sz="8" w:color="E5EDFE"/>
            </w:tcBorders>
            <w:shd w:val="clear" w:color="auto" w:fill="E5EDFE"/>
          </w:tcPr>
          <w:p>
            <w:pPr>
              <w:ind w:left="40"/>
              <w:spacing w:after="0" w:line="183" w:lineRule="exact"/>
              <w:rPr>
                <w:sz w:val="20"/>
                <w:szCs w:val="20"/>
                <w:color w:val="auto"/>
              </w:rPr>
            </w:pPr>
            <w:r>
              <w:rPr>
                <w:rFonts w:ascii="Arial" w:cs="Arial" w:eastAsia="Arial" w:hAnsi="Arial"/>
                <w:sz w:val="16"/>
                <w:szCs w:val="16"/>
                <w:color w:val="auto"/>
              </w:rPr>
              <w:t>Tracy K. Price</w:t>
            </w:r>
          </w:p>
        </w:tc>
        <w:tc>
          <w:tcPr>
            <w:tcW w:w="900" w:type="dxa"/>
            <w:vAlign w:val="bottom"/>
            <w:tcBorders>
              <w:right w:val="single" w:sz="8" w:color="E5EDFE"/>
            </w:tcBorders>
            <w:shd w:val="clear" w:color="auto" w:fill="E5EDFE"/>
          </w:tcPr>
          <w:p>
            <w:pPr>
              <w:jc w:val="center"/>
              <w:spacing w:after="0" w:line="183" w:lineRule="exact"/>
              <w:rPr>
                <w:sz w:val="20"/>
                <w:szCs w:val="20"/>
                <w:color w:val="auto"/>
              </w:rPr>
            </w:pPr>
            <w:r>
              <w:rPr>
                <w:rFonts w:ascii="Arial" w:cs="Arial" w:eastAsia="Arial" w:hAnsi="Arial"/>
                <w:sz w:val="16"/>
                <w:szCs w:val="16"/>
                <w:color w:val="auto"/>
              </w:rPr>
              <w:t>n/a</w:t>
            </w:r>
          </w:p>
        </w:tc>
        <w:tc>
          <w:tcPr>
            <w:tcW w:w="920" w:type="dxa"/>
            <w:vAlign w:val="bottom"/>
            <w:tcBorders>
              <w:right w:val="single" w:sz="8" w:color="E5EDFE"/>
            </w:tcBorders>
            <w:vMerge w:val="restart"/>
            <w:shd w:val="clear" w:color="auto" w:fill="E5EDFE"/>
          </w:tcPr>
          <w:p>
            <w:pPr>
              <w:jc w:val="center"/>
              <w:spacing w:after="0"/>
              <w:rPr>
                <w:sz w:val="20"/>
                <w:szCs w:val="20"/>
                <w:color w:val="auto"/>
              </w:rPr>
            </w:pPr>
            <w:r>
              <w:rPr>
                <w:rFonts w:ascii="Arial" w:cs="Arial" w:eastAsia="Arial" w:hAnsi="Arial"/>
                <w:sz w:val="16"/>
                <w:szCs w:val="16"/>
                <w:color w:val="auto"/>
                <w:w w:val="99"/>
              </w:rPr>
              <w:t>01/14/2014</w:t>
            </w:r>
          </w:p>
        </w:tc>
        <w:tc>
          <w:tcPr>
            <w:tcW w:w="780" w:type="dxa"/>
            <w:vAlign w:val="bottom"/>
            <w:shd w:val="clear" w:color="auto" w:fill="E5EDFE"/>
          </w:tcPr>
          <w:p>
            <w:pPr>
              <w:jc w:val="center"/>
              <w:spacing w:after="0" w:line="183" w:lineRule="exact"/>
              <w:rPr>
                <w:sz w:val="20"/>
                <w:szCs w:val="20"/>
                <w:color w:val="auto"/>
              </w:rPr>
            </w:pPr>
            <w:r>
              <w:rPr>
                <w:rFonts w:ascii="Arial" w:cs="Arial" w:eastAsia="Arial" w:hAnsi="Arial"/>
                <w:sz w:val="16"/>
                <w:szCs w:val="16"/>
                <w:color w:val="auto"/>
              </w:rPr>
              <w:t>254,114</w:t>
            </w:r>
          </w:p>
        </w:tc>
        <w:tc>
          <w:tcPr>
            <w:tcW w:w="700" w:type="dxa"/>
            <w:vAlign w:val="bottom"/>
            <w:shd w:val="clear" w:color="auto" w:fill="E5EDFE"/>
          </w:tcPr>
          <w:p>
            <w:pPr>
              <w:jc w:val="center"/>
              <w:spacing w:after="0" w:line="183" w:lineRule="exact"/>
              <w:rPr>
                <w:sz w:val="20"/>
                <w:szCs w:val="20"/>
                <w:color w:val="auto"/>
              </w:rPr>
            </w:pPr>
            <w:r>
              <w:rPr>
                <w:rFonts w:ascii="Arial" w:cs="Arial" w:eastAsia="Arial" w:hAnsi="Arial"/>
                <w:sz w:val="16"/>
                <w:szCs w:val="16"/>
                <w:color w:val="auto"/>
              </w:rPr>
              <w:t>508,227</w:t>
            </w:r>
          </w:p>
        </w:tc>
        <w:tc>
          <w:tcPr>
            <w:tcW w:w="820" w:type="dxa"/>
            <w:vAlign w:val="bottom"/>
            <w:tcBorders>
              <w:right w:val="single" w:sz="8" w:color="E5EDFE"/>
            </w:tcBorders>
            <w:shd w:val="clear" w:color="auto" w:fill="E5EDFE"/>
          </w:tcPr>
          <w:p>
            <w:pPr>
              <w:jc w:val="right"/>
              <w:spacing w:after="0" w:line="183" w:lineRule="exact"/>
              <w:rPr>
                <w:sz w:val="20"/>
                <w:szCs w:val="20"/>
                <w:color w:val="auto"/>
              </w:rPr>
            </w:pPr>
            <w:r>
              <w:rPr>
                <w:rFonts w:ascii="Arial" w:cs="Arial" w:eastAsia="Arial" w:hAnsi="Arial"/>
                <w:sz w:val="16"/>
                <w:szCs w:val="16"/>
                <w:color w:val="auto"/>
              </w:rPr>
              <w:t>952,926</w:t>
            </w:r>
          </w:p>
        </w:tc>
        <w:tc>
          <w:tcPr>
            <w:tcW w:w="840" w:type="dxa"/>
            <w:vAlign w:val="bottom"/>
            <w:vMerge w:val="restart"/>
            <w:shd w:val="clear" w:color="auto" w:fill="E5EDFE"/>
          </w:tcPr>
          <w:p>
            <w:pPr>
              <w:jc w:val="right"/>
              <w:ind w:right="102"/>
              <w:spacing w:after="0"/>
              <w:rPr>
                <w:sz w:val="20"/>
                <w:szCs w:val="20"/>
                <w:color w:val="auto"/>
              </w:rPr>
            </w:pPr>
            <w:r>
              <w:rPr>
                <w:rFonts w:ascii="Arial" w:cs="Arial" w:eastAsia="Arial" w:hAnsi="Arial"/>
                <w:sz w:val="16"/>
                <w:szCs w:val="16"/>
                <w:color w:val="auto"/>
              </w:rPr>
              <w:t>6,485</w:t>
            </w:r>
          </w:p>
        </w:tc>
        <w:tc>
          <w:tcPr>
            <w:tcW w:w="640" w:type="dxa"/>
            <w:vAlign w:val="bottom"/>
            <w:vMerge w:val="restart"/>
            <w:shd w:val="clear" w:color="auto" w:fill="E5EDFE"/>
          </w:tcPr>
          <w:p>
            <w:pPr>
              <w:jc w:val="right"/>
              <w:spacing w:after="0"/>
              <w:rPr>
                <w:sz w:val="20"/>
                <w:szCs w:val="20"/>
                <w:color w:val="auto"/>
              </w:rPr>
            </w:pPr>
            <w:r>
              <w:rPr>
                <w:rFonts w:ascii="Arial" w:cs="Arial" w:eastAsia="Arial" w:hAnsi="Arial"/>
                <w:sz w:val="16"/>
                <w:szCs w:val="16"/>
                <w:color w:val="auto"/>
              </w:rPr>
              <w:t>12,969</w:t>
            </w:r>
          </w:p>
        </w:tc>
        <w:tc>
          <w:tcPr>
            <w:tcW w:w="820" w:type="dxa"/>
            <w:vAlign w:val="bottom"/>
            <w:tcBorders>
              <w:right w:val="single" w:sz="8" w:color="E5EDFE"/>
            </w:tcBorders>
            <w:vMerge w:val="restart"/>
            <w:shd w:val="clear" w:color="auto" w:fill="E5EDFE"/>
          </w:tcPr>
          <w:p>
            <w:pPr>
              <w:jc w:val="right"/>
              <w:ind w:right="100"/>
              <w:spacing w:after="0"/>
              <w:rPr>
                <w:sz w:val="20"/>
                <w:szCs w:val="20"/>
                <w:color w:val="auto"/>
              </w:rPr>
            </w:pPr>
            <w:r>
              <w:rPr>
                <w:rFonts w:ascii="Arial" w:cs="Arial" w:eastAsia="Arial" w:hAnsi="Arial"/>
                <w:sz w:val="16"/>
                <w:szCs w:val="16"/>
                <w:color w:val="auto"/>
              </w:rPr>
              <w:t>25,938</w:t>
            </w:r>
          </w:p>
        </w:tc>
        <w:tc>
          <w:tcPr>
            <w:tcW w:w="680" w:type="dxa"/>
            <w:vAlign w:val="bottom"/>
            <w:tcBorders>
              <w:right w:val="single" w:sz="8" w:color="E5EDFE"/>
            </w:tcBorders>
            <w:shd w:val="clear" w:color="auto" w:fill="E5EDFE"/>
          </w:tcPr>
          <w:p>
            <w:pPr>
              <w:spacing w:after="0"/>
              <w:rPr>
                <w:sz w:val="15"/>
                <w:szCs w:val="15"/>
                <w:color w:val="auto"/>
              </w:rPr>
            </w:pPr>
          </w:p>
        </w:tc>
        <w:tc>
          <w:tcPr>
            <w:tcW w:w="880" w:type="dxa"/>
            <w:vAlign w:val="bottom"/>
            <w:tcBorders>
              <w:right w:val="single" w:sz="8" w:color="auto"/>
            </w:tcBorders>
            <w:vMerge w:val="restart"/>
            <w:shd w:val="clear" w:color="auto" w:fill="E5EDFE"/>
          </w:tcPr>
          <w:p>
            <w:pPr>
              <w:jc w:val="right"/>
              <w:ind w:right="102"/>
              <w:spacing w:after="0"/>
              <w:rPr>
                <w:sz w:val="20"/>
                <w:szCs w:val="20"/>
                <w:color w:val="auto"/>
              </w:rPr>
            </w:pPr>
            <w:r>
              <w:rPr>
                <w:rFonts w:ascii="Arial" w:cs="Arial" w:eastAsia="Arial" w:hAnsi="Arial"/>
                <w:sz w:val="16"/>
                <w:szCs w:val="16"/>
                <w:color w:val="auto"/>
              </w:rPr>
              <w:t>361,835</w:t>
            </w:r>
          </w:p>
        </w:tc>
        <w:tc>
          <w:tcPr>
            <w:tcW w:w="0" w:type="dxa"/>
            <w:vAlign w:val="bottom"/>
          </w:tcPr>
          <w:p>
            <w:pPr>
              <w:spacing w:after="0"/>
              <w:rPr>
                <w:sz w:val="1"/>
                <w:szCs w:val="1"/>
                <w:color w:val="auto"/>
              </w:rPr>
            </w:pPr>
          </w:p>
        </w:tc>
      </w:tr>
      <w:tr>
        <w:trPr>
          <w:trHeight w:val="164"/>
        </w:trPr>
        <w:tc>
          <w:tcPr>
            <w:tcW w:w="1780" w:type="dxa"/>
            <w:vAlign w:val="bottom"/>
            <w:tcBorders>
              <w:left w:val="single" w:sz="8" w:color="auto"/>
              <w:right w:val="single" w:sz="8" w:color="E5EDFE"/>
            </w:tcBorders>
            <w:shd w:val="clear" w:color="auto" w:fill="E5EDFE"/>
          </w:tcPr>
          <w:p>
            <w:pPr>
              <w:spacing w:after="0"/>
              <w:rPr>
                <w:sz w:val="14"/>
                <w:szCs w:val="14"/>
                <w:color w:val="auto"/>
              </w:rPr>
            </w:pPr>
          </w:p>
        </w:tc>
        <w:tc>
          <w:tcPr>
            <w:tcW w:w="900" w:type="dxa"/>
            <w:vAlign w:val="bottom"/>
            <w:tcBorders>
              <w:right w:val="single" w:sz="8" w:color="E5EDFE"/>
            </w:tcBorders>
            <w:shd w:val="clear" w:color="auto" w:fill="E5EDFE"/>
          </w:tcPr>
          <w:p>
            <w:pPr>
              <w:jc w:val="center"/>
              <w:spacing w:after="0" w:line="164" w:lineRule="exact"/>
              <w:rPr>
                <w:sz w:val="20"/>
                <w:szCs w:val="20"/>
                <w:color w:val="auto"/>
              </w:rPr>
            </w:pPr>
            <w:r>
              <w:rPr>
                <w:rFonts w:ascii="Arial" w:cs="Arial" w:eastAsia="Arial" w:hAnsi="Arial"/>
                <w:sz w:val="16"/>
                <w:szCs w:val="16"/>
                <w:color w:val="auto"/>
              </w:rPr>
              <w:t>01/14/2014</w:t>
            </w:r>
          </w:p>
        </w:tc>
        <w:tc>
          <w:tcPr>
            <w:tcW w:w="920" w:type="dxa"/>
            <w:vAlign w:val="bottom"/>
            <w:tcBorders>
              <w:right w:val="single" w:sz="8" w:color="E5EDFE"/>
            </w:tcBorders>
            <w:vMerge w:val="continue"/>
            <w:shd w:val="clear" w:color="auto" w:fill="E5EDFE"/>
          </w:tcPr>
          <w:p>
            <w:pPr>
              <w:spacing w:after="0"/>
              <w:rPr>
                <w:sz w:val="14"/>
                <w:szCs w:val="14"/>
                <w:color w:val="auto"/>
              </w:rPr>
            </w:pPr>
          </w:p>
        </w:tc>
        <w:tc>
          <w:tcPr>
            <w:tcW w:w="780" w:type="dxa"/>
            <w:vAlign w:val="bottom"/>
            <w:shd w:val="clear" w:color="auto" w:fill="E5EDFE"/>
          </w:tcPr>
          <w:p>
            <w:pPr>
              <w:spacing w:after="0"/>
              <w:rPr>
                <w:sz w:val="14"/>
                <w:szCs w:val="14"/>
                <w:color w:val="auto"/>
              </w:rPr>
            </w:pPr>
          </w:p>
        </w:tc>
        <w:tc>
          <w:tcPr>
            <w:tcW w:w="700" w:type="dxa"/>
            <w:vAlign w:val="bottom"/>
            <w:shd w:val="clear" w:color="auto" w:fill="E5EDFE"/>
          </w:tcPr>
          <w:p>
            <w:pPr>
              <w:spacing w:after="0"/>
              <w:rPr>
                <w:sz w:val="14"/>
                <w:szCs w:val="14"/>
                <w:color w:val="auto"/>
              </w:rPr>
            </w:pPr>
          </w:p>
        </w:tc>
        <w:tc>
          <w:tcPr>
            <w:tcW w:w="820" w:type="dxa"/>
            <w:vAlign w:val="bottom"/>
            <w:tcBorders>
              <w:right w:val="single" w:sz="8" w:color="E5EDFE"/>
            </w:tcBorders>
            <w:shd w:val="clear" w:color="auto" w:fill="E5EDFE"/>
          </w:tcPr>
          <w:p>
            <w:pPr>
              <w:spacing w:after="0"/>
              <w:rPr>
                <w:sz w:val="14"/>
                <w:szCs w:val="14"/>
                <w:color w:val="auto"/>
              </w:rPr>
            </w:pPr>
          </w:p>
        </w:tc>
        <w:tc>
          <w:tcPr>
            <w:tcW w:w="840" w:type="dxa"/>
            <w:vAlign w:val="bottom"/>
            <w:vMerge w:val="continue"/>
            <w:shd w:val="clear" w:color="auto" w:fill="E5EDFE"/>
          </w:tcPr>
          <w:p>
            <w:pPr>
              <w:spacing w:after="0"/>
              <w:rPr>
                <w:sz w:val="14"/>
                <w:szCs w:val="14"/>
                <w:color w:val="auto"/>
              </w:rPr>
            </w:pPr>
          </w:p>
        </w:tc>
        <w:tc>
          <w:tcPr>
            <w:tcW w:w="640" w:type="dxa"/>
            <w:vAlign w:val="bottom"/>
            <w:vMerge w:val="continue"/>
            <w:shd w:val="clear" w:color="auto" w:fill="E5EDFE"/>
          </w:tcPr>
          <w:p>
            <w:pPr>
              <w:spacing w:after="0"/>
              <w:rPr>
                <w:sz w:val="14"/>
                <w:szCs w:val="14"/>
                <w:color w:val="auto"/>
              </w:rPr>
            </w:pPr>
          </w:p>
        </w:tc>
        <w:tc>
          <w:tcPr>
            <w:tcW w:w="820" w:type="dxa"/>
            <w:vAlign w:val="bottom"/>
            <w:tcBorders>
              <w:right w:val="single" w:sz="8" w:color="E5EDFE"/>
            </w:tcBorders>
            <w:vMerge w:val="continue"/>
            <w:shd w:val="clear" w:color="auto" w:fill="E5EDFE"/>
          </w:tcPr>
          <w:p>
            <w:pPr>
              <w:spacing w:after="0"/>
              <w:rPr>
                <w:sz w:val="14"/>
                <w:szCs w:val="14"/>
                <w:color w:val="auto"/>
              </w:rPr>
            </w:pPr>
          </w:p>
        </w:tc>
        <w:tc>
          <w:tcPr>
            <w:tcW w:w="680" w:type="dxa"/>
            <w:vAlign w:val="bottom"/>
            <w:tcBorders>
              <w:right w:val="single" w:sz="8" w:color="E5EDFE"/>
            </w:tcBorders>
            <w:shd w:val="clear" w:color="auto" w:fill="E5EDFE"/>
          </w:tcPr>
          <w:p>
            <w:pPr>
              <w:spacing w:after="0"/>
              <w:rPr>
                <w:sz w:val="14"/>
                <w:szCs w:val="14"/>
                <w:color w:val="auto"/>
              </w:rPr>
            </w:pPr>
          </w:p>
        </w:tc>
        <w:tc>
          <w:tcPr>
            <w:tcW w:w="880" w:type="dxa"/>
            <w:vAlign w:val="bottom"/>
            <w:tcBorders>
              <w:right w:val="single" w:sz="8" w:color="auto"/>
            </w:tcBorders>
            <w:vMerge w:val="continue"/>
            <w:shd w:val="clear" w:color="auto" w:fill="E5EDF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right w:val="single" w:sz="8" w:color="E5EDFE"/>
            </w:tcBorders>
            <w:shd w:val="clear" w:color="auto" w:fill="E5EDFE"/>
          </w:tcPr>
          <w:p>
            <w:pPr>
              <w:spacing w:after="0"/>
              <w:rPr>
                <w:sz w:val="14"/>
                <w:szCs w:val="14"/>
                <w:color w:val="auto"/>
              </w:rPr>
            </w:pPr>
          </w:p>
        </w:tc>
        <w:tc>
          <w:tcPr>
            <w:tcW w:w="900" w:type="dxa"/>
            <w:vAlign w:val="bottom"/>
            <w:tcBorders>
              <w:right w:val="single" w:sz="8" w:color="E5EDFE"/>
            </w:tcBorders>
            <w:shd w:val="clear" w:color="auto" w:fill="E5EDFE"/>
          </w:tcPr>
          <w:p>
            <w:pPr>
              <w:jc w:val="center"/>
              <w:spacing w:after="0" w:line="162" w:lineRule="exact"/>
              <w:rPr>
                <w:sz w:val="20"/>
                <w:szCs w:val="20"/>
                <w:color w:val="auto"/>
              </w:rPr>
            </w:pPr>
            <w:r>
              <w:rPr>
                <w:rFonts w:ascii="Arial" w:cs="Arial" w:eastAsia="Arial" w:hAnsi="Arial"/>
                <w:sz w:val="16"/>
                <w:szCs w:val="16"/>
                <w:color w:val="auto"/>
              </w:rPr>
              <w:t>09/08/2014</w:t>
            </w:r>
          </w:p>
        </w:tc>
        <w:tc>
          <w:tcPr>
            <w:tcW w:w="920" w:type="dxa"/>
            <w:vAlign w:val="bottom"/>
            <w:tcBorders>
              <w:right w:val="single" w:sz="8" w:color="E5EDFE"/>
            </w:tcBorders>
            <w:shd w:val="clear" w:color="auto" w:fill="E5EDFE"/>
          </w:tcPr>
          <w:p>
            <w:pPr>
              <w:jc w:val="center"/>
              <w:spacing w:after="0" w:line="162" w:lineRule="exact"/>
              <w:rPr>
                <w:sz w:val="20"/>
                <w:szCs w:val="20"/>
                <w:color w:val="auto"/>
              </w:rPr>
            </w:pPr>
            <w:r>
              <w:rPr>
                <w:rFonts w:ascii="Arial" w:cs="Arial" w:eastAsia="Arial" w:hAnsi="Arial"/>
                <w:sz w:val="16"/>
                <w:szCs w:val="16"/>
                <w:color w:val="auto"/>
                <w:w w:val="99"/>
              </w:rPr>
              <w:t>09/03/2014</w:t>
            </w:r>
          </w:p>
        </w:tc>
        <w:tc>
          <w:tcPr>
            <w:tcW w:w="780" w:type="dxa"/>
            <w:vAlign w:val="bottom"/>
            <w:shd w:val="clear" w:color="auto" w:fill="E5EDFE"/>
          </w:tcPr>
          <w:p>
            <w:pPr>
              <w:spacing w:after="0"/>
              <w:rPr>
                <w:sz w:val="14"/>
                <w:szCs w:val="14"/>
                <w:color w:val="auto"/>
              </w:rPr>
            </w:pPr>
          </w:p>
        </w:tc>
        <w:tc>
          <w:tcPr>
            <w:tcW w:w="700" w:type="dxa"/>
            <w:vAlign w:val="bottom"/>
            <w:shd w:val="clear" w:color="auto" w:fill="E5EDFE"/>
          </w:tcPr>
          <w:p>
            <w:pPr>
              <w:spacing w:after="0"/>
              <w:rPr>
                <w:sz w:val="14"/>
                <w:szCs w:val="14"/>
                <w:color w:val="auto"/>
              </w:rPr>
            </w:pPr>
          </w:p>
        </w:tc>
        <w:tc>
          <w:tcPr>
            <w:tcW w:w="820" w:type="dxa"/>
            <w:vAlign w:val="bottom"/>
            <w:tcBorders>
              <w:right w:val="single" w:sz="8" w:color="E5EDFE"/>
            </w:tcBorders>
            <w:shd w:val="clear" w:color="auto" w:fill="E5EDFE"/>
          </w:tcPr>
          <w:p>
            <w:pPr>
              <w:spacing w:after="0"/>
              <w:rPr>
                <w:sz w:val="14"/>
                <w:szCs w:val="14"/>
                <w:color w:val="auto"/>
              </w:rPr>
            </w:pPr>
          </w:p>
        </w:tc>
        <w:tc>
          <w:tcPr>
            <w:tcW w:w="840" w:type="dxa"/>
            <w:vAlign w:val="bottom"/>
            <w:shd w:val="clear" w:color="auto" w:fill="E5EDFE"/>
          </w:tcPr>
          <w:p>
            <w:pPr>
              <w:spacing w:after="0"/>
              <w:rPr>
                <w:sz w:val="14"/>
                <w:szCs w:val="14"/>
                <w:color w:val="auto"/>
              </w:rPr>
            </w:pPr>
          </w:p>
        </w:tc>
        <w:tc>
          <w:tcPr>
            <w:tcW w:w="640" w:type="dxa"/>
            <w:vAlign w:val="bottom"/>
            <w:shd w:val="clear" w:color="auto" w:fill="E5EDFE"/>
          </w:tcPr>
          <w:p>
            <w:pPr>
              <w:spacing w:after="0"/>
              <w:rPr>
                <w:sz w:val="14"/>
                <w:szCs w:val="14"/>
                <w:color w:val="auto"/>
              </w:rPr>
            </w:pPr>
          </w:p>
        </w:tc>
        <w:tc>
          <w:tcPr>
            <w:tcW w:w="820" w:type="dxa"/>
            <w:vAlign w:val="bottom"/>
            <w:tcBorders>
              <w:right w:val="single" w:sz="8" w:color="E5EDFE"/>
            </w:tcBorders>
            <w:shd w:val="clear" w:color="auto" w:fill="E5EDFE"/>
          </w:tcPr>
          <w:p>
            <w:pPr>
              <w:spacing w:after="0"/>
              <w:rPr>
                <w:sz w:val="14"/>
                <w:szCs w:val="14"/>
                <w:color w:val="auto"/>
              </w:rPr>
            </w:pPr>
          </w:p>
        </w:tc>
        <w:tc>
          <w:tcPr>
            <w:tcW w:w="680" w:type="dxa"/>
            <w:vAlign w:val="bottom"/>
            <w:tcBorders>
              <w:right w:val="single" w:sz="8" w:color="E5EDFE"/>
            </w:tcBorders>
            <w:shd w:val="clear" w:color="auto" w:fill="E5EDFE"/>
          </w:tcPr>
          <w:p>
            <w:pPr>
              <w:jc w:val="right"/>
              <w:ind w:right="45"/>
              <w:spacing w:after="0" w:line="162" w:lineRule="exact"/>
              <w:rPr>
                <w:sz w:val="20"/>
                <w:szCs w:val="20"/>
                <w:color w:val="auto"/>
              </w:rPr>
            </w:pPr>
            <w:r>
              <w:rPr>
                <w:rFonts w:ascii="Arial" w:cs="Arial" w:eastAsia="Arial" w:hAnsi="Arial"/>
                <w:sz w:val="16"/>
                <w:szCs w:val="16"/>
                <w:color w:val="auto"/>
              </w:rPr>
              <w:t>6,575</w:t>
            </w:r>
          </w:p>
        </w:tc>
        <w:tc>
          <w:tcPr>
            <w:tcW w:w="880" w:type="dxa"/>
            <w:vAlign w:val="bottom"/>
            <w:tcBorders>
              <w:right w:val="single" w:sz="8" w:color="auto"/>
            </w:tcBorders>
            <w:shd w:val="clear" w:color="auto" w:fill="E5EDFE"/>
          </w:tcPr>
          <w:p>
            <w:pPr>
              <w:jc w:val="right"/>
              <w:ind w:right="102"/>
              <w:spacing w:after="0" w:line="162" w:lineRule="exact"/>
              <w:rPr>
                <w:sz w:val="20"/>
                <w:szCs w:val="20"/>
                <w:color w:val="auto"/>
              </w:rPr>
            </w:pPr>
            <w:r>
              <w:rPr>
                <w:rFonts w:ascii="Arial" w:cs="Arial" w:eastAsia="Arial" w:hAnsi="Arial"/>
                <w:sz w:val="16"/>
                <w:szCs w:val="16"/>
                <w:color w:val="auto"/>
              </w:rPr>
              <w:t>186,336</w:t>
            </w:r>
          </w:p>
        </w:tc>
        <w:tc>
          <w:tcPr>
            <w:tcW w:w="0" w:type="dxa"/>
            <w:vAlign w:val="bottom"/>
          </w:tcPr>
          <w:p>
            <w:pPr>
              <w:spacing w:after="0"/>
              <w:rPr>
                <w:sz w:val="1"/>
                <w:szCs w:val="1"/>
                <w:color w:val="auto"/>
              </w:rPr>
            </w:pPr>
          </w:p>
        </w:tc>
      </w:tr>
      <w:tr>
        <w:trPr>
          <w:trHeight w:val="187"/>
        </w:trPr>
        <w:tc>
          <w:tcPr>
            <w:tcW w:w="1780" w:type="dxa"/>
            <w:vAlign w:val="bottom"/>
            <w:tcBorders>
              <w:left w:val="single" w:sz="8" w:color="auto"/>
              <w:bottom w:val="single" w:sz="8" w:color="auto"/>
              <w:right w:val="single" w:sz="8" w:color="E5EDFE"/>
            </w:tcBorders>
            <w:shd w:val="clear" w:color="auto" w:fill="E5EDFE"/>
          </w:tcPr>
          <w:p>
            <w:pPr>
              <w:spacing w:after="0"/>
              <w:rPr>
                <w:sz w:val="16"/>
                <w:szCs w:val="16"/>
                <w:color w:val="auto"/>
              </w:rPr>
            </w:pPr>
          </w:p>
        </w:tc>
        <w:tc>
          <w:tcPr>
            <w:tcW w:w="900" w:type="dxa"/>
            <w:vAlign w:val="bottom"/>
            <w:tcBorders>
              <w:bottom w:val="single" w:sz="8" w:color="auto"/>
              <w:right w:val="single" w:sz="8" w:color="E5EDFE"/>
            </w:tcBorders>
            <w:shd w:val="clear" w:color="auto" w:fill="E5EDFE"/>
          </w:tcPr>
          <w:p>
            <w:pPr>
              <w:jc w:val="center"/>
              <w:spacing w:after="0"/>
              <w:rPr>
                <w:sz w:val="20"/>
                <w:szCs w:val="20"/>
                <w:color w:val="auto"/>
              </w:rPr>
            </w:pPr>
            <w:r>
              <w:rPr>
                <w:rFonts w:ascii="Arial" w:cs="Arial" w:eastAsia="Arial" w:hAnsi="Arial"/>
                <w:sz w:val="16"/>
                <w:szCs w:val="16"/>
                <w:color w:val="auto"/>
              </w:rPr>
              <w:t>09/08/2014</w:t>
            </w:r>
          </w:p>
        </w:tc>
        <w:tc>
          <w:tcPr>
            <w:tcW w:w="920" w:type="dxa"/>
            <w:vAlign w:val="bottom"/>
            <w:tcBorders>
              <w:bottom w:val="single" w:sz="8" w:color="auto"/>
              <w:right w:val="single" w:sz="8" w:color="E5EDFE"/>
            </w:tcBorders>
            <w:shd w:val="clear" w:color="auto" w:fill="E5EDFE"/>
          </w:tcPr>
          <w:p>
            <w:pPr>
              <w:jc w:val="center"/>
              <w:spacing w:after="0"/>
              <w:rPr>
                <w:sz w:val="20"/>
                <w:szCs w:val="20"/>
                <w:color w:val="auto"/>
              </w:rPr>
            </w:pPr>
            <w:r>
              <w:rPr>
                <w:rFonts w:ascii="Arial" w:cs="Arial" w:eastAsia="Arial" w:hAnsi="Arial"/>
                <w:sz w:val="16"/>
                <w:szCs w:val="16"/>
                <w:color w:val="auto"/>
                <w:w w:val="99"/>
              </w:rPr>
              <w:t>09/03/2014</w:t>
            </w:r>
          </w:p>
        </w:tc>
        <w:tc>
          <w:tcPr>
            <w:tcW w:w="780" w:type="dxa"/>
            <w:vAlign w:val="bottom"/>
            <w:tcBorders>
              <w:bottom w:val="single" w:sz="8" w:color="auto"/>
            </w:tcBorders>
            <w:shd w:val="clear" w:color="auto" w:fill="E5EDFE"/>
          </w:tcPr>
          <w:p>
            <w:pPr>
              <w:spacing w:after="0"/>
              <w:rPr>
                <w:sz w:val="16"/>
                <w:szCs w:val="16"/>
                <w:color w:val="auto"/>
              </w:rPr>
            </w:pPr>
          </w:p>
        </w:tc>
        <w:tc>
          <w:tcPr>
            <w:tcW w:w="700" w:type="dxa"/>
            <w:vAlign w:val="bottom"/>
            <w:tcBorders>
              <w:bottom w:val="single" w:sz="8" w:color="auto"/>
            </w:tcBorders>
            <w:shd w:val="clear" w:color="auto" w:fill="E5EDFE"/>
          </w:tcPr>
          <w:p>
            <w:pPr>
              <w:spacing w:after="0"/>
              <w:rPr>
                <w:sz w:val="16"/>
                <w:szCs w:val="16"/>
                <w:color w:val="auto"/>
              </w:rPr>
            </w:pPr>
          </w:p>
        </w:tc>
        <w:tc>
          <w:tcPr>
            <w:tcW w:w="820" w:type="dxa"/>
            <w:vAlign w:val="bottom"/>
            <w:tcBorders>
              <w:bottom w:val="single" w:sz="8" w:color="auto"/>
              <w:right w:val="single" w:sz="8" w:color="E5EDFE"/>
            </w:tcBorders>
            <w:shd w:val="clear" w:color="auto" w:fill="E5EDFE"/>
          </w:tcPr>
          <w:p>
            <w:pPr>
              <w:spacing w:after="0"/>
              <w:rPr>
                <w:sz w:val="16"/>
                <w:szCs w:val="16"/>
                <w:color w:val="auto"/>
              </w:rPr>
            </w:pPr>
          </w:p>
        </w:tc>
        <w:tc>
          <w:tcPr>
            <w:tcW w:w="840" w:type="dxa"/>
            <w:vAlign w:val="bottom"/>
            <w:tcBorders>
              <w:bottom w:val="single" w:sz="8" w:color="auto"/>
            </w:tcBorders>
            <w:shd w:val="clear" w:color="auto" w:fill="E5EDFE"/>
          </w:tcPr>
          <w:p>
            <w:pPr>
              <w:jc w:val="right"/>
              <w:ind w:right="102"/>
              <w:spacing w:after="0"/>
              <w:rPr>
                <w:sz w:val="20"/>
                <w:szCs w:val="20"/>
                <w:color w:val="auto"/>
              </w:rPr>
            </w:pPr>
            <w:r>
              <w:rPr>
                <w:rFonts w:ascii="Arial" w:cs="Arial" w:eastAsia="Arial" w:hAnsi="Arial"/>
                <w:sz w:val="16"/>
                <w:szCs w:val="16"/>
                <w:color w:val="auto"/>
              </w:rPr>
              <w:t>3,375</w:t>
            </w:r>
          </w:p>
        </w:tc>
        <w:tc>
          <w:tcPr>
            <w:tcW w:w="640" w:type="dxa"/>
            <w:vAlign w:val="bottom"/>
            <w:tcBorders>
              <w:bottom w:val="single" w:sz="8" w:color="auto"/>
            </w:tcBorders>
            <w:shd w:val="clear" w:color="auto" w:fill="E5EDFE"/>
          </w:tcPr>
          <w:p>
            <w:pPr>
              <w:jc w:val="right"/>
              <w:spacing w:after="0"/>
              <w:rPr>
                <w:sz w:val="20"/>
                <w:szCs w:val="20"/>
                <w:color w:val="auto"/>
              </w:rPr>
            </w:pPr>
            <w:r>
              <w:rPr>
                <w:rFonts w:ascii="Arial" w:cs="Arial" w:eastAsia="Arial" w:hAnsi="Arial"/>
                <w:sz w:val="16"/>
                <w:szCs w:val="16"/>
                <w:color w:val="auto"/>
              </w:rPr>
              <w:t>6,749</w:t>
            </w:r>
          </w:p>
        </w:tc>
        <w:tc>
          <w:tcPr>
            <w:tcW w:w="820" w:type="dxa"/>
            <w:vAlign w:val="bottom"/>
            <w:tcBorders>
              <w:bottom w:val="single" w:sz="8" w:color="auto"/>
              <w:right w:val="single" w:sz="8" w:color="E5EDFE"/>
            </w:tcBorders>
            <w:shd w:val="clear" w:color="auto" w:fill="E5EDFE"/>
          </w:tcPr>
          <w:p>
            <w:pPr>
              <w:jc w:val="right"/>
              <w:ind w:right="100"/>
              <w:spacing w:after="0"/>
              <w:rPr>
                <w:sz w:val="20"/>
                <w:szCs w:val="20"/>
                <w:color w:val="auto"/>
              </w:rPr>
            </w:pPr>
            <w:r>
              <w:rPr>
                <w:rFonts w:ascii="Arial" w:cs="Arial" w:eastAsia="Arial" w:hAnsi="Arial"/>
                <w:sz w:val="16"/>
                <w:szCs w:val="16"/>
                <w:color w:val="auto"/>
              </w:rPr>
              <w:t>10,124</w:t>
            </w:r>
          </w:p>
        </w:tc>
        <w:tc>
          <w:tcPr>
            <w:tcW w:w="680" w:type="dxa"/>
            <w:vAlign w:val="bottom"/>
            <w:tcBorders>
              <w:bottom w:val="single" w:sz="8" w:color="auto"/>
              <w:right w:val="single" w:sz="8" w:color="E5EDFE"/>
            </w:tcBorders>
            <w:shd w:val="clear" w:color="auto" w:fill="E5EDFE"/>
          </w:tcPr>
          <w:p>
            <w:pPr>
              <w:spacing w:after="0"/>
              <w:rPr>
                <w:sz w:val="16"/>
                <w:szCs w:val="16"/>
                <w:color w:val="auto"/>
              </w:rPr>
            </w:pPr>
          </w:p>
        </w:tc>
        <w:tc>
          <w:tcPr>
            <w:tcW w:w="880" w:type="dxa"/>
            <w:vAlign w:val="bottom"/>
            <w:tcBorders>
              <w:bottom w:val="single" w:sz="8" w:color="auto"/>
              <w:right w:val="single" w:sz="8" w:color="auto"/>
            </w:tcBorders>
            <w:shd w:val="clear" w:color="auto" w:fill="E5EDFE"/>
          </w:tcPr>
          <w:p>
            <w:pPr>
              <w:jc w:val="right"/>
              <w:ind w:right="102"/>
              <w:spacing w:after="0"/>
              <w:rPr>
                <w:sz w:val="20"/>
                <w:szCs w:val="20"/>
                <w:color w:val="auto"/>
              </w:rPr>
            </w:pPr>
            <w:r>
              <w:rPr>
                <w:rFonts w:ascii="Arial" w:cs="Arial" w:eastAsia="Arial" w:hAnsi="Arial"/>
                <w:sz w:val="16"/>
                <w:szCs w:val="16"/>
                <w:color w:val="auto"/>
              </w:rPr>
              <w:t>186,340</w:t>
            </w:r>
          </w:p>
        </w:tc>
        <w:tc>
          <w:tcPr>
            <w:tcW w:w="0" w:type="dxa"/>
            <w:vAlign w:val="bottom"/>
          </w:tcPr>
          <w:p>
            <w:pPr>
              <w:spacing w:after="0"/>
              <w:rPr>
                <w:sz w:val="1"/>
                <w:szCs w:val="1"/>
                <w:color w:val="auto"/>
              </w:rPr>
            </w:pPr>
          </w:p>
        </w:tc>
      </w:tr>
      <w:tr>
        <w:trPr>
          <w:trHeight w:val="184"/>
        </w:trPr>
        <w:tc>
          <w:tcPr>
            <w:tcW w:w="17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Sarah H. McConnell</w:t>
            </w:r>
          </w:p>
        </w:tc>
        <w:tc>
          <w:tcPr>
            <w:tcW w:w="900" w:type="dxa"/>
            <w:vAlign w:val="bottom"/>
          </w:tcPr>
          <w:p>
            <w:pPr>
              <w:jc w:val="center"/>
              <w:spacing w:after="0"/>
              <w:rPr>
                <w:sz w:val="20"/>
                <w:szCs w:val="20"/>
                <w:color w:val="auto"/>
              </w:rPr>
            </w:pPr>
            <w:r>
              <w:rPr>
                <w:rFonts w:ascii="Arial" w:cs="Arial" w:eastAsia="Arial" w:hAnsi="Arial"/>
                <w:sz w:val="16"/>
                <w:szCs w:val="16"/>
                <w:color w:val="auto"/>
              </w:rPr>
              <w:t>n/a</w:t>
            </w:r>
          </w:p>
        </w:tc>
        <w:tc>
          <w:tcPr>
            <w:tcW w:w="9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141,831</w:t>
            </w:r>
          </w:p>
        </w:tc>
        <w:tc>
          <w:tcPr>
            <w:tcW w:w="700" w:type="dxa"/>
            <w:vAlign w:val="bottom"/>
          </w:tcPr>
          <w:p>
            <w:pPr>
              <w:jc w:val="center"/>
              <w:spacing w:after="0"/>
              <w:rPr>
                <w:sz w:val="20"/>
                <w:szCs w:val="20"/>
                <w:color w:val="auto"/>
              </w:rPr>
            </w:pPr>
            <w:r>
              <w:rPr>
                <w:rFonts w:ascii="Arial" w:cs="Arial" w:eastAsia="Arial" w:hAnsi="Arial"/>
                <w:sz w:val="16"/>
                <w:szCs w:val="16"/>
                <w:color w:val="auto"/>
              </w:rPr>
              <w:t>283,662</w:t>
            </w:r>
          </w:p>
        </w:tc>
        <w:tc>
          <w:tcPr>
            <w:tcW w:w="820" w:type="dxa"/>
            <w:vAlign w:val="bottom"/>
          </w:tcPr>
          <w:p>
            <w:pPr>
              <w:jc w:val="right"/>
              <w:spacing w:after="0"/>
              <w:rPr>
                <w:sz w:val="20"/>
                <w:szCs w:val="20"/>
                <w:color w:val="auto"/>
              </w:rPr>
            </w:pPr>
            <w:r>
              <w:rPr>
                <w:rFonts w:ascii="Arial" w:cs="Arial" w:eastAsia="Arial" w:hAnsi="Arial"/>
                <w:sz w:val="16"/>
                <w:szCs w:val="16"/>
                <w:color w:val="auto"/>
              </w:rPr>
              <w:t>524,775</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tcBorders>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color w:val="auto"/>
              </w:rPr>
              <w:t>01/14/2014</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99"/>
              </w:rPr>
              <w:t>01/14/2014</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102"/>
              <w:spacing w:after="0" w:line="162" w:lineRule="exact"/>
              <w:rPr>
                <w:sz w:val="20"/>
                <w:szCs w:val="20"/>
                <w:color w:val="auto"/>
              </w:rPr>
            </w:pPr>
            <w:r>
              <w:rPr>
                <w:rFonts w:ascii="Arial" w:cs="Arial" w:eastAsia="Arial" w:hAnsi="Arial"/>
                <w:sz w:val="16"/>
                <w:szCs w:val="16"/>
                <w:color w:val="auto"/>
              </w:rPr>
              <w:t>4,113</w:t>
            </w: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8,225</w:t>
            </w:r>
          </w:p>
        </w:tc>
        <w:tc>
          <w:tcPr>
            <w:tcW w:w="820" w:type="dxa"/>
            <w:vAlign w:val="bottom"/>
          </w:tcPr>
          <w:p>
            <w:pPr>
              <w:jc w:val="right"/>
              <w:ind w:right="100"/>
              <w:spacing w:after="0" w:line="162" w:lineRule="exact"/>
              <w:rPr>
                <w:sz w:val="20"/>
                <w:szCs w:val="20"/>
                <w:color w:val="auto"/>
              </w:rPr>
            </w:pPr>
            <w:r>
              <w:rPr>
                <w:rFonts w:ascii="Arial" w:cs="Arial" w:eastAsia="Arial" w:hAnsi="Arial"/>
                <w:sz w:val="16"/>
                <w:szCs w:val="16"/>
                <w:color w:val="auto"/>
              </w:rPr>
              <w:t>16,450</w:t>
            </w:r>
          </w:p>
        </w:tc>
        <w:tc>
          <w:tcPr>
            <w:tcW w:w="680" w:type="dxa"/>
            <w:vAlign w:val="bottom"/>
          </w:tcPr>
          <w:p>
            <w:pPr>
              <w:spacing w:after="0"/>
              <w:rPr>
                <w:sz w:val="14"/>
                <w:szCs w:val="14"/>
                <w:color w:val="auto"/>
              </w:rPr>
            </w:pPr>
          </w:p>
        </w:tc>
        <w:tc>
          <w:tcPr>
            <w:tcW w:w="880" w:type="dxa"/>
            <w:vAlign w:val="bottom"/>
            <w:tcBorders>
              <w:right w:val="single" w:sz="8" w:color="auto"/>
            </w:tcBorders>
          </w:tcPr>
          <w:p>
            <w:pPr>
              <w:jc w:val="right"/>
              <w:ind w:right="102"/>
              <w:spacing w:after="0" w:line="162" w:lineRule="exact"/>
              <w:rPr>
                <w:sz w:val="20"/>
                <w:szCs w:val="20"/>
                <w:color w:val="auto"/>
              </w:rPr>
            </w:pPr>
            <w:r>
              <w:rPr>
                <w:rFonts w:ascii="Arial" w:cs="Arial" w:eastAsia="Arial" w:hAnsi="Arial"/>
                <w:sz w:val="16"/>
                <w:szCs w:val="16"/>
                <w:color w:val="auto"/>
              </w:rPr>
              <w:t>229,478</w:t>
            </w: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tcBorders>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color w:val="auto"/>
              </w:rPr>
              <w:t>09/08/2014</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99"/>
              </w:rPr>
              <w:t>09/03/2014</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jc w:val="right"/>
              <w:ind w:right="45"/>
              <w:spacing w:after="0" w:line="162" w:lineRule="exact"/>
              <w:rPr>
                <w:sz w:val="20"/>
                <w:szCs w:val="20"/>
                <w:color w:val="auto"/>
              </w:rPr>
            </w:pPr>
            <w:r>
              <w:rPr>
                <w:rFonts w:ascii="Arial" w:cs="Arial" w:eastAsia="Arial" w:hAnsi="Arial"/>
                <w:sz w:val="16"/>
                <w:szCs w:val="16"/>
                <w:color w:val="auto"/>
              </w:rPr>
              <w:t>5,838</w:t>
            </w:r>
          </w:p>
        </w:tc>
        <w:tc>
          <w:tcPr>
            <w:tcW w:w="880" w:type="dxa"/>
            <w:vAlign w:val="bottom"/>
            <w:tcBorders>
              <w:right w:val="single" w:sz="8" w:color="auto"/>
            </w:tcBorders>
          </w:tcPr>
          <w:p>
            <w:pPr>
              <w:jc w:val="right"/>
              <w:ind w:right="102"/>
              <w:spacing w:after="0" w:line="162" w:lineRule="exact"/>
              <w:rPr>
                <w:sz w:val="20"/>
                <w:szCs w:val="20"/>
                <w:color w:val="auto"/>
              </w:rPr>
            </w:pPr>
            <w:r>
              <w:rPr>
                <w:rFonts w:ascii="Arial" w:cs="Arial" w:eastAsia="Arial" w:hAnsi="Arial"/>
                <w:sz w:val="16"/>
                <w:szCs w:val="16"/>
                <w:color w:val="auto"/>
              </w:rPr>
              <w:t>165,449</w:t>
            </w:r>
          </w:p>
        </w:tc>
        <w:tc>
          <w:tcPr>
            <w:tcW w:w="0" w:type="dxa"/>
            <w:vAlign w:val="bottom"/>
          </w:tcPr>
          <w:p>
            <w:pPr>
              <w:spacing w:after="0"/>
              <w:rPr>
                <w:sz w:val="1"/>
                <w:szCs w:val="1"/>
                <w:color w:val="auto"/>
              </w:rPr>
            </w:pPr>
          </w:p>
        </w:tc>
      </w:tr>
      <w:tr>
        <w:trPr>
          <w:trHeight w:val="187"/>
        </w:trPr>
        <w:tc>
          <w:tcPr>
            <w:tcW w:w="1780" w:type="dxa"/>
            <w:vAlign w:val="bottom"/>
            <w:tcBorders>
              <w:left w:val="single" w:sz="8" w:color="auto"/>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09/08/2014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09/03/2014</w:t>
            </w:r>
          </w:p>
        </w:tc>
        <w:tc>
          <w:tcPr>
            <w:tcW w:w="7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1,284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3,852</w:t>
            </w: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6"/>
                <w:szCs w:val="16"/>
                <w:color w:val="auto"/>
              </w:rPr>
              <w:t>70,902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ind w:left="1620" w:right="760" w:hanging="352"/>
        <w:spacing w:after="0" w:line="244"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annual bonus opportunity for fiscal year 2014. The target award is calculated by multiplying each NEO’s base salary by his or her target bonus percentage. Maximum bonus for the CEO, CFO and Executive Vice President, General Counsel and Corporate Secretary is 185% of target while the maximum bonus for each of the other Executive Vice Presidents is 187.5% of target. Actual payments made for fiscal year 2014 are reported in the “Summary Compensation Table” in the “Non-Equity Incentive Plan Compensation” column. However, even with achievement of threshold performance, an NEO may receive no award if personal performance objectives are not met.</w:t>
      </w:r>
    </w:p>
    <w:p>
      <w:pPr>
        <w:spacing w:after="0" w:line="71" w:lineRule="exact"/>
        <w:rPr>
          <w:rFonts w:ascii="Arial" w:cs="Arial" w:eastAsia="Arial" w:hAnsi="Arial"/>
          <w:sz w:val="14"/>
          <w:szCs w:val="14"/>
          <w:color w:val="auto"/>
        </w:rPr>
      </w:pPr>
    </w:p>
    <w:p>
      <w:pPr>
        <w:jc w:val="both"/>
        <w:ind w:left="1620" w:right="760" w:hanging="352"/>
        <w:spacing w:after="0" w:line="242"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grants of performance shares granted under the 2014-2016 Value Creation PSP and the 2014-2016 TSR PSP. Performance shares granted under the 2014-2016 Value Creation PSP are earned based on performance during each of fiscal years 2014, 2015 and 2016 and on cumulative performance with respect to these years, with vesting of the award to occur on January 14, 2017, if the NEO is an employee of the Company on the vesting date, except that pro rata vesting may apply in certain situations, as described below under “Potential Benefits on Termination.” Based on results for 2014, shares were earned at 89.4% for 20% of the first listed performance award. Amounts set forth in the column “Threshold” with represent the number of shares that could have been awarded with respect to the first-listed award if a minimum performance threshold was achieved. No shares are earned if the minimum is not achieved. Performance shares granted under the 2014-2016 TSR PSP (the third listed award) are earned based on performance during the period beginning in fiscal year 2014 and ending in fiscal year 2016, with vesting to occur on September 8, 2017 if the NEO is an employee of the Company on the vesting date. Amounts set forth in the column “Threshold” with respect to the third listed award represent the number of shares that could have been awarded if a minimum performance threshold was achieved. If such minimum threshold is not attained, no shares would be awarded. Dividend equivalents are credited on performance shares that have been earned, subject to the same vesting conditions as the underlying award.</w:t>
      </w:r>
    </w:p>
    <w:p>
      <w:pPr>
        <w:spacing w:after="0" w:line="63" w:lineRule="exact"/>
        <w:rPr>
          <w:rFonts w:ascii="Arial" w:cs="Arial" w:eastAsia="Arial" w:hAnsi="Arial"/>
          <w:sz w:val="14"/>
          <w:szCs w:val="14"/>
          <w:color w:val="auto"/>
        </w:rPr>
      </w:pPr>
    </w:p>
    <w:p>
      <w:pPr>
        <w:jc w:val="both"/>
        <w:ind w:left="1620" w:right="780" w:hanging="352"/>
        <w:spacing w:after="0" w:line="247"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RSUs granted under the 2006 Equity Incentive Plan in fiscal year 2014. With respect to RSUs granted on September 6, 2013, 50% vest on the second anniversary of the grant date and 50% vest on the fourth anniversary of the grant date. When cash dividends are paid on ABM common stock, dividend equivalents are credited and converted into additional RSUs, subject to the same terms and conditions (including vesting conditions) as the underlying RSUs.</w:t>
      </w:r>
    </w:p>
    <w:p>
      <w:pPr>
        <w:sectPr>
          <w:pgSz w:w="11900" w:h="16838" w:orient="portrait"/>
          <w:cols w:equalWidth="0" w:num="1">
            <w:col w:w="10240"/>
          </w:cols>
          <w:pgMar w:left="240" w:top="132" w:right="1419" w:bottom="1440" w:gutter="0" w:footer="0" w:header="0"/>
          <w:type w:val="continuous"/>
        </w:sectPr>
      </w:pPr>
    </w:p>
    <w:p>
      <w:pPr>
        <w:spacing w:after="0" w:line="26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7480"/>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004FF9"/>
        </w:rPr>
        <w:t>Outstanding Equity Awards at 2014 Fiscal Year-End</w:t>
      </w:r>
    </w:p>
    <w:p>
      <w:pPr>
        <w:spacing w:after="0" w:line="98" w:lineRule="exact"/>
        <w:rPr>
          <w:sz w:val="20"/>
          <w:szCs w:val="20"/>
          <w:color w:val="auto"/>
        </w:rPr>
      </w:pPr>
    </w:p>
    <w:tbl>
      <w:tblPr>
        <w:tblLayout w:type="fixed"/>
        <w:tblInd w:w="510" w:type="dxa"/>
        <w:tblCellMar>
          <w:top w:w="0" w:type="dxa"/>
          <w:left w:w="0" w:type="dxa"/>
          <w:bottom w:w="0" w:type="dxa"/>
          <w:right w:w="0" w:type="dxa"/>
        </w:tblCellMar>
      </w:tblPr>
      <w:tr>
        <w:trPr>
          <w:trHeight w:val="311"/>
        </w:trPr>
        <w:tc>
          <w:tcPr>
            <w:tcW w:w="1520" w:type="dxa"/>
            <w:vAlign w:val="bottom"/>
            <w:tcBorders>
              <w:top w:val="single" w:sz="8" w:color="auto"/>
              <w:left w:val="single" w:sz="8" w:color="auto"/>
              <w:bottom w:val="single" w:sz="8" w:color="auto"/>
              <w:right w:val="single" w:sz="8" w:color="B1C9FD"/>
            </w:tcBorders>
            <w:shd w:val="clear" w:color="auto" w:fill="B1C9FD"/>
          </w:tcPr>
          <w:p>
            <w:pPr>
              <w:spacing w:after="0"/>
              <w:rPr>
                <w:sz w:val="24"/>
                <w:szCs w:val="24"/>
                <w:color w:val="auto"/>
              </w:rPr>
            </w:pPr>
          </w:p>
        </w:tc>
        <w:tc>
          <w:tcPr>
            <w:tcW w:w="100" w:type="dxa"/>
            <w:vAlign w:val="bottom"/>
            <w:tcBorders>
              <w:top w:val="single" w:sz="8" w:color="auto"/>
              <w:bottom w:val="single" w:sz="8" w:color="auto"/>
            </w:tcBorders>
            <w:shd w:val="clear" w:color="auto" w:fill="B1C9FD"/>
          </w:tcPr>
          <w:p>
            <w:pPr>
              <w:spacing w:after="0"/>
              <w:rPr>
                <w:sz w:val="24"/>
                <w:szCs w:val="24"/>
                <w:color w:val="auto"/>
              </w:rPr>
            </w:pPr>
          </w:p>
        </w:tc>
        <w:tc>
          <w:tcPr>
            <w:tcW w:w="660" w:type="dxa"/>
            <w:vAlign w:val="bottom"/>
            <w:tcBorders>
              <w:top w:val="single" w:sz="8" w:color="auto"/>
              <w:bottom w:val="single" w:sz="8" w:color="auto"/>
            </w:tcBorders>
            <w:shd w:val="clear" w:color="auto" w:fill="B1C9FD"/>
          </w:tcPr>
          <w:p>
            <w:pPr>
              <w:spacing w:after="0"/>
              <w:rPr>
                <w:sz w:val="24"/>
                <w:szCs w:val="24"/>
                <w:color w:val="auto"/>
              </w:rPr>
            </w:pPr>
          </w:p>
        </w:tc>
        <w:tc>
          <w:tcPr>
            <w:tcW w:w="120" w:type="dxa"/>
            <w:vAlign w:val="bottom"/>
            <w:tcBorders>
              <w:top w:val="single" w:sz="8" w:color="auto"/>
              <w:bottom w:val="single" w:sz="8" w:color="auto"/>
              <w:right w:val="single" w:sz="8" w:color="B1C9FD"/>
            </w:tcBorders>
            <w:shd w:val="clear" w:color="auto" w:fill="B1C9FD"/>
          </w:tcPr>
          <w:p>
            <w:pPr>
              <w:spacing w:after="0"/>
              <w:rPr>
                <w:sz w:val="24"/>
                <w:szCs w:val="24"/>
                <w:color w:val="auto"/>
              </w:rPr>
            </w:pPr>
          </w:p>
        </w:tc>
        <w:tc>
          <w:tcPr>
            <w:tcW w:w="1980" w:type="dxa"/>
            <w:vAlign w:val="bottom"/>
            <w:tcBorders>
              <w:top w:val="single" w:sz="8" w:color="auto"/>
              <w:bottom w:val="single" w:sz="8" w:color="auto"/>
              <w:right w:val="single" w:sz="8" w:color="B1C9FD"/>
            </w:tcBorders>
            <w:gridSpan w:val="6"/>
            <w:shd w:val="clear" w:color="auto" w:fill="B1C9FD"/>
          </w:tcPr>
          <w:p>
            <w:pPr>
              <w:ind w:left="20"/>
              <w:spacing w:after="0"/>
              <w:rPr>
                <w:sz w:val="20"/>
                <w:szCs w:val="20"/>
                <w:color w:val="auto"/>
              </w:rPr>
            </w:pPr>
            <w:r>
              <w:rPr>
                <w:rFonts w:ascii="Arial" w:cs="Arial" w:eastAsia="Arial" w:hAnsi="Arial"/>
                <w:sz w:val="14"/>
                <w:szCs w:val="14"/>
                <w:b w:val="1"/>
                <w:bCs w:val="1"/>
                <w:color w:val="004FF9"/>
              </w:rPr>
              <w:t>Option Awards</w:t>
            </w:r>
          </w:p>
        </w:tc>
        <w:tc>
          <w:tcPr>
            <w:tcW w:w="40" w:type="dxa"/>
            <w:vAlign w:val="bottom"/>
            <w:tcBorders>
              <w:top w:val="single" w:sz="8" w:color="auto"/>
              <w:bottom w:val="single" w:sz="8" w:color="auto"/>
            </w:tcBorders>
            <w:shd w:val="clear" w:color="auto" w:fill="B1C9FD"/>
          </w:tcPr>
          <w:p>
            <w:pPr>
              <w:spacing w:after="0"/>
              <w:rPr>
                <w:sz w:val="24"/>
                <w:szCs w:val="24"/>
                <w:color w:val="auto"/>
              </w:rPr>
            </w:pPr>
          </w:p>
        </w:tc>
        <w:tc>
          <w:tcPr>
            <w:tcW w:w="120" w:type="dxa"/>
            <w:vAlign w:val="bottom"/>
            <w:tcBorders>
              <w:top w:val="single" w:sz="8" w:color="auto"/>
              <w:bottom w:val="single" w:sz="8" w:color="auto"/>
            </w:tcBorders>
            <w:shd w:val="clear" w:color="auto" w:fill="B1C9FD"/>
          </w:tcPr>
          <w:p>
            <w:pPr>
              <w:spacing w:after="0"/>
              <w:rPr>
                <w:sz w:val="24"/>
                <w:szCs w:val="24"/>
                <w:color w:val="auto"/>
              </w:rPr>
            </w:pPr>
          </w:p>
        </w:tc>
        <w:tc>
          <w:tcPr>
            <w:tcW w:w="360" w:type="dxa"/>
            <w:vAlign w:val="bottom"/>
            <w:tcBorders>
              <w:top w:val="single" w:sz="8" w:color="auto"/>
              <w:bottom w:val="single" w:sz="8" w:color="auto"/>
            </w:tcBorders>
            <w:shd w:val="clear" w:color="auto" w:fill="B1C9FD"/>
          </w:tcPr>
          <w:p>
            <w:pPr>
              <w:spacing w:after="0"/>
              <w:rPr>
                <w:sz w:val="24"/>
                <w:szCs w:val="24"/>
                <w:color w:val="auto"/>
              </w:rPr>
            </w:pPr>
          </w:p>
        </w:tc>
        <w:tc>
          <w:tcPr>
            <w:tcW w:w="160" w:type="dxa"/>
            <w:vAlign w:val="bottom"/>
            <w:tcBorders>
              <w:top w:val="single" w:sz="8" w:color="auto"/>
              <w:bottom w:val="single" w:sz="8" w:color="auto"/>
              <w:right w:val="single" w:sz="8" w:color="B1C9FD"/>
            </w:tcBorders>
            <w:shd w:val="clear" w:color="auto" w:fill="B1C9FD"/>
          </w:tcPr>
          <w:p>
            <w:pPr>
              <w:spacing w:after="0"/>
              <w:rPr>
                <w:sz w:val="24"/>
                <w:szCs w:val="24"/>
                <w:color w:val="auto"/>
              </w:rPr>
            </w:pPr>
          </w:p>
        </w:tc>
        <w:tc>
          <w:tcPr>
            <w:tcW w:w="40" w:type="dxa"/>
            <w:vAlign w:val="bottom"/>
            <w:tcBorders>
              <w:top w:val="single" w:sz="8" w:color="auto"/>
              <w:bottom w:val="single" w:sz="8" w:color="auto"/>
            </w:tcBorders>
            <w:shd w:val="clear" w:color="auto" w:fill="B1C9FD"/>
          </w:tcPr>
          <w:p>
            <w:pPr>
              <w:spacing w:after="0"/>
              <w:rPr>
                <w:sz w:val="24"/>
                <w:szCs w:val="24"/>
                <w:color w:val="auto"/>
              </w:rPr>
            </w:pPr>
          </w:p>
        </w:tc>
        <w:tc>
          <w:tcPr>
            <w:tcW w:w="780" w:type="dxa"/>
            <w:vAlign w:val="bottom"/>
            <w:tcBorders>
              <w:top w:val="single" w:sz="8" w:color="auto"/>
              <w:bottom w:val="single" w:sz="8" w:color="auto"/>
              <w:right w:val="single" w:sz="8" w:color="auto"/>
            </w:tcBorders>
            <w:shd w:val="clear" w:color="auto" w:fill="B1C9FD"/>
          </w:tcPr>
          <w:p>
            <w:pPr>
              <w:spacing w:after="0"/>
              <w:rPr>
                <w:sz w:val="24"/>
                <w:szCs w:val="24"/>
                <w:color w:val="auto"/>
              </w:rPr>
            </w:pPr>
          </w:p>
        </w:tc>
        <w:tc>
          <w:tcPr>
            <w:tcW w:w="100" w:type="dxa"/>
            <w:vAlign w:val="bottom"/>
            <w:tcBorders>
              <w:top w:val="single" w:sz="8" w:color="auto"/>
              <w:bottom w:val="single" w:sz="8" w:color="auto"/>
            </w:tcBorders>
            <w:shd w:val="clear" w:color="auto" w:fill="B1C9FD"/>
          </w:tcPr>
          <w:p>
            <w:pPr>
              <w:spacing w:after="0"/>
              <w:rPr>
                <w:sz w:val="24"/>
                <w:szCs w:val="24"/>
                <w:color w:val="auto"/>
              </w:rPr>
            </w:pPr>
          </w:p>
        </w:tc>
        <w:tc>
          <w:tcPr>
            <w:tcW w:w="660" w:type="dxa"/>
            <w:vAlign w:val="bottom"/>
            <w:tcBorders>
              <w:top w:val="single" w:sz="8" w:color="auto"/>
              <w:bottom w:val="single" w:sz="8" w:color="auto"/>
            </w:tcBorders>
            <w:shd w:val="clear" w:color="auto" w:fill="B1C9FD"/>
          </w:tcPr>
          <w:p>
            <w:pPr>
              <w:spacing w:after="0"/>
              <w:rPr>
                <w:sz w:val="24"/>
                <w:szCs w:val="24"/>
                <w:color w:val="auto"/>
              </w:rPr>
            </w:pPr>
          </w:p>
        </w:tc>
        <w:tc>
          <w:tcPr>
            <w:tcW w:w="80" w:type="dxa"/>
            <w:vAlign w:val="bottom"/>
            <w:tcBorders>
              <w:top w:val="single" w:sz="8" w:color="auto"/>
              <w:bottom w:val="single" w:sz="8" w:color="auto"/>
            </w:tcBorders>
            <w:shd w:val="clear" w:color="auto" w:fill="B1C9FD"/>
          </w:tcPr>
          <w:p>
            <w:pPr>
              <w:spacing w:after="0"/>
              <w:rPr>
                <w:sz w:val="24"/>
                <w:szCs w:val="24"/>
                <w:color w:val="auto"/>
              </w:rPr>
            </w:pPr>
          </w:p>
        </w:tc>
        <w:tc>
          <w:tcPr>
            <w:tcW w:w="40" w:type="dxa"/>
            <w:vAlign w:val="bottom"/>
            <w:tcBorders>
              <w:top w:val="single" w:sz="8" w:color="auto"/>
              <w:bottom w:val="single" w:sz="8" w:color="auto"/>
              <w:right w:val="single" w:sz="8" w:color="B1C9FD"/>
            </w:tcBorders>
            <w:shd w:val="clear" w:color="auto" w:fill="B1C9FD"/>
          </w:tcPr>
          <w:p>
            <w:pPr>
              <w:spacing w:after="0"/>
              <w:rPr>
                <w:sz w:val="24"/>
                <w:szCs w:val="24"/>
                <w:color w:val="auto"/>
              </w:rPr>
            </w:pPr>
          </w:p>
        </w:tc>
        <w:tc>
          <w:tcPr>
            <w:tcW w:w="100" w:type="dxa"/>
            <w:vAlign w:val="bottom"/>
            <w:tcBorders>
              <w:top w:val="single" w:sz="8" w:color="auto"/>
              <w:bottom w:val="single" w:sz="8" w:color="auto"/>
            </w:tcBorders>
            <w:shd w:val="clear" w:color="auto" w:fill="B1C9FD"/>
          </w:tcPr>
          <w:p>
            <w:pPr>
              <w:spacing w:after="0"/>
              <w:rPr>
                <w:sz w:val="24"/>
                <w:szCs w:val="24"/>
                <w:color w:val="auto"/>
              </w:rPr>
            </w:pPr>
          </w:p>
        </w:tc>
        <w:tc>
          <w:tcPr>
            <w:tcW w:w="440" w:type="dxa"/>
            <w:vAlign w:val="bottom"/>
            <w:tcBorders>
              <w:top w:val="single" w:sz="8" w:color="auto"/>
              <w:bottom w:val="single" w:sz="8" w:color="auto"/>
            </w:tcBorders>
            <w:shd w:val="clear" w:color="auto" w:fill="B1C9FD"/>
          </w:tcPr>
          <w:p>
            <w:pPr>
              <w:spacing w:after="0"/>
              <w:rPr>
                <w:sz w:val="24"/>
                <w:szCs w:val="24"/>
                <w:color w:val="auto"/>
              </w:rPr>
            </w:pPr>
          </w:p>
        </w:tc>
        <w:tc>
          <w:tcPr>
            <w:tcW w:w="1580" w:type="dxa"/>
            <w:vAlign w:val="bottom"/>
            <w:tcBorders>
              <w:top w:val="single" w:sz="8" w:color="auto"/>
              <w:bottom w:val="single" w:sz="8" w:color="auto"/>
              <w:right w:val="single" w:sz="8" w:color="B1C9FD"/>
            </w:tcBorders>
            <w:gridSpan w:val="6"/>
            <w:shd w:val="clear" w:color="auto" w:fill="B1C9FD"/>
          </w:tcPr>
          <w:p>
            <w:pPr>
              <w:spacing w:after="0"/>
              <w:rPr>
                <w:sz w:val="20"/>
                <w:szCs w:val="20"/>
                <w:color w:val="auto"/>
              </w:rPr>
            </w:pPr>
            <w:r>
              <w:rPr>
                <w:rFonts w:ascii="Arial" w:cs="Arial" w:eastAsia="Arial" w:hAnsi="Arial"/>
                <w:sz w:val="14"/>
                <w:szCs w:val="14"/>
                <w:b w:val="1"/>
                <w:bCs w:val="1"/>
                <w:color w:val="004FF9"/>
              </w:rPr>
              <w:t>Stock Awards</w:t>
            </w:r>
          </w:p>
        </w:tc>
        <w:tc>
          <w:tcPr>
            <w:tcW w:w="140" w:type="dxa"/>
            <w:vAlign w:val="bottom"/>
            <w:tcBorders>
              <w:top w:val="single" w:sz="8" w:color="auto"/>
              <w:bottom w:val="single" w:sz="8" w:color="auto"/>
            </w:tcBorders>
            <w:shd w:val="clear" w:color="auto" w:fill="B1C9FD"/>
          </w:tcPr>
          <w:p>
            <w:pPr>
              <w:spacing w:after="0"/>
              <w:rPr>
                <w:sz w:val="24"/>
                <w:szCs w:val="24"/>
                <w:color w:val="auto"/>
              </w:rPr>
            </w:pPr>
          </w:p>
        </w:tc>
        <w:tc>
          <w:tcPr>
            <w:tcW w:w="540" w:type="dxa"/>
            <w:vAlign w:val="bottom"/>
            <w:tcBorders>
              <w:top w:val="single" w:sz="8" w:color="auto"/>
              <w:bottom w:val="single" w:sz="8" w:color="auto"/>
            </w:tcBorders>
            <w:shd w:val="clear" w:color="auto" w:fill="B1C9FD"/>
          </w:tcPr>
          <w:p>
            <w:pPr>
              <w:spacing w:after="0"/>
              <w:rPr>
                <w:sz w:val="24"/>
                <w:szCs w:val="24"/>
                <w:color w:val="auto"/>
              </w:rPr>
            </w:pPr>
          </w:p>
        </w:tc>
        <w:tc>
          <w:tcPr>
            <w:tcW w:w="200" w:type="dxa"/>
            <w:vAlign w:val="bottom"/>
            <w:tcBorders>
              <w:top w:val="single" w:sz="8" w:color="auto"/>
              <w:bottom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18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20" w:type="dxa"/>
            <w:vAlign w:val="bottom"/>
            <w:tcBorders>
              <w:right w:val="single" w:sz="8" w:color="auto"/>
            </w:tcBorders>
            <w:shd w:val="clear" w:color="auto" w:fill="B1C9FD"/>
          </w:tcPr>
          <w:p>
            <w:pPr>
              <w:spacing w:after="0"/>
              <w:rPr>
                <w:sz w:val="11"/>
                <w:szCs w:val="11"/>
                <w:color w:val="auto"/>
              </w:rPr>
            </w:pPr>
          </w:p>
        </w:tc>
        <w:tc>
          <w:tcPr>
            <w:tcW w:w="24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44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72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6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140" w:type="dxa"/>
            <w:vAlign w:val="bottom"/>
            <w:shd w:val="clear" w:color="auto" w:fill="B1C9FD"/>
          </w:tcPr>
          <w:p>
            <w:pPr>
              <w:spacing w:after="0"/>
              <w:rPr>
                <w:sz w:val="11"/>
                <w:szCs w:val="11"/>
                <w:color w:val="auto"/>
              </w:rPr>
            </w:pPr>
          </w:p>
        </w:tc>
        <w:tc>
          <w:tcPr>
            <w:tcW w:w="740" w:type="dxa"/>
            <w:vAlign w:val="bottom"/>
            <w:tcBorders>
              <w:right w:val="single" w:sz="8" w:color="auto"/>
            </w:tcBorders>
            <w:gridSpan w:val="2"/>
            <w:shd w:val="clear" w:color="auto" w:fill="B1C9FD"/>
          </w:tcPr>
          <w:p>
            <w:pPr>
              <w:jc w:val="center"/>
              <w:ind w:right="220"/>
              <w:spacing w:after="0" w:line="129" w:lineRule="exact"/>
              <w:rPr>
                <w:sz w:val="20"/>
                <w:szCs w:val="20"/>
                <w:color w:val="auto"/>
              </w:rPr>
            </w:pPr>
            <w:r>
              <w:rPr>
                <w:rFonts w:ascii="Arial" w:cs="Arial" w:eastAsia="Arial" w:hAnsi="Arial"/>
                <w:sz w:val="14"/>
                <w:szCs w:val="14"/>
                <w:b w:val="1"/>
                <w:bCs w:val="1"/>
                <w:color w:val="004FF9"/>
              </w:rPr>
              <w:t>Equity</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shd w:val="clear" w:color="auto" w:fill="B1C9FD"/>
          </w:tcPr>
          <w:p>
            <w:pPr>
              <w:spacing w:after="0"/>
              <w:rPr>
                <w:sz w:val="14"/>
                <w:szCs w:val="14"/>
                <w:color w:val="auto"/>
              </w:rPr>
            </w:pPr>
          </w:p>
        </w:tc>
        <w:tc>
          <w:tcPr>
            <w:tcW w:w="100" w:type="dxa"/>
            <w:vAlign w:val="bottom"/>
            <w:shd w:val="clear" w:color="auto" w:fill="B1C9FD"/>
          </w:tcPr>
          <w:p>
            <w:pPr>
              <w:spacing w:after="0"/>
              <w:rPr>
                <w:sz w:val="14"/>
                <w:szCs w:val="14"/>
                <w:color w:val="auto"/>
              </w:rPr>
            </w:pPr>
          </w:p>
        </w:tc>
        <w:tc>
          <w:tcPr>
            <w:tcW w:w="660" w:type="dxa"/>
            <w:vAlign w:val="bottom"/>
            <w:shd w:val="clear" w:color="auto" w:fill="B1C9FD"/>
          </w:tcPr>
          <w:p>
            <w:pPr>
              <w:spacing w:after="0"/>
              <w:rPr>
                <w:sz w:val="14"/>
                <w:szCs w:val="14"/>
                <w:color w:val="auto"/>
              </w:rPr>
            </w:pPr>
          </w:p>
        </w:tc>
        <w:tc>
          <w:tcPr>
            <w:tcW w:w="120" w:type="dxa"/>
            <w:vAlign w:val="bottom"/>
            <w:tcBorders>
              <w:right w:val="single" w:sz="8" w:color="auto"/>
            </w:tcBorders>
            <w:shd w:val="clear" w:color="auto" w:fill="B1C9FD"/>
          </w:tcPr>
          <w:p>
            <w:pPr>
              <w:spacing w:after="0"/>
              <w:rPr>
                <w:sz w:val="14"/>
                <w:szCs w:val="14"/>
                <w:color w:val="auto"/>
              </w:rPr>
            </w:pPr>
          </w:p>
        </w:tc>
        <w:tc>
          <w:tcPr>
            <w:tcW w:w="180" w:type="dxa"/>
            <w:vAlign w:val="bottom"/>
            <w:shd w:val="clear" w:color="auto" w:fill="B1C9FD"/>
          </w:tcPr>
          <w:p>
            <w:pPr>
              <w:spacing w:after="0"/>
              <w:rPr>
                <w:sz w:val="14"/>
                <w:szCs w:val="14"/>
                <w:color w:val="auto"/>
              </w:rPr>
            </w:pPr>
          </w:p>
        </w:tc>
        <w:tc>
          <w:tcPr>
            <w:tcW w:w="540" w:type="dxa"/>
            <w:vAlign w:val="bottom"/>
            <w:shd w:val="clear" w:color="auto" w:fill="B1C9FD"/>
          </w:tcPr>
          <w:p>
            <w:pPr>
              <w:spacing w:after="0"/>
              <w:rPr>
                <w:sz w:val="14"/>
                <w:szCs w:val="14"/>
                <w:color w:val="auto"/>
              </w:rPr>
            </w:pPr>
          </w:p>
        </w:tc>
        <w:tc>
          <w:tcPr>
            <w:tcW w:w="220" w:type="dxa"/>
            <w:vAlign w:val="bottom"/>
            <w:tcBorders>
              <w:right w:val="single" w:sz="8" w:color="auto"/>
            </w:tcBorders>
            <w:shd w:val="clear" w:color="auto" w:fill="B1C9FD"/>
          </w:tcPr>
          <w:p>
            <w:pPr>
              <w:spacing w:after="0"/>
              <w:rPr>
                <w:sz w:val="14"/>
                <w:szCs w:val="14"/>
                <w:color w:val="auto"/>
              </w:rPr>
            </w:pPr>
          </w:p>
        </w:tc>
        <w:tc>
          <w:tcPr>
            <w:tcW w:w="240" w:type="dxa"/>
            <w:vAlign w:val="bottom"/>
            <w:shd w:val="clear" w:color="auto" w:fill="B1C9FD"/>
          </w:tcPr>
          <w:p>
            <w:pPr>
              <w:spacing w:after="0"/>
              <w:rPr>
                <w:sz w:val="14"/>
                <w:szCs w:val="14"/>
                <w:color w:val="auto"/>
              </w:rPr>
            </w:pPr>
          </w:p>
        </w:tc>
        <w:tc>
          <w:tcPr>
            <w:tcW w:w="540" w:type="dxa"/>
            <w:vAlign w:val="bottom"/>
            <w:shd w:val="clear" w:color="auto" w:fill="B1C9FD"/>
          </w:tcPr>
          <w:p>
            <w:pPr>
              <w:spacing w:after="0"/>
              <w:rPr>
                <w:sz w:val="14"/>
                <w:szCs w:val="14"/>
                <w:color w:val="auto"/>
              </w:rPr>
            </w:pPr>
          </w:p>
        </w:tc>
        <w:tc>
          <w:tcPr>
            <w:tcW w:w="260" w:type="dxa"/>
            <w:vAlign w:val="bottom"/>
            <w:tcBorders>
              <w:right w:val="single" w:sz="8" w:color="auto"/>
            </w:tcBorders>
            <w:shd w:val="clear" w:color="auto" w:fill="B1C9FD"/>
          </w:tcPr>
          <w:p>
            <w:pPr>
              <w:spacing w:after="0"/>
              <w:rPr>
                <w:sz w:val="14"/>
                <w:szCs w:val="14"/>
                <w:color w:val="auto"/>
              </w:rPr>
            </w:pPr>
          </w:p>
        </w:tc>
        <w:tc>
          <w:tcPr>
            <w:tcW w:w="40" w:type="dxa"/>
            <w:vAlign w:val="bottom"/>
            <w:shd w:val="clear" w:color="auto" w:fill="B1C9FD"/>
          </w:tcPr>
          <w:p>
            <w:pPr>
              <w:spacing w:after="0"/>
              <w:rPr>
                <w:sz w:val="14"/>
                <w:szCs w:val="14"/>
                <w:color w:val="auto"/>
              </w:rPr>
            </w:pPr>
          </w:p>
        </w:tc>
        <w:tc>
          <w:tcPr>
            <w:tcW w:w="120" w:type="dxa"/>
            <w:vAlign w:val="bottom"/>
            <w:shd w:val="clear" w:color="auto" w:fill="B1C9FD"/>
          </w:tcPr>
          <w:p>
            <w:pPr>
              <w:spacing w:after="0"/>
              <w:rPr>
                <w:sz w:val="14"/>
                <w:szCs w:val="14"/>
                <w:color w:val="auto"/>
              </w:rPr>
            </w:pPr>
          </w:p>
        </w:tc>
        <w:tc>
          <w:tcPr>
            <w:tcW w:w="360" w:type="dxa"/>
            <w:vAlign w:val="bottom"/>
            <w:shd w:val="clear" w:color="auto" w:fill="B1C9FD"/>
          </w:tcPr>
          <w:p>
            <w:pPr>
              <w:spacing w:after="0"/>
              <w:rPr>
                <w:sz w:val="14"/>
                <w:szCs w:val="14"/>
                <w:color w:val="auto"/>
              </w:rPr>
            </w:pPr>
          </w:p>
        </w:tc>
        <w:tc>
          <w:tcPr>
            <w:tcW w:w="160" w:type="dxa"/>
            <w:vAlign w:val="bottom"/>
            <w:tcBorders>
              <w:right w:val="single" w:sz="8" w:color="auto"/>
            </w:tcBorders>
            <w:shd w:val="clear" w:color="auto" w:fill="B1C9FD"/>
          </w:tcPr>
          <w:p>
            <w:pPr>
              <w:spacing w:after="0"/>
              <w:rPr>
                <w:sz w:val="14"/>
                <w:szCs w:val="14"/>
                <w:color w:val="auto"/>
              </w:rPr>
            </w:pPr>
          </w:p>
        </w:tc>
        <w:tc>
          <w:tcPr>
            <w:tcW w:w="40" w:type="dxa"/>
            <w:vAlign w:val="bottom"/>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spacing w:after="0"/>
              <w:rPr>
                <w:sz w:val="14"/>
                <w:szCs w:val="14"/>
                <w:color w:val="auto"/>
              </w:rPr>
            </w:pPr>
          </w:p>
        </w:tc>
        <w:tc>
          <w:tcPr>
            <w:tcW w:w="100" w:type="dxa"/>
            <w:vAlign w:val="bottom"/>
            <w:shd w:val="clear" w:color="auto" w:fill="B1C9FD"/>
          </w:tcPr>
          <w:p>
            <w:pPr>
              <w:spacing w:after="0"/>
              <w:rPr>
                <w:sz w:val="14"/>
                <w:szCs w:val="14"/>
                <w:color w:val="auto"/>
              </w:rPr>
            </w:pPr>
          </w:p>
        </w:tc>
        <w:tc>
          <w:tcPr>
            <w:tcW w:w="660" w:type="dxa"/>
            <w:vAlign w:val="bottom"/>
            <w:shd w:val="clear" w:color="auto" w:fill="B1C9FD"/>
          </w:tcPr>
          <w:p>
            <w:pPr>
              <w:spacing w:after="0"/>
              <w:rPr>
                <w:sz w:val="14"/>
                <w:szCs w:val="14"/>
                <w:color w:val="auto"/>
              </w:rPr>
            </w:pPr>
          </w:p>
        </w:tc>
        <w:tc>
          <w:tcPr>
            <w:tcW w:w="80" w:type="dxa"/>
            <w:vAlign w:val="bottom"/>
            <w:shd w:val="clear" w:color="auto" w:fill="B1C9FD"/>
          </w:tcPr>
          <w:p>
            <w:pPr>
              <w:spacing w:after="0"/>
              <w:rPr>
                <w:sz w:val="14"/>
                <w:szCs w:val="14"/>
                <w:color w:val="auto"/>
              </w:rPr>
            </w:pPr>
          </w:p>
        </w:tc>
        <w:tc>
          <w:tcPr>
            <w:tcW w:w="40" w:type="dxa"/>
            <w:vAlign w:val="bottom"/>
            <w:tcBorders>
              <w:right w:val="single" w:sz="8" w:color="auto"/>
            </w:tcBorders>
            <w:shd w:val="clear" w:color="auto" w:fill="B1C9FD"/>
          </w:tcPr>
          <w:p>
            <w:pPr>
              <w:spacing w:after="0"/>
              <w:rPr>
                <w:sz w:val="14"/>
                <w:szCs w:val="14"/>
                <w:color w:val="auto"/>
              </w:rPr>
            </w:pPr>
          </w:p>
        </w:tc>
        <w:tc>
          <w:tcPr>
            <w:tcW w:w="100" w:type="dxa"/>
            <w:vAlign w:val="bottom"/>
            <w:shd w:val="clear" w:color="auto" w:fill="B1C9FD"/>
          </w:tcPr>
          <w:p>
            <w:pPr>
              <w:spacing w:after="0"/>
              <w:rPr>
                <w:sz w:val="14"/>
                <w:szCs w:val="14"/>
                <w:color w:val="auto"/>
              </w:rPr>
            </w:pPr>
          </w:p>
        </w:tc>
        <w:tc>
          <w:tcPr>
            <w:tcW w:w="440" w:type="dxa"/>
            <w:vAlign w:val="bottom"/>
            <w:shd w:val="clear" w:color="auto" w:fill="B1C9FD"/>
          </w:tcPr>
          <w:p>
            <w:pPr>
              <w:spacing w:after="0"/>
              <w:rPr>
                <w:sz w:val="14"/>
                <w:szCs w:val="14"/>
                <w:color w:val="auto"/>
              </w:rPr>
            </w:pPr>
          </w:p>
        </w:tc>
        <w:tc>
          <w:tcPr>
            <w:tcW w:w="120" w:type="dxa"/>
            <w:vAlign w:val="bottom"/>
            <w:tcBorders>
              <w:right w:val="single" w:sz="8" w:color="auto"/>
            </w:tcBorders>
            <w:shd w:val="clear" w:color="auto" w:fill="B1C9FD"/>
          </w:tcPr>
          <w:p>
            <w:pPr>
              <w:spacing w:after="0"/>
              <w:rPr>
                <w:sz w:val="14"/>
                <w:szCs w:val="14"/>
                <w:color w:val="auto"/>
              </w:rPr>
            </w:pPr>
          </w:p>
        </w:tc>
        <w:tc>
          <w:tcPr>
            <w:tcW w:w="720" w:type="dxa"/>
            <w:vAlign w:val="bottom"/>
            <w:tcBorders>
              <w:right w:val="single" w:sz="8" w:color="auto"/>
            </w:tcBorders>
            <w:shd w:val="clear" w:color="auto" w:fill="B1C9FD"/>
          </w:tcPr>
          <w:p>
            <w:pPr>
              <w:spacing w:after="0"/>
              <w:rPr>
                <w:sz w:val="14"/>
                <w:szCs w:val="14"/>
                <w:color w:val="auto"/>
              </w:rPr>
            </w:pPr>
          </w:p>
        </w:tc>
        <w:tc>
          <w:tcPr>
            <w:tcW w:w="100" w:type="dxa"/>
            <w:vAlign w:val="bottom"/>
            <w:shd w:val="clear" w:color="auto" w:fill="B1C9FD"/>
          </w:tcPr>
          <w:p>
            <w:pPr>
              <w:spacing w:after="0"/>
              <w:rPr>
                <w:sz w:val="14"/>
                <w:szCs w:val="14"/>
                <w:color w:val="auto"/>
              </w:rPr>
            </w:pPr>
          </w:p>
        </w:tc>
        <w:tc>
          <w:tcPr>
            <w:tcW w:w="640" w:type="dxa"/>
            <w:vAlign w:val="bottom"/>
            <w:tcBorders>
              <w:right w:val="single" w:sz="8" w:color="auto"/>
            </w:tcBorders>
            <w:gridSpan w:val="3"/>
            <w:shd w:val="clear" w:color="auto" w:fill="B1C9FD"/>
          </w:tcPr>
          <w:p>
            <w:pPr>
              <w:jc w:val="center"/>
              <w:ind w:right="120"/>
              <w:spacing w:after="0"/>
              <w:rPr>
                <w:sz w:val="20"/>
                <w:szCs w:val="20"/>
                <w:color w:val="auto"/>
              </w:rPr>
            </w:pPr>
            <w:r>
              <w:rPr>
                <w:rFonts w:ascii="Arial" w:cs="Arial" w:eastAsia="Arial" w:hAnsi="Arial"/>
                <w:sz w:val="14"/>
                <w:szCs w:val="14"/>
                <w:b w:val="1"/>
                <w:bCs w:val="1"/>
                <w:color w:val="004FF9"/>
              </w:rPr>
              <w:t>Equity</w:t>
            </w:r>
          </w:p>
        </w:tc>
        <w:tc>
          <w:tcPr>
            <w:tcW w:w="880" w:type="dxa"/>
            <w:vAlign w:val="bottom"/>
            <w:tcBorders>
              <w:right w:val="single" w:sz="8" w:color="auto"/>
            </w:tcBorders>
            <w:gridSpan w:val="3"/>
            <w:shd w:val="clear" w:color="auto" w:fill="B1C9FD"/>
          </w:tcPr>
          <w:p>
            <w:pPr>
              <w:jc w:val="center"/>
              <w:ind w:right="60"/>
              <w:spacing w:after="0"/>
              <w:rPr>
                <w:sz w:val="20"/>
                <w:szCs w:val="20"/>
                <w:color w:val="auto"/>
              </w:rPr>
            </w:pPr>
            <w:r>
              <w:rPr>
                <w:rFonts w:ascii="Arial" w:cs="Arial" w:eastAsia="Arial" w:hAnsi="Arial"/>
                <w:sz w:val="14"/>
                <w:szCs w:val="14"/>
                <w:b w:val="1"/>
                <w:bCs w:val="1"/>
                <w:color w:val="004FF9"/>
              </w:rPr>
              <w:t>Incentive</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18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20" w:type="dxa"/>
            <w:vAlign w:val="bottom"/>
            <w:tcBorders>
              <w:right w:val="single" w:sz="8" w:color="auto"/>
            </w:tcBorders>
            <w:shd w:val="clear" w:color="auto" w:fill="B1C9FD"/>
          </w:tcPr>
          <w:p>
            <w:pPr>
              <w:spacing w:after="0"/>
              <w:rPr>
                <w:sz w:val="11"/>
                <w:szCs w:val="11"/>
                <w:color w:val="auto"/>
              </w:rPr>
            </w:pPr>
          </w:p>
        </w:tc>
        <w:tc>
          <w:tcPr>
            <w:tcW w:w="24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44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720" w:type="dxa"/>
            <w:vAlign w:val="bottom"/>
            <w:tcBorders>
              <w:right w:val="single" w:sz="8" w:color="auto"/>
            </w:tcBorders>
            <w:shd w:val="clear" w:color="auto" w:fill="B1C9FD"/>
          </w:tcPr>
          <w:p>
            <w:pPr>
              <w:spacing w:after="0"/>
              <w:rPr>
                <w:sz w:val="11"/>
                <w:szCs w:val="11"/>
                <w:color w:val="auto"/>
              </w:rPr>
            </w:pPr>
          </w:p>
        </w:tc>
        <w:tc>
          <w:tcPr>
            <w:tcW w:w="740" w:type="dxa"/>
            <w:vAlign w:val="bottom"/>
            <w:tcBorders>
              <w:right w:val="single" w:sz="8" w:color="auto"/>
            </w:tcBorders>
            <w:gridSpan w:val="4"/>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Incentive</w:t>
            </w:r>
          </w:p>
        </w:tc>
        <w:tc>
          <w:tcPr>
            <w:tcW w:w="140" w:type="dxa"/>
            <w:vAlign w:val="bottom"/>
            <w:shd w:val="clear" w:color="auto" w:fill="B1C9FD"/>
          </w:tcPr>
          <w:p>
            <w:pPr>
              <w:spacing w:after="0"/>
              <w:rPr>
                <w:sz w:val="11"/>
                <w:szCs w:val="11"/>
                <w:color w:val="auto"/>
              </w:rPr>
            </w:pPr>
          </w:p>
        </w:tc>
        <w:tc>
          <w:tcPr>
            <w:tcW w:w="740" w:type="dxa"/>
            <w:vAlign w:val="bottom"/>
            <w:tcBorders>
              <w:right w:val="single" w:sz="8" w:color="auto"/>
            </w:tcBorders>
            <w:gridSpan w:val="2"/>
            <w:shd w:val="clear" w:color="auto" w:fill="B1C9FD"/>
          </w:tcPr>
          <w:p>
            <w:pPr>
              <w:jc w:val="center"/>
              <w:ind w:right="200"/>
              <w:spacing w:after="0" w:line="135" w:lineRule="exact"/>
              <w:rPr>
                <w:sz w:val="20"/>
                <w:szCs w:val="20"/>
                <w:color w:val="auto"/>
              </w:rPr>
            </w:pPr>
            <w:r>
              <w:rPr>
                <w:rFonts w:ascii="Arial" w:cs="Arial" w:eastAsia="Arial" w:hAnsi="Arial"/>
                <w:sz w:val="14"/>
                <w:szCs w:val="14"/>
                <w:b w:val="1"/>
                <w:bCs w:val="1"/>
                <w:color w:val="004FF9"/>
              </w:rPr>
              <w:t>Plan</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18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20" w:type="dxa"/>
            <w:vAlign w:val="bottom"/>
            <w:tcBorders>
              <w:right w:val="single" w:sz="8" w:color="auto"/>
            </w:tcBorders>
            <w:shd w:val="clear" w:color="auto" w:fill="B1C9FD"/>
          </w:tcPr>
          <w:p>
            <w:pPr>
              <w:spacing w:after="0"/>
              <w:rPr>
                <w:sz w:val="11"/>
                <w:szCs w:val="11"/>
                <w:color w:val="auto"/>
              </w:rPr>
            </w:pPr>
          </w:p>
        </w:tc>
        <w:tc>
          <w:tcPr>
            <w:tcW w:w="24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44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72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40" w:type="dxa"/>
            <w:vAlign w:val="bottom"/>
            <w:tcBorders>
              <w:right w:val="single" w:sz="8" w:color="auto"/>
            </w:tcBorders>
            <w:gridSpan w:val="3"/>
            <w:shd w:val="clear" w:color="auto" w:fill="B1C9FD"/>
          </w:tcPr>
          <w:p>
            <w:pPr>
              <w:jc w:val="center"/>
              <w:ind w:right="120"/>
              <w:spacing w:after="0" w:line="135" w:lineRule="exact"/>
              <w:rPr>
                <w:sz w:val="20"/>
                <w:szCs w:val="20"/>
                <w:color w:val="auto"/>
              </w:rPr>
            </w:pPr>
            <w:r>
              <w:rPr>
                <w:rFonts w:ascii="Arial" w:cs="Arial" w:eastAsia="Arial" w:hAnsi="Arial"/>
                <w:sz w:val="14"/>
                <w:szCs w:val="14"/>
                <w:b w:val="1"/>
                <w:bCs w:val="1"/>
                <w:color w:val="004FF9"/>
              </w:rPr>
              <w:t>Plan</w:t>
            </w:r>
          </w:p>
        </w:tc>
        <w:tc>
          <w:tcPr>
            <w:tcW w:w="880" w:type="dxa"/>
            <w:vAlign w:val="bottom"/>
            <w:tcBorders>
              <w:right w:val="single" w:sz="8" w:color="auto"/>
            </w:tcBorders>
            <w:gridSpan w:val="3"/>
            <w:shd w:val="clear" w:color="auto" w:fill="B1C9FD"/>
          </w:tcPr>
          <w:p>
            <w:pPr>
              <w:jc w:val="center"/>
              <w:ind w:right="60"/>
              <w:spacing w:after="0" w:line="135" w:lineRule="exact"/>
              <w:rPr>
                <w:sz w:val="20"/>
                <w:szCs w:val="20"/>
                <w:color w:val="auto"/>
              </w:rPr>
            </w:pPr>
            <w:r>
              <w:rPr>
                <w:rFonts w:ascii="Arial" w:cs="Arial" w:eastAsia="Arial" w:hAnsi="Arial"/>
                <w:sz w:val="14"/>
                <w:szCs w:val="14"/>
                <w:b w:val="1"/>
                <w:bCs w:val="1"/>
                <w:color w:val="004FF9"/>
              </w:rPr>
              <w:t>Awards:</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18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20" w:type="dxa"/>
            <w:vAlign w:val="bottom"/>
            <w:tcBorders>
              <w:right w:val="single" w:sz="8" w:color="auto"/>
            </w:tcBorders>
            <w:shd w:val="clear" w:color="auto" w:fill="B1C9FD"/>
          </w:tcPr>
          <w:p>
            <w:pPr>
              <w:spacing w:after="0"/>
              <w:rPr>
                <w:sz w:val="11"/>
                <w:szCs w:val="11"/>
                <w:color w:val="auto"/>
              </w:rPr>
            </w:pPr>
          </w:p>
        </w:tc>
        <w:tc>
          <w:tcPr>
            <w:tcW w:w="24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44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720" w:type="dxa"/>
            <w:vAlign w:val="bottom"/>
            <w:tcBorders>
              <w:right w:val="single" w:sz="8" w:color="auto"/>
            </w:tcBorders>
            <w:shd w:val="clear" w:color="auto" w:fill="B1C9FD"/>
          </w:tcPr>
          <w:p>
            <w:pPr>
              <w:spacing w:after="0"/>
              <w:rPr>
                <w:sz w:val="11"/>
                <w:szCs w:val="11"/>
                <w:color w:val="auto"/>
              </w:rPr>
            </w:pPr>
          </w:p>
        </w:tc>
        <w:tc>
          <w:tcPr>
            <w:tcW w:w="740" w:type="dxa"/>
            <w:vAlign w:val="bottom"/>
            <w:tcBorders>
              <w:right w:val="single" w:sz="8" w:color="auto"/>
            </w:tcBorders>
            <w:gridSpan w:val="4"/>
            <w:shd w:val="clear" w:color="auto" w:fill="B1C9FD"/>
          </w:tcPr>
          <w:p>
            <w:pPr>
              <w:jc w:val="center"/>
              <w:ind w:right="20"/>
              <w:spacing w:after="0" w:line="135" w:lineRule="exact"/>
              <w:rPr>
                <w:sz w:val="20"/>
                <w:szCs w:val="20"/>
                <w:color w:val="auto"/>
              </w:rPr>
            </w:pPr>
            <w:r>
              <w:rPr>
                <w:rFonts w:ascii="Arial" w:cs="Arial" w:eastAsia="Arial" w:hAnsi="Arial"/>
                <w:sz w:val="14"/>
                <w:szCs w:val="14"/>
                <w:b w:val="1"/>
                <w:bCs w:val="1"/>
                <w:color w:val="004FF9"/>
              </w:rPr>
              <w:t>Awards:</w:t>
            </w:r>
          </w:p>
        </w:tc>
        <w:tc>
          <w:tcPr>
            <w:tcW w:w="880" w:type="dxa"/>
            <w:vAlign w:val="bottom"/>
            <w:tcBorders>
              <w:right w:val="single" w:sz="8" w:color="auto"/>
            </w:tcBorders>
            <w:gridSpan w:val="3"/>
            <w:shd w:val="clear" w:color="auto" w:fill="B1C9FD"/>
          </w:tcPr>
          <w:p>
            <w:pPr>
              <w:jc w:val="center"/>
              <w:ind w:right="60"/>
              <w:spacing w:after="0" w:line="135" w:lineRule="exact"/>
              <w:rPr>
                <w:sz w:val="20"/>
                <w:szCs w:val="20"/>
                <w:color w:val="auto"/>
              </w:rPr>
            </w:pPr>
            <w:r>
              <w:rPr>
                <w:rFonts w:ascii="Arial" w:cs="Arial" w:eastAsia="Arial" w:hAnsi="Arial"/>
                <w:sz w:val="14"/>
                <w:szCs w:val="14"/>
                <w:b w:val="1"/>
                <w:bCs w:val="1"/>
                <w:color w:val="004FF9"/>
              </w:rPr>
              <w:t>Market or</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18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20" w:type="dxa"/>
            <w:vAlign w:val="bottom"/>
            <w:tcBorders>
              <w:right w:val="single" w:sz="8" w:color="auto"/>
            </w:tcBorders>
            <w:shd w:val="clear" w:color="auto" w:fill="B1C9FD"/>
          </w:tcPr>
          <w:p>
            <w:pPr>
              <w:spacing w:after="0"/>
              <w:rPr>
                <w:sz w:val="11"/>
                <w:szCs w:val="11"/>
                <w:color w:val="auto"/>
              </w:rPr>
            </w:pPr>
          </w:p>
        </w:tc>
        <w:tc>
          <w:tcPr>
            <w:tcW w:w="24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660" w:type="dxa"/>
            <w:vAlign w:val="bottom"/>
            <w:tcBorders>
              <w:right w:val="single" w:sz="8" w:color="auto"/>
            </w:tcBorders>
            <w:gridSpan w:val="3"/>
            <w:vMerge w:val="restart"/>
            <w:shd w:val="clear" w:color="auto" w:fill="B1C9FD"/>
          </w:tcPr>
          <w:p>
            <w:pPr>
              <w:jc w:val="center"/>
              <w:spacing w:after="0"/>
              <w:rPr>
                <w:sz w:val="20"/>
                <w:szCs w:val="20"/>
                <w:color w:val="auto"/>
              </w:rPr>
            </w:pPr>
            <w:r>
              <w:rPr>
                <w:rFonts w:ascii="Arial" w:cs="Arial" w:eastAsia="Arial" w:hAnsi="Arial"/>
                <w:sz w:val="14"/>
                <w:szCs w:val="14"/>
                <w:b w:val="1"/>
                <w:bCs w:val="1"/>
                <w:color w:val="004FF9"/>
              </w:rPr>
              <w:t>Number</w:t>
            </w:r>
          </w:p>
        </w:tc>
        <w:tc>
          <w:tcPr>
            <w:tcW w:w="720" w:type="dxa"/>
            <w:vAlign w:val="bottom"/>
            <w:tcBorders>
              <w:right w:val="single" w:sz="8" w:color="auto"/>
            </w:tcBorders>
            <w:shd w:val="clear" w:color="auto" w:fill="B1C9FD"/>
          </w:tcPr>
          <w:p>
            <w:pPr>
              <w:spacing w:after="0"/>
              <w:rPr>
                <w:sz w:val="11"/>
                <w:szCs w:val="11"/>
                <w:color w:val="auto"/>
              </w:rPr>
            </w:pPr>
          </w:p>
        </w:tc>
        <w:tc>
          <w:tcPr>
            <w:tcW w:w="740" w:type="dxa"/>
            <w:vAlign w:val="bottom"/>
            <w:tcBorders>
              <w:right w:val="single" w:sz="8" w:color="auto"/>
            </w:tcBorders>
            <w:gridSpan w:val="4"/>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Number</w:t>
            </w:r>
          </w:p>
        </w:tc>
        <w:tc>
          <w:tcPr>
            <w:tcW w:w="140" w:type="dxa"/>
            <w:vAlign w:val="bottom"/>
            <w:shd w:val="clear" w:color="auto" w:fill="B1C9FD"/>
          </w:tcPr>
          <w:p>
            <w:pPr>
              <w:spacing w:after="0"/>
              <w:rPr>
                <w:sz w:val="11"/>
                <w:szCs w:val="11"/>
                <w:color w:val="auto"/>
              </w:rPr>
            </w:pPr>
          </w:p>
        </w:tc>
        <w:tc>
          <w:tcPr>
            <w:tcW w:w="740" w:type="dxa"/>
            <w:vAlign w:val="bottom"/>
            <w:tcBorders>
              <w:right w:val="single" w:sz="8" w:color="auto"/>
            </w:tcBorders>
            <w:gridSpan w:val="2"/>
            <w:shd w:val="clear" w:color="auto" w:fill="B1C9FD"/>
          </w:tcPr>
          <w:p>
            <w:pPr>
              <w:jc w:val="center"/>
              <w:ind w:right="220"/>
              <w:spacing w:after="0" w:line="135" w:lineRule="exact"/>
              <w:rPr>
                <w:sz w:val="20"/>
                <w:szCs w:val="20"/>
                <w:color w:val="auto"/>
              </w:rPr>
            </w:pPr>
            <w:r>
              <w:rPr>
                <w:rFonts w:ascii="Arial" w:cs="Arial" w:eastAsia="Arial" w:hAnsi="Arial"/>
                <w:sz w:val="14"/>
                <w:szCs w:val="14"/>
                <w:b w:val="1"/>
                <w:bCs w:val="1"/>
                <w:color w:val="004FF9"/>
              </w:rPr>
              <w:t>Payout</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18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20" w:type="dxa"/>
            <w:vAlign w:val="bottom"/>
            <w:tcBorders>
              <w:right w:val="single" w:sz="8" w:color="auto"/>
            </w:tcBorders>
            <w:shd w:val="clear" w:color="auto" w:fill="B1C9FD"/>
          </w:tcPr>
          <w:p>
            <w:pPr>
              <w:spacing w:after="0"/>
              <w:rPr>
                <w:sz w:val="11"/>
                <w:szCs w:val="11"/>
                <w:color w:val="auto"/>
              </w:rPr>
            </w:pPr>
          </w:p>
        </w:tc>
        <w:tc>
          <w:tcPr>
            <w:tcW w:w="240" w:type="dxa"/>
            <w:vAlign w:val="bottom"/>
            <w:shd w:val="clear" w:color="auto" w:fill="B1C9FD"/>
          </w:tcPr>
          <w:p>
            <w:pPr>
              <w:spacing w:after="0"/>
              <w:rPr>
                <w:sz w:val="11"/>
                <w:szCs w:val="11"/>
                <w:color w:val="auto"/>
              </w:rPr>
            </w:pPr>
          </w:p>
        </w:tc>
        <w:tc>
          <w:tcPr>
            <w:tcW w:w="540" w:type="dxa"/>
            <w:vAlign w:val="bottom"/>
            <w:shd w:val="clear" w:color="auto" w:fill="B1C9FD"/>
          </w:tcPr>
          <w:p>
            <w:pPr>
              <w:spacing w:after="0"/>
              <w:rPr>
                <w:sz w:val="11"/>
                <w:szCs w:val="11"/>
                <w:color w:val="auto"/>
              </w:rPr>
            </w:pPr>
          </w:p>
        </w:tc>
        <w:tc>
          <w:tcPr>
            <w:tcW w:w="2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660" w:type="dxa"/>
            <w:vAlign w:val="bottom"/>
            <w:tcBorders>
              <w:right w:val="single" w:sz="8" w:color="auto"/>
            </w:tcBorders>
            <w:gridSpan w:val="3"/>
            <w:vMerge w:val="continue"/>
            <w:shd w:val="clear" w:color="auto" w:fill="B1C9FD"/>
          </w:tcPr>
          <w:p>
            <w:pPr>
              <w:spacing w:after="0"/>
              <w:rPr>
                <w:sz w:val="11"/>
                <w:szCs w:val="11"/>
                <w:color w:val="auto"/>
              </w:rPr>
            </w:pPr>
          </w:p>
        </w:tc>
        <w:tc>
          <w:tcPr>
            <w:tcW w:w="72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4"/>
                <w:szCs w:val="14"/>
                <w:b w:val="1"/>
                <w:bCs w:val="1"/>
                <w:color w:val="004FF9"/>
              </w:rPr>
              <w:t>Market</w:t>
            </w:r>
          </w:p>
        </w:tc>
        <w:tc>
          <w:tcPr>
            <w:tcW w:w="100" w:type="dxa"/>
            <w:vAlign w:val="bottom"/>
            <w:shd w:val="clear" w:color="auto" w:fill="B1C9FD"/>
          </w:tcPr>
          <w:p>
            <w:pPr>
              <w:spacing w:after="0"/>
              <w:rPr>
                <w:sz w:val="11"/>
                <w:szCs w:val="11"/>
                <w:color w:val="auto"/>
              </w:rPr>
            </w:pPr>
          </w:p>
        </w:tc>
        <w:tc>
          <w:tcPr>
            <w:tcW w:w="640" w:type="dxa"/>
            <w:vAlign w:val="bottom"/>
            <w:tcBorders>
              <w:right w:val="single" w:sz="8" w:color="auto"/>
            </w:tcBorders>
            <w:gridSpan w:val="3"/>
            <w:shd w:val="clear" w:color="auto" w:fill="B1C9FD"/>
          </w:tcPr>
          <w:p>
            <w:pPr>
              <w:jc w:val="center"/>
              <w:ind w:right="120"/>
              <w:spacing w:after="0" w:line="135" w:lineRule="exact"/>
              <w:rPr>
                <w:sz w:val="20"/>
                <w:szCs w:val="20"/>
                <w:color w:val="auto"/>
              </w:rPr>
            </w:pPr>
            <w:r>
              <w:rPr>
                <w:rFonts w:ascii="Arial" w:cs="Arial" w:eastAsia="Arial" w:hAnsi="Arial"/>
                <w:sz w:val="14"/>
                <w:szCs w:val="14"/>
                <w:b w:val="1"/>
                <w:bCs w:val="1"/>
                <w:color w:val="004FF9"/>
                <w:w w:val="90"/>
              </w:rPr>
              <w:t>of</w:t>
            </w:r>
          </w:p>
        </w:tc>
        <w:tc>
          <w:tcPr>
            <w:tcW w:w="880" w:type="dxa"/>
            <w:vAlign w:val="bottom"/>
            <w:tcBorders>
              <w:right w:val="single" w:sz="8" w:color="auto"/>
            </w:tcBorders>
            <w:gridSpan w:val="3"/>
            <w:shd w:val="clear" w:color="auto" w:fill="B1C9FD"/>
          </w:tcPr>
          <w:p>
            <w:pPr>
              <w:jc w:val="center"/>
              <w:ind w:right="60"/>
              <w:spacing w:after="0" w:line="135" w:lineRule="exact"/>
              <w:rPr>
                <w:sz w:val="20"/>
                <w:szCs w:val="20"/>
                <w:color w:val="auto"/>
              </w:rPr>
            </w:pPr>
            <w:r>
              <w:rPr>
                <w:rFonts w:ascii="Arial" w:cs="Arial" w:eastAsia="Arial" w:hAnsi="Arial"/>
                <w:sz w:val="14"/>
                <w:szCs w:val="14"/>
                <w:b w:val="1"/>
                <w:bCs w:val="1"/>
                <w:color w:val="004FF9"/>
                <w:w w:val="99"/>
              </w:rPr>
              <w:t>Value of</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940" w:type="dxa"/>
            <w:vAlign w:val="bottom"/>
            <w:tcBorders>
              <w:right w:val="single" w:sz="8" w:color="auto"/>
            </w:tcBorders>
            <w:gridSpan w:val="3"/>
            <w:vMerge w:val="restart"/>
            <w:shd w:val="clear" w:color="auto" w:fill="B1C9FD"/>
          </w:tcPr>
          <w:p>
            <w:pPr>
              <w:jc w:val="center"/>
              <w:ind w:right="40"/>
              <w:spacing w:after="0"/>
              <w:rPr>
                <w:sz w:val="20"/>
                <w:szCs w:val="20"/>
                <w:color w:val="auto"/>
              </w:rPr>
            </w:pPr>
            <w:r>
              <w:rPr>
                <w:rFonts w:ascii="Arial" w:cs="Arial" w:eastAsia="Arial" w:hAnsi="Arial"/>
                <w:sz w:val="14"/>
                <w:szCs w:val="14"/>
                <w:b w:val="1"/>
                <w:bCs w:val="1"/>
                <w:color w:val="004FF9"/>
              </w:rPr>
              <w:t>Number</w:t>
            </w:r>
          </w:p>
        </w:tc>
        <w:tc>
          <w:tcPr>
            <w:tcW w:w="1040" w:type="dxa"/>
            <w:vAlign w:val="bottom"/>
            <w:tcBorders>
              <w:right w:val="single" w:sz="8" w:color="auto"/>
            </w:tcBorders>
            <w:gridSpan w:val="3"/>
            <w:vMerge w:val="restart"/>
            <w:shd w:val="clear" w:color="auto" w:fill="B1C9FD"/>
          </w:tcPr>
          <w:p>
            <w:pPr>
              <w:jc w:val="center"/>
              <w:ind w:right="20"/>
              <w:spacing w:after="0"/>
              <w:rPr>
                <w:sz w:val="20"/>
                <w:szCs w:val="20"/>
                <w:color w:val="auto"/>
              </w:rPr>
            </w:pPr>
            <w:r>
              <w:rPr>
                <w:rFonts w:ascii="Arial" w:cs="Arial" w:eastAsia="Arial" w:hAnsi="Arial"/>
                <w:sz w:val="14"/>
                <w:szCs w:val="14"/>
                <w:b w:val="1"/>
                <w:bCs w:val="1"/>
                <w:color w:val="004FF9"/>
              </w:rPr>
              <w:t>Number</w:t>
            </w: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560" w:type="dxa"/>
            <w:vAlign w:val="bottom"/>
            <w:tcBorders>
              <w:right w:val="single" w:sz="8" w:color="auto"/>
            </w:tcBorders>
            <w:gridSpan w:val="2"/>
            <w:shd w:val="clear" w:color="auto" w:fill="B1C9FD"/>
          </w:tcPr>
          <w:p>
            <w:pPr>
              <w:jc w:val="center"/>
              <w:ind w:right="68"/>
              <w:spacing w:after="0" w:line="135" w:lineRule="exact"/>
              <w:rPr>
                <w:sz w:val="20"/>
                <w:szCs w:val="20"/>
                <w:color w:val="auto"/>
              </w:rPr>
            </w:pPr>
            <w:r>
              <w:rPr>
                <w:rFonts w:ascii="Arial" w:cs="Arial" w:eastAsia="Arial" w:hAnsi="Arial"/>
                <w:sz w:val="14"/>
                <w:szCs w:val="14"/>
                <w:b w:val="1"/>
                <w:bCs w:val="1"/>
                <w:color w:val="004FF9"/>
              </w:rPr>
              <w:t>of</w:t>
            </w:r>
          </w:p>
        </w:tc>
        <w:tc>
          <w:tcPr>
            <w:tcW w:w="720" w:type="dxa"/>
            <w:vAlign w:val="bottom"/>
            <w:tcBorders>
              <w:right w:val="single" w:sz="8" w:color="auto"/>
            </w:tcBorders>
            <w:vMerge w:val="continue"/>
            <w:shd w:val="clear" w:color="auto" w:fill="B1C9FD"/>
          </w:tcPr>
          <w:p>
            <w:pPr>
              <w:spacing w:after="0"/>
              <w:rPr>
                <w:sz w:val="11"/>
                <w:szCs w:val="11"/>
                <w:color w:val="auto"/>
              </w:rPr>
            </w:pPr>
          </w:p>
        </w:tc>
        <w:tc>
          <w:tcPr>
            <w:tcW w:w="740" w:type="dxa"/>
            <w:vAlign w:val="bottom"/>
            <w:tcBorders>
              <w:right w:val="single" w:sz="8" w:color="auto"/>
            </w:tcBorders>
            <w:gridSpan w:val="4"/>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Unearned</w:t>
            </w:r>
          </w:p>
        </w:tc>
        <w:tc>
          <w:tcPr>
            <w:tcW w:w="880" w:type="dxa"/>
            <w:vAlign w:val="bottom"/>
            <w:tcBorders>
              <w:right w:val="single" w:sz="8" w:color="auto"/>
            </w:tcBorders>
            <w:gridSpan w:val="3"/>
            <w:shd w:val="clear" w:color="auto" w:fill="B1C9FD"/>
          </w:tcPr>
          <w:p>
            <w:pPr>
              <w:jc w:val="center"/>
              <w:ind w:right="60"/>
              <w:spacing w:after="0" w:line="135" w:lineRule="exact"/>
              <w:rPr>
                <w:sz w:val="20"/>
                <w:szCs w:val="20"/>
                <w:color w:val="auto"/>
              </w:rPr>
            </w:pPr>
            <w:r>
              <w:rPr>
                <w:rFonts w:ascii="Arial" w:cs="Arial" w:eastAsia="Arial" w:hAnsi="Arial"/>
                <w:sz w:val="14"/>
                <w:szCs w:val="14"/>
                <w:b w:val="1"/>
                <w:bCs w:val="1"/>
                <w:color w:val="004FF9"/>
              </w:rPr>
              <w:t>Unearned</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940" w:type="dxa"/>
            <w:vAlign w:val="bottom"/>
            <w:tcBorders>
              <w:right w:val="single" w:sz="8" w:color="auto"/>
            </w:tcBorders>
            <w:gridSpan w:val="3"/>
            <w:vMerge w:val="continue"/>
            <w:shd w:val="clear" w:color="auto" w:fill="B1C9FD"/>
          </w:tcPr>
          <w:p>
            <w:pPr>
              <w:spacing w:after="0"/>
              <w:rPr>
                <w:sz w:val="11"/>
                <w:szCs w:val="11"/>
                <w:color w:val="auto"/>
              </w:rPr>
            </w:pPr>
          </w:p>
        </w:tc>
        <w:tc>
          <w:tcPr>
            <w:tcW w:w="1040" w:type="dxa"/>
            <w:vAlign w:val="bottom"/>
            <w:tcBorders>
              <w:right w:val="single" w:sz="8" w:color="auto"/>
            </w:tcBorders>
            <w:gridSpan w:val="3"/>
            <w:vMerge w:val="continue"/>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660" w:type="dxa"/>
            <w:vAlign w:val="bottom"/>
            <w:tcBorders>
              <w:right w:val="single" w:sz="8" w:color="auto"/>
            </w:tcBorders>
            <w:gridSpan w:val="3"/>
            <w:shd w:val="clear" w:color="auto" w:fill="B1C9FD"/>
          </w:tcPr>
          <w:p>
            <w:pPr>
              <w:jc w:val="center"/>
              <w:spacing w:after="0" w:line="135" w:lineRule="exact"/>
              <w:rPr>
                <w:sz w:val="20"/>
                <w:szCs w:val="20"/>
                <w:color w:val="auto"/>
              </w:rPr>
            </w:pPr>
            <w:r>
              <w:rPr>
                <w:rFonts w:ascii="Arial" w:cs="Arial" w:eastAsia="Arial" w:hAnsi="Arial"/>
                <w:sz w:val="14"/>
                <w:szCs w:val="14"/>
                <w:b w:val="1"/>
                <w:bCs w:val="1"/>
                <w:color w:val="004FF9"/>
              </w:rPr>
              <w:t>Shares</w:t>
            </w:r>
          </w:p>
        </w:tc>
        <w:tc>
          <w:tcPr>
            <w:tcW w:w="720" w:type="dxa"/>
            <w:vAlign w:val="bottom"/>
            <w:tcBorders>
              <w:right w:val="single" w:sz="8" w:color="auto"/>
            </w:tcBorders>
            <w:shd w:val="clear" w:color="auto" w:fill="B1C9FD"/>
          </w:tcPr>
          <w:p>
            <w:pPr>
              <w:jc w:val="center"/>
              <w:spacing w:after="0" w:line="135" w:lineRule="exact"/>
              <w:rPr>
                <w:sz w:val="20"/>
                <w:szCs w:val="20"/>
                <w:color w:val="auto"/>
              </w:rPr>
            </w:pPr>
            <w:r>
              <w:rPr>
                <w:rFonts w:ascii="Arial" w:cs="Arial" w:eastAsia="Arial" w:hAnsi="Arial"/>
                <w:sz w:val="14"/>
                <w:szCs w:val="14"/>
                <w:b w:val="1"/>
                <w:bCs w:val="1"/>
                <w:color w:val="004FF9"/>
              </w:rPr>
              <w:t>Value of</w:t>
            </w:r>
          </w:p>
        </w:tc>
        <w:tc>
          <w:tcPr>
            <w:tcW w:w="100" w:type="dxa"/>
            <w:vAlign w:val="bottom"/>
            <w:shd w:val="clear" w:color="auto" w:fill="B1C9FD"/>
          </w:tcPr>
          <w:p>
            <w:pPr>
              <w:spacing w:after="0"/>
              <w:rPr>
                <w:sz w:val="11"/>
                <w:szCs w:val="11"/>
                <w:color w:val="auto"/>
              </w:rPr>
            </w:pPr>
          </w:p>
        </w:tc>
        <w:tc>
          <w:tcPr>
            <w:tcW w:w="640" w:type="dxa"/>
            <w:vAlign w:val="bottom"/>
            <w:tcBorders>
              <w:right w:val="single" w:sz="8" w:color="auto"/>
            </w:tcBorders>
            <w:gridSpan w:val="3"/>
            <w:shd w:val="clear" w:color="auto" w:fill="B1C9FD"/>
          </w:tcPr>
          <w:p>
            <w:pPr>
              <w:jc w:val="center"/>
              <w:ind w:right="120"/>
              <w:spacing w:after="0" w:line="135" w:lineRule="exact"/>
              <w:rPr>
                <w:sz w:val="20"/>
                <w:szCs w:val="20"/>
                <w:color w:val="auto"/>
              </w:rPr>
            </w:pPr>
            <w:r>
              <w:rPr>
                <w:rFonts w:ascii="Arial" w:cs="Arial" w:eastAsia="Arial" w:hAnsi="Arial"/>
                <w:sz w:val="14"/>
                <w:szCs w:val="14"/>
                <w:b w:val="1"/>
                <w:bCs w:val="1"/>
                <w:color w:val="004FF9"/>
              </w:rPr>
              <w:t>Shares,</w:t>
            </w:r>
          </w:p>
        </w:tc>
        <w:tc>
          <w:tcPr>
            <w:tcW w:w="880" w:type="dxa"/>
            <w:vAlign w:val="bottom"/>
            <w:tcBorders>
              <w:right w:val="single" w:sz="8" w:color="auto"/>
            </w:tcBorders>
            <w:gridSpan w:val="3"/>
            <w:shd w:val="clear" w:color="auto" w:fill="B1C9FD"/>
          </w:tcPr>
          <w:p>
            <w:pPr>
              <w:jc w:val="center"/>
              <w:ind w:right="80"/>
              <w:spacing w:after="0" w:line="135" w:lineRule="exact"/>
              <w:rPr>
                <w:sz w:val="20"/>
                <w:szCs w:val="20"/>
                <w:color w:val="auto"/>
              </w:rPr>
            </w:pPr>
            <w:r>
              <w:rPr>
                <w:rFonts w:ascii="Arial" w:cs="Arial" w:eastAsia="Arial" w:hAnsi="Arial"/>
                <w:sz w:val="14"/>
                <w:szCs w:val="14"/>
                <w:b w:val="1"/>
                <w:bCs w:val="1"/>
                <w:color w:val="004FF9"/>
              </w:rPr>
              <w:t>Shares,</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180" w:type="dxa"/>
            <w:vAlign w:val="bottom"/>
            <w:shd w:val="clear" w:color="auto" w:fill="B1C9FD"/>
          </w:tcPr>
          <w:p>
            <w:pPr>
              <w:spacing w:after="0"/>
              <w:rPr>
                <w:sz w:val="11"/>
                <w:szCs w:val="11"/>
                <w:color w:val="auto"/>
              </w:rPr>
            </w:pPr>
          </w:p>
        </w:tc>
        <w:tc>
          <w:tcPr>
            <w:tcW w:w="760" w:type="dxa"/>
            <w:vAlign w:val="bottom"/>
            <w:tcBorders>
              <w:right w:val="single" w:sz="8" w:color="auto"/>
            </w:tcBorders>
            <w:gridSpan w:val="2"/>
            <w:shd w:val="clear" w:color="auto" w:fill="B1C9FD"/>
          </w:tcPr>
          <w:p>
            <w:pPr>
              <w:jc w:val="center"/>
              <w:ind w:right="220"/>
              <w:spacing w:after="0" w:line="135" w:lineRule="exact"/>
              <w:rPr>
                <w:sz w:val="20"/>
                <w:szCs w:val="20"/>
                <w:color w:val="auto"/>
              </w:rPr>
            </w:pPr>
            <w:r>
              <w:rPr>
                <w:rFonts w:ascii="Arial" w:cs="Arial" w:eastAsia="Arial" w:hAnsi="Arial"/>
                <w:sz w:val="14"/>
                <w:szCs w:val="14"/>
                <w:b w:val="1"/>
                <w:bCs w:val="1"/>
                <w:color w:val="004FF9"/>
              </w:rPr>
              <w:t>of</w:t>
            </w:r>
          </w:p>
        </w:tc>
        <w:tc>
          <w:tcPr>
            <w:tcW w:w="240" w:type="dxa"/>
            <w:vAlign w:val="bottom"/>
            <w:shd w:val="clear" w:color="auto" w:fill="B1C9FD"/>
          </w:tcPr>
          <w:p>
            <w:pPr>
              <w:spacing w:after="0"/>
              <w:rPr>
                <w:sz w:val="11"/>
                <w:szCs w:val="11"/>
                <w:color w:val="auto"/>
              </w:rPr>
            </w:pPr>
          </w:p>
        </w:tc>
        <w:tc>
          <w:tcPr>
            <w:tcW w:w="800" w:type="dxa"/>
            <w:vAlign w:val="bottom"/>
            <w:tcBorders>
              <w:right w:val="single" w:sz="8" w:color="auto"/>
            </w:tcBorders>
            <w:gridSpan w:val="2"/>
            <w:shd w:val="clear" w:color="auto" w:fill="B1C9FD"/>
          </w:tcPr>
          <w:p>
            <w:pPr>
              <w:jc w:val="center"/>
              <w:ind w:right="260"/>
              <w:spacing w:after="0" w:line="135" w:lineRule="exact"/>
              <w:rPr>
                <w:sz w:val="20"/>
                <w:szCs w:val="20"/>
                <w:color w:val="auto"/>
              </w:rPr>
            </w:pPr>
            <w:r>
              <w:rPr>
                <w:rFonts w:ascii="Arial" w:cs="Arial" w:eastAsia="Arial" w:hAnsi="Arial"/>
                <w:sz w:val="14"/>
                <w:szCs w:val="14"/>
                <w:b w:val="1"/>
                <w:bCs w:val="1"/>
                <w:color w:val="004FF9"/>
              </w:rPr>
              <w:t>of</w:t>
            </w: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360" w:type="dxa"/>
            <w:vAlign w:val="bottom"/>
            <w:shd w:val="clear" w:color="auto" w:fill="B1C9FD"/>
          </w:tcPr>
          <w:p>
            <w:pPr>
              <w:spacing w:after="0"/>
              <w:rPr>
                <w:sz w:val="11"/>
                <w:szCs w:val="11"/>
                <w:color w:val="auto"/>
              </w:rPr>
            </w:pPr>
          </w:p>
        </w:tc>
        <w:tc>
          <w:tcPr>
            <w:tcW w:w="160" w:type="dxa"/>
            <w:vAlign w:val="bottom"/>
            <w:tcBorders>
              <w:right w:val="single" w:sz="8" w:color="auto"/>
            </w:tcBorders>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80" w:type="dxa"/>
            <w:vAlign w:val="bottom"/>
            <w:shd w:val="clear" w:color="auto" w:fill="B1C9FD"/>
          </w:tcPr>
          <w:p>
            <w:pPr>
              <w:spacing w:after="0"/>
              <w:rPr>
                <w:sz w:val="11"/>
                <w:szCs w:val="11"/>
                <w:color w:val="auto"/>
              </w:rPr>
            </w:pPr>
          </w:p>
        </w:tc>
        <w:tc>
          <w:tcPr>
            <w:tcW w:w="40" w:type="dxa"/>
            <w:vAlign w:val="bottom"/>
            <w:tcBorders>
              <w:right w:val="single" w:sz="8" w:color="auto"/>
            </w:tcBorders>
            <w:shd w:val="clear" w:color="auto" w:fill="B1C9FD"/>
          </w:tcPr>
          <w:p>
            <w:pPr>
              <w:spacing w:after="0"/>
              <w:rPr>
                <w:sz w:val="11"/>
                <w:szCs w:val="11"/>
                <w:color w:val="auto"/>
              </w:rPr>
            </w:pPr>
          </w:p>
        </w:tc>
        <w:tc>
          <w:tcPr>
            <w:tcW w:w="660" w:type="dxa"/>
            <w:vAlign w:val="bottom"/>
            <w:tcBorders>
              <w:right w:val="single" w:sz="8" w:color="auto"/>
            </w:tcBorders>
            <w:gridSpan w:val="3"/>
            <w:shd w:val="clear" w:color="auto" w:fill="B1C9FD"/>
          </w:tcPr>
          <w:p>
            <w:pPr>
              <w:jc w:val="center"/>
              <w:spacing w:after="0" w:line="135" w:lineRule="exact"/>
              <w:rPr>
                <w:sz w:val="20"/>
                <w:szCs w:val="20"/>
                <w:color w:val="auto"/>
              </w:rPr>
            </w:pPr>
            <w:r>
              <w:rPr>
                <w:rFonts w:ascii="Arial" w:cs="Arial" w:eastAsia="Arial" w:hAnsi="Arial"/>
                <w:sz w:val="14"/>
                <w:szCs w:val="14"/>
                <w:b w:val="1"/>
                <w:bCs w:val="1"/>
                <w:color w:val="004FF9"/>
              </w:rPr>
              <w:t>or Units</w:t>
            </w:r>
          </w:p>
        </w:tc>
        <w:tc>
          <w:tcPr>
            <w:tcW w:w="720" w:type="dxa"/>
            <w:vAlign w:val="bottom"/>
            <w:tcBorders>
              <w:right w:val="single" w:sz="8" w:color="auto"/>
            </w:tcBorders>
            <w:shd w:val="clear" w:color="auto" w:fill="B1C9FD"/>
          </w:tcPr>
          <w:p>
            <w:pPr>
              <w:jc w:val="center"/>
              <w:spacing w:after="0" w:line="135" w:lineRule="exact"/>
              <w:rPr>
                <w:sz w:val="20"/>
                <w:szCs w:val="20"/>
                <w:color w:val="auto"/>
              </w:rPr>
            </w:pPr>
            <w:r>
              <w:rPr>
                <w:rFonts w:ascii="Arial" w:cs="Arial" w:eastAsia="Arial" w:hAnsi="Arial"/>
                <w:sz w:val="14"/>
                <w:szCs w:val="14"/>
                <w:b w:val="1"/>
                <w:bCs w:val="1"/>
                <w:color w:val="004FF9"/>
              </w:rPr>
              <w:t>Shares</w:t>
            </w:r>
          </w:p>
        </w:tc>
        <w:tc>
          <w:tcPr>
            <w:tcW w:w="740" w:type="dxa"/>
            <w:vAlign w:val="bottom"/>
            <w:tcBorders>
              <w:right w:val="single" w:sz="8" w:color="auto"/>
            </w:tcBorders>
            <w:gridSpan w:val="4"/>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Units or</w:t>
            </w:r>
          </w:p>
        </w:tc>
        <w:tc>
          <w:tcPr>
            <w:tcW w:w="880" w:type="dxa"/>
            <w:vAlign w:val="bottom"/>
            <w:tcBorders>
              <w:right w:val="single" w:sz="8" w:color="auto"/>
            </w:tcBorders>
            <w:gridSpan w:val="3"/>
            <w:shd w:val="clear" w:color="auto" w:fill="B1C9FD"/>
          </w:tcPr>
          <w:p>
            <w:pPr>
              <w:jc w:val="center"/>
              <w:ind w:right="60"/>
              <w:spacing w:after="0" w:line="135" w:lineRule="exact"/>
              <w:rPr>
                <w:sz w:val="20"/>
                <w:szCs w:val="20"/>
                <w:color w:val="auto"/>
              </w:rPr>
            </w:pPr>
            <w:r>
              <w:rPr>
                <w:rFonts w:ascii="Arial" w:cs="Arial" w:eastAsia="Arial" w:hAnsi="Arial"/>
                <w:sz w:val="14"/>
                <w:szCs w:val="14"/>
                <w:b w:val="1"/>
                <w:bCs w:val="1"/>
                <w:color w:val="004FF9"/>
              </w:rPr>
              <w:t>Units or</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940" w:type="dxa"/>
            <w:vAlign w:val="bottom"/>
            <w:tcBorders>
              <w:right w:val="single" w:sz="8" w:color="auto"/>
            </w:tcBorders>
            <w:gridSpan w:val="3"/>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Securities</w:t>
            </w:r>
          </w:p>
        </w:tc>
        <w:tc>
          <w:tcPr>
            <w:tcW w:w="1040" w:type="dxa"/>
            <w:vAlign w:val="bottom"/>
            <w:tcBorders>
              <w:right w:val="single" w:sz="8" w:color="auto"/>
            </w:tcBorders>
            <w:gridSpan w:val="3"/>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Securities</w:t>
            </w:r>
          </w:p>
        </w:tc>
        <w:tc>
          <w:tcPr>
            <w:tcW w:w="40" w:type="dxa"/>
            <w:vAlign w:val="bottom"/>
            <w:shd w:val="clear" w:color="auto" w:fill="B1C9FD"/>
          </w:tcPr>
          <w:p>
            <w:pPr>
              <w:spacing w:after="0"/>
              <w:rPr>
                <w:sz w:val="11"/>
                <w:szCs w:val="11"/>
                <w:color w:val="auto"/>
              </w:rPr>
            </w:pPr>
          </w:p>
        </w:tc>
        <w:tc>
          <w:tcPr>
            <w:tcW w:w="640" w:type="dxa"/>
            <w:vAlign w:val="bottom"/>
            <w:tcBorders>
              <w:right w:val="single" w:sz="8" w:color="auto"/>
            </w:tcBorders>
            <w:gridSpan w:val="3"/>
            <w:vMerge w:val="restart"/>
            <w:shd w:val="clear" w:color="auto" w:fill="B1C9FD"/>
          </w:tcPr>
          <w:p>
            <w:pPr>
              <w:jc w:val="center"/>
              <w:ind w:right="60"/>
              <w:spacing w:after="0"/>
              <w:rPr>
                <w:sz w:val="20"/>
                <w:szCs w:val="20"/>
                <w:color w:val="auto"/>
              </w:rPr>
            </w:pPr>
            <w:r>
              <w:rPr>
                <w:rFonts w:ascii="Arial" w:cs="Arial" w:eastAsia="Arial" w:hAnsi="Arial"/>
                <w:sz w:val="14"/>
                <w:szCs w:val="14"/>
                <w:b w:val="1"/>
                <w:bCs w:val="1"/>
                <w:color w:val="004FF9"/>
              </w:rPr>
              <w:t>Option</w:t>
            </w: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780" w:type="dxa"/>
            <w:vAlign w:val="bottom"/>
            <w:tcBorders>
              <w:right w:val="single" w:sz="8" w:color="auto"/>
            </w:tcBorders>
            <w:gridSpan w:val="3"/>
            <w:vMerge w:val="restart"/>
            <w:shd w:val="clear" w:color="auto" w:fill="B1C9FD"/>
          </w:tcPr>
          <w:p>
            <w:pPr>
              <w:jc w:val="center"/>
              <w:ind w:right="140"/>
              <w:spacing w:after="0"/>
              <w:rPr>
                <w:sz w:val="20"/>
                <w:szCs w:val="20"/>
                <w:color w:val="auto"/>
              </w:rPr>
            </w:pPr>
            <w:r>
              <w:rPr>
                <w:rFonts w:ascii="Arial" w:cs="Arial" w:eastAsia="Arial" w:hAnsi="Arial"/>
                <w:sz w:val="14"/>
                <w:szCs w:val="14"/>
                <w:b w:val="1"/>
                <w:bCs w:val="1"/>
                <w:color w:val="004FF9"/>
              </w:rPr>
              <w:t>Stock</w:t>
            </w:r>
          </w:p>
        </w:tc>
        <w:tc>
          <w:tcPr>
            <w:tcW w:w="660" w:type="dxa"/>
            <w:vAlign w:val="bottom"/>
            <w:tcBorders>
              <w:right w:val="single" w:sz="8" w:color="auto"/>
            </w:tcBorders>
            <w:gridSpan w:val="3"/>
            <w:shd w:val="clear" w:color="auto" w:fill="B1C9FD"/>
          </w:tcPr>
          <w:p>
            <w:pPr>
              <w:jc w:val="center"/>
              <w:spacing w:after="0" w:line="135" w:lineRule="exact"/>
              <w:rPr>
                <w:sz w:val="20"/>
                <w:szCs w:val="20"/>
                <w:color w:val="auto"/>
              </w:rPr>
            </w:pPr>
            <w:r>
              <w:rPr>
                <w:rFonts w:ascii="Arial" w:cs="Arial" w:eastAsia="Arial" w:hAnsi="Arial"/>
                <w:sz w:val="14"/>
                <w:szCs w:val="14"/>
                <w:b w:val="1"/>
                <w:bCs w:val="1"/>
                <w:color w:val="004FF9"/>
              </w:rPr>
              <w:t>of Stock</w:t>
            </w:r>
          </w:p>
        </w:tc>
        <w:tc>
          <w:tcPr>
            <w:tcW w:w="720" w:type="dxa"/>
            <w:vAlign w:val="bottom"/>
            <w:tcBorders>
              <w:right w:val="single" w:sz="8" w:color="auto"/>
            </w:tcBorders>
            <w:shd w:val="clear" w:color="auto" w:fill="B1C9FD"/>
          </w:tcPr>
          <w:p>
            <w:pPr>
              <w:jc w:val="center"/>
              <w:spacing w:after="0" w:line="135" w:lineRule="exact"/>
              <w:rPr>
                <w:sz w:val="20"/>
                <w:szCs w:val="20"/>
                <w:color w:val="auto"/>
              </w:rPr>
            </w:pPr>
            <w:r>
              <w:rPr>
                <w:rFonts w:ascii="Arial" w:cs="Arial" w:eastAsia="Arial" w:hAnsi="Arial"/>
                <w:sz w:val="14"/>
                <w:szCs w:val="14"/>
                <w:b w:val="1"/>
                <w:bCs w:val="1"/>
                <w:color w:val="004FF9"/>
              </w:rPr>
              <w:t>or Units</w:t>
            </w:r>
          </w:p>
        </w:tc>
        <w:tc>
          <w:tcPr>
            <w:tcW w:w="100" w:type="dxa"/>
            <w:vAlign w:val="bottom"/>
            <w:shd w:val="clear" w:color="auto" w:fill="B1C9FD"/>
          </w:tcPr>
          <w:p>
            <w:pPr>
              <w:spacing w:after="0"/>
              <w:rPr>
                <w:sz w:val="11"/>
                <w:szCs w:val="11"/>
                <w:color w:val="auto"/>
              </w:rPr>
            </w:pPr>
          </w:p>
        </w:tc>
        <w:tc>
          <w:tcPr>
            <w:tcW w:w="640" w:type="dxa"/>
            <w:vAlign w:val="bottom"/>
            <w:tcBorders>
              <w:right w:val="single" w:sz="8" w:color="auto"/>
            </w:tcBorders>
            <w:gridSpan w:val="3"/>
            <w:shd w:val="clear" w:color="auto" w:fill="B1C9FD"/>
          </w:tcPr>
          <w:p>
            <w:pPr>
              <w:jc w:val="center"/>
              <w:ind w:right="140"/>
              <w:spacing w:after="0" w:line="135" w:lineRule="exact"/>
              <w:rPr>
                <w:sz w:val="20"/>
                <w:szCs w:val="20"/>
                <w:color w:val="auto"/>
              </w:rPr>
            </w:pPr>
            <w:r>
              <w:rPr>
                <w:rFonts w:ascii="Arial" w:cs="Arial" w:eastAsia="Arial" w:hAnsi="Arial"/>
                <w:sz w:val="14"/>
                <w:szCs w:val="14"/>
                <w:b w:val="1"/>
                <w:bCs w:val="1"/>
                <w:color w:val="004FF9"/>
              </w:rPr>
              <w:t>Other</w:t>
            </w:r>
          </w:p>
        </w:tc>
        <w:tc>
          <w:tcPr>
            <w:tcW w:w="140" w:type="dxa"/>
            <w:vAlign w:val="bottom"/>
            <w:shd w:val="clear" w:color="auto" w:fill="B1C9FD"/>
          </w:tcPr>
          <w:p>
            <w:pPr>
              <w:spacing w:after="0"/>
              <w:rPr>
                <w:sz w:val="11"/>
                <w:szCs w:val="11"/>
                <w:color w:val="auto"/>
              </w:rPr>
            </w:pPr>
          </w:p>
        </w:tc>
        <w:tc>
          <w:tcPr>
            <w:tcW w:w="740" w:type="dxa"/>
            <w:vAlign w:val="bottom"/>
            <w:tcBorders>
              <w:right w:val="single" w:sz="8" w:color="auto"/>
            </w:tcBorders>
            <w:gridSpan w:val="2"/>
            <w:shd w:val="clear" w:color="auto" w:fill="B1C9FD"/>
          </w:tcPr>
          <w:p>
            <w:pPr>
              <w:jc w:val="center"/>
              <w:ind w:right="200"/>
              <w:spacing w:after="0" w:line="135" w:lineRule="exact"/>
              <w:rPr>
                <w:sz w:val="20"/>
                <w:szCs w:val="20"/>
                <w:color w:val="auto"/>
              </w:rPr>
            </w:pPr>
            <w:r>
              <w:rPr>
                <w:rFonts w:ascii="Arial" w:cs="Arial" w:eastAsia="Arial" w:hAnsi="Arial"/>
                <w:sz w:val="14"/>
                <w:szCs w:val="14"/>
                <w:b w:val="1"/>
                <w:bCs w:val="1"/>
                <w:color w:val="004FF9"/>
              </w:rPr>
              <w:t>Other</w:t>
            </w: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660" w:type="dxa"/>
            <w:vAlign w:val="bottom"/>
            <w:shd w:val="clear" w:color="auto" w:fill="B1C9FD"/>
          </w:tcPr>
          <w:p>
            <w:pPr>
              <w:spacing w:after="0"/>
              <w:rPr>
                <w:sz w:val="11"/>
                <w:szCs w:val="11"/>
                <w:color w:val="auto"/>
              </w:rPr>
            </w:pPr>
          </w:p>
        </w:tc>
        <w:tc>
          <w:tcPr>
            <w:tcW w:w="120" w:type="dxa"/>
            <w:vAlign w:val="bottom"/>
            <w:tcBorders>
              <w:right w:val="single" w:sz="8" w:color="auto"/>
            </w:tcBorders>
            <w:shd w:val="clear" w:color="auto" w:fill="B1C9FD"/>
          </w:tcPr>
          <w:p>
            <w:pPr>
              <w:spacing w:after="0"/>
              <w:rPr>
                <w:sz w:val="11"/>
                <w:szCs w:val="11"/>
                <w:color w:val="auto"/>
              </w:rPr>
            </w:pPr>
          </w:p>
        </w:tc>
        <w:tc>
          <w:tcPr>
            <w:tcW w:w="940" w:type="dxa"/>
            <w:vAlign w:val="bottom"/>
            <w:tcBorders>
              <w:right w:val="single" w:sz="8" w:color="auto"/>
            </w:tcBorders>
            <w:gridSpan w:val="3"/>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Underlying</w:t>
            </w:r>
          </w:p>
        </w:tc>
        <w:tc>
          <w:tcPr>
            <w:tcW w:w="1040" w:type="dxa"/>
            <w:vAlign w:val="bottom"/>
            <w:tcBorders>
              <w:right w:val="single" w:sz="8" w:color="auto"/>
            </w:tcBorders>
            <w:gridSpan w:val="3"/>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Underlying</w:t>
            </w:r>
          </w:p>
        </w:tc>
        <w:tc>
          <w:tcPr>
            <w:tcW w:w="40" w:type="dxa"/>
            <w:vAlign w:val="bottom"/>
            <w:shd w:val="clear" w:color="auto" w:fill="B1C9FD"/>
          </w:tcPr>
          <w:p>
            <w:pPr>
              <w:spacing w:after="0"/>
              <w:rPr>
                <w:sz w:val="11"/>
                <w:szCs w:val="11"/>
                <w:color w:val="auto"/>
              </w:rPr>
            </w:pPr>
          </w:p>
        </w:tc>
        <w:tc>
          <w:tcPr>
            <w:tcW w:w="640" w:type="dxa"/>
            <w:vAlign w:val="bottom"/>
            <w:tcBorders>
              <w:right w:val="single" w:sz="8" w:color="auto"/>
            </w:tcBorders>
            <w:gridSpan w:val="3"/>
            <w:vMerge w:val="continue"/>
            <w:shd w:val="clear" w:color="auto" w:fill="B1C9FD"/>
          </w:tcPr>
          <w:p>
            <w:pPr>
              <w:spacing w:after="0"/>
              <w:rPr>
                <w:sz w:val="11"/>
                <w:szCs w:val="11"/>
                <w:color w:val="auto"/>
              </w:rPr>
            </w:pP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780" w:type="dxa"/>
            <w:vAlign w:val="bottom"/>
            <w:tcBorders>
              <w:right w:val="single" w:sz="8" w:color="auto"/>
            </w:tcBorders>
            <w:gridSpan w:val="3"/>
            <w:vMerge w:val="continue"/>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560" w:type="dxa"/>
            <w:vAlign w:val="bottom"/>
            <w:tcBorders>
              <w:right w:val="single" w:sz="8" w:color="auto"/>
            </w:tcBorders>
            <w:gridSpan w:val="2"/>
            <w:shd w:val="clear" w:color="auto" w:fill="B1C9FD"/>
          </w:tcPr>
          <w:p>
            <w:pPr>
              <w:jc w:val="center"/>
              <w:ind w:right="68"/>
              <w:spacing w:after="0" w:line="135" w:lineRule="exact"/>
              <w:rPr>
                <w:sz w:val="20"/>
                <w:szCs w:val="20"/>
                <w:color w:val="auto"/>
              </w:rPr>
            </w:pPr>
            <w:r>
              <w:rPr>
                <w:rFonts w:ascii="Arial" w:cs="Arial" w:eastAsia="Arial" w:hAnsi="Arial"/>
                <w:sz w:val="14"/>
                <w:szCs w:val="14"/>
                <w:b w:val="1"/>
                <w:bCs w:val="1"/>
                <w:color w:val="004FF9"/>
              </w:rPr>
              <w:t>that</w:t>
            </w:r>
          </w:p>
        </w:tc>
        <w:tc>
          <w:tcPr>
            <w:tcW w:w="720" w:type="dxa"/>
            <w:vAlign w:val="bottom"/>
            <w:tcBorders>
              <w:right w:val="single" w:sz="8" w:color="auto"/>
            </w:tcBorders>
            <w:shd w:val="clear" w:color="auto" w:fill="B1C9FD"/>
          </w:tcPr>
          <w:p>
            <w:pPr>
              <w:jc w:val="center"/>
              <w:spacing w:after="0" w:line="135" w:lineRule="exact"/>
              <w:rPr>
                <w:sz w:val="20"/>
                <w:szCs w:val="20"/>
                <w:color w:val="auto"/>
              </w:rPr>
            </w:pPr>
            <w:r>
              <w:rPr>
                <w:rFonts w:ascii="Arial" w:cs="Arial" w:eastAsia="Arial" w:hAnsi="Arial"/>
                <w:sz w:val="14"/>
                <w:szCs w:val="14"/>
                <w:b w:val="1"/>
                <w:bCs w:val="1"/>
                <w:color w:val="004FF9"/>
              </w:rPr>
              <w:t>that</w:t>
            </w:r>
          </w:p>
        </w:tc>
        <w:tc>
          <w:tcPr>
            <w:tcW w:w="100" w:type="dxa"/>
            <w:vAlign w:val="bottom"/>
            <w:shd w:val="clear" w:color="auto" w:fill="B1C9FD"/>
          </w:tcPr>
          <w:p>
            <w:pPr>
              <w:spacing w:after="0"/>
              <w:rPr>
                <w:sz w:val="11"/>
                <w:szCs w:val="11"/>
                <w:color w:val="auto"/>
              </w:rPr>
            </w:pPr>
          </w:p>
        </w:tc>
        <w:tc>
          <w:tcPr>
            <w:tcW w:w="640" w:type="dxa"/>
            <w:vAlign w:val="bottom"/>
            <w:tcBorders>
              <w:right w:val="single" w:sz="8" w:color="auto"/>
            </w:tcBorders>
            <w:gridSpan w:val="3"/>
            <w:shd w:val="clear" w:color="auto" w:fill="B1C9FD"/>
          </w:tcPr>
          <w:p>
            <w:pPr>
              <w:jc w:val="center"/>
              <w:ind w:right="120"/>
              <w:spacing w:after="0" w:line="135" w:lineRule="exact"/>
              <w:rPr>
                <w:sz w:val="20"/>
                <w:szCs w:val="20"/>
                <w:color w:val="auto"/>
              </w:rPr>
            </w:pPr>
            <w:r>
              <w:rPr>
                <w:rFonts w:ascii="Arial" w:cs="Arial" w:eastAsia="Arial" w:hAnsi="Arial"/>
                <w:sz w:val="14"/>
                <w:szCs w:val="14"/>
                <w:b w:val="1"/>
                <w:bCs w:val="1"/>
                <w:color w:val="004FF9"/>
              </w:rPr>
              <w:t>Rights</w:t>
            </w:r>
          </w:p>
        </w:tc>
        <w:tc>
          <w:tcPr>
            <w:tcW w:w="880" w:type="dxa"/>
            <w:vAlign w:val="bottom"/>
            <w:tcBorders>
              <w:right w:val="single" w:sz="8" w:color="auto"/>
            </w:tcBorders>
            <w:gridSpan w:val="3"/>
            <w:shd w:val="clear" w:color="auto" w:fill="B1C9FD"/>
          </w:tcPr>
          <w:p>
            <w:pPr>
              <w:jc w:val="center"/>
              <w:ind w:right="60"/>
              <w:spacing w:after="0" w:line="135" w:lineRule="exact"/>
              <w:rPr>
                <w:sz w:val="20"/>
                <w:szCs w:val="20"/>
                <w:color w:val="auto"/>
              </w:rPr>
            </w:pPr>
            <w:r>
              <w:rPr>
                <w:rFonts w:ascii="Arial" w:cs="Arial" w:eastAsia="Arial" w:hAnsi="Arial"/>
                <w:sz w:val="14"/>
                <w:szCs w:val="14"/>
                <w:b w:val="1"/>
                <w:bCs w:val="1"/>
                <w:color w:val="004FF9"/>
              </w:rPr>
              <w:t>Rights that</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shd w:val="clear" w:color="auto" w:fill="B1C9FD"/>
          </w:tcPr>
          <w:p>
            <w:pPr>
              <w:spacing w:after="0"/>
              <w:rPr>
                <w:sz w:val="9"/>
                <w:szCs w:val="9"/>
                <w:color w:val="auto"/>
              </w:rPr>
            </w:pPr>
          </w:p>
        </w:tc>
        <w:tc>
          <w:tcPr>
            <w:tcW w:w="100" w:type="dxa"/>
            <w:vAlign w:val="bottom"/>
            <w:shd w:val="clear" w:color="auto" w:fill="B1C9FD"/>
          </w:tcPr>
          <w:p>
            <w:pPr>
              <w:spacing w:after="0"/>
              <w:rPr>
                <w:sz w:val="9"/>
                <w:szCs w:val="9"/>
                <w:color w:val="auto"/>
              </w:rPr>
            </w:pPr>
          </w:p>
        </w:tc>
        <w:tc>
          <w:tcPr>
            <w:tcW w:w="780" w:type="dxa"/>
            <w:vAlign w:val="bottom"/>
            <w:tcBorders>
              <w:right w:val="single" w:sz="8" w:color="auto"/>
            </w:tcBorders>
            <w:gridSpan w:val="2"/>
            <w:vMerge w:val="restart"/>
            <w:shd w:val="clear" w:color="auto" w:fill="B1C9FD"/>
          </w:tcPr>
          <w:p>
            <w:pPr>
              <w:jc w:val="center"/>
              <w:ind w:right="135"/>
              <w:spacing w:after="0" w:line="135" w:lineRule="exact"/>
              <w:rPr>
                <w:sz w:val="20"/>
                <w:szCs w:val="20"/>
                <w:color w:val="auto"/>
              </w:rPr>
            </w:pPr>
            <w:r>
              <w:rPr>
                <w:rFonts w:ascii="Arial" w:cs="Arial" w:eastAsia="Arial" w:hAnsi="Arial"/>
                <w:sz w:val="14"/>
                <w:szCs w:val="14"/>
                <w:b w:val="1"/>
                <w:bCs w:val="1"/>
                <w:color w:val="004FF9"/>
              </w:rPr>
              <w:t>Option</w:t>
            </w:r>
          </w:p>
        </w:tc>
        <w:tc>
          <w:tcPr>
            <w:tcW w:w="940" w:type="dxa"/>
            <w:vAlign w:val="bottom"/>
            <w:tcBorders>
              <w:right w:val="single" w:sz="8" w:color="auto"/>
            </w:tcBorders>
            <w:gridSpan w:val="3"/>
            <w:vMerge w:val="restart"/>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Unexercised</w:t>
            </w:r>
          </w:p>
        </w:tc>
        <w:tc>
          <w:tcPr>
            <w:tcW w:w="1040" w:type="dxa"/>
            <w:vAlign w:val="bottom"/>
            <w:tcBorders>
              <w:right w:val="single" w:sz="8" w:color="auto"/>
            </w:tcBorders>
            <w:gridSpan w:val="3"/>
            <w:vMerge w:val="restart"/>
            <w:shd w:val="clear" w:color="auto" w:fill="B1C9FD"/>
          </w:tcPr>
          <w:p>
            <w:pPr>
              <w:jc w:val="center"/>
              <w:ind w:right="20"/>
              <w:spacing w:after="0" w:line="135" w:lineRule="exact"/>
              <w:rPr>
                <w:sz w:val="20"/>
                <w:szCs w:val="20"/>
                <w:color w:val="auto"/>
              </w:rPr>
            </w:pPr>
            <w:r>
              <w:rPr>
                <w:rFonts w:ascii="Arial" w:cs="Arial" w:eastAsia="Arial" w:hAnsi="Arial"/>
                <w:sz w:val="14"/>
                <w:szCs w:val="14"/>
                <w:b w:val="1"/>
                <w:bCs w:val="1"/>
                <w:color w:val="004FF9"/>
              </w:rPr>
              <w:t>Unexercised</w:t>
            </w:r>
          </w:p>
        </w:tc>
        <w:tc>
          <w:tcPr>
            <w:tcW w:w="40" w:type="dxa"/>
            <w:vAlign w:val="bottom"/>
            <w:shd w:val="clear" w:color="auto" w:fill="B1C9FD"/>
          </w:tcPr>
          <w:p>
            <w:pPr>
              <w:spacing w:after="0"/>
              <w:rPr>
                <w:sz w:val="9"/>
                <w:szCs w:val="9"/>
                <w:color w:val="auto"/>
              </w:rPr>
            </w:pPr>
          </w:p>
        </w:tc>
        <w:tc>
          <w:tcPr>
            <w:tcW w:w="640" w:type="dxa"/>
            <w:vAlign w:val="bottom"/>
            <w:tcBorders>
              <w:right w:val="single" w:sz="8" w:color="auto"/>
            </w:tcBorders>
            <w:gridSpan w:val="3"/>
            <w:vMerge w:val="restart"/>
            <w:shd w:val="clear" w:color="auto" w:fill="B1C9FD"/>
          </w:tcPr>
          <w:p>
            <w:pPr>
              <w:jc w:val="center"/>
              <w:ind w:right="60"/>
              <w:spacing w:after="0" w:line="135" w:lineRule="exact"/>
              <w:rPr>
                <w:sz w:val="20"/>
                <w:szCs w:val="20"/>
                <w:color w:val="auto"/>
              </w:rPr>
            </w:pPr>
            <w:r>
              <w:rPr>
                <w:rFonts w:ascii="Arial" w:cs="Arial" w:eastAsia="Arial" w:hAnsi="Arial"/>
                <w:sz w:val="14"/>
                <w:szCs w:val="14"/>
                <w:b w:val="1"/>
                <w:bCs w:val="1"/>
                <w:color w:val="004FF9"/>
              </w:rPr>
              <w:t>Exercise</w:t>
            </w:r>
          </w:p>
        </w:tc>
        <w:tc>
          <w:tcPr>
            <w:tcW w:w="40" w:type="dxa"/>
            <w:vAlign w:val="bottom"/>
            <w:shd w:val="clear" w:color="auto" w:fill="B1C9FD"/>
          </w:tcPr>
          <w:p>
            <w:pPr>
              <w:spacing w:after="0"/>
              <w:rPr>
                <w:sz w:val="9"/>
                <w:szCs w:val="9"/>
                <w:color w:val="auto"/>
              </w:rPr>
            </w:pPr>
          </w:p>
        </w:tc>
        <w:tc>
          <w:tcPr>
            <w:tcW w:w="780" w:type="dxa"/>
            <w:vAlign w:val="bottom"/>
            <w:tcBorders>
              <w:right w:val="single" w:sz="8" w:color="auto"/>
            </w:tcBorders>
            <w:vMerge w:val="restart"/>
            <w:shd w:val="clear" w:color="auto" w:fill="B1C9FD"/>
          </w:tcPr>
          <w:p>
            <w:pPr>
              <w:jc w:val="center"/>
              <w:ind w:right="8"/>
              <w:spacing w:after="0" w:line="135" w:lineRule="exact"/>
              <w:rPr>
                <w:sz w:val="20"/>
                <w:szCs w:val="20"/>
                <w:color w:val="auto"/>
              </w:rPr>
            </w:pPr>
            <w:r>
              <w:rPr>
                <w:rFonts w:ascii="Arial" w:cs="Arial" w:eastAsia="Arial" w:hAnsi="Arial"/>
                <w:sz w:val="14"/>
                <w:szCs w:val="14"/>
                <w:b w:val="1"/>
                <w:bCs w:val="1"/>
                <w:color w:val="004FF9"/>
              </w:rPr>
              <w:t>Option</w:t>
            </w:r>
          </w:p>
        </w:tc>
        <w:tc>
          <w:tcPr>
            <w:tcW w:w="100" w:type="dxa"/>
            <w:vAlign w:val="bottom"/>
            <w:shd w:val="clear" w:color="auto" w:fill="B1C9FD"/>
          </w:tcPr>
          <w:p>
            <w:pPr>
              <w:spacing w:after="0"/>
              <w:rPr>
                <w:sz w:val="9"/>
                <w:szCs w:val="9"/>
                <w:color w:val="auto"/>
              </w:rPr>
            </w:pPr>
          </w:p>
        </w:tc>
        <w:tc>
          <w:tcPr>
            <w:tcW w:w="780" w:type="dxa"/>
            <w:vAlign w:val="bottom"/>
            <w:tcBorders>
              <w:right w:val="single" w:sz="8" w:color="auto"/>
            </w:tcBorders>
            <w:gridSpan w:val="3"/>
            <w:vMerge w:val="restart"/>
            <w:shd w:val="clear" w:color="auto" w:fill="B1C9FD"/>
          </w:tcPr>
          <w:p>
            <w:pPr>
              <w:jc w:val="center"/>
              <w:ind w:right="140"/>
              <w:spacing w:after="0" w:line="135" w:lineRule="exact"/>
              <w:rPr>
                <w:sz w:val="20"/>
                <w:szCs w:val="20"/>
                <w:color w:val="auto"/>
              </w:rPr>
            </w:pPr>
            <w:r>
              <w:rPr>
                <w:rFonts w:ascii="Arial" w:cs="Arial" w:eastAsia="Arial" w:hAnsi="Arial"/>
                <w:sz w:val="14"/>
                <w:szCs w:val="14"/>
                <w:b w:val="1"/>
                <w:bCs w:val="1"/>
                <w:color w:val="004FF9"/>
              </w:rPr>
              <w:t>Award</w:t>
            </w:r>
          </w:p>
        </w:tc>
        <w:tc>
          <w:tcPr>
            <w:tcW w:w="100" w:type="dxa"/>
            <w:vAlign w:val="bottom"/>
            <w:shd w:val="clear" w:color="auto" w:fill="B1C9FD"/>
          </w:tcPr>
          <w:p>
            <w:pPr>
              <w:spacing w:after="0"/>
              <w:rPr>
                <w:sz w:val="9"/>
                <w:szCs w:val="9"/>
                <w:color w:val="auto"/>
              </w:rPr>
            </w:pPr>
          </w:p>
        </w:tc>
        <w:tc>
          <w:tcPr>
            <w:tcW w:w="560" w:type="dxa"/>
            <w:vAlign w:val="bottom"/>
            <w:tcBorders>
              <w:right w:val="single" w:sz="8" w:color="auto"/>
            </w:tcBorders>
            <w:gridSpan w:val="2"/>
            <w:vMerge w:val="restart"/>
            <w:shd w:val="clear" w:color="auto" w:fill="B1C9FD"/>
          </w:tcPr>
          <w:p>
            <w:pPr>
              <w:jc w:val="center"/>
              <w:ind w:right="68"/>
              <w:spacing w:after="0" w:line="135" w:lineRule="exact"/>
              <w:rPr>
                <w:sz w:val="20"/>
                <w:szCs w:val="20"/>
                <w:color w:val="auto"/>
              </w:rPr>
            </w:pPr>
            <w:r>
              <w:rPr>
                <w:rFonts w:ascii="Arial" w:cs="Arial" w:eastAsia="Arial" w:hAnsi="Arial"/>
                <w:sz w:val="14"/>
                <w:szCs w:val="14"/>
                <w:b w:val="1"/>
                <w:bCs w:val="1"/>
                <w:color w:val="004FF9"/>
              </w:rPr>
              <w:t>Have</w:t>
            </w:r>
          </w:p>
        </w:tc>
        <w:tc>
          <w:tcPr>
            <w:tcW w:w="720" w:type="dxa"/>
            <w:vAlign w:val="bottom"/>
            <w:tcBorders>
              <w:right w:val="single" w:sz="8" w:color="auto"/>
            </w:tcBorders>
            <w:shd w:val="clear" w:color="auto" w:fill="B1C9FD"/>
          </w:tcPr>
          <w:p>
            <w:pPr>
              <w:jc w:val="center"/>
              <w:spacing w:after="0" w:line="108" w:lineRule="exact"/>
              <w:rPr>
                <w:sz w:val="20"/>
                <w:szCs w:val="20"/>
                <w:color w:val="auto"/>
              </w:rPr>
            </w:pPr>
            <w:r>
              <w:rPr>
                <w:rFonts w:ascii="Arial" w:cs="Arial" w:eastAsia="Arial" w:hAnsi="Arial"/>
                <w:sz w:val="12"/>
                <w:szCs w:val="12"/>
                <w:b w:val="1"/>
                <w:bCs w:val="1"/>
                <w:color w:val="004FF9"/>
              </w:rPr>
              <w:t>Have Not</w:t>
            </w:r>
          </w:p>
        </w:tc>
        <w:tc>
          <w:tcPr>
            <w:tcW w:w="740" w:type="dxa"/>
            <w:vAlign w:val="bottom"/>
            <w:tcBorders>
              <w:right w:val="single" w:sz="8" w:color="auto"/>
            </w:tcBorders>
            <w:gridSpan w:val="4"/>
            <w:vMerge w:val="restart"/>
            <w:shd w:val="clear" w:color="auto" w:fill="B1C9FD"/>
          </w:tcPr>
          <w:p>
            <w:pPr>
              <w:jc w:val="center"/>
              <w:ind w:right="20"/>
              <w:spacing w:after="0" w:line="135" w:lineRule="exact"/>
              <w:rPr>
                <w:sz w:val="20"/>
                <w:szCs w:val="20"/>
                <w:color w:val="auto"/>
              </w:rPr>
            </w:pPr>
            <w:r>
              <w:rPr>
                <w:rFonts w:ascii="Arial" w:cs="Arial" w:eastAsia="Arial" w:hAnsi="Arial"/>
                <w:sz w:val="14"/>
                <w:szCs w:val="14"/>
                <w:b w:val="1"/>
                <w:bCs w:val="1"/>
                <w:color w:val="004FF9"/>
              </w:rPr>
              <w:t>that Have</w:t>
            </w:r>
          </w:p>
        </w:tc>
        <w:tc>
          <w:tcPr>
            <w:tcW w:w="880" w:type="dxa"/>
            <w:vAlign w:val="bottom"/>
            <w:tcBorders>
              <w:right w:val="single" w:sz="8" w:color="auto"/>
            </w:tcBorders>
            <w:gridSpan w:val="3"/>
            <w:shd w:val="clear" w:color="auto" w:fill="B1C9FD"/>
          </w:tcPr>
          <w:p>
            <w:pPr>
              <w:jc w:val="center"/>
              <w:ind w:right="60"/>
              <w:spacing w:after="0" w:line="108" w:lineRule="exact"/>
              <w:rPr>
                <w:sz w:val="20"/>
                <w:szCs w:val="20"/>
                <w:color w:val="auto"/>
              </w:rPr>
            </w:pPr>
            <w:r>
              <w:rPr>
                <w:rFonts w:ascii="Arial" w:cs="Arial" w:eastAsia="Arial" w:hAnsi="Arial"/>
                <w:sz w:val="12"/>
                <w:szCs w:val="12"/>
                <w:b w:val="1"/>
                <w:bCs w:val="1"/>
                <w:color w:val="004FF9"/>
              </w:rPr>
              <w:t>Have Not</w:t>
            </w: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restart"/>
            <w:shd w:val="clear" w:color="auto" w:fill="B1C9FD"/>
          </w:tcPr>
          <w:p>
            <w:pPr>
              <w:ind w:left="40"/>
              <w:spacing w:after="0"/>
              <w:rPr>
                <w:sz w:val="20"/>
                <w:szCs w:val="20"/>
                <w:color w:val="auto"/>
              </w:rPr>
            </w:pPr>
            <w:r>
              <w:rPr>
                <w:rFonts w:ascii="Arial" w:cs="Arial" w:eastAsia="Arial" w:hAnsi="Arial"/>
                <w:sz w:val="14"/>
                <w:szCs w:val="14"/>
                <w:b w:val="1"/>
                <w:bCs w:val="1"/>
                <w:color w:val="004FF9"/>
              </w:rPr>
              <w:t>Named Executive</w:t>
            </w:r>
          </w:p>
        </w:tc>
        <w:tc>
          <w:tcPr>
            <w:tcW w:w="100" w:type="dxa"/>
            <w:vAlign w:val="bottom"/>
            <w:shd w:val="clear" w:color="auto" w:fill="B1C9FD"/>
          </w:tcPr>
          <w:p>
            <w:pPr>
              <w:spacing w:after="0"/>
              <w:rPr>
                <w:sz w:val="2"/>
                <w:szCs w:val="2"/>
                <w:color w:val="auto"/>
              </w:rPr>
            </w:pPr>
          </w:p>
        </w:tc>
        <w:tc>
          <w:tcPr>
            <w:tcW w:w="780" w:type="dxa"/>
            <w:vAlign w:val="bottom"/>
            <w:tcBorders>
              <w:right w:val="single" w:sz="8" w:color="auto"/>
            </w:tcBorders>
            <w:gridSpan w:val="2"/>
            <w:vMerge w:val="continue"/>
            <w:shd w:val="clear" w:color="auto" w:fill="B1C9FD"/>
          </w:tcPr>
          <w:p>
            <w:pPr>
              <w:spacing w:after="0"/>
              <w:rPr>
                <w:sz w:val="2"/>
                <w:szCs w:val="2"/>
                <w:color w:val="auto"/>
              </w:rPr>
            </w:pPr>
          </w:p>
        </w:tc>
        <w:tc>
          <w:tcPr>
            <w:tcW w:w="940" w:type="dxa"/>
            <w:vAlign w:val="bottom"/>
            <w:tcBorders>
              <w:right w:val="single" w:sz="8" w:color="auto"/>
            </w:tcBorders>
            <w:gridSpan w:val="3"/>
            <w:vMerge w:val="continue"/>
            <w:shd w:val="clear" w:color="auto" w:fill="B1C9FD"/>
          </w:tcPr>
          <w:p>
            <w:pPr>
              <w:spacing w:after="0"/>
              <w:rPr>
                <w:sz w:val="2"/>
                <w:szCs w:val="2"/>
                <w:color w:val="auto"/>
              </w:rPr>
            </w:pPr>
          </w:p>
        </w:tc>
        <w:tc>
          <w:tcPr>
            <w:tcW w:w="1040" w:type="dxa"/>
            <w:vAlign w:val="bottom"/>
            <w:tcBorders>
              <w:right w:val="single" w:sz="8" w:color="auto"/>
            </w:tcBorders>
            <w:gridSpan w:val="3"/>
            <w:vMerge w:val="continue"/>
            <w:shd w:val="clear" w:color="auto" w:fill="B1C9FD"/>
          </w:tcPr>
          <w:p>
            <w:pPr>
              <w:spacing w:after="0"/>
              <w:rPr>
                <w:sz w:val="2"/>
                <w:szCs w:val="2"/>
                <w:color w:val="auto"/>
              </w:rPr>
            </w:pPr>
          </w:p>
        </w:tc>
        <w:tc>
          <w:tcPr>
            <w:tcW w:w="40" w:type="dxa"/>
            <w:vAlign w:val="bottom"/>
            <w:shd w:val="clear" w:color="auto" w:fill="B1C9FD"/>
          </w:tcPr>
          <w:p>
            <w:pPr>
              <w:spacing w:after="0"/>
              <w:rPr>
                <w:sz w:val="2"/>
                <w:szCs w:val="2"/>
                <w:color w:val="auto"/>
              </w:rPr>
            </w:pPr>
          </w:p>
        </w:tc>
        <w:tc>
          <w:tcPr>
            <w:tcW w:w="640" w:type="dxa"/>
            <w:vAlign w:val="bottom"/>
            <w:tcBorders>
              <w:right w:val="single" w:sz="8" w:color="auto"/>
            </w:tcBorders>
            <w:gridSpan w:val="3"/>
            <w:vMerge w:val="continue"/>
            <w:shd w:val="clear" w:color="auto" w:fill="B1C9FD"/>
          </w:tcPr>
          <w:p>
            <w:pPr>
              <w:spacing w:after="0"/>
              <w:rPr>
                <w:sz w:val="2"/>
                <w:szCs w:val="2"/>
                <w:color w:val="auto"/>
              </w:rPr>
            </w:pPr>
          </w:p>
        </w:tc>
        <w:tc>
          <w:tcPr>
            <w:tcW w:w="40" w:type="dxa"/>
            <w:vAlign w:val="bottom"/>
            <w:shd w:val="clear" w:color="auto" w:fill="B1C9FD"/>
          </w:tcPr>
          <w:p>
            <w:pPr>
              <w:spacing w:after="0"/>
              <w:rPr>
                <w:sz w:val="2"/>
                <w:szCs w:val="2"/>
                <w:color w:val="auto"/>
              </w:rPr>
            </w:pPr>
          </w:p>
        </w:tc>
        <w:tc>
          <w:tcPr>
            <w:tcW w:w="780" w:type="dxa"/>
            <w:vAlign w:val="bottom"/>
            <w:tcBorders>
              <w:right w:val="single" w:sz="8" w:color="auto"/>
            </w:tcBorders>
            <w:vMerge w:val="continue"/>
            <w:shd w:val="clear" w:color="auto" w:fill="B1C9FD"/>
          </w:tcPr>
          <w:p>
            <w:pPr>
              <w:spacing w:after="0"/>
              <w:rPr>
                <w:sz w:val="2"/>
                <w:szCs w:val="2"/>
                <w:color w:val="auto"/>
              </w:rPr>
            </w:pPr>
          </w:p>
        </w:tc>
        <w:tc>
          <w:tcPr>
            <w:tcW w:w="100" w:type="dxa"/>
            <w:vAlign w:val="bottom"/>
            <w:shd w:val="clear" w:color="auto" w:fill="B1C9FD"/>
          </w:tcPr>
          <w:p>
            <w:pPr>
              <w:spacing w:after="0"/>
              <w:rPr>
                <w:sz w:val="2"/>
                <w:szCs w:val="2"/>
                <w:color w:val="auto"/>
              </w:rPr>
            </w:pPr>
          </w:p>
        </w:tc>
        <w:tc>
          <w:tcPr>
            <w:tcW w:w="780" w:type="dxa"/>
            <w:vAlign w:val="bottom"/>
            <w:tcBorders>
              <w:right w:val="single" w:sz="8" w:color="auto"/>
            </w:tcBorders>
            <w:gridSpan w:val="3"/>
            <w:vMerge w:val="continue"/>
            <w:shd w:val="clear" w:color="auto" w:fill="B1C9FD"/>
          </w:tcPr>
          <w:p>
            <w:pPr>
              <w:spacing w:after="0"/>
              <w:rPr>
                <w:sz w:val="2"/>
                <w:szCs w:val="2"/>
                <w:color w:val="auto"/>
              </w:rPr>
            </w:pPr>
          </w:p>
        </w:tc>
        <w:tc>
          <w:tcPr>
            <w:tcW w:w="100" w:type="dxa"/>
            <w:vAlign w:val="bottom"/>
            <w:shd w:val="clear" w:color="auto" w:fill="B1C9FD"/>
          </w:tcPr>
          <w:p>
            <w:pPr>
              <w:spacing w:after="0"/>
              <w:rPr>
                <w:sz w:val="2"/>
                <w:szCs w:val="2"/>
                <w:color w:val="auto"/>
              </w:rPr>
            </w:pPr>
          </w:p>
        </w:tc>
        <w:tc>
          <w:tcPr>
            <w:tcW w:w="560" w:type="dxa"/>
            <w:vAlign w:val="bottom"/>
            <w:tcBorders>
              <w:right w:val="single" w:sz="8" w:color="auto"/>
            </w:tcBorders>
            <w:gridSpan w:val="2"/>
            <w:vMerge w:val="continue"/>
            <w:shd w:val="clear" w:color="auto" w:fill="B1C9FD"/>
          </w:tcPr>
          <w:p>
            <w:pPr>
              <w:spacing w:after="0"/>
              <w:rPr>
                <w:sz w:val="2"/>
                <w:szCs w:val="2"/>
                <w:color w:val="auto"/>
              </w:rPr>
            </w:pPr>
          </w:p>
        </w:tc>
        <w:tc>
          <w:tcPr>
            <w:tcW w:w="720" w:type="dxa"/>
            <w:vAlign w:val="bottom"/>
            <w:tcBorders>
              <w:right w:val="single" w:sz="8" w:color="auto"/>
            </w:tcBorders>
            <w:shd w:val="clear" w:color="auto" w:fill="B1C9FD"/>
          </w:tcPr>
          <w:p>
            <w:pPr>
              <w:jc w:val="right"/>
              <w:ind w:right="9"/>
              <w:spacing w:after="0" w:line="27" w:lineRule="exact"/>
              <w:rPr>
                <w:sz w:val="20"/>
                <w:szCs w:val="20"/>
                <w:color w:val="auto"/>
              </w:rPr>
            </w:pPr>
            <w:r>
              <w:rPr>
                <w:rFonts w:ascii="Arial" w:cs="Arial" w:eastAsia="Arial" w:hAnsi="Arial"/>
                <w:sz w:val="3"/>
                <w:szCs w:val="3"/>
                <w:b w:val="1"/>
                <w:bCs w:val="1"/>
                <w:color w:val="004FF9"/>
              </w:rPr>
              <w:t>(9)</w:t>
            </w:r>
          </w:p>
        </w:tc>
        <w:tc>
          <w:tcPr>
            <w:tcW w:w="740" w:type="dxa"/>
            <w:vAlign w:val="bottom"/>
            <w:tcBorders>
              <w:right w:val="single" w:sz="8" w:color="auto"/>
            </w:tcBorders>
            <w:gridSpan w:val="4"/>
            <w:vMerge w:val="continue"/>
            <w:shd w:val="clear" w:color="auto" w:fill="B1C9FD"/>
          </w:tcPr>
          <w:p>
            <w:pPr>
              <w:spacing w:after="0"/>
              <w:rPr>
                <w:sz w:val="2"/>
                <w:szCs w:val="2"/>
                <w:color w:val="auto"/>
              </w:rPr>
            </w:pPr>
          </w:p>
        </w:tc>
        <w:tc>
          <w:tcPr>
            <w:tcW w:w="880" w:type="dxa"/>
            <w:vAlign w:val="bottom"/>
            <w:tcBorders>
              <w:right w:val="single" w:sz="8" w:color="auto"/>
            </w:tcBorders>
            <w:gridSpan w:val="3"/>
            <w:shd w:val="clear" w:color="auto" w:fill="B1C9FD"/>
          </w:tcPr>
          <w:p>
            <w:pPr>
              <w:jc w:val="right"/>
              <w:ind w:right="180"/>
              <w:spacing w:after="0" w:line="27" w:lineRule="exact"/>
              <w:rPr>
                <w:sz w:val="20"/>
                <w:szCs w:val="20"/>
                <w:color w:val="auto"/>
              </w:rPr>
            </w:pPr>
            <w:r>
              <w:rPr>
                <w:rFonts w:ascii="Arial" w:cs="Arial" w:eastAsia="Arial" w:hAnsi="Arial"/>
                <w:sz w:val="3"/>
                <w:szCs w:val="3"/>
                <w:b w:val="1"/>
                <w:bCs w:val="1"/>
                <w:color w:val="004FF9"/>
              </w:rPr>
              <w:t>(9)</w:t>
            </w:r>
          </w:p>
        </w:tc>
        <w:tc>
          <w:tcPr>
            <w:tcW w:w="0" w:type="dxa"/>
            <w:vAlign w:val="bottom"/>
          </w:tcPr>
          <w:p>
            <w:pPr>
              <w:spacing w:after="0" w:line="20" w:lineRule="exact"/>
              <w:rPr>
                <w:sz w:val="1"/>
                <w:szCs w:val="1"/>
                <w:color w:val="auto"/>
              </w:rPr>
            </w:pPr>
          </w:p>
        </w:tc>
      </w:tr>
      <w:tr>
        <w:trPr>
          <w:trHeight w:val="135"/>
        </w:trPr>
        <w:tc>
          <w:tcPr>
            <w:tcW w:w="1520" w:type="dxa"/>
            <w:vAlign w:val="bottom"/>
            <w:tcBorders>
              <w:left w:val="single" w:sz="8" w:color="auto"/>
              <w:right w:val="single" w:sz="8" w:color="auto"/>
            </w:tcBorders>
            <w:vMerge w:val="continue"/>
            <w:shd w:val="clear" w:color="auto" w:fill="B1C9FD"/>
          </w:tcPr>
          <w:p>
            <w:pPr>
              <w:spacing w:after="0"/>
              <w:rPr>
                <w:sz w:val="11"/>
                <w:szCs w:val="11"/>
                <w:color w:val="auto"/>
              </w:rPr>
            </w:pPr>
          </w:p>
        </w:tc>
        <w:tc>
          <w:tcPr>
            <w:tcW w:w="100" w:type="dxa"/>
            <w:vAlign w:val="bottom"/>
            <w:shd w:val="clear" w:color="auto" w:fill="B1C9FD"/>
          </w:tcPr>
          <w:p>
            <w:pPr>
              <w:spacing w:after="0"/>
              <w:rPr>
                <w:sz w:val="11"/>
                <w:szCs w:val="11"/>
                <w:color w:val="auto"/>
              </w:rPr>
            </w:pPr>
          </w:p>
        </w:tc>
        <w:tc>
          <w:tcPr>
            <w:tcW w:w="780" w:type="dxa"/>
            <w:vAlign w:val="bottom"/>
            <w:tcBorders>
              <w:right w:val="single" w:sz="8" w:color="auto"/>
            </w:tcBorders>
            <w:gridSpan w:val="2"/>
            <w:shd w:val="clear" w:color="auto" w:fill="B1C9FD"/>
          </w:tcPr>
          <w:p>
            <w:pPr>
              <w:jc w:val="center"/>
              <w:ind w:right="135"/>
              <w:spacing w:after="0" w:line="135" w:lineRule="exact"/>
              <w:rPr>
                <w:sz w:val="20"/>
                <w:szCs w:val="20"/>
                <w:color w:val="auto"/>
              </w:rPr>
            </w:pPr>
            <w:r>
              <w:rPr>
                <w:rFonts w:ascii="Arial" w:cs="Arial" w:eastAsia="Arial" w:hAnsi="Arial"/>
                <w:sz w:val="14"/>
                <w:szCs w:val="14"/>
                <w:b w:val="1"/>
                <w:bCs w:val="1"/>
                <w:color w:val="004FF9"/>
              </w:rPr>
              <w:t>Grant</w:t>
            </w:r>
          </w:p>
        </w:tc>
        <w:tc>
          <w:tcPr>
            <w:tcW w:w="940" w:type="dxa"/>
            <w:vAlign w:val="bottom"/>
            <w:tcBorders>
              <w:right w:val="single" w:sz="8" w:color="auto"/>
            </w:tcBorders>
            <w:gridSpan w:val="3"/>
            <w:shd w:val="clear" w:color="auto" w:fill="B1C9FD"/>
          </w:tcPr>
          <w:p>
            <w:pPr>
              <w:jc w:val="center"/>
              <w:ind w:right="40"/>
              <w:spacing w:after="0" w:line="135" w:lineRule="exact"/>
              <w:rPr>
                <w:sz w:val="20"/>
                <w:szCs w:val="20"/>
                <w:color w:val="auto"/>
              </w:rPr>
            </w:pPr>
            <w:r>
              <w:rPr>
                <w:rFonts w:ascii="Arial" w:cs="Arial" w:eastAsia="Arial" w:hAnsi="Arial"/>
                <w:sz w:val="14"/>
                <w:szCs w:val="14"/>
                <w:b w:val="1"/>
                <w:bCs w:val="1"/>
                <w:color w:val="004FF9"/>
              </w:rPr>
              <w:t>Options</w:t>
            </w:r>
          </w:p>
        </w:tc>
        <w:tc>
          <w:tcPr>
            <w:tcW w:w="1040" w:type="dxa"/>
            <w:vAlign w:val="bottom"/>
            <w:tcBorders>
              <w:right w:val="single" w:sz="8" w:color="auto"/>
            </w:tcBorders>
            <w:gridSpan w:val="3"/>
            <w:shd w:val="clear" w:color="auto" w:fill="B1C9FD"/>
          </w:tcPr>
          <w:p>
            <w:pPr>
              <w:jc w:val="center"/>
              <w:ind w:right="20"/>
              <w:spacing w:after="0" w:line="135" w:lineRule="exact"/>
              <w:rPr>
                <w:sz w:val="20"/>
                <w:szCs w:val="20"/>
                <w:color w:val="auto"/>
              </w:rPr>
            </w:pPr>
            <w:r>
              <w:rPr>
                <w:rFonts w:ascii="Arial" w:cs="Arial" w:eastAsia="Arial" w:hAnsi="Arial"/>
                <w:sz w:val="14"/>
                <w:szCs w:val="14"/>
                <w:b w:val="1"/>
                <w:bCs w:val="1"/>
                <w:color w:val="004FF9"/>
              </w:rPr>
              <w:t>Options</w:t>
            </w:r>
          </w:p>
        </w:tc>
        <w:tc>
          <w:tcPr>
            <w:tcW w:w="40" w:type="dxa"/>
            <w:vAlign w:val="bottom"/>
            <w:shd w:val="clear" w:color="auto" w:fill="B1C9FD"/>
          </w:tcPr>
          <w:p>
            <w:pPr>
              <w:spacing w:after="0"/>
              <w:rPr>
                <w:sz w:val="11"/>
                <w:szCs w:val="11"/>
                <w:color w:val="auto"/>
              </w:rPr>
            </w:pPr>
          </w:p>
        </w:tc>
        <w:tc>
          <w:tcPr>
            <w:tcW w:w="120" w:type="dxa"/>
            <w:vAlign w:val="bottom"/>
            <w:shd w:val="clear" w:color="auto" w:fill="B1C9FD"/>
          </w:tcPr>
          <w:p>
            <w:pPr>
              <w:spacing w:after="0"/>
              <w:rPr>
                <w:sz w:val="11"/>
                <w:szCs w:val="11"/>
                <w:color w:val="auto"/>
              </w:rPr>
            </w:pPr>
          </w:p>
        </w:tc>
        <w:tc>
          <w:tcPr>
            <w:tcW w:w="520" w:type="dxa"/>
            <w:vAlign w:val="bottom"/>
            <w:tcBorders>
              <w:right w:val="single" w:sz="8" w:color="auto"/>
            </w:tcBorders>
            <w:gridSpan w:val="2"/>
            <w:shd w:val="clear" w:color="auto" w:fill="B1C9FD"/>
          </w:tcPr>
          <w:p>
            <w:pPr>
              <w:jc w:val="center"/>
              <w:ind w:right="180"/>
              <w:spacing w:after="0" w:line="135" w:lineRule="exact"/>
              <w:rPr>
                <w:sz w:val="20"/>
                <w:szCs w:val="20"/>
                <w:color w:val="auto"/>
              </w:rPr>
            </w:pPr>
            <w:r>
              <w:rPr>
                <w:rFonts w:ascii="Arial" w:cs="Arial" w:eastAsia="Arial" w:hAnsi="Arial"/>
                <w:sz w:val="14"/>
                <w:szCs w:val="14"/>
                <w:b w:val="1"/>
                <w:bCs w:val="1"/>
                <w:color w:val="004FF9"/>
                <w:w w:val="99"/>
              </w:rPr>
              <w:t>Price</w:t>
            </w:r>
          </w:p>
        </w:tc>
        <w:tc>
          <w:tcPr>
            <w:tcW w:w="40" w:type="dxa"/>
            <w:vAlign w:val="bottom"/>
            <w:shd w:val="clear" w:color="auto" w:fill="B1C9FD"/>
          </w:tcPr>
          <w:p>
            <w:pPr>
              <w:spacing w:after="0"/>
              <w:rPr>
                <w:sz w:val="11"/>
                <w:szCs w:val="11"/>
                <w:color w:val="auto"/>
              </w:rPr>
            </w:pPr>
          </w:p>
        </w:tc>
        <w:tc>
          <w:tcPr>
            <w:tcW w:w="780" w:type="dxa"/>
            <w:vAlign w:val="bottom"/>
            <w:tcBorders>
              <w:right w:val="single" w:sz="8" w:color="auto"/>
            </w:tcBorders>
            <w:shd w:val="clear" w:color="auto" w:fill="B1C9FD"/>
          </w:tcPr>
          <w:p>
            <w:pPr>
              <w:jc w:val="center"/>
              <w:ind w:right="8"/>
              <w:spacing w:after="0" w:line="135" w:lineRule="exact"/>
              <w:rPr>
                <w:sz w:val="20"/>
                <w:szCs w:val="20"/>
                <w:color w:val="auto"/>
              </w:rPr>
            </w:pPr>
            <w:r>
              <w:rPr>
                <w:rFonts w:ascii="Arial" w:cs="Arial" w:eastAsia="Arial" w:hAnsi="Arial"/>
                <w:sz w:val="14"/>
                <w:szCs w:val="14"/>
                <w:b w:val="1"/>
                <w:bCs w:val="1"/>
                <w:color w:val="004FF9"/>
              </w:rPr>
              <w:t>Expiration</w:t>
            </w:r>
          </w:p>
        </w:tc>
        <w:tc>
          <w:tcPr>
            <w:tcW w:w="100" w:type="dxa"/>
            <w:vAlign w:val="bottom"/>
            <w:shd w:val="clear" w:color="auto" w:fill="B1C9FD"/>
          </w:tcPr>
          <w:p>
            <w:pPr>
              <w:spacing w:after="0"/>
              <w:rPr>
                <w:sz w:val="11"/>
                <w:szCs w:val="11"/>
                <w:color w:val="auto"/>
              </w:rPr>
            </w:pPr>
          </w:p>
        </w:tc>
        <w:tc>
          <w:tcPr>
            <w:tcW w:w="780" w:type="dxa"/>
            <w:vAlign w:val="bottom"/>
            <w:tcBorders>
              <w:right w:val="single" w:sz="8" w:color="auto"/>
            </w:tcBorders>
            <w:gridSpan w:val="3"/>
            <w:shd w:val="clear" w:color="auto" w:fill="B1C9FD"/>
          </w:tcPr>
          <w:p>
            <w:pPr>
              <w:jc w:val="center"/>
              <w:ind w:right="120"/>
              <w:spacing w:after="0" w:line="135" w:lineRule="exact"/>
              <w:rPr>
                <w:sz w:val="20"/>
                <w:szCs w:val="20"/>
                <w:color w:val="auto"/>
              </w:rPr>
            </w:pPr>
            <w:r>
              <w:rPr>
                <w:rFonts w:ascii="Arial" w:cs="Arial" w:eastAsia="Arial" w:hAnsi="Arial"/>
                <w:sz w:val="14"/>
                <w:szCs w:val="14"/>
                <w:b w:val="1"/>
                <w:bCs w:val="1"/>
                <w:color w:val="004FF9"/>
              </w:rPr>
              <w:t>Grant</w:t>
            </w:r>
          </w:p>
        </w:tc>
        <w:tc>
          <w:tcPr>
            <w:tcW w:w="100" w:type="dxa"/>
            <w:vAlign w:val="bottom"/>
            <w:shd w:val="clear" w:color="auto" w:fill="B1C9FD"/>
          </w:tcPr>
          <w:p>
            <w:pPr>
              <w:spacing w:after="0"/>
              <w:rPr>
                <w:sz w:val="11"/>
                <w:szCs w:val="11"/>
                <w:color w:val="auto"/>
              </w:rPr>
            </w:pPr>
          </w:p>
        </w:tc>
        <w:tc>
          <w:tcPr>
            <w:tcW w:w="560" w:type="dxa"/>
            <w:vAlign w:val="bottom"/>
            <w:tcBorders>
              <w:right w:val="single" w:sz="8" w:color="auto"/>
            </w:tcBorders>
            <w:gridSpan w:val="2"/>
            <w:shd w:val="clear" w:color="auto" w:fill="B1C9FD"/>
          </w:tcPr>
          <w:p>
            <w:pPr>
              <w:jc w:val="center"/>
              <w:ind w:right="48"/>
              <w:spacing w:after="0" w:line="135" w:lineRule="exact"/>
              <w:rPr>
                <w:sz w:val="20"/>
                <w:szCs w:val="20"/>
                <w:color w:val="auto"/>
              </w:rPr>
            </w:pPr>
            <w:r>
              <w:rPr>
                <w:rFonts w:ascii="Arial" w:cs="Arial" w:eastAsia="Arial" w:hAnsi="Arial"/>
                <w:sz w:val="14"/>
                <w:szCs w:val="14"/>
                <w:b w:val="1"/>
                <w:bCs w:val="1"/>
                <w:color w:val="004FF9"/>
              </w:rPr>
              <w:t>Not</w:t>
            </w:r>
          </w:p>
        </w:tc>
        <w:tc>
          <w:tcPr>
            <w:tcW w:w="720" w:type="dxa"/>
            <w:vAlign w:val="bottom"/>
            <w:tcBorders>
              <w:right w:val="single" w:sz="8" w:color="auto"/>
            </w:tcBorders>
            <w:shd w:val="clear" w:color="auto" w:fill="B1C9FD"/>
          </w:tcPr>
          <w:p>
            <w:pPr>
              <w:jc w:val="right"/>
              <w:ind w:right="149"/>
              <w:spacing w:after="0" w:line="135" w:lineRule="exact"/>
              <w:rPr>
                <w:sz w:val="20"/>
                <w:szCs w:val="20"/>
                <w:color w:val="auto"/>
              </w:rPr>
            </w:pPr>
            <w:r>
              <w:rPr>
                <w:rFonts w:ascii="Arial" w:cs="Arial" w:eastAsia="Arial" w:hAnsi="Arial"/>
                <w:sz w:val="14"/>
                <w:szCs w:val="14"/>
                <w:b w:val="1"/>
                <w:bCs w:val="1"/>
                <w:color w:val="004FF9"/>
              </w:rPr>
              <w:t>Vested</w:t>
            </w:r>
          </w:p>
        </w:tc>
        <w:tc>
          <w:tcPr>
            <w:tcW w:w="100" w:type="dxa"/>
            <w:vAlign w:val="bottom"/>
            <w:shd w:val="clear" w:color="auto" w:fill="B1C9FD"/>
          </w:tcPr>
          <w:p>
            <w:pPr>
              <w:spacing w:after="0"/>
              <w:rPr>
                <w:sz w:val="11"/>
                <w:szCs w:val="11"/>
                <w:color w:val="auto"/>
              </w:rPr>
            </w:pPr>
          </w:p>
        </w:tc>
        <w:tc>
          <w:tcPr>
            <w:tcW w:w="640" w:type="dxa"/>
            <w:vAlign w:val="bottom"/>
            <w:tcBorders>
              <w:right w:val="single" w:sz="8" w:color="auto"/>
            </w:tcBorders>
            <w:gridSpan w:val="3"/>
            <w:shd w:val="clear" w:color="auto" w:fill="B1C9FD"/>
          </w:tcPr>
          <w:p>
            <w:pPr>
              <w:jc w:val="center"/>
              <w:ind w:right="120"/>
              <w:spacing w:after="0" w:line="135" w:lineRule="exact"/>
              <w:rPr>
                <w:sz w:val="20"/>
                <w:szCs w:val="20"/>
                <w:color w:val="auto"/>
              </w:rPr>
            </w:pPr>
            <w:r>
              <w:rPr>
                <w:rFonts w:ascii="Arial" w:cs="Arial" w:eastAsia="Arial" w:hAnsi="Arial"/>
                <w:sz w:val="14"/>
                <w:szCs w:val="14"/>
                <w:b w:val="1"/>
                <w:bCs w:val="1"/>
                <w:color w:val="004FF9"/>
              </w:rPr>
              <w:t>Not</w:t>
            </w:r>
          </w:p>
        </w:tc>
        <w:tc>
          <w:tcPr>
            <w:tcW w:w="880" w:type="dxa"/>
            <w:vAlign w:val="bottom"/>
            <w:tcBorders>
              <w:right w:val="single" w:sz="8" w:color="auto"/>
            </w:tcBorders>
            <w:gridSpan w:val="3"/>
            <w:shd w:val="clear" w:color="auto" w:fill="B1C9FD"/>
          </w:tcPr>
          <w:p>
            <w:pPr>
              <w:jc w:val="right"/>
              <w:ind w:right="300"/>
              <w:spacing w:after="0" w:line="135" w:lineRule="exact"/>
              <w:rPr>
                <w:sz w:val="20"/>
                <w:szCs w:val="20"/>
                <w:color w:val="auto"/>
              </w:rPr>
            </w:pPr>
            <w:r>
              <w:rPr>
                <w:rFonts w:ascii="Arial" w:cs="Arial" w:eastAsia="Arial" w:hAnsi="Arial"/>
                <w:sz w:val="14"/>
                <w:szCs w:val="14"/>
                <w:b w:val="1"/>
                <w:bCs w:val="1"/>
                <w:color w:val="004FF9"/>
              </w:rPr>
              <w:t>Vested</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bottom w:val="single" w:sz="8" w:color="auto"/>
              <w:right w:val="single" w:sz="8" w:color="auto"/>
            </w:tcBorders>
            <w:shd w:val="clear" w:color="auto" w:fill="B1C9FD"/>
          </w:tcPr>
          <w:p>
            <w:pPr>
              <w:ind w:left="40"/>
              <w:spacing w:after="0"/>
              <w:rPr>
                <w:sz w:val="20"/>
                <w:szCs w:val="20"/>
                <w:color w:val="auto"/>
              </w:rPr>
            </w:pPr>
            <w:r>
              <w:rPr>
                <w:rFonts w:ascii="Arial" w:cs="Arial" w:eastAsia="Arial" w:hAnsi="Arial"/>
                <w:sz w:val="14"/>
                <w:szCs w:val="14"/>
                <w:b w:val="1"/>
                <w:bCs w:val="1"/>
                <w:color w:val="004FF9"/>
              </w:rPr>
              <w:t>Officer</w:t>
            </w:r>
          </w:p>
        </w:tc>
        <w:tc>
          <w:tcPr>
            <w:tcW w:w="100" w:type="dxa"/>
            <w:vAlign w:val="bottom"/>
            <w:tcBorders>
              <w:bottom w:val="single" w:sz="8" w:color="auto"/>
            </w:tcBorders>
            <w:shd w:val="clear" w:color="auto" w:fill="B1C9FD"/>
          </w:tcPr>
          <w:p>
            <w:pPr>
              <w:spacing w:after="0"/>
              <w:rPr>
                <w:sz w:val="14"/>
                <w:szCs w:val="14"/>
                <w:color w:val="auto"/>
              </w:rPr>
            </w:pPr>
          </w:p>
        </w:tc>
        <w:tc>
          <w:tcPr>
            <w:tcW w:w="780" w:type="dxa"/>
            <w:vAlign w:val="bottom"/>
            <w:tcBorders>
              <w:bottom w:val="single" w:sz="8" w:color="auto"/>
              <w:right w:val="single" w:sz="8" w:color="auto"/>
            </w:tcBorders>
            <w:gridSpan w:val="2"/>
            <w:shd w:val="clear" w:color="auto" w:fill="B1C9FD"/>
          </w:tcPr>
          <w:p>
            <w:pPr>
              <w:jc w:val="center"/>
              <w:ind w:right="135"/>
              <w:spacing w:after="0"/>
              <w:rPr>
                <w:sz w:val="20"/>
                <w:szCs w:val="20"/>
                <w:color w:val="auto"/>
              </w:rPr>
            </w:pPr>
            <w:r>
              <w:rPr>
                <w:rFonts w:ascii="Arial" w:cs="Arial" w:eastAsia="Arial" w:hAnsi="Arial"/>
                <w:sz w:val="14"/>
                <w:szCs w:val="14"/>
                <w:b w:val="1"/>
                <w:bCs w:val="1"/>
                <w:color w:val="004FF9"/>
              </w:rPr>
              <w:t>Date</w:t>
            </w:r>
          </w:p>
        </w:tc>
        <w:tc>
          <w:tcPr>
            <w:tcW w:w="940" w:type="dxa"/>
            <w:vAlign w:val="bottom"/>
            <w:tcBorders>
              <w:bottom w:val="single" w:sz="8" w:color="auto"/>
              <w:right w:val="single" w:sz="8" w:color="auto"/>
            </w:tcBorders>
            <w:gridSpan w:val="3"/>
            <w:shd w:val="clear" w:color="auto" w:fill="B1C9FD"/>
          </w:tcPr>
          <w:p>
            <w:pPr>
              <w:jc w:val="center"/>
              <w:ind w:right="20"/>
              <w:spacing w:after="0"/>
              <w:rPr>
                <w:sz w:val="20"/>
                <w:szCs w:val="20"/>
                <w:color w:val="auto"/>
              </w:rPr>
            </w:pPr>
            <w:r>
              <w:rPr>
                <w:rFonts w:ascii="Arial" w:cs="Arial" w:eastAsia="Arial" w:hAnsi="Arial"/>
                <w:sz w:val="14"/>
                <w:szCs w:val="14"/>
                <w:b w:val="1"/>
                <w:bCs w:val="1"/>
                <w:color w:val="004FF9"/>
              </w:rPr>
              <w:t>Exercisable</w:t>
            </w:r>
          </w:p>
        </w:tc>
        <w:tc>
          <w:tcPr>
            <w:tcW w:w="1040" w:type="dxa"/>
            <w:vAlign w:val="bottom"/>
            <w:tcBorders>
              <w:bottom w:val="single" w:sz="8" w:color="auto"/>
              <w:right w:val="single" w:sz="8" w:color="auto"/>
            </w:tcBorders>
            <w:gridSpan w:val="3"/>
            <w:shd w:val="clear" w:color="auto" w:fill="B1C9FD"/>
          </w:tcPr>
          <w:p>
            <w:pPr>
              <w:jc w:val="center"/>
              <w:ind w:right="20"/>
              <w:spacing w:after="0"/>
              <w:rPr>
                <w:sz w:val="20"/>
                <w:szCs w:val="20"/>
                <w:color w:val="auto"/>
              </w:rPr>
            </w:pPr>
            <w:r>
              <w:rPr>
                <w:rFonts w:ascii="Arial" w:cs="Arial" w:eastAsia="Arial" w:hAnsi="Arial"/>
                <w:sz w:val="14"/>
                <w:szCs w:val="14"/>
                <w:b w:val="1"/>
                <w:bCs w:val="1"/>
                <w:color w:val="004FF9"/>
              </w:rPr>
              <w:t>Unexercisable</w:t>
            </w:r>
          </w:p>
        </w:tc>
        <w:tc>
          <w:tcPr>
            <w:tcW w:w="520" w:type="dxa"/>
            <w:vAlign w:val="bottom"/>
            <w:tcBorders>
              <w:bottom w:val="single" w:sz="8" w:color="auto"/>
            </w:tcBorders>
            <w:gridSpan w:val="3"/>
            <w:shd w:val="clear" w:color="auto" w:fill="B1C9FD"/>
          </w:tcPr>
          <w:p>
            <w:pPr>
              <w:jc w:val="center"/>
              <w:ind w:left="68"/>
              <w:spacing w:after="0"/>
              <w:rPr>
                <w:sz w:val="20"/>
                <w:szCs w:val="20"/>
                <w:color w:val="auto"/>
              </w:rPr>
            </w:pPr>
            <w:r>
              <w:rPr>
                <w:rFonts w:ascii="Arial" w:cs="Arial" w:eastAsia="Arial" w:hAnsi="Arial"/>
                <w:sz w:val="14"/>
                <w:szCs w:val="14"/>
                <w:b w:val="1"/>
                <w:bCs w:val="1"/>
                <w:color w:val="004FF9"/>
              </w:rPr>
              <w:t>($)</w:t>
            </w:r>
          </w:p>
        </w:tc>
        <w:tc>
          <w:tcPr>
            <w:tcW w:w="160" w:type="dxa"/>
            <w:vAlign w:val="bottom"/>
            <w:tcBorders>
              <w:bottom w:val="single" w:sz="8" w:color="auto"/>
              <w:right w:val="single" w:sz="8" w:color="auto"/>
            </w:tcBorders>
            <w:shd w:val="clear" w:color="auto" w:fill="B1C9FD"/>
          </w:tcPr>
          <w:p>
            <w:pPr>
              <w:spacing w:after="0"/>
              <w:rPr>
                <w:sz w:val="14"/>
                <w:szCs w:val="14"/>
                <w:color w:val="auto"/>
              </w:rPr>
            </w:pPr>
          </w:p>
        </w:tc>
        <w:tc>
          <w:tcPr>
            <w:tcW w:w="40" w:type="dxa"/>
            <w:vAlign w:val="bottom"/>
            <w:tcBorders>
              <w:bottom w:val="single" w:sz="8" w:color="auto"/>
            </w:tcBorders>
            <w:shd w:val="clear" w:color="auto" w:fill="B1C9FD"/>
          </w:tcPr>
          <w:p>
            <w:pPr>
              <w:spacing w:after="0"/>
              <w:rPr>
                <w:sz w:val="14"/>
                <w:szCs w:val="14"/>
                <w:color w:val="auto"/>
              </w:rPr>
            </w:pPr>
          </w:p>
        </w:tc>
        <w:tc>
          <w:tcPr>
            <w:tcW w:w="780" w:type="dxa"/>
            <w:vAlign w:val="bottom"/>
            <w:tcBorders>
              <w:bottom w:val="single" w:sz="8" w:color="auto"/>
              <w:right w:val="single" w:sz="8" w:color="auto"/>
            </w:tcBorders>
            <w:shd w:val="clear" w:color="auto" w:fill="B1C9FD"/>
          </w:tcPr>
          <w:p>
            <w:pPr>
              <w:jc w:val="center"/>
              <w:ind w:right="8"/>
              <w:spacing w:after="0"/>
              <w:rPr>
                <w:sz w:val="20"/>
                <w:szCs w:val="20"/>
                <w:color w:val="auto"/>
              </w:rPr>
            </w:pPr>
            <w:r>
              <w:rPr>
                <w:rFonts w:ascii="Arial" w:cs="Arial" w:eastAsia="Arial" w:hAnsi="Arial"/>
                <w:sz w:val="14"/>
                <w:szCs w:val="14"/>
                <w:b w:val="1"/>
                <w:bCs w:val="1"/>
                <w:color w:val="004FF9"/>
                <w:w w:val="98"/>
              </w:rPr>
              <w:t>Date</w:t>
            </w:r>
          </w:p>
        </w:tc>
        <w:tc>
          <w:tcPr>
            <w:tcW w:w="100" w:type="dxa"/>
            <w:vAlign w:val="bottom"/>
            <w:tcBorders>
              <w:bottom w:val="single" w:sz="8" w:color="auto"/>
            </w:tcBorders>
            <w:shd w:val="clear" w:color="auto" w:fill="B1C9FD"/>
          </w:tcPr>
          <w:p>
            <w:pPr>
              <w:spacing w:after="0"/>
              <w:rPr>
                <w:sz w:val="14"/>
                <w:szCs w:val="14"/>
                <w:color w:val="auto"/>
              </w:rPr>
            </w:pPr>
          </w:p>
        </w:tc>
        <w:tc>
          <w:tcPr>
            <w:tcW w:w="780" w:type="dxa"/>
            <w:vAlign w:val="bottom"/>
            <w:tcBorders>
              <w:bottom w:val="single" w:sz="8" w:color="auto"/>
              <w:right w:val="single" w:sz="8" w:color="auto"/>
            </w:tcBorders>
            <w:gridSpan w:val="3"/>
            <w:shd w:val="clear" w:color="auto" w:fill="B1C9FD"/>
          </w:tcPr>
          <w:p>
            <w:pPr>
              <w:jc w:val="center"/>
              <w:ind w:right="140"/>
              <w:spacing w:after="0"/>
              <w:rPr>
                <w:sz w:val="20"/>
                <w:szCs w:val="20"/>
                <w:color w:val="auto"/>
              </w:rPr>
            </w:pPr>
            <w:r>
              <w:rPr>
                <w:rFonts w:ascii="Arial" w:cs="Arial" w:eastAsia="Arial" w:hAnsi="Arial"/>
                <w:sz w:val="14"/>
                <w:szCs w:val="14"/>
                <w:b w:val="1"/>
                <w:bCs w:val="1"/>
                <w:color w:val="004FF9"/>
              </w:rPr>
              <w:t>Date</w:t>
            </w:r>
          </w:p>
        </w:tc>
        <w:tc>
          <w:tcPr>
            <w:tcW w:w="660" w:type="dxa"/>
            <w:vAlign w:val="bottom"/>
            <w:tcBorders>
              <w:bottom w:val="single" w:sz="8" w:color="auto"/>
              <w:right w:val="single" w:sz="8" w:color="auto"/>
            </w:tcBorders>
            <w:gridSpan w:val="3"/>
            <w:shd w:val="clear" w:color="auto" w:fill="B1C9FD"/>
          </w:tcPr>
          <w:p>
            <w:pPr>
              <w:jc w:val="center"/>
              <w:spacing w:after="0"/>
              <w:rPr>
                <w:sz w:val="20"/>
                <w:szCs w:val="20"/>
                <w:color w:val="auto"/>
              </w:rPr>
            </w:pPr>
            <w:r>
              <w:rPr>
                <w:rFonts w:ascii="Arial" w:cs="Arial" w:eastAsia="Arial" w:hAnsi="Arial"/>
                <w:sz w:val="14"/>
                <w:szCs w:val="14"/>
                <w:b w:val="1"/>
                <w:bCs w:val="1"/>
                <w:color w:val="004FF9"/>
              </w:rPr>
              <w:t>Vested</w:t>
            </w:r>
          </w:p>
        </w:tc>
        <w:tc>
          <w:tcPr>
            <w:tcW w:w="7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100" w:type="dxa"/>
            <w:vAlign w:val="bottom"/>
            <w:tcBorders>
              <w:bottom w:val="single" w:sz="8" w:color="auto"/>
            </w:tcBorders>
            <w:shd w:val="clear" w:color="auto" w:fill="B1C9FD"/>
          </w:tcPr>
          <w:p>
            <w:pPr>
              <w:spacing w:after="0"/>
              <w:rPr>
                <w:sz w:val="14"/>
                <w:szCs w:val="14"/>
                <w:color w:val="auto"/>
              </w:rPr>
            </w:pPr>
          </w:p>
        </w:tc>
        <w:tc>
          <w:tcPr>
            <w:tcW w:w="640" w:type="dxa"/>
            <w:vAlign w:val="bottom"/>
            <w:tcBorders>
              <w:bottom w:val="single" w:sz="8" w:color="auto"/>
              <w:right w:val="single" w:sz="8" w:color="auto"/>
            </w:tcBorders>
            <w:gridSpan w:val="3"/>
            <w:shd w:val="clear" w:color="auto" w:fill="B1C9FD"/>
          </w:tcPr>
          <w:p>
            <w:pPr>
              <w:jc w:val="center"/>
              <w:ind w:right="120"/>
              <w:spacing w:after="0"/>
              <w:rPr>
                <w:sz w:val="20"/>
                <w:szCs w:val="20"/>
                <w:color w:val="auto"/>
              </w:rPr>
            </w:pPr>
            <w:r>
              <w:rPr>
                <w:rFonts w:ascii="Arial" w:cs="Arial" w:eastAsia="Arial" w:hAnsi="Arial"/>
                <w:sz w:val="14"/>
                <w:szCs w:val="14"/>
                <w:b w:val="1"/>
                <w:bCs w:val="1"/>
                <w:color w:val="004FF9"/>
              </w:rPr>
              <w:t>Vested</w:t>
            </w:r>
          </w:p>
        </w:tc>
        <w:tc>
          <w:tcPr>
            <w:tcW w:w="680" w:type="dxa"/>
            <w:vAlign w:val="bottom"/>
            <w:tcBorders>
              <w:bottom w:val="single" w:sz="8" w:color="auto"/>
            </w:tcBorders>
            <w:gridSpan w:val="2"/>
            <w:shd w:val="clear" w:color="auto" w:fill="B1C9FD"/>
          </w:tcPr>
          <w:p>
            <w:pPr>
              <w:jc w:val="center"/>
              <w:ind w:left="71"/>
              <w:spacing w:after="0"/>
              <w:rPr>
                <w:sz w:val="20"/>
                <w:szCs w:val="20"/>
                <w:color w:val="auto"/>
              </w:rPr>
            </w:pPr>
            <w:r>
              <w:rPr>
                <w:rFonts w:ascii="Arial" w:cs="Arial" w:eastAsia="Arial" w:hAnsi="Arial"/>
                <w:sz w:val="14"/>
                <w:szCs w:val="14"/>
                <w:b w:val="1"/>
                <w:bCs w:val="1"/>
                <w:color w:val="004FF9"/>
              </w:rPr>
              <w:t>($)</w:t>
            </w:r>
          </w:p>
        </w:tc>
        <w:tc>
          <w:tcPr>
            <w:tcW w:w="200" w:type="dxa"/>
            <w:vAlign w:val="bottom"/>
            <w:tcBorders>
              <w:bottom w:val="single" w:sz="8" w:color="auto"/>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Henrik C. Slipsager</w:t>
            </w:r>
          </w:p>
        </w:tc>
        <w:tc>
          <w:tcPr>
            <w:tcW w:w="880" w:type="dxa"/>
            <w:vAlign w:val="bottom"/>
            <w:tcBorders>
              <w:right w:val="single" w:sz="8" w:color="auto"/>
            </w:tcBorders>
            <w:gridSpan w:val="3"/>
          </w:tcPr>
          <w:p>
            <w:pPr>
              <w:jc w:val="right"/>
              <w:ind w:right="95"/>
              <w:spacing w:after="0" w:line="180" w:lineRule="exact"/>
              <w:rPr>
                <w:sz w:val="20"/>
                <w:szCs w:val="20"/>
                <w:color w:val="auto"/>
              </w:rPr>
            </w:pPr>
            <w:r>
              <w:rPr>
                <w:rFonts w:ascii="Arial" w:cs="Arial" w:eastAsia="Arial" w:hAnsi="Arial"/>
                <w:sz w:val="14"/>
                <w:szCs w:val="14"/>
                <w:color w:val="auto"/>
              </w:rPr>
              <w:t>12/16/97</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260" w:type="dxa"/>
            <w:vAlign w:val="bottom"/>
            <w:tcBorders>
              <w:right w:val="single" w:sz="8" w:color="auto"/>
            </w:tcBorders>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14.70</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40" w:type="dxa"/>
            <w:vAlign w:val="bottom"/>
            <w:gridSpan w:val="3"/>
          </w:tcPr>
          <w:p>
            <w:pPr>
              <w:jc w:val="right"/>
              <w:ind w:right="2"/>
              <w:spacing w:after="0" w:line="180" w:lineRule="exact"/>
              <w:rPr>
                <w:sz w:val="20"/>
                <w:szCs w:val="20"/>
                <w:color w:val="auto"/>
              </w:rPr>
            </w:pPr>
            <w:r>
              <w:rPr>
                <w:rFonts w:ascii="Arial" w:cs="Arial" w:eastAsia="Arial" w:hAnsi="Arial"/>
                <w:sz w:val="14"/>
                <w:szCs w:val="14"/>
                <w:color w:val="auto"/>
              </w:rPr>
              <w:t>9/13/11</w:t>
            </w:r>
            <w:r>
              <w:rPr>
                <w:rFonts w:ascii="Arial" w:cs="Arial" w:eastAsia="Arial" w:hAnsi="Arial"/>
                <w:sz w:val="20"/>
                <w:szCs w:val="20"/>
                <w:color w:val="auto"/>
                <w:vertAlign w:val="superscript"/>
              </w:rPr>
              <w:t>(6)</w:t>
            </w:r>
          </w:p>
        </w:tc>
        <w:tc>
          <w:tcPr>
            <w:tcW w:w="40" w:type="dxa"/>
            <w:vAlign w:val="bottom"/>
            <w:tcBorders>
              <w:right w:val="single" w:sz="8" w:color="auto"/>
            </w:tcBorders>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11,511</w:t>
            </w: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318,164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3/17/98</w:t>
            </w:r>
            <w:r>
              <w:rPr>
                <w:rFonts w:ascii="Arial" w:cs="Arial" w:eastAsia="Arial" w:hAnsi="Arial"/>
                <w:sz w:val="21"/>
                <w:szCs w:val="21"/>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18.30</w:t>
            </w: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3/8/12</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32,487</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897,941</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12/19/00</w:t>
            </w:r>
            <w:r>
              <w:rPr>
                <w:rFonts w:ascii="Arial" w:cs="Arial" w:eastAsia="Arial" w:hAnsi="Arial"/>
                <w:sz w:val="21"/>
                <w:szCs w:val="21"/>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15.38</w:t>
            </w: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1/14/13</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15,636</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432,179</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14"/>
                <w:szCs w:val="14"/>
                <w:color w:val="auto"/>
              </w:rPr>
              <w:t>24,866</w:t>
            </w:r>
            <w:r>
              <w:rPr>
                <w:rFonts w:ascii="Arial" w:cs="Arial" w:eastAsia="Arial" w:hAnsi="Arial"/>
                <w:sz w:val="21"/>
                <w:szCs w:val="21"/>
                <w:color w:val="auto"/>
                <w:vertAlign w:val="superscript"/>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687,296</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6/14/05</w:t>
            </w:r>
            <w:r>
              <w:rPr>
                <w:rFonts w:ascii="Arial" w:cs="Arial" w:eastAsia="Arial" w:hAnsi="Arial"/>
                <w:sz w:val="21"/>
                <w:szCs w:val="21"/>
                <w:color w:val="auto"/>
                <w:vertAlign w:val="superscript"/>
              </w:rPr>
              <w:t>(3)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18.30</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6/14/15</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18,204</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503,159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9/14/05</w:t>
            </w:r>
            <w:r>
              <w:rPr>
                <w:rFonts w:ascii="Arial" w:cs="Arial" w:eastAsia="Arial" w:hAnsi="Arial"/>
                <w:sz w:val="21"/>
                <w:szCs w:val="21"/>
                <w:color w:val="auto"/>
                <w:vertAlign w:val="superscript"/>
              </w:rPr>
              <w:t>(2)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20.90</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9/14/15</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1/14/14</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5,556</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153,568</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14"/>
                <w:szCs w:val="14"/>
                <w:color w:val="auto"/>
              </w:rPr>
              <w:t>24,860</w:t>
            </w:r>
            <w:r>
              <w:rPr>
                <w:rFonts w:ascii="Arial" w:cs="Arial" w:eastAsia="Arial" w:hAnsi="Arial"/>
                <w:sz w:val="21"/>
                <w:szCs w:val="21"/>
                <w:color w:val="auto"/>
                <w:vertAlign w:val="superscript"/>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687,130</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11/29/05</w:t>
            </w:r>
            <w:r>
              <w:rPr>
                <w:rFonts w:ascii="Arial" w:cs="Arial" w:eastAsia="Arial" w:hAnsi="Arial"/>
                <w:sz w:val="21"/>
                <w:szCs w:val="21"/>
                <w:color w:val="auto"/>
                <w:vertAlign w:val="superscript"/>
              </w:rPr>
              <w:t>(2)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57,000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20.83</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11/29/15</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15,755</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435,468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1/12/09</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33,435</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17.90</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1/12/16</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(9)</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14"/>
                <w:szCs w:val="14"/>
                <w:color w:val="auto"/>
              </w:rPr>
              <w:t>16,171</w:t>
            </w:r>
            <w:r>
              <w:rPr>
                <w:rFonts w:ascii="Arial" w:cs="Arial" w:eastAsia="Arial" w:hAnsi="Arial"/>
                <w:sz w:val="21"/>
                <w:szCs w:val="21"/>
                <w:color w:val="auto"/>
                <w:vertAlign w:val="superscript"/>
              </w:rPr>
              <w:t>(9)</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446,966</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9/8/10</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60,522</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21.49</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9/8/17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9/13/11</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54,344</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18,115</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19.09</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9/13/18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gridSpan w:val="3"/>
          </w:tcPr>
          <w:p>
            <w:pPr>
              <w:jc w:val="right"/>
              <w:ind w:right="95"/>
              <w:spacing w:after="0" w:line="233" w:lineRule="exact"/>
              <w:rPr>
                <w:sz w:val="20"/>
                <w:szCs w:val="20"/>
                <w:color w:val="auto"/>
              </w:rPr>
            </w:pPr>
            <w:r>
              <w:rPr>
                <w:rFonts w:ascii="Arial" w:cs="Arial" w:eastAsia="Arial" w:hAnsi="Arial"/>
                <w:sz w:val="14"/>
                <w:szCs w:val="14"/>
                <w:color w:val="auto"/>
              </w:rPr>
              <w:t>9/06/13</w:t>
            </w:r>
            <w:r>
              <w:rPr>
                <w:rFonts w:ascii="Arial" w:cs="Arial" w:eastAsia="Arial" w:hAnsi="Arial"/>
                <w:sz w:val="21"/>
                <w:szCs w:val="21"/>
                <w:color w:val="auto"/>
                <w:vertAlign w:val="superscript"/>
              </w:rPr>
              <w:t>(4)</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14,960</w:t>
            </w:r>
          </w:p>
        </w:tc>
        <w:tc>
          <w:tcPr>
            <w:tcW w:w="2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44,880</w:t>
            </w:r>
          </w:p>
        </w:tc>
        <w:tc>
          <w:tcPr>
            <w:tcW w:w="2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25.30</w:t>
            </w:r>
          </w:p>
        </w:tc>
        <w:tc>
          <w:tcPr>
            <w:tcW w:w="1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9/6/20</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4"/>
                <w:szCs w:val="14"/>
                <w:color w:val="auto"/>
              </w:rPr>
              <w:t>James S. Lusk</w:t>
            </w:r>
          </w:p>
        </w:tc>
        <w:tc>
          <w:tcPr>
            <w:tcW w:w="880" w:type="dxa"/>
            <w:vAlign w:val="bottom"/>
            <w:tcBorders>
              <w:right w:val="single" w:sz="8" w:color="auto"/>
            </w:tcBorders>
            <w:gridSpan w:val="3"/>
            <w:shd w:val="clear" w:color="auto" w:fill="E5EDFE"/>
          </w:tcPr>
          <w:p>
            <w:pPr>
              <w:jc w:val="right"/>
              <w:ind w:right="95"/>
              <w:spacing w:after="0" w:line="210" w:lineRule="exact"/>
              <w:rPr>
                <w:sz w:val="20"/>
                <w:szCs w:val="20"/>
                <w:color w:val="auto"/>
              </w:rPr>
            </w:pPr>
            <w:r>
              <w:rPr>
                <w:rFonts w:ascii="Arial" w:cs="Arial" w:eastAsia="Arial" w:hAnsi="Arial"/>
                <w:sz w:val="14"/>
                <w:szCs w:val="14"/>
                <w:color w:val="auto"/>
              </w:rPr>
              <w:t>3/31/10</w:t>
            </w:r>
            <w:r>
              <w:rPr>
                <w:rFonts w:ascii="Arial" w:cs="Arial" w:eastAsia="Arial" w:hAnsi="Arial"/>
                <w:sz w:val="21"/>
                <w:szCs w:val="21"/>
                <w:color w:val="auto"/>
                <w:vertAlign w:val="superscript"/>
              </w:rPr>
              <w:t>(5)</w:t>
            </w:r>
          </w:p>
        </w:tc>
        <w:tc>
          <w:tcPr>
            <w:tcW w:w="720" w:type="dxa"/>
            <w:vAlign w:val="bottom"/>
            <w:gridSpan w:val="2"/>
            <w:shd w:val="clear" w:color="auto" w:fill="E5EDFE"/>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shd w:val="clear" w:color="auto" w:fill="E5EDFE"/>
          </w:tcPr>
          <w:p>
            <w:pPr>
              <w:spacing w:after="0"/>
              <w:rPr>
                <w:sz w:val="18"/>
                <w:szCs w:val="18"/>
                <w:color w:val="auto"/>
              </w:rPr>
            </w:pPr>
          </w:p>
        </w:tc>
        <w:tc>
          <w:tcPr>
            <w:tcW w:w="780" w:type="dxa"/>
            <w:vAlign w:val="bottom"/>
            <w:gridSpan w:val="2"/>
            <w:shd w:val="clear" w:color="auto" w:fill="E5EDFE"/>
          </w:tcPr>
          <w:p>
            <w:pPr>
              <w:jc w:val="right"/>
              <w:spacing w:after="0"/>
              <w:rPr>
                <w:sz w:val="20"/>
                <w:szCs w:val="20"/>
                <w:color w:val="auto"/>
              </w:rPr>
            </w:pPr>
            <w:r>
              <w:rPr>
                <w:rFonts w:ascii="Arial" w:cs="Arial" w:eastAsia="Arial" w:hAnsi="Arial"/>
                <w:sz w:val="14"/>
                <w:szCs w:val="14"/>
                <w:color w:val="auto"/>
              </w:rPr>
              <w:t>61,728</w:t>
            </w:r>
          </w:p>
        </w:tc>
        <w:tc>
          <w:tcPr>
            <w:tcW w:w="260" w:type="dxa"/>
            <w:vAlign w:val="bottom"/>
            <w:tcBorders>
              <w:right w:val="single" w:sz="8" w:color="auto"/>
            </w:tcBorders>
            <w:shd w:val="clear" w:color="auto" w:fill="E5EDFE"/>
          </w:tcPr>
          <w:p>
            <w:pPr>
              <w:spacing w:after="0"/>
              <w:rPr>
                <w:sz w:val="18"/>
                <w:szCs w:val="18"/>
                <w:color w:val="auto"/>
              </w:rPr>
            </w:pPr>
          </w:p>
        </w:tc>
        <w:tc>
          <w:tcPr>
            <w:tcW w:w="40" w:type="dxa"/>
            <w:vAlign w:val="bottom"/>
            <w:shd w:val="clear" w:color="auto" w:fill="E5EDFE"/>
          </w:tcPr>
          <w:p>
            <w:pPr>
              <w:spacing w:after="0"/>
              <w:rPr>
                <w:sz w:val="18"/>
                <w:szCs w:val="18"/>
                <w:color w:val="auto"/>
              </w:rPr>
            </w:pPr>
          </w:p>
        </w:tc>
        <w:tc>
          <w:tcPr>
            <w:tcW w:w="480" w:type="dxa"/>
            <w:vAlign w:val="bottom"/>
            <w:gridSpan w:val="2"/>
            <w:shd w:val="clear" w:color="auto" w:fill="E5EDFE"/>
          </w:tcPr>
          <w:p>
            <w:pPr>
              <w:jc w:val="right"/>
              <w:spacing w:after="0"/>
              <w:rPr>
                <w:sz w:val="20"/>
                <w:szCs w:val="20"/>
                <w:color w:val="auto"/>
              </w:rPr>
            </w:pPr>
            <w:r>
              <w:rPr>
                <w:rFonts w:ascii="Arial" w:cs="Arial" w:eastAsia="Arial" w:hAnsi="Arial"/>
                <w:sz w:val="14"/>
                <w:szCs w:val="14"/>
                <w:color w:val="auto"/>
              </w:rPr>
              <w:t>21.20</w:t>
            </w:r>
          </w:p>
        </w:tc>
        <w:tc>
          <w:tcPr>
            <w:tcW w:w="160" w:type="dxa"/>
            <w:vAlign w:val="bottom"/>
            <w:tcBorders>
              <w:right w:val="single" w:sz="8" w:color="auto"/>
            </w:tcBorders>
            <w:shd w:val="clear" w:color="auto" w:fill="E5EDFE"/>
          </w:tcPr>
          <w:p>
            <w:pPr>
              <w:spacing w:after="0"/>
              <w:rPr>
                <w:sz w:val="18"/>
                <w:szCs w:val="18"/>
                <w:color w:val="auto"/>
              </w:rPr>
            </w:pPr>
          </w:p>
        </w:tc>
        <w:tc>
          <w:tcPr>
            <w:tcW w:w="820" w:type="dxa"/>
            <w:vAlign w:val="bottom"/>
            <w:tcBorders>
              <w:right w:val="single" w:sz="8" w:color="auto"/>
            </w:tcBorders>
            <w:gridSpan w:val="2"/>
            <w:shd w:val="clear" w:color="auto" w:fill="E5EDFE"/>
          </w:tcPr>
          <w:p>
            <w:pPr>
              <w:jc w:val="right"/>
              <w:spacing w:after="0"/>
              <w:rPr>
                <w:sz w:val="20"/>
                <w:szCs w:val="20"/>
                <w:color w:val="auto"/>
              </w:rPr>
            </w:pPr>
            <w:r>
              <w:rPr>
                <w:rFonts w:ascii="Arial" w:cs="Arial" w:eastAsia="Arial" w:hAnsi="Arial"/>
                <w:sz w:val="14"/>
                <w:szCs w:val="14"/>
                <w:color w:val="auto"/>
              </w:rPr>
              <w:t>3/31/17</w:t>
            </w:r>
          </w:p>
        </w:tc>
        <w:tc>
          <w:tcPr>
            <w:tcW w:w="840" w:type="dxa"/>
            <w:vAlign w:val="bottom"/>
            <w:gridSpan w:val="3"/>
            <w:shd w:val="clear" w:color="auto" w:fill="E5EDFE"/>
          </w:tcPr>
          <w:p>
            <w:pPr>
              <w:jc w:val="right"/>
              <w:ind w:right="2"/>
              <w:spacing w:after="0" w:line="210" w:lineRule="exact"/>
              <w:rPr>
                <w:sz w:val="20"/>
                <w:szCs w:val="20"/>
                <w:color w:val="auto"/>
              </w:rPr>
            </w:pPr>
            <w:r>
              <w:rPr>
                <w:rFonts w:ascii="Arial" w:cs="Arial" w:eastAsia="Arial" w:hAnsi="Arial"/>
                <w:sz w:val="14"/>
                <w:szCs w:val="14"/>
                <w:color w:val="auto"/>
              </w:rPr>
              <w:t>3/31/10</w:t>
            </w:r>
            <w:r>
              <w:rPr>
                <w:rFonts w:ascii="Arial" w:cs="Arial" w:eastAsia="Arial" w:hAnsi="Arial"/>
                <w:sz w:val="21"/>
                <w:szCs w:val="21"/>
                <w:color w:val="auto"/>
                <w:vertAlign w:val="superscript"/>
              </w:rPr>
              <w:t>(5)</w:t>
            </w:r>
          </w:p>
        </w:tc>
        <w:tc>
          <w:tcPr>
            <w:tcW w:w="40" w:type="dxa"/>
            <w:vAlign w:val="bottom"/>
            <w:tcBorders>
              <w:right w:val="single" w:sz="8" w:color="auto"/>
            </w:tcBorders>
            <w:shd w:val="clear" w:color="auto" w:fill="E5EDFE"/>
          </w:tcPr>
          <w:p>
            <w:pPr>
              <w:spacing w:after="0"/>
              <w:rPr>
                <w:sz w:val="18"/>
                <w:szCs w:val="18"/>
                <w:color w:val="auto"/>
              </w:rPr>
            </w:pPr>
          </w:p>
        </w:tc>
        <w:tc>
          <w:tcPr>
            <w:tcW w:w="540" w:type="dxa"/>
            <w:vAlign w:val="bottom"/>
            <w:gridSpan w:val="2"/>
            <w:shd w:val="clear" w:color="auto" w:fill="E5EDFE"/>
          </w:tcPr>
          <w:p>
            <w:pPr>
              <w:jc w:val="right"/>
              <w:spacing w:after="0"/>
              <w:rPr>
                <w:sz w:val="20"/>
                <w:szCs w:val="20"/>
                <w:color w:val="auto"/>
              </w:rPr>
            </w:pPr>
            <w:r>
              <w:rPr>
                <w:rFonts w:ascii="Arial" w:cs="Arial" w:eastAsia="Arial" w:hAnsi="Arial"/>
                <w:sz w:val="14"/>
                <w:szCs w:val="14"/>
                <w:color w:val="auto"/>
              </w:rPr>
              <w:t>21,139</w:t>
            </w:r>
          </w:p>
        </w:tc>
        <w:tc>
          <w:tcPr>
            <w:tcW w:w="120" w:type="dxa"/>
            <w:vAlign w:val="bottom"/>
            <w:tcBorders>
              <w:right w:val="single" w:sz="8" w:color="auto"/>
            </w:tcBorders>
            <w:shd w:val="clear" w:color="auto" w:fill="E5EDFE"/>
          </w:tcPr>
          <w:p>
            <w:pPr>
              <w:spacing w:after="0"/>
              <w:rPr>
                <w:sz w:val="18"/>
                <w:szCs w:val="18"/>
                <w:color w:val="auto"/>
              </w:rPr>
            </w:pPr>
          </w:p>
        </w:tc>
        <w:tc>
          <w:tcPr>
            <w:tcW w:w="72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584,282</w:t>
            </w:r>
          </w:p>
        </w:tc>
        <w:tc>
          <w:tcPr>
            <w:tcW w:w="100" w:type="dxa"/>
            <w:vAlign w:val="bottom"/>
            <w:shd w:val="clear" w:color="auto" w:fill="E5EDFE"/>
          </w:tcPr>
          <w:p>
            <w:pPr>
              <w:spacing w:after="0"/>
              <w:rPr>
                <w:sz w:val="18"/>
                <w:szCs w:val="18"/>
                <w:color w:val="auto"/>
              </w:rPr>
            </w:pPr>
          </w:p>
        </w:tc>
        <w:tc>
          <w:tcPr>
            <w:tcW w:w="540" w:type="dxa"/>
            <w:vAlign w:val="bottom"/>
            <w:shd w:val="clear" w:color="auto" w:fill="E5EDFE"/>
          </w:tcPr>
          <w:p>
            <w:pPr>
              <w:spacing w:after="0"/>
              <w:rPr>
                <w:sz w:val="18"/>
                <w:szCs w:val="18"/>
                <w:color w:val="auto"/>
              </w:rPr>
            </w:pPr>
          </w:p>
        </w:tc>
        <w:tc>
          <w:tcPr>
            <w:tcW w:w="60" w:type="dxa"/>
            <w:vAlign w:val="bottom"/>
            <w:shd w:val="clear" w:color="auto" w:fill="E5EDFE"/>
          </w:tcPr>
          <w:p>
            <w:pPr>
              <w:spacing w:after="0"/>
              <w:rPr>
                <w:sz w:val="18"/>
                <w:szCs w:val="18"/>
                <w:color w:val="auto"/>
              </w:rPr>
            </w:pPr>
          </w:p>
        </w:tc>
        <w:tc>
          <w:tcPr>
            <w:tcW w:w="40" w:type="dxa"/>
            <w:vAlign w:val="bottom"/>
            <w:tcBorders>
              <w:right w:val="single" w:sz="8" w:color="auto"/>
            </w:tcBorders>
            <w:shd w:val="clear" w:color="auto" w:fill="E5EDFE"/>
          </w:tcPr>
          <w:p>
            <w:pPr>
              <w:spacing w:after="0"/>
              <w:rPr>
                <w:sz w:val="18"/>
                <w:szCs w:val="18"/>
                <w:color w:val="auto"/>
              </w:rPr>
            </w:pPr>
          </w:p>
        </w:tc>
        <w:tc>
          <w:tcPr>
            <w:tcW w:w="140" w:type="dxa"/>
            <w:vAlign w:val="bottom"/>
            <w:shd w:val="clear" w:color="auto" w:fill="E5EDFE"/>
          </w:tcPr>
          <w:p>
            <w:pPr>
              <w:spacing w:after="0"/>
              <w:rPr>
                <w:sz w:val="18"/>
                <w:szCs w:val="18"/>
                <w:color w:val="auto"/>
              </w:rPr>
            </w:pPr>
          </w:p>
        </w:tc>
        <w:tc>
          <w:tcPr>
            <w:tcW w:w="540" w:type="dxa"/>
            <w:vAlign w:val="bottom"/>
            <w:shd w:val="clear" w:color="auto" w:fill="E5EDFE"/>
          </w:tcPr>
          <w:p>
            <w:pPr>
              <w:spacing w:after="0"/>
              <w:rPr>
                <w:sz w:val="18"/>
                <w:szCs w:val="18"/>
                <w:color w:val="auto"/>
              </w:rPr>
            </w:pPr>
          </w:p>
        </w:tc>
        <w:tc>
          <w:tcPr>
            <w:tcW w:w="200" w:type="dxa"/>
            <w:vAlign w:val="bottom"/>
            <w:tcBorders>
              <w:right w:val="single" w:sz="8" w:color="auto"/>
            </w:tcBorders>
            <w:shd w:val="clear" w:color="auto" w:fill="E5EDFE"/>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520" w:type="dxa"/>
            <w:vAlign w:val="bottom"/>
            <w:tcBorders>
              <w:top w:val="single" w:sz="8" w:color="E5EDFE"/>
              <w:left w:val="single" w:sz="8" w:color="auto"/>
              <w:right w:val="single" w:sz="8" w:color="auto"/>
            </w:tcBorders>
            <w:shd w:val="clear" w:color="auto" w:fill="E5EDFE"/>
          </w:tcPr>
          <w:p>
            <w:pPr>
              <w:spacing w:after="0"/>
              <w:rPr>
                <w:sz w:val="12"/>
                <w:szCs w:val="12"/>
                <w:color w:val="auto"/>
              </w:rPr>
            </w:pPr>
          </w:p>
        </w:tc>
        <w:tc>
          <w:tcPr>
            <w:tcW w:w="100" w:type="dxa"/>
            <w:vAlign w:val="bottom"/>
            <w:tcBorders>
              <w:top w:val="single" w:sz="8" w:color="E5EDFE"/>
            </w:tcBorders>
            <w:shd w:val="clear" w:color="auto" w:fill="E5EDFE"/>
          </w:tcPr>
          <w:p>
            <w:pPr>
              <w:spacing w:after="0"/>
              <w:rPr>
                <w:sz w:val="12"/>
                <w:szCs w:val="12"/>
                <w:color w:val="auto"/>
              </w:rPr>
            </w:pPr>
          </w:p>
        </w:tc>
        <w:tc>
          <w:tcPr>
            <w:tcW w:w="780" w:type="dxa"/>
            <w:vAlign w:val="bottom"/>
            <w:tcBorders>
              <w:right w:val="single" w:sz="8" w:color="auto"/>
            </w:tcBorders>
            <w:gridSpan w:val="2"/>
          </w:tcPr>
          <w:p>
            <w:pPr>
              <w:jc w:val="right"/>
              <w:ind w:right="95"/>
              <w:spacing w:after="0" w:line="139" w:lineRule="exact"/>
              <w:rPr>
                <w:sz w:val="20"/>
                <w:szCs w:val="20"/>
                <w:color w:val="auto"/>
              </w:rPr>
            </w:pPr>
            <w:r>
              <w:rPr>
                <w:rFonts w:ascii="Arial" w:cs="Arial" w:eastAsia="Arial" w:hAnsi="Arial"/>
                <w:sz w:val="11"/>
                <w:szCs w:val="11"/>
                <w:color w:val="auto"/>
              </w:rPr>
              <w:t>9/13/11</w:t>
            </w:r>
            <w:r>
              <w:rPr>
                <w:rFonts w:ascii="Arial" w:cs="Arial" w:eastAsia="Arial" w:hAnsi="Arial"/>
                <w:sz w:val="16"/>
                <w:szCs w:val="16"/>
                <w:color w:val="auto"/>
                <w:vertAlign w:val="superscript"/>
              </w:rPr>
              <w:t>(4)</w:t>
            </w:r>
          </w:p>
        </w:tc>
        <w:tc>
          <w:tcPr>
            <w:tcW w:w="180" w:type="dxa"/>
            <w:vAlign w:val="bottom"/>
            <w:tcBorders>
              <w:top w:val="single" w:sz="8" w:color="E5EDFE"/>
            </w:tcBorders>
            <w:shd w:val="clear" w:color="auto" w:fill="E5EDFE"/>
          </w:tcPr>
          <w:p>
            <w:pPr>
              <w:spacing w:after="0"/>
              <w:rPr>
                <w:sz w:val="12"/>
                <w:szCs w:val="12"/>
                <w:color w:val="auto"/>
              </w:rPr>
            </w:pPr>
          </w:p>
        </w:tc>
        <w:tc>
          <w:tcPr>
            <w:tcW w:w="540" w:type="dxa"/>
            <w:vAlign w:val="bottom"/>
            <w:tcBorders>
              <w:top w:val="single" w:sz="8" w:color="E5EDFE"/>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5,252</w:t>
            </w:r>
          </w:p>
        </w:tc>
        <w:tc>
          <w:tcPr>
            <w:tcW w:w="220" w:type="dxa"/>
            <w:vAlign w:val="bottom"/>
            <w:tcBorders>
              <w:top w:val="single" w:sz="8" w:color="E5EDFE"/>
              <w:right w:val="single" w:sz="8" w:color="auto"/>
            </w:tcBorders>
            <w:shd w:val="clear" w:color="auto" w:fill="E5EDFE"/>
          </w:tcPr>
          <w:p>
            <w:pPr>
              <w:spacing w:after="0"/>
              <w:rPr>
                <w:sz w:val="12"/>
                <w:szCs w:val="12"/>
                <w:color w:val="auto"/>
              </w:rPr>
            </w:pPr>
          </w:p>
        </w:tc>
        <w:tc>
          <w:tcPr>
            <w:tcW w:w="240" w:type="dxa"/>
            <w:vAlign w:val="bottom"/>
            <w:tcBorders>
              <w:top w:val="single" w:sz="8" w:color="E5EDFE"/>
            </w:tcBorders>
            <w:shd w:val="clear" w:color="auto" w:fill="E5EDFE"/>
          </w:tcPr>
          <w:p>
            <w:pPr>
              <w:spacing w:after="0"/>
              <w:rPr>
                <w:sz w:val="12"/>
                <w:szCs w:val="12"/>
                <w:color w:val="auto"/>
              </w:rPr>
            </w:pPr>
          </w:p>
        </w:tc>
        <w:tc>
          <w:tcPr>
            <w:tcW w:w="540" w:type="dxa"/>
            <w:vAlign w:val="bottom"/>
            <w:tcBorders>
              <w:top w:val="single" w:sz="8" w:color="E5EDFE"/>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5,252</w:t>
            </w:r>
          </w:p>
        </w:tc>
        <w:tc>
          <w:tcPr>
            <w:tcW w:w="260" w:type="dxa"/>
            <w:vAlign w:val="bottom"/>
            <w:tcBorders>
              <w:top w:val="single" w:sz="8" w:color="E5EDFE"/>
              <w:right w:val="single" w:sz="8" w:color="auto"/>
            </w:tcBorders>
            <w:shd w:val="clear" w:color="auto" w:fill="E5EDFE"/>
          </w:tcPr>
          <w:p>
            <w:pPr>
              <w:spacing w:after="0"/>
              <w:rPr>
                <w:sz w:val="12"/>
                <w:szCs w:val="12"/>
                <w:color w:val="auto"/>
              </w:rPr>
            </w:pPr>
          </w:p>
        </w:tc>
        <w:tc>
          <w:tcPr>
            <w:tcW w:w="40" w:type="dxa"/>
            <w:vAlign w:val="bottom"/>
            <w:tcBorders>
              <w:top w:val="single" w:sz="8" w:color="E5EDFE"/>
            </w:tcBorders>
            <w:shd w:val="clear" w:color="auto" w:fill="E5EDFE"/>
          </w:tcPr>
          <w:p>
            <w:pPr>
              <w:spacing w:after="0"/>
              <w:rPr>
                <w:sz w:val="12"/>
                <w:szCs w:val="12"/>
                <w:color w:val="auto"/>
              </w:rPr>
            </w:pPr>
          </w:p>
        </w:tc>
        <w:tc>
          <w:tcPr>
            <w:tcW w:w="120" w:type="dxa"/>
            <w:vAlign w:val="bottom"/>
            <w:tcBorders>
              <w:top w:val="single" w:sz="8" w:color="E5EDFE"/>
            </w:tcBorders>
            <w:shd w:val="clear" w:color="auto" w:fill="E5EDFE"/>
          </w:tcPr>
          <w:p>
            <w:pPr>
              <w:spacing w:after="0"/>
              <w:rPr>
                <w:sz w:val="12"/>
                <w:szCs w:val="12"/>
                <w:color w:val="auto"/>
              </w:rPr>
            </w:pPr>
          </w:p>
        </w:tc>
        <w:tc>
          <w:tcPr>
            <w:tcW w:w="360" w:type="dxa"/>
            <w:vAlign w:val="bottom"/>
            <w:tcBorders>
              <w:top w:val="single" w:sz="8" w:color="E5EDFE"/>
            </w:tcBorders>
            <w:shd w:val="clear" w:color="auto" w:fill="E5EDFE"/>
          </w:tcPr>
          <w:p>
            <w:pPr>
              <w:jc w:val="right"/>
              <w:spacing w:after="0" w:line="139" w:lineRule="exact"/>
              <w:rPr>
                <w:sz w:val="20"/>
                <w:szCs w:val="20"/>
                <w:color w:val="auto"/>
              </w:rPr>
            </w:pPr>
            <w:r>
              <w:rPr>
                <w:rFonts w:ascii="Arial" w:cs="Arial" w:eastAsia="Arial" w:hAnsi="Arial"/>
                <w:sz w:val="14"/>
                <w:szCs w:val="14"/>
                <w:color w:val="auto"/>
                <w:w w:val="96"/>
              </w:rPr>
              <w:t>19.09</w:t>
            </w:r>
          </w:p>
        </w:tc>
        <w:tc>
          <w:tcPr>
            <w:tcW w:w="160" w:type="dxa"/>
            <w:vAlign w:val="bottom"/>
            <w:tcBorders>
              <w:top w:val="single" w:sz="8" w:color="E5EDFE"/>
              <w:right w:val="single" w:sz="8" w:color="auto"/>
            </w:tcBorders>
            <w:shd w:val="clear" w:color="auto" w:fill="E5EDFE"/>
          </w:tcPr>
          <w:p>
            <w:pPr>
              <w:spacing w:after="0"/>
              <w:rPr>
                <w:sz w:val="12"/>
                <w:szCs w:val="12"/>
                <w:color w:val="auto"/>
              </w:rPr>
            </w:pPr>
          </w:p>
        </w:tc>
        <w:tc>
          <w:tcPr>
            <w:tcW w:w="40" w:type="dxa"/>
            <w:vAlign w:val="bottom"/>
            <w:tcBorders>
              <w:top w:val="single" w:sz="8" w:color="E5EDFE"/>
            </w:tcBorders>
            <w:shd w:val="clear" w:color="auto" w:fill="E5EDFE"/>
          </w:tcPr>
          <w:p>
            <w:pPr>
              <w:spacing w:after="0"/>
              <w:rPr>
                <w:sz w:val="12"/>
                <w:szCs w:val="12"/>
                <w:color w:val="auto"/>
              </w:rPr>
            </w:pPr>
          </w:p>
        </w:tc>
        <w:tc>
          <w:tcPr>
            <w:tcW w:w="780" w:type="dxa"/>
            <w:vAlign w:val="bottom"/>
            <w:tcBorders>
              <w:top w:val="single" w:sz="8" w:color="E5EDFE"/>
              <w:right w:val="single" w:sz="8" w:color="auto"/>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9/13/18</w:t>
            </w:r>
          </w:p>
        </w:tc>
        <w:tc>
          <w:tcPr>
            <w:tcW w:w="100" w:type="dxa"/>
            <w:vAlign w:val="bottom"/>
            <w:tcBorders>
              <w:top w:val="single" w:sz="8" w:color="E5EDFE"/>
            </w:tcBorders>
            <w:shd w:val="clear" w:color="auto" w:fill="E5EDFE"/>
          </w:tcPr>
          <w:p>
            <w:pPr>
              <w:spacing w:after="0"/>
              <w:rPr>
                <w:sz w:val="12"/>
                <w:szCs w:val="12"/>
                <w:color w:val="auto"/>
              </w:rPr>
            </w:pPr>
          </w:p>
        </w:tc>
        <w:tc>
          <w:tcPr>
            <w:tcW w:w="740" w:type="dxa"/>
            <w:vAlign w:val="bottom"/>
            <w:gridSpan w:val="2"/>
          </w:tcPr>
          <w:p>
            <w:pPr>
              <w:jc w:val="right"/>
              <w:ind w:right="2"/>
              <w:spacing w:after="0" w:line="139" w:lineRule="exact"/>
              <w:rPr>
                <w:sz w:val="20"/>
                <w:szCs w:val="20"/>
                <w:color w:val="auto"/>
              </w:rPr>
            </w:pPr>
            <w:r>
              <w:rPr>
                <w:rFonts w:ascii="Arial" w:cs="Arial" w:eastAsia="Arial" w:hAnsi="Arial"/>
                <w:sz w:val="11"/>
                <w:szCs w:val="11"/>
                <w:color w:val="auto"/>
              </w:rPr>
              <w:t>9/13/11</w:t>
            </w:r>
            <w:r>
              <w:rPr>
                <w:rFonts w:ascii="Arial" w:cs="Arial" w:eastAsia="Arial" w:hAnsi="Arial"/>
                <w:sz w:val="16"/>
                <w:szCs w:val="16"/>
                <w:color w:val="auto"/>
                <w:vertAlign w:val="superscript"/>
              </w:rPr>
              <w:t>(6)</w:t>
            </w:r>
          </w:p>
        </w:tc>
        <w:tc>
          <w:tcPr>
            <w:tcW w:w="40" w:type="dxa"/>
            <w:vAlign w:val="bottom"/>
            <w:tcBorders>
              <w:right w:val="single" w:sz="8" w:color="auto"/>
            </w:tcBorders>
          </w:tcPr>
          <w:p>
            <w:pPr>
              <w:spacing w:after="0"/>
              <w:rPr>
                <w:sz w:val="12"/>
                <w:szCs w:val="12"/>
                <w:color w:val="auto"/>
              </w:rPr>
            </w:pPr>
          </w:p>
        </w:tc>
        <w:tc>
          <w:tcPr>
            <w:tcW w:w="100" w:type="dxa"/>
            <w:vAlign w:val="bottom"/>
            <w:tcBorders>
              <w:top w:val="single" w:sz="8" w:color="E5EDFE"/>
            </w:tcBorders>
            <w:shd w:val="clear" w:color="auto" w:fill="E5EDFE"/>
          </w:tcPr>
          <w:p>
            <w:pPr>
              <w:spacing w:after="0"/>
              <w:rPr>
                <w:sz w:val="12"/>
                <w:szCs w:val="12"/>
                <w:color w:val="auto"/>
              </w:rPr>
            </w:pPr>
          </w:p>
        </w:tc>
        <w:tc>
          <w:tcPr>
            <w:tcW w:w="440" w:type="dxa"/>
            <w:vAlign w:val="bottom"/>
            <w:tcBorders>
              <w:top w:val="single" w:sz="8" w:color="E5EDFE"/>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3,337</w:t>
            </w:r>
          </w:p>
        </w:tc>
        <w:tc>
          <w:tcPr>
            <w:tcW w:w="120" w:type="dxa"/>
            <w:vAlign w:val="bottom"/>
            <w:tcBorders>
              <w:top w:val="single" w:sz="8" w:color="E5EDFE"/>
              <w:right w:val="single" w:sz="8" w:color="auto"/>
            </w:tcBorders>
            <w:shd w:val="clear" w:color="auto" w:fill="E5EDFE"/>
          </w:tcPr>
          <w:p>
            <w:pPr>
              <w:spacing w:after="0"/>
              <w:rPr>
                <w:sz w:val="12"/>
                <w:szCs w:val="12"/>
                <w:color w:val="auto"/>
              </w:rPr>
            </w:pPr>
          </w:p>
        </w:tc>
        <w:tc>
          <w:tcPr>
            <w:tcW w:w="720" w:type="dxa"/>
            <w:vAlign w:val="bottom"/>
            <w:tcBorders>
              <w:top w:val="single" w:sz="8" w:color="E5EDFE"/>
              <w:right w:val="single" w:sz="8" w:color="auto"/>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92,235</w:t>
            </w:r>
          </w:p>
        </w:tc>
        <w:tc>
          <w:tcPr>
            <w:tcW w:w="100" w:type="dxa"/>
            <w:vAlign w:val="bottom"/>
            <w:tcBorders>
              <w:top w:val="single" w:sz="8" w:color="E5EDFE"/>
            </w:tcBorders>
            <w:shd w:val="clear" w:color="auto" w:fill="E5EDFE"/>
          </w:tcPr>
          <w:p>
            <w:pPr>
              <w:spacing w:after="0"/>
              <w:rPr>
                <w:sz w:val="12"/>
                <w:szCs w:val="12"/>
                <w:color w:val="auto"/>
              </w:rPr>
            </w:pPr>
          </w:p>
        </w:tc>
        <w:tc>
          <w:tcPr>
            <w:tcW w:w="540" w:type="dxa"/>
            <w:vAlign w:val="bottom"/>
            <w:tcBorders>
              <w:top w:val="single" w:sz="8" w:color="E5EDFE"/>
            </w:tcBorders>
          </w:tcPr>
          <w:p>
            <w:pPr>
              <w:spacing w:after="0"/>
              <w:rPr>
                <w:sz w:val="12"/>
                <w:szCs w:val="12"/>
                <w:color w:val="auto"/>
              </w:rPr>
            </w:pPr>
          </w:p>
        </w:tc>
        <w:tc>
          <w:tcPr>
            <w:tcW w:w="60" w:type="dxa"/>
            <w:vAlign w:val="bottom"/>
            <w:tcBorders>
              <w:top w:val="single" w:sz="8" w:color="E5EDFE"/>
            </w:tcBorders>
          </w:tcPr>
          <w:p>
            <w:pPr>
              <w:spacing w:after="0"/>
              <w:rPr>
                <w:sz w:val="12"/>
                <w:szCs w:val="12"/>
                <w:color w:val="auto"/>
              </w:rPr>
            </w:pPr>
          </w:p>
        </w:tc>
        <w:tc>
          <w:tcPr>
            <w:tcW w:w="40" w:type="dxa"/>
            <w:vAlign w:val="bottom"/>
            <w:tcBorders>
              <w:top w:val="single" w:sz="8" w:color="E5EDFE"/>
              <w:right w:val="single" w:sz="8" w:color="auto"/>
            </w:tcBorders>
          </w:tcPr>
          <w:p>
            <w:pPr>
              <w:spacing w:after="0"/>
              <w:rPr>
                <w:sz w:val="12"/>
                <w:szCs w:val="12"/>
                <w:color w:val="auto"/>
              </w:rPr>
            </w:pPr>
          </w:p>
        </w:tc>
        <w:tc>
          <w:tcPr>
            <w:tcW w:w="140" w:type="dxa"/>
            <w:vAlign w:val="bottom"/>
            <w:tcBorders>
              <w:top w:val="single" w:sz="8" w:color="E5EDFE"/>
            </w:tcBorders>
            <w:shd w:val="clear" w:color="auto" w:fill="E5EDFE"/>
          </w:tcPr>
          <w:p>
            <w:pPr>
              <w:spacing w:after="0"/>
              <w:rPr>
                <w:sz w:val="12"/>
                <w:szCs w:val="12"/>
                <w:color w:val="auto"/>
              </w:rPr>
            </w:pPr>
          </w:p>
        </w:tc>
        <w:tc>
          <w:tcPr>
            <w:tcW w:w="540" w:type="dxa"/>
            <w:vAlign w:val="bottom"/>
            <w:tcBorders>
              <w:top w:val="single" w:sz="8" w:color="E5EDFE"/>
            </w:tcBorders>
            <w:shd w:val="clear" w:color="auto" w:fill="E5EDFE"/>
          </w:tcPr>
          <w:p>
            <w:pPr>
              <w:spacing w:after="0"/>
              <w:rPr>
                <w:sz w:val="12"/>
                <w:szCs w:val="12"/>
                <w:color w:val="auto"/>
              </w:rPr>
            </w:pPr>
          </w:p>
        </w:tc>
        <w:tc>
          <w:tcPr>
            <w:tcW w:w="200" w:type="dxa"/>
            <w:vAlign w:val="bottom"/>
            <w:tcBorders>
              <w:top w:val="single" w:sz="8" w:color="E5EDFE"/>
              <w:right w:val="single" w:sz="8" w:color="auto"/>
            </w:tcBorders>
            <w:shd w:val="clear" w:color="auto" w:fill="E5EDF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520" w:type="dxa"/>
            <w:vAlign w:val="bottom"/>
            <w:tcBorders>
              <w:left w:val="single" w:sz="8" w:color="auto"/>
              <w:right w:val="single" w:sz="8" w:color="auto"/>
            </w:tcBorders>
            <w:shd w:val="clear" w:color="auto" w:fill="E5EDFE"/>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vMerge w:val="restart"/>
          </w:tcPr>
          <w:p>
            <w:pPr>
              <w:jc w:val="right"/>
              <w:ind w:right="95"/>
              <w:spacing w:after="0"/>
              <w:rPr>
                <w:sz w:val="20"/>
                <w:szCs w:val="20"/>
                <w:color w:val="auto"/>
              </w:rPr>
            </w:pPr>
            <w:r>
              <w:rPr>
                <w:rFonts w:ascii="Arial" w:cs="Arial" w:eastAsia="Arial" w:hAnsi="Arial"/>
                <w:sz w:val="1"/>
                <w:szCs w:val="1"/>
                <w:color w:val="auto"/>
                <w:w w:val="4294967281"/>
              </w:rPr>
              <w:t>)</w:t>
            </w:r>
          </w:p>
        </w:tc>
        <w:tc>
          <w:tcPr>
            <w:tcW w:w="18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6,369</w:t>
            </w:r>
          </w:p>
        </w:tc>
        <w:tc>
          <w:tcPr>
            <w:tcW w:w="220" w:type="dxa"/>
            <w:vAlign w:val="bottom"/>
            <w:tcBorders>
              <w:right w:val="single" w:sz="8" w:color="auto"/>
            </w:tcBorders>
            <w:shd w:val="clear" w:color="auto" w:fill="E5EDFE"/>
          </w:tcPr>
          <w:p>
            <w:pPr>
              <w:spacing w:after="0"/>
              <w:rPr>
                <w:sz w:val="3"/>
                <w:szCs w:val="3"/>
                <w:color w:val="auto"/>
              </w:rPr>
            </w:pPr>
          </w:p>
        </w:tc>
        <w:tc>
          <w:tcPr>
            <w:tcW w:w="24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12,738</w:t>
            </w:r>
          </w:p>
        </w:tc>
        <w:tc>
          <w:tcPr>
            <w:tcW w:w="2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120" w:type="dxa"/>
            <w:vAlign w:val="bottom"/>
            <w:shd w:val="clear" w:color="auto" w:fill="E5EDFE"/>
          </w:tcPr>
          <w:p>
            <w:pPr>
              <w:spacing w:after="0"/>
              <w:rPr>
                <w:sz w:val="3"/>
                <w:szCs w:val="3"/>
                <w:color w:val="auto"/>
              </w:rPr>
            </w:pPr>
          </w:p>
        </w:tc>
        <w:tc>
          <w:tcPr>
            <w:tcW w:w="36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w w:val="96"/>
              </w:rPr>
              <w:t>18.31</w:t>
            </w:r>
          </w:p>
        </w:tc>
        <w:tc>
          <w:tcPr>
            <w:tcW w:w="1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78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10/11/19</w:t>
            </w:r>
          </w:p>
        </w:tc>
        <w:tc>
          <w:tcPr>
            <w:tcW w:w="100" w:type="dxa"/>
            <w:vAlign w:val="bottom"/>
            <w:shd w:val="clear" w:color="auto" w:fill="E5EDFE"/>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vMerge w:val="restart"/>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vMerge w:val="restart"/>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4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8,689</w:t>
            </w:r>
          </w:p>
        </w:tc>
        <w:tc>
          <w:tcPr>
            <w:tcW w:w="120" w:type="dxa"/>
            <w:vAlign w:val="bottom"/>
            <w:tcBorders>
              <w:right w:val="single" w:sz="8" w:color="auto"/>
            </w:tcBorders>
            <w:shd w:val="clear" w:color="auto" w:fill="E5EDFE"/>
          </w:tcPr>
          <w:p>
            <w:pPr>
              <w:spacing w:after="0"/>
              <w:rPr>
                <w:sz w:val="3"/>
                <w:szCs w:val="3"/>
                <w:color w:val="auto"/>
              </w:rPr>
            </w:pPr>
          </w:p>
        </w:tc>
        <w:tc>
          <w:tcPr>
            <w:tcW w:w="72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240,164</w:t>
            </w:r>
          </w:p>
        </w:tc>
        <w:tc>
          <w:tcPr>
            <w:tcW w:w="100" w:type="dxa"/>
            <w:vAlign w:val="bottom"/>
            <w:shd w:val="clear" w:color="auto" w:fill="E5EDF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vMerge w:val="restart"/>
          </w:tcPr>
          <w:p>
            <w:pPr>
              <w:jc w:val="right"/>
              <w:ind w:right="35"/>
              <w:spacing w:after="0"/>
              <w:rPr>
                <w:sz w:val="20"/>
                <w:szCs w:val="20"/>
                <w:color w:val="auto"/>
              </w:rPr>
            </w:pPr>
            <w:r>
              <w:rPr>
                <w:rFonts w:ascii="Arial" w:cs="Arial" w:eastAsia="Arial" w:hAnsi="Arial"/>
                <w:sz w:val="1"/>
                <w:szCs w:val="1"/>
                <w:color w:val="auto"/>
                <w:w w:val="4294967281"/>
              </w:rPr>
              <w:t>)</w:t>
            </w:r>
          </w:p>
        </w:tc>
        <w:tc>
          <w:tcPr>
            <w:tcW w:w="40" w:type="dxa"/>
            <w:vAlign w:val="bottom"/>
            <w:tcBorders>
              <w:right w:val="single" w:sz="8" w:color="auto"/>
            </w:tcBorders>
            <w:vMerge w:val="restart"/>
          </w:tcPr>
          <w:p>
            <w:pPr>
              <w:spacing w:after="0"/>
              <w:rPr>
                <w:sz w:val="3"/>
                <w:szCs w:val="3"/>
                <w:color w:val="auto"/>
              </w:rPr>
            </w:pPr>
          </w:p>
        </w:tc>
        <w:tc>
          <w:tcPr>
            <w:tcW w:w="14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shd w:val="clear" w:color="auto" w:fill="E5EDF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right w:val="single" w:sz="8" w:color="auto"/>
            </w:tcBorders>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660" w:type="dxa"/>
            <w:vAlign w:val="bottom"/>
            <w:shd w:val="clear" w:color="auto" w:fill="E5EDFE"/>
          </w:tcPr>
          <w:p>
            <w:pPr>
              <w:jc w:val="right"/>
              <w:spacing w:after="0" w:line="145" w:lineRule="exact"/>
              <w:rPr>
                <w:sz w:val="20"/>
                <w:szCs w:val="20"/>
                <w:color w:val="auto"/>
              </w:rPr>
            </w:pPr>
            <w:r>
              <w:rPr>
                <w:rFonts w:ascii="Arial" w:cs="Arial" w:eastAsia="Arial" w:hAnsi="Arial"/>
                <w:sz w:val="11"/>
                <w:szCs w:val="11"/>
                <w:color w:val="auto"/>
              </w:rPr>
              <w:t>10/11/12</w:t>
            </w:r>
            <w:r>
              <w:rPr>
                <w:rFonts w:ascii="Arial" w:cs="Arial" w:eastAsia="Arial" w:hAnsi="Arial"/>
                <w:sz w:val="16"/>
                <w:szCs w:val="16"/>
                <w:color w:val="auto"/>
                <w:vertAlign w:val="superscript"/>
              </w:rPr>
              <w:t>(4</w:t>
            </w:r>
          </w:p>
        </w:tc>
        <w:tc>
          <w:tcPr>
            <w:tcW w:w="120" w:type="dxa"/>
            <w:vAlign w:val="bottom"/>
            <w:tcBorders>
              <w:right w:val="single" w:sz="8" w:color="auto"/>
            </w:tcBorders>
            <w:vMerge w:val="continue"/>
          </w:tcPr>
          <w:p>
            <w:pPr>
              <w:spacing w:after="0"/>
              <w:rPr>
                <w:sz w:val="12"/>
                <w:szCs w:val="12"/>
                <w:color w:val="auto"/>
              </w:rPr>
            </w:pPr>
          </w:p>
        </w:tc>
        <w:tc>
          <w:tcPr>
            <w:tcW w:w="18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20" w:type="dxa"/>
            <w:vAlign w:val="bottom"/>
            <w:tcBorders>
              <w:right w:val="single" w:sz="8" w:color="auto"/>
            </w:tcBorders>
            <w:shd w:val="clear" w:color="auto" w:fill="E5EDFE"/>
          </w:tcPr>
          <w:p>
            <w:pPr>
              <w:spacing w:after="0"/>
              <w:rPr>
                <w:sz w:val="12"/>
                <w:szCs w:val="12"/>
                <w:color w:val="auto"/>
              </w:rPr>
            </w:pPr>
          </w:p>
        </w:tc>
        <w:tc>
          <w:tcPr>
            <w:tcW w:w="24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120" w:type="dxa"/>
            <w:vAlign w:val="bottom"/>
            <w:shd w:val="clear" w:color="auto" w:fill="E5EDFE"/>
          </w:tcPr>
          <w:p>
            <w:pPr>
              <w:spacing w:after="0"/>
              <w:rPr>
                <w:sz w:val="12"/>
                <w:szCs w:val="12"/>
                <w:color w:val="auto"/>
              </w:rPr>
            </w:pPr>
          </w:p>
        </w:tc>
        <w:tc>
          <w:tcPr>
            <w:tcW w:w="360" w:type="dxa"/>
            <w:vAlign w:val="bottom"/>
            <w:vMerge w:val="continue"/>
            <w:shd w:val="clear" w:color="auto" w:fill="E5EDFE"/>
          </w:tcPr>
          <w:p>
            <w:pPr>
              <w:spacing w:after="0"/>
              <w:rPr>
                <w:sz w:val="12"/>
                <w:szCs w:val="12"/>
                <w:color w:val="auto"/>
              </w:rPr>
            </w:pPr>
          </w:p>
        </w:tc>
        <w:tc>
          <w:tcPr>
            <w:tcW w:w="1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78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660" w:type="dxa"/>
            <w:vAlign w:val="bottom"/>
            <w:shd w:val="clear" w:color="auto" w:fill="E5EDFE"/>
          </w:tcPr>
          <w:p>
            <w:pPr>
              <w:jc w:val="right"/>
              <w:spacing w:after="0" w:line="145" w:lineRule="exact"/>
              <w:rPr>
                <w:sz w:val="20"/>
                <w:szCs w:val="20"/>
                <w:color w:val="auto"/>
              </w:rPr>
            </w:pPr>
            <w:r>
              <w:rPr>
                <w:rFonts w:ascii="Arial" w:cs="Arial" w:eastAsia="Arial" w:hAnsi="Arial"/>
                <w:sz w:val="11"/>
                <w:szCs w:val="11"/>
                <w:color w:val="auto"/>
              </w:rPr>
              <w:t>3/8/12</w:t>
            </w:r>
            <w:r>
              <w:rPr>
                <w:rFonts w:ascii="Arial" w:cs="Arial" w:eastAsia="Arial" w:hAnsi="Arial"/>
                <w:sz w:val="16"/>
                <w:szCs w:val="16"/>
                <w:color w:val="auto"/>
                <w:vertAlign w:val="superscript"/>
              </w:rPr>
              <w:t>(7</w:t>
            </w:r>
          </w:p>
        </w:tc>
        <w:tc>
          <w:tcPr>
            <w:tcW w:w="80" w:type="dxa"/>
            <w:vAlign w:val="bottom"/>
            <w:vMerge w:val="continue"/>
          </w:tcPr>
          <w:p>
            <w:pPr>
              <w:spacing w:after="0"/>
              <w:rPr>
                <w:sz w:val="12"/>
                <w:szCs w:val="12"/>
                <w:color w:val="auto"/>
              </w:rPr>
            </w:pPr>
          </w:p>
        </w:tc>
        <w:tc>
          <w:tcPr>
            <w:tcW w:w="40" w:type="dxa"/>
            <w:vAlign w:val="bottom"/>
            <w:tcBorders>
              <w:right w:val="single" w:sz="8" w:color="auto"/>
            </w:tcBorders>
            <w:vMerge w:val="continu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440" w:type="dxa"/>
            <w:vAlign w:val="bottom"/>
            <w:vMerge w:val="continue"/>
            <w:shd w:val="clear" w:color="auto" w:fill="E5EDFE"/>
          </w:tcPr>
          <w:p>
            <w:pPr>
              <w:spacing w:after="0"/>
              <w:rPr>
                <w:sz w:val="12"/>
                <w:szCs w:val="12"/>
                <w:color w:val="auto"/>
              </w:rPr>
            </w:pPr>
          </w:p>
        </w:tc>
        <w:tc>
          <w:tcPr>
            <w:tcW w:w="120" w:type="dxa"/>
            <w:vAlign w:val="bottom"/>
            <w:tcBorders>
              <w:right w:val="single" w:sz="8" w:color="auto"/>
            </w:tcBorders>
            <w:shd w:val="clear" w:color="auto" w:fill="E5EDFE"/>
          </w:tcPr>
          <w:p>
            <w:pPr>
              <w:spacing w:after="0"/>
              <w:rPr>
                <w:sz w:val="12"/>
                <w:szCs w:val="12"/>
                <w:color w:val="auto"/>
              </w:rPr>
            </w:pPr>
          </w:p>
        </w:tc>
        <w:tc>
          <w:tcPr>
            <w:tcW w:w="72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540" w:type="dxa"/>
            <w:vAlign w:val="bottom"/>
            <w:shd w:val="clear" w:color="auto" w:fill="E5EDFE"/>
          </w:tcPr>
          <w:p>
            <w:pPr>
              <w:jc w:val="right"/>
              <w:spacing w:after="0" w:line="145" w:lineRule="exact"/>
              <w:rPr>
                <w:sz w:val="20"/>
                <w:szCs w:val="20"/>
                <w:color w:val="auto"/>
              </w:rPr>
            </w:pPr>
            <w:r>
              <w:rPr>
                <w:rFonts w:ascii="Arial" w:cs="Arial" w:eastAsia="Arial" w:hAnsi="Arial"/>
                <w:sz w:val="16"/>
                <w:szCs w:val="16"/>
                <w:color w:val="auto"/>
                <w:vertAlign w:val="subscript"/>
              </w:rPr>
              <w:t>0</w:t>
            </w:r>
            <w:r>
              <w:rPr>
                <w:rFonts w:ascii="Arial" w:cs="Arial" w:eastAsia="Arial" w:hAnsi="Arial"/>
                <w:sz w:val="8"/>
                <w:szCs w:val="8"/>
                <w:color w:val="auto"/>
              </w:rPr>
              <w:t>(8</w:t>
            </w:r>
          </w:p>
        </w:tc>
        <w:tc>
          <w:tcPr>
            <w:tcW w:w="60" w:type="dxa"/>
            <w:vAlign w:val="bottom"/>
            <w:vMerge w:val="continue"/>
          </w:tcPr>
          <w:p>
            <w:pPr>
              <w:spacing w:after="0"/>
              <w:rPr>
                <w:sz w:val="12"/>
                <w:szCs w:val="12"/>
                <w:color w:val="auto"/>
              </w:rPr>
            </w:pPr>
          </w:p>
        </w:tc>
        <w:tc>
          <w:tcPr>
            <w:tcW w:w="40" w:type="dxa"/>
            <w:vAlign w:val="bottom"/>
            <w:tcBorders>
              <w:right w:val="single" w:sz="8" w:color="auto"/>
            </w:tcBorders>
            <w:vMerge w:val="continue"/>
          </w:tcPr>
          <w:p>
            <w:pPr>
              <w:spacing w:after="0"/>
              <w:rPr>
                <w:sz w:val="12"/>
                <w:szCs w:val="12"/>
                <w:color w:val="auto"/>
              </w:rPr>
            </w:pPr>
          </w:p>
        </w:tc>
        <w:tc>
          <w:tcPr>
            <w:tcW w:w="14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00" w:type="dxa"/>
            <w:vAlign w:val="bottom"/>
            <w:tcBorders>
              <w:right w:val="single" w:sz="8" w:color="auto"/>
            </w:tcBorders>
            <w:shd w:val="clear" w:color="auto" w:fill="E5EDF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520" w:type="dxa"/>
            <w:vAlign w:val="bottom"/>
            <w:tcBorders>
              <w:left w:val="single" w:sz="8" w:color="auto"/>
              <w:right w:val="single" w:sz="8" w:color="auto"/>
            </w:tcBorders>
            <w:shd w:val="clear" w:color="auto" w:fill="E5EDFE"/>
          </w:tcPr>
          <w:p>
            <w:pPr>
              <w:spacing w:after="0"/>
              <w:rPr>
                <w:sz w:val="3"/>
                <w:szCs w:val="3"/>
                <w:color w:val="auto"/>
              </w:rPr>
            </w:pPr>
          </w:p>
        </w:tc>
        <w:tc>
          <w:tcPr>
            <w:tcW w:w="100" w:type="dxa"/>
            <w:vAlign w:val="bottom"/>
            <w:vMerge w:val="restart"/>
            <w:shd w:val="clear" w:color="auto" w:fill="E5EDFE"/>
          </w:tcPr>
          <w:p>
            <w:pPr>
              <w:spacing w:after="0"/>
              <w:rPr>
                <w:sz w:val="3"/>
                <w:szCs w:val="3"/>
                <w:color w:val="auto"/>
              </w:rPr>
            </w:pPr>
          </w:p>
        </w:tc>
        <w:tc>
          <w:tcPr>
            <w:tcW w:w="660" w:type="dxa"/>
            <w:vAlign w:val="bottom"/>
            <w:vMerge w:val="restart"/>
            <w:shd w:val="clear" w:color="auto" w:fill="E5EDFE"/>
          </w:tcPr>
          <w:p>
            <w:pPr>
              <w:jc w:val="right"/>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(4</w:t>
            </w:r>
          </w:p>
        </w:tc>
        <w:tc>
          <w:tcPr>
            <w:tcW w:w="120" w:type="dxa"/>
            <w:vAlign w:val="bottom"/>
            <w:tcBorders>
              <w:right w:val="single" w:sz="8" w:color="auto"/>
            </w:tcBorders>
            <w:vMerge w:val="restart"/>
          </w:tcPr>
          <w:p>
            <w:pPr>
              <w:jc w:val="right"/>
              <w:ind w:right="95"/>
              <w:spacing w:after="0"/>
              <w:rPr>
                <w:sz w:val="20"/>
                <w:szCs w:val="20"/>
                <w:color w:val="auto"/>
              </w:rPr>
            </w:pPr>
            <w:r>
              <w:rPr>
                <w:rFonts w:ascii="Arial" w:cs="Arial" w:eastAsia="Arial" w:hAnsi="Arial"/>
                <w:sz w:val="1"/>
                <w:szCs w:val="1"/>
                <w:color w:val="auto"/>
                <w:w w:val="4294967281"/>
              </w:rPr>
              <w:t>)</w:t>
            </w:r>
          </w:p>
        </w:tc>
        <w:tc>
          <w:tcPr>
            <w:tcW w:w="18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4,986</w:t>
            </w:r>
          </w:p>
        </w:tc>
        <w:tc>
          <w:tcPr>
            <w:tcW w:w="220" w:type="dxa"/>
            <w:vAlign w:val="bottom"/>
            <w:tcBorders>
              <w:right w:val="single" w:sz="8" w:color="auto"/>
            </w:tcBorders>
            <w:shd w:val="clear" w:color="auto" w:fill="E5EDFE"/>
          </w:tcPr>
          <w:p>
            <w:pPr>
              <w:spacing w:after="0"/>
              <w:rPr>
                <w:sz w:val="3"/>
                <w:szCs w:val="3"/>
                <w:color w:val="auto"/>
              </w:rPr>
            </w:pPr>
          </w:p>
        </w:tc>
        <w:tc>
          <w:tcPr>
            <w:tcW w:w="24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14,960</w:t>
            </w:r>
          </w:p>
        </w:tc>
        <w:tc>
          <w:tcPr>
            <w:tcW w:w="2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120" w:type="dxa"/>
            <w:vAlign w:val="bottom"/>
            <w:shd w:val="clear" w:color="auto" w:fill="E5EDFE"/>
          </w:tcPr>
          <w:p>
            <w:pPr>
              <w:spacing w:after="0"/>
              <w:rPr>
                <w:sz w:val="3"/>
                <w:szCs w:val="3"/>
                <w:color w:val="auto"/>
              </w:rPr>
            </w:pPr>
          </w:p>
        </w:tc>
        <w:tc>
          <w:tcPr>
            <w:tcW w:w="36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w w:val="96"/>
              </w:rPr>
              <w:t>25.30</w:t>
            </w:r>
          </w:p>
        </w:tc>
        <w:tc>
          <w:tcPr>
            <w:tcW w:w="1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78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9/6/20</w:t>
            </w:r>
          </w:p>
        </w:tc>
        <w:tc>
          <w:tcPr>
            <w:tcW w:w="100" w:type="dxa"/>
            <w:vAlign w:val="bottom"/>
            <w:vMerge w:val="restart"/>
            <w:shd w:val="clear" w:color="auto" w:fill="E5EDFE"/>
          </w:tcPr>
          <w:p>
            <w:pPr>
              <w:spacing w:after="0"/>
              <w:rPr>
                <w:sz w:val="3"/>
                <w:szCs w:val="3"/>
                <w:color w:val="auto"/>
              </w:rPr>
            </w:pPr>
          </w:p>
        </w:tc>
        <w:tc>
          <w:tcPr>
            <w:tcW w:w="660" w:type="dxa"/>
            <w:vAlign w:val="bottom"/>
            <w:vMerge w:val="restart"/>
            <w:shd w:val="clear" w:color="auto" w:fill="E5EDFE"/>
          </w:tcPr>
          <w:p>
            <w:pPr>
              <w:jc w:val="right"/>
              <w:spacing w:after="0" w:line="189" w:lineRule="exact"/>
              <w:rPr>
                <w:sz w:val="20"/>
                <w:szCs w:val="20"/>
                <w:color w:val="auto"/>
              </w:rPr>
            </w:pPr>
            <w:r>
              <w:rPr>
                <w:rFonts w:ascii="Arial" w:cs="Arial" w:eastAsia="Arial" w:hAnsi="Arial"/>
                <w:sz w:val="14"/>
                <w:szCs w:val="14"/>
                <w:color w:val="auto"/>
                <w:w w:val="95"/>
              </w:rPr>
              <w:t>10/11/12</w:t>
            </w:r>
            <w:r>
              <w:rPr>
                <w:rFonts w:ascii="Arial" w:cs="Arial" w:eastAsia="Arial" w:hAnsi="Arial"/>
                <w:sz w:val="21"/>
                <w:szCs w:val="21"/>
                <w:color w:val="auto"/>
                <w:w w:val="95"/>
                <w:vertAlign w:val="superscript"/>
              </w:rPr>
              <w:t>(6</w:t>
            </w:r>
          </w:p>
        </w:tc>
        <w:tc>
          <w:tcPr>
            <w:tcW w:w="80" w:type="dxa"/>
            <w:vAlign w:val="bottom"/>
            <w:vMerge w:val="restart"/>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vMerge w:val="restart"/>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4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3,814</w:t>
            </w:r>
          </w:p>
        </w:tc>
        <w:tc>
          <w:tcPr>
            <w:tcW w:w="120" w:type="dxa"/>
            <w:vAlign w:val="bottom"/>
            <w:tcBorders>
              <w:right w:val="single" w:sz="8" w:color="auto"/>
            </w:tcBorders>
            <w:shd w:val="clear" w:color="auto" w:fill="E5EDFE"/>
          </w:tcPr>
          <w:p>
            <w:pPr>
              <w:spacing w:after="0"/>
              <w:rPr>
                <w:sz w:val="3"/>
                <w:szCs w:val="3"/>
                <w:color w:val="auto"/>
              </w:rPr>
            </w:pPr>
          </w:p>
        </w:tc>
        <w:tc>
          <w:tcPr>
            <w:tcW w:w="72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105,419</w:t>
            </w:r>
          </w:p>
        </w:tc>
        <w:tc>
          <w:tcPr>
            <w:tcW w:w="100" w:type="dxa"/>
            <w:vAlign w:val="bottom"/>
            <w:shd w:val="clear" w:color="auto" w:fill="E5EDFE"/>
          </w:tcPr>
          <w:p>
            <w:pPr>
              <w:spacing w:after="0"/>
              <w:rPr>
                <w:sz w:val="3"/>
                <w:szCs w:val="3"/>
                <w:color w:val="auto"/>
              </w:rPr>
            </w:pPr>
          </w:p>
        </w:tc>
        <w:tc>
          <w:tcPr>
            <w:tcW w:w="540" w:type="dxa"/>
            <w:vAlign w:val="bottom"/>
            <w:shd w:val="clear" w:color="auto" w:fill="E5EDF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40" w:type="dxa"/>
            <w:vAlign w:val="bottom"/>
            <w:shd w:val="clear" w:color="auto" w:fill="E5EDFE"/>
          </w:tcPr>
          <w:p>
            <w:pPr>
              <w:spacing w:after="0"/>
              <w:rPr>
                <w:sz w:val="3"/>
                <w:szCs w:val="3"/>
                <w:color w:val="auto"/>
              </w:rPr>
            </w:pPr>
          </w:p>
        </w:tc>
        <w:tc>
          <w:tcPr>
            <w:tcW w:w="540" w:type="dxa"/>
            <w:vAlign w:val="bottom"/>
            <w:shd w:val="clear" w:color="auto" w:fill="E5EDFE"/>
          </w:tcPr>
          <w:p>
            <w:pPr>
              <w:spacing w:after="0"/>
              <w:rPr>
                <w:sz w:val="3"/>
                <w:szCs w:val="3"/>
                <w:color w:val="auto"/>
              </w:rPr>
            </w:pPr>
          </w:p>
        </w:tc>
        <w:tc>
          <w:tcPr>
            <w:tcW w:w="200" w:type="dxa"/>
            <w:vAlign w:val="bottom"/>
            <w:tcBorders>
              <w:right w:val="single" w:sz="8" w:color="auto"/>
            </w:tcBorders>
            <w:shd w:val="clear" w:color="auto" w:fill="E5EDF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right w:val="single" w:sz="8" w:color="auto"/>
            </w:tcBorders>
            <w:shd w:val="clear" w:color="auto" w:fill="E5EDFE"/>
          </w:tcPr>
          <w:p>
            <w:pPr>
              <w:spacing w:after="0"/>
              <w:rPr>
                <w:sz w:val="12"/>
                <w:szCs w:val="12"/>
                <w:color w:val="auto"/>
              </w:rPr>
            </w:pPr>
          </w:p>
        </w:tc>
        <w:tc>
          <w:tcPr>
            <w:tcW w:w="100" w:type="dxa"/>
            <w:vAlign w:val="bottom"/>
            <w:vMerge w:val="continue"/>
            <w:shd w:val="clear" w:color="auto" w:fill="E5EDFE"/>
          </w:tcPr>
          <w:p>
            <w:pPr>
              <w:spacing w:after="0"/>
              <w:rPr>
                <w:sz w:val="12"/>
                <w:szCs w:val="12"/>
                <w:color w:val="auto"/>
              </w:rPr>
            </w:pPr>
          </w:p>
        </w:tc>
        <w:tc>
          <w:tcPr>
            <w:tcW w:w="660" w:type="dxa"/>
            <w:vAlign w:val="bottom"/>
            <w:vMerge w:val="continue"/>
            <w:shd w:val="clear" w:color="auto" w:fill="E5EDF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18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20" w:type="dxa"/>
            <w:vAlign w:val="bottom"/>
            <w:tcBorders>
              <w:right w:val="single" w:sz="8" w:color="auto"/>
            </w:tcBorders>
            <w:shd w:val="clear" w:color="auto" w:fill="E5EDFE"/>
          </w:tcPr>
          <w:p>
            <w:pPr>
              <w:spacing w:after="0"/>
              <w:rPr>
                <w:sz w:val="12"/>
                <w:szCs w:val="12"/>
                <w:color w:val="auto"/>
              </w:rPr>
            </w:pPr>
          </w:p>
        </w:tc>
        <w:tc>
          <w:tcPr>
            <w:tcW w:w="24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120" w:type="dxa"/>
            <w:vAlign w:val="bottom"/>
            <w:shd w:val="clear" w:color="auto" w:fill="E5EDFE"/>
          </w:tcPr>
          <w:p>
            <w:pPr>
              <w:spacing w:after="0"/>
              <w:rPr>
                <w:sz w:val="12"/>
                <w:szCs w:val="12"/>
                <w:color w:val="auto"/>
              </w:rPr>
            </w:pPr>
          </w:p>
        </w:tc>
        <w:tc>
          <w:tcPr>
            <w:tcW w:w="360" w:type="dxa"/>
            <w:vAlign w:val="bottom"/>
            <w:vMerge w:val="continue"/>
            <w:shd w:val="clear" w:color="auto" w:fill="E5EDFE"/>
          </w:tcPr>
          <w:p>
            <w:pPr>
              <w:spacing w:after="0"/>
              <w:rPr>
                <w:sz w:val="12"/>
                <w:szCs w:val="12"/>
                <w:color w:val="auto"/>
              </w:rPr>
            </w:pPr>
          </w:p>
        </w:tc>
        <w:tc>
          <w:tcPr>
            <w:tcW w:w="1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78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vMerge w:val="continue"/>
            <w:shd w:val="clear" w:color="auto" w:fill="E5EDFE"/>
          </w:tcPr>
          <w:p>
            <w:pPr>
              <w:spacing w:after="0"/>
              <w:rPr>
                <w:sz w:val="12"/>
                <w:szCs w:val="12"/>
                <w:color w:val="auto"/>
              </w:rPr>
            </w:pPr>
          </w:p>
        </w:tc>
        <w:tc>
          <w:tcPr>
            <w:tcW w:w="660" w:type="dxa"/>
            <w:vAlign w:val="bottom"/>
            <w:vMerge w:val="continue"/>
            <w:shd w:val="clear" w:color="auto" w:fill="E5EDF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Borders>
              <w:right w:val="single" w:sz="8" w:color="auto"/>
            </w:tcBorders>
            <w:vMerge w:val="continu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440" w:type="dxa"/>
            <w:vAlign w:val="bottom"/>
            <w:vMerge w:val="continue"/>
            <w:shd w:val="clear" w:color="auto" w:fill="E5EDFE"/>
          </w:tcPr>
          <w:p>
            <w:pPr>
              <w:spacing w:after="0"/>
              <w:rPr>
                <w:sz w:val="12"/>
                <w:szCs w:val="12"/>
                <w:color w:val="auto"/>
              </w:rPr>
            </w:pPr>
          </w:p>
        </w:tc>
        <w:tc>
          <w:tcPr>
            <w:tcW w:w="120" w:type="dxa"/>
            <w:vAlign w:val="bottom"/>
            <w:tcBorders>
              <w:right w:val="single" w:sz="8" w:color="auto"/>
            </w:tcBorders>
            <w:shd w:val="clear" w:color="auto" w:fill="E5EDFE"/>
          </w:tcPr>
          <w:p>
            <w:pPr>
              <w:spacing w:after="0"/>
              <w:rPr>
                <w:sz w:val="12"/>
                <w:szCs w:val="12"/>
                <w:color w:val="auto"/>
              </w:rPr>
            </w:pPr>
          </w:p>
        </w:tc>
        <w:tc>
          <w:tcPr>
            <w:tcW w:w="72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540" w:type="dxa"/>
            <w:vAlign w:val="bottom"/>
            <w:shd w:val="clear" w:color="auto" w:fill="E5EDFE"/>
          </w:tcPr>
          <w:p>
            <w:pPr>
              <w:spacing w:after="0"/>
              <w:rPr>
                <w:sz w:val="12"/>
                <w:szCs w:val="12"/>
                <w:color w:val="auto"/>
              </w:rPr>
            </w:pPr>
          </w:p>
        </w:tc>
        <w:tc>
          <w:tcPr>
            <w:tcW w:w="60" w:type="dxa"/>
            <w:vAlign w:val="bottom"/>
            <w:shd w:val="clear" w:color="auto" w:fill="E5EDF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0" w:type="dxa"/>
            <w:vAlign w:val="bottom"/>
            <w:shd w:val="clear" w:color="auto" w:fill="E5EDFE"/>
          </w:tcPr>
          <w:p>
            <w:pPr>
              <w:spacing w:after="0"/>
              <w:rPr>
                <w:sz w:val="12"/>
                <w:szCs w:val="12"/>
                <w:color w:val="auto"/>
              </w:rPr>
            </w:pPr>
          </w:p>
        </w:tc>
        <w:tc>
          <w:tcPr>
            <w:tcW w:w="540" w:type="dxa"/>
            <w:vAlign w:val="bottom"/>
            <w:shd w:val="clear" w:color="auto" w:fill="E5EDFE"/>
          </w:tcPr>
          <w:p>
            <w:pPr>
              <w:spacing w:after="0"/>
              <w:rPr>
                <w:sz w:val="12"/>
                <w:szCs w:val="12"/>
                <w:color w:val="auto"/>
              </w:rPr>
            </w:pPr>
          </w:p>
        </w:tc>
        <w:tc>
          <w:tcPr>
            <w:tcW w:w="200" w:type="dxa"/>
            <w:vAlign w:val="bottom"/>
            <w:tcBorders>
              <w:right w:val="single" w:sz="8" w:color="auto"/>
            </w:tcBorders>
            <w:shd w:val="clear" w:color="auto" w:fill="E5EDF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520" w:type="dxa"/>
            <w:vAlign w:val="bottom"/>
            <w:tcBorders>
              <w:left w:val="single" w:sz="8" w:color="auto"/>
              <w:right w:val="single" w:sz="8" w:color="auto"/>
            </w:tcBorders>
            <w:shd w:val="clear" w:color="auto" w:fill="E5EDFE"/>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660" w:type="dxa"/>
            <w:vAlign w:val="bottom"/>
            <w:shd w:val="clear" w:color="auto" w:fill="E5EDF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80" w:type="dxa"/>
            <w:vAlign w:val="bottom"/>
            <w:shd w:val="clear" w:color="auto" w:fill="E5EDFE"/>
          </w:tcPr>
          <w:p>
            <w:pPr>
              <w:spacing w:after="0"/>
              <w:rPr>
                <w:sz w:val="3"/>
                <w:szCs w:val="3"/>
                <w:color w:val="auto"/>
              </w:rPr>
            </w:pPr>
          </w:p>
        </w:tc>
        <w:tc>
          <w:tcPr>
            <w:tcW w:w="540" w:type="dxa"/>
            <w:vAlign w:val="bottom"/>
            <w:shd w:val="clear" w:color="auto" w:fill="E5EDFE"/>
          </w:tcPr>
          <w:p>
            <w:pPr>
              <w:spacing w:after="0"/>
              <w:rPr>
                <w:sz w:val="3"/>
                <w:szCs w:val="3"/>
                <w:color w:val="auto"/>
              </w:rPr>
            </w:pPr>
          </w:p>
        </w:tc>
        <w:tc>
          <w:tcPr>
            <w:tcW w:w="220" w:type="dxa"/>
            <w:vAlign w:val="bottom"/>
            <w:tcBorders>
              <w:right w:val="single" w:sz="8" w:color="auto"/>
            </w:tcBorders>
            <w:shd w:val="clear" w:color="auto" w:fill="E5EDFE"/>
          </w:tcPr>
          <w:p>
            <w:pPr>
              <w:spacing w:after="0"/>
              <w:rPr>
                <w:sz w:val="3"/>
                <w:szCs w:val="3"/>
                <w:color w:val="auto"/>
              </w:rPr>
            </w:pPr>
          </w:p>
        </w:tc>
        <w:tc>
          <w:tcPr>
            <w:tcW w:w="240" w:type="dxa"/>
            <w:vAlign w:val="bottom"/>
            <w:shd w:val="clear" w:color="auto" w:fill="E5EDFE"/>
          </w:tcPr>
          <w:p>
            <w:pPr>
              <w:spacing w:after="0"/>
              <w:rPr>
                <w:sz w:val="3"/>
                <w:szCs w:val="3"/>
                <w:color w:val="auto"/>
              </w:rPr>
            </w:pPr>
          </w:p>
        </w:tc>
        <w:tc>
          <w:tcPr>
            <w:tcW w:w="540" w:type="dxa"/>
            <w:vAlign w:val="bottom"/>
            <w:shd w:val="clear" w:color="auto" w:fill="E5EDFE"/>
          </w:tcPr>
          <w:p>
            <w:pPr>
              <w:spacing w:after="0"/>
              <w:rPr>
                <w:sz w:val="3"/>
                <w:szCs w:val="3"/>
                <w:color w:val="auto"/>
              </w:rPr>
            </w:pPr>
          </w:p>
        </w:tc>
        <w:tc>
          <w:tcPr>
            <w:tcW w:w="2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120" w:type="dxa"/>
            <w:vAlign w:val="bottom"/>
            <w:shd w:val="clear" w:color="auto" w:fill="E5EDFE"/>
          </w:tcPr>
          <w:p>
            <w:pPr>
              <w:spacing w:after="0"/>
              <w:rPr>
                <w:sz w:val="3"/>
                <w:szCs w:val="3"/>
                <w:color w:val="auto"/>
              </w:rPr>
            </w:pPr>
          </w:p>
        </w:tc>
        <w:tc>
          <w:tcPr>
            <w:tcW w:w="360" w:type="dxa"/>
            <w:vAlign w:val="bottom"/>
            <w:shd w:val="clear" w:color="auto" w:fill="E5EDFE"/>
          </w:tcPr>
          <w:p>
            <w:pPr>
              <w:spacing w:after="0"/>
              <w:rPr>
                <w:sz w:val="3"/>
                <w:szCs w:val="3"/>
                <w:color w:val="auto"/>
              </w:rPr>
            </w:pPr>
          </w:p>
        </w:tc>
        <w:tc>
          <w:tcPr>
            <w:tcW w:w="1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780" w:type="dxa"/>
            <w:vAlign w:val="bottom"/>
            <w:tcBorders>
              <w:right w:val="single" w:sz="8" w:color="auto"/>
            </w:tcBorders>
            <w:shd w:val="clear" w:color="auto" w:fill="E5EDFE"/>
          </w:tcPr>
          <w:p>
            <w:pPr>
              <w:spacing w:after="0"/>
              <w:rPr>
                <w:sz w:val="3"/>
                <w:szCs w:val="3"/>
                <w:color w:val="auto"/>
              </w:rPr>
            </w:pPr>
          </w:p>
        </w:tc>
        <w:tc>
          <w:tcPr>
            <w:tcW w:w="100" w:type="dxa"/>
            <w:vAlign w:val="bottom"/>
            <w:vMerge w:val="restart"/>
            <w:shd w:val="clear" w:color="auto" w:fill="E5EDFE"/>
          </w:tcPr>
          <w:p>
            <w:pPr>
              <w:spacing w:after="0"/>
              <w:rPr>
                <w:sz w:val="3"/>
                <w:szCs w:val="3"/>
                <w:color w:val="auto"/>
              </w:rPr>
            </w:pPr>
          </w:p>
        </w:tc>
        <w:tc>
          <w:tcPr>
            <w:tcW w:w="660" w:type="dxa"/>
            <w:vAlign w:val="bottom"/>
            <w:vMerge w:val="restart"/>
            <w:shd w:val="clear" w:color="auto" w:fill="E5EDFE"/>
          </w:tcPr>
          <w:p>
            <w:pPr>
              <w:jc w:val="right"/>
              <w:spacing w:after="0" w:line="189" w:lineRule="exact"/>
              <w:rPr>
                <w:sz w:val="20"/>
                <w:szCs w:val="20"/>
                <w:color w:val="auto"/>
              </w:rPr>
            </w:pPr>
            <w:r>
              <w:rPr>
                <w:rFonts w:ascii="Arial" w:cs="Arial" w:eastAsia="Arial" w:hAnsi="Arial"/>
                <w:sz w:val="14"/>
                <w:szCs w:val="14"/>
                <w:color w:val="auto"/>
              </w:rPr>
              <w:t>1/14/13</w:t>
            </w:r>
            <w:r>
              <w:rPr>
                <w:rFonts w:ascii="Arial" w:cs="Arial" w:eastAsia="Arial" w:hAnsi="Arial"/>
                <w:sz w:val="21"/>
                <w:szCs w:val="21"/>
                <w:color w:val="auto"/>
                <w:vertAlign w:val="superscript"/>
              </w:rPr>
              <w:t>(7</w:t>
            </w:r>
          </w:p>
        </w:tc>
        <w:tc>
          <w:tcPr>
            <w:tcW w:w="80" w:type="dxa"/>
            <w:vAlign w:val="bottom"/>
            <w:vMerge w:val="restart"/>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4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4,919</w:t>
            </w:r>
          </w:p>
        </w:tc>
        <w:tc>
          <w:tcPr>
            <w:tcW w:w="120" w:type="dxa"/>
            <w:vAlign w:val="bottom"/>
            <w:tcBorders>
              <w:right w:val="single" w:sz="8" w:color="auto"/>
            </w:tcBorders>
            <w:shd w:val="clear" w:color="auto" w:fill="E5EDFE"/>
          </w:tcPr>
          <w:p>
            <w:pPr>
              <w:spacing w:after="0"/>
              <w:rPr>
                <w:sz w:val="3"/>
                <w:szCs w:val="3"/>
                <w:color w:val="auto"/>
              </w:rPr>
            </w:pPr>
          </w:p>
        </w:tc>
        <w:tc>
          <w:tcPr>
            <w:tcW w:w="72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135,961</w:t>
            </w:r>
          </w:p>
        </w:tc>
        <w:tc>
          <w:tcPr>
            <w:tcW w:w="100" w:type="dxa"/>
            <w:vAlign w:val="bottom"/>
            <w:vMerge w:val="restart"/>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line="189" w:lineRule="exact"/>
              <w:rPr>
                <w:sz w:val="20"/>
                <w:szCs w:val="20"/>
                <w:color w:val="auto"/>
              </w:rPr>
            </w:pPr>
            <w:r>
              <w:rPr>
                <w:rFonts w:ascii="Arial" w:cs="Arial" w:eastAsia="Arial" w:hAnsi="Arial"/>
                <w:sz w:val="14"/>
                <w:szCs w:val="14"/>
                <w:color w:val="auto"/>
              </w:rPr>
              <w:t>7,825</w:t>
            </w:r>
            <w:r>
              <w:rPr>
                <w:rFonts w:ascii="Arial" w:cs="Arial" w:eastAsia="Arial" w:hAnsi="Arial"/>
                <w:sz w:val="21"/>
                <w:szCs w:val="21"/>
                <w:color w:val="auto"/>
                <w:vertAlign w:val="superscript"/>
              </w:rPr>
              <w:t>(8</w:t>
            </w:r>
          </w:p>
        </w:tc>
        <w:tc>
          <w:tcPr>
            <w:tcW w:w="60" w:type="dxa"/>
            <w:vAlign w:val="bottom"/>
            <w:vMerge w:val="restart"/>
            <w:shd w:val="clear" w:color="auto" w:fill="E5EDFE"/>
          </w:tcPr>
          <w:p>
            <w:pPr>
              <w:jc w:val="right"/>
              <w:ind w:right="35"/>
              <w:spacing w:after="0"/>
              <w:rPr>
                <w:sz w:val="20"/>
                <w:szCs w:val="20"/>
                <w:color w:val="auto"/>
              </w:rPr>
            </w:pPr>
            <w:r>
              <w:rPr>
                <w:rFonts w:ascii="Arial" w:cs="Arial" w:eastAsia="Arial" w:hAnsi="Arial"/>
                <w:sz w:val="1"/>
                <w:szCs w:val="1"/>
                <w:color w:val="auto"/>
                <w:w w:val="4294967281"/>
              </w:rPr>
              <w:t>)</w:t>
            </w:r>
          </w:p>
        </w:tc>
        <w:tc>
          <w:tcPr>
            <w:tcW w:w="40" w:type="dxa"/>
            <w:vAlign w:val="bottom"/>
            <w:tcBorders>
              <w:right w:val="single" w:sz="8" w:color="auto"/>
            </w:tcBorders>
          </w:tcPr>
          <w:p>
            <w:pPr>
              <w:spacing w:after="0"/>
              <w:rPr>
                <w:sz w:val="3"/>
                <w:szCs w:val="3"/>
                <w:color w:val="auto"/>
              </w:rPr>
            </w:pPr>
          </w:p>
        </w:tc>
        <w:tc>
          <w:tcPr>
            <w:tcW w:w="14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216,283</w:t>
            </w:r>
          </w:p>
        </w:tc>
        <w:tc>
          <w:tcPr>
            <w:tcW w:w="200" w:type="dxa"/>
            <w:vAlign w:val="bottom"/>
            <w:tcBorders>
              <w:right w:val="single" w:sz="8" w:color="auto"/>
            </w:tcBorders>
            <w:shd w:val="clear" w:color="auto" w:fill="E5EDF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right w:val="single" w:sz="8" w:color="auto"/>
            </w:tcBorders>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660" w:type="dxa"/>
            <w:vAlign w:val="bottom"/>
            <w:shd w:val="clear" w:color="auto" w:fill="E5EDF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0" w:type="dxa"/>
            <w:vAlign w:val="bottom"/>
            <w:shd w:val="clear" w:color="auto" w:fill="E5EDFE"/>
          </w:tcPr>
          <w:p>
            <w:pPr>
              <w:spacing w:after="0"/>
              <w:rPr>
                <w:sz w:val="12"/>
                <w:szCs w:val="12"/>
                <w:color w:val="auto"/>
              </w:rPr>
            </w:pPr>
          </w:p>
        </w:tc>
        <w:tc>
          <w:tcPr>
            <w:tcW w:w="540" w:type="dxa"/>
            <w:vAlign w:val="bottom"/>
            <w:shd w:val="clear" w:color="auto" w:fill="E5EDFE"/>
          </w:tcPr>
          <w:p>
            <w:pPr>
              <w:spacing w:after="0"/>
              <w:rPr>
                <w:sz w:val="12"/>
                <w:szCs w:val="12"/>
                <w:color w:val="auto"/>
              </w:rPr>
            </w:pPr>
          </w:p>
        </w:tc>
        <w:tc>
          <w:tcPr>
            <w:tcW w:w="220" w:type="dxa"/>
            <w:vAlign w:val="bottom"/>
            <w:tcBorders>
              <w:right w:val="single" w:sz="8" w:color="auto"/>
            </w:tcBorders>
            <w:shd w:val="clear" w:color="auto" w:fill="E5EDFE"/>
          </w:tcPr>
          <w:p>
            <w:pPr>
              <w:spacing w:after="0"/>
              <w:rPr>
                <w:sz w:val="12"/>
                <w:szCs w:val="12"/>
                <w:color w:val="auto"/>
              </w:rPr>
            </w:pPr>
          </w:p>
        </w:tc>
        <w:tc>
          <w:tcPr>
            <w:tcW w:w="240" w:type="dxa"/>
            <w:vAlign w:val="bottom"/>
            <w:shd w:val="clear" w:color="auto" w:fill="E5EDFE"/>
          </w:tcPr>
          <w:p>
            <w:pPr>
              <w:spacing w:after="0"/>
              <w:rPr>
                <w:sz w:val="12"/>
                <w:szCs w:val="12"/>
                <w:color w:val="auto"/>
              </w:rPr>
            </w:pPr>
          </w:p>
        </w:tc>
        <w:tc>
          <w:tcPr>
            <w:tcW w:w="540" w:type="dxa"/>
            <w:vAlign w:val="bottom"/>
            <w:shd w:val="clear" w:color="auto" w:fill="E5EDFE"/>
          </w:tcPr>
          <w:p>
            <w:pPr>
              <w:spacing w:after="0"/>
              <w:rPr>
                <w:sz w:val="12"/>
                <w:szCs w:val="12"/>
                <w:color w:val="auto"/>
              </w:rPr>
            </w:pPr>
          </w:p>
        </w:tc>
        <w:tc>
          <w:tcPr>
            <w:tcW w:w="2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120" w:type="dxa"/>
            <w:vAlign w:val="bottom"/>
            <w:shd w:val="clear" w:color="auto" w:fill="E5EDFE"/>
          </w:tcPr>
          <w:p>
            <w:pPr>
              <w:spacing w:after="0"/>
              <w:rPr>
                <w:sz w:val="12"/>
                <w:szCs w:val="12"/>
                <w:color w:val="auto"/>
              </w:rPr>
            </w:pPr>
          </w:p>
        </w:tc>
        <w:tc>
          <w:tcPr>
            <w:tcW w:w="360" w:type="dxa"/>
            <w:vAlign w:val="bottom"/>
            <w:shd w:val="clear" w:color="auto" w:fill="E5EDFE"/>
          </w:tcPr>
          <w:p>
            <w:pPr>
              <w:spacing w:after="0"/>
              <w:rPr>
                <w:sz w:val="12"/>
                <w:szCs w:val="12"/>
                <w:color w:val="auto"/>
              </w:rPr>
            </w:pPr>
          </w:p>
        </w:tc>
        <w:tc>
          <w:tcPr>
            <w:tcW w:w="1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780" w:type="dxa"/>
            <w:vAlign w:val="bottom"/>
            <w:tcBorders>
              <w:right w:val="single" w:sz="8" w:color="auto"/>
            </w:tcBorders>
            <w:shd w:val="clear" w:color="auto" w:fill="E5EDFE"/>
          </w:tcPr>
          <w:p>
            <w:pPr>
              <w:spacing w:after="0"/>
              <w:rPr>
                <w:sz w:val="12"/>
                <w:szCs w:val="12"/>
                <w:color w:val="auto"/>
              </w:rPr>
            </w:pPr>
          </w:p>
        </w:tc>
        <w:tc>
          <w:tcPr>
            <w:tcW w:w="100" w:type="dxa"/>
            <w:vAlign w:val="bottom"/>
            <w:vMerge w:val="continue"/>
            <w:shd w:val="clear" w:color="auto" w:fill="E5EDFE"/>
          </w:tcPr>
          <w:p>
            <w:pPr>
              <w:spacing w:after="0"/>
              <w:rPr>
                <w:sz w:val="12"/>
                <w:szCs w:val="12"/>
                <w:color w:val="auto"/>
              </w:rPr>
            </w:pPr>
          </w:p>
        </w:tc>
        <w:tc>
          <w:tcPr>
            <w:tcW w:w="660" w:type="dxa"/>
            <w:vAlign w:val="bottom"/>
            <w:vMerge w:val="continue"/>
            <w:shd w:val="clear" w:color="auto" w:fill="E5EDF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Borders>
              <w:right w:val="single" w:sz="8" w:color="auto"/>
            </w:tcBorders>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440" w:type="dxa"/>
            <w:vAlign w:val="bottom"/>
            <w:vMerge w:val="continue"/>
            <w:shd w:val="clear" w:color="auto" w:fill="E5EDFE"/>
          </w:tcPr>
          <w:p>
            <w:pPr>
              <w:spacing w:after="0"/>
              <w:rPr>
                <w:sz w:val="12"/>
                <w:szCs w:val="12"/>
                <w:color w:val="auto"/>
              </w:rPr>
            </w:pPr>
          </w:p>
        </w:tc>
        <w:tc>
          <w:tcPr>
            <w:tcW w:w="120" w:type="dxa"/>
            <w:vAlign w:val="bottom"/>
            <w:tcBorders>
              <w:right w:val="single" w:sz="8" w:color="auto"/>
            </w:tcBorders>
            <w:shd w:val="clear" w:color="auto" w:fill="E5EDFE"/>
          </w:tcPr>
          <w:p>
            <w:pPr>
              <w:spacing w:after="0"/>
              <w:rPr>
                <w:sz w:val="12"/>
                <w:szCs w:val="12"/>
                <w:color w:val="auto"/>
              </w:rPr>
            </w:pPr>
          </w:p>
        </w:tc>
        <w:tc>
          <w:tcPr>
            <w:tcW w:w="72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vMerge w:val="continue"/>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60" w:type="dxa"/>
            <w:vAlign w:val="bottom"/>
            <w:vMerge w:val="continue"/>
            <w:shd w:val="clear" w:color="auto" w:fill="E5EDFE"/>
          </w:tcPr>
          <w:p>
            <w:pPr>
              <w:spacing w:after="0"/>
              <w:rPr>
                <w:sz w:val="12"/>
                <w:szCs w:val="12"/>
                <w:color w:val="auto"/>
              </w:rPr>
            </w:pPr>
          </w:p>
        </w:tc>
        <w:tc>
          <w:tcPr>
            <w:tcW w:w="40" w:type="dxa"/>
            <w:vAlign w:val="bottom"/>
            <w:tcBorders>
              <w:right w:val="single" w:sz="8" w:color="auto"/>
            </w:tcBorders>
            <w:shd w:val="clear" w:color="auto" w:fill="E5EDFE"/>
          </w:tcPr>
          <w:p>
            <w:pPr>
              <w:spacing w:after="0"/>
              <w:rPr>
                <w:sz w:val="12"/>
                <w:szCs w:val="12"/>
                <w:color w:val="auto"/>
              </w:rPr>
            </w:pPr>
          </w:p>
        </w:tc>
        <w:tc>
          <w:tcPr>
            <w:tcW w:w="14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00" w:type="dxa"/>
            <w:vAlign w:val="bottom"/>
            <w:tcBorders>
              <w:right w:val="single" w:sz="8" w:color="auto"/>
            </w:tcBorders>
            <w:shd w:val="clear" w:color="auto" w:fill="E5EDF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20" w:type="dxa"/>
            <w:vAlign w:val="bottom"/>
            <w:tcBorders>
              <w:right w:val="single" w:sz="8" w:color="auto"/>
            </w:tcBorders>
            <w:shd w:val="clear" w:color="auto" w:fill="E5EDFE"/>
          </w:tcPr>
          <w:p>
            <w:pPr>
              <w:spacing w:after="0"/>
              <w:rPr>
                <w:sz w:val="16"/>
                <w:szCs w:val="16"/>
                <w:color w:val="auto"/>
              </w:rPr>
            </w:pPr>
          </w:p>
        </w:tc>
        <w:tc>
          <w:tcPr>
            <w:tcW w:w="2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120" w:type="dxa"/>
            <w:vAlign w:val="bottom"/>
            <w:shd w:val="clear" w:color="auto" w:fill="E5EDFE"/>
          </w:tcPr>
          <w:p>
            <w:pPr>
              <w:spacing w:after="0"/>
              <w:rPr>
                <w:sz w:val="16"/>
                <w:szCs w:val="16"/>
                <w:color w:val="auto"/>
              </w:rPr>
            </w:pPr>
          </w:p>
        </w:tc>
        <w:tc>
          <w:tcPr>
            <w:tcW w:w="360" w:type="dxa"/>
            <w:vAlign w:val="bottom"/>
            <w:shd w:val="clear" w:color="auto" w:fill="E5EDFE"/>
          </w:tcPr>
          <w:p>
            <w:pPr>
              <w:spacing w:after="0"/>
              <w:rPr>
                <w:sz w:val="16"/>
                <w:szCs w:val="16"/>
                <w:color w:val="auto"/>
              </w:rPr>
            </w:pPr>
          </w:p>
        </w:tc>
        <w:tc>
          <w:tcPr>
            <w:tcW w:w="1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78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jc w:val="right"/>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(6</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440" w:type="dxa"/>
            <w:vAlign w:val="bottom"/>
            <w:shd w:val="clear" w:color="auto" w:fill="E5EDFE"/>
          </w:tcPr>
          <w:p>
            <w:pPr>
              <w:jc w:val="right"/>
              <w:spacing w:after="0"/>
              <w:rPr>
                <w:sz w:val="20"/>
                <w:szCs w:val="20"/>
                <w:color w:val="auto"/>
              </w:rPr>
            </w:pPr>
            <w:r>
              <w:rPr>
                <w:rFonts w:ascii="Arial" w:cs="Arial" w:eastAsia="Arial" w:hAnsi="Arial"/>
                <w:sz w:val="14"/>
                <w:szCs w:val="14"/>
                <w:color w:val="auto"/>
              </w:rPr>
              <w:t>6,067</w:t>
            </w:r>
          </w:p>
        </w:tc>
        <w:tc>
          <w:tcPr>
            <w:tcW w:w="120" w:type="dxa"/>
            <w:vAlign w:val="bottom"/>
            <w:tcBorders>
              <w:right w:val="single" w:sz="8" w:color="auto"/>
            </w:tcBorders>
            <w:shd w:val="clear" w:color="auto" w:fill="E5EDFE"/>
          </w:tcPr>
          <w:p>
            <w:pPr>
              <w:spacing w:after="0"/>
              <w:rPr>
                <w:sz w:val="16"/>
                <w:szCs w:val="16"/>
                <w:color w:val="auto"/>
              </w:rPr>
            </w:pPr>
          </w:p>
        </w:tc>
        <w:tc>
          <w:tcPr>
            <w:tcW w:w="72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167,692</w:t>
            </w:r>
          </w:p>
        </w:tc>
        <w:tc>
          <w:tcPr>
            <w:tcW w:w="10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60" w:type="dxa"/>
            <w:vAlign w:val="bottom"/>
            <w:shd w:val="clear" w:color="auto" w:fill="E5EDFE"/>
          </w:tcPr>
          <w:p>
            <w:pPr>
              <w:spacing w:after="0"/>
              <w:rPr>
                <w:sz w:val="16"/>
                <w:szCs w:val="16"/>
                <w:color w:val="auto"/>
              </w:rPr>
            </w:pPr>
          </w:p>
        </w:tc>
        <w:tc>
          <w:tcPr>
            <w:tcW w:w="40" w:type="dxa"/>
            <w:vAlign w:val="bottom"/>
            <w:tcBorders>
              <w:right w:val="single" w:sz="8" w:color="auto"/>
            </w:tcBorders>
            <w:shd w:val="clear" w:color="auto" w:fill="E5EDFE"/>
          </w:tcPr>
          <w:p>
            <w:pPr>
              <w:spacing w:after="0"/>
              <w:rPr>
                <w:sz w:val="16"/>
                <w:szCs w:val="16"/>
                <w:color w:val="auto"/>
              </w:rPr>
            </w:pPr>
          </w:p>
        </w:tc>
        <w:tc>
          <w:tcPr>
            <w:tcW w:w="1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0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20" w:type="dxa"/>
            <w:vAlign w:val="bottom"/>
            <w:tcBorders>
              <w:right w:val="single" w:sz="8" w:color="auto"/>
            </w:tcBorders>
            <w:shd w:val="clear" w:color="auto" w:fill="E5EDFE"/>
          </w:tcPr>
          <w:p>
            <w:pPr>
              <w:spacing w:after="0"/>
              <w:rPr>
                <w:sz w:val="16"/>
                <w:szCs w:val="16"/>
                <w:color w:val="auto"/>
              </w:rPr>
            </w:pPr>
          </w:p>
        </w:tc>
        <w:tc>
          <w:tcPr>
            <w:tcW w:w="2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120" w:type="dxa"/>
            <w:vAlign w:val="bottom"/>
            <w:shd w:val="clear" w:color="auto" w:fill="E5EDFE"/>
          </w:tcPr>
          <w:p>
            <w:pPr>
              <w:spacing w:after="0"/>
              <w:rPr>
                <w:sz w:val="16"/>
                <w:szCs w:val="16"/>
                <w:color w:val="auto"/>
              </w:rPr>
            </w:pPr>
          </w:p>
        </w:tc>
        <w:tc>
          <w:tcPr>
            <w:tcW w:w="360" w:type="dxa"/>
            <w:vAlign w:val="bottom"/>
            <w:shd w:val="clear" w:color="auto" w:fill="E5EDFE"/>
          </w:tcPr>
          <w:p>
            <w:pPr>
              <w:spacing w:after="0"/>
              <w:rPr>
                <w:sz w:val="16"/>
                <w:szCs w:val="16"/>
                <w:color w:val="auto"/>
              </w:rPr>
            </w:pPr>
          </w:p>
        </w:tc>
        <w:tc>
          <w:tcPr>
            <w:tcW w:w="1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78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jc w:val="right"/>
              <w:spacing w:after="0" w:line="189" w:lineRule="exact"/>
              <w:rPr>
                <w:sz w:val="20"/>
                <w:szCs w:val="20"/>
                <w:color w:val="auto"/>
              </w:rPr>
            </w:pPr>
            <w:r>
              <w:rPr>
                <w:rFonts w:ascii="Arial" w:cs="Arial" w:eastAsia="Arial" w:hAnsi="Arial"/>
                <w:sz w:val="14"/>
                <w:szCs w:val="14"/>
                <w:color w:val="auto"/>
              </w:rPr>
              <w:t>1/14/14</w:t>
            </w:r>
            <w:r>
              <w:rPr>
                <w:rFonts w:ascii="Arial" w:cs="Arial" w:eastAsia="Arial" w:hAnsi="Arial"/>
                <w:sz w:val="21"/>
                <w:szCs w:val="21"/>
                <w:color w:val="auto"/>
                <w:vertAlign w:val="superscript"/>
              </w:rPr>
              <w:t>(7</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440" w:type="dxa"/>
            <w:vAlign w:val="bottom"/>
            <w:shd w:val="clear" w:color="auto" w:fill="E5EDFE"/>
          </w:tcPr>
          <w:p>
            <w:pPr>
              <w:jc w:val="right"/>
              <w:spacing w:after="0"/>
              <w:rPr>
                <w:sz w:val="20"/>
                <w:szCs w:val="20"/>
                <w:color w:val="auto"/>
              </w:rPr>
            </w:pPr>
            <w:r>
              <w:rPr>
                <w:rFonts w:ascii="Arial" w:cs="Arial" w:eastAsia="Arial" w:hAnsi="Arial"/>
                <w:sz w:val="14"/>
                <w:szCs w:val="14"/>
                <w:color w:val="auto"/>
              </w:rPr>
              <w:t>1,747</w:t>
            </w:r>
          </w:p>
        </w:tc>
        <w:tc>
          <w:tcPr>
            <w:tcW w:w="120" w:type="dxa"/>
            <w:vAlign w:val="bottom"/>
            <w:tcBorders>
              <w:right w:val="single" w:sz="8" w:color="auto"/>
            </w:tcBorders>
            <w:shd w:val="clear" w:color="auto" w:fill="E5EDFE"/>
          </w:tcPr>
          <w:p>
            <w:pPr>
              <w:spacing w:after="0"/>
              <w:rPr>
                <w:sz w:val="16"/>
                <w:szCs w:val="16"/>
                <w:color w:val="auto"/>
              </w:rPr>
            </w:pPr>
          </w:p>
        </w:tc>
        <w:tc>
          <w:tcPr>
            <w:tcW w:w="72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48,287</w:t>
            </w:r>
          </w:p>
        </w:tc>
        <w:tc>
          <w:tcPr>
            <w:tcW w:w="100" w:type="dxa"/>
            <w:vAlign w:val="bottom"/>
            <w:shd w:val="clear" w:color="auto" w:fill="E5EDFE"/>
          </w:tcPr>
          <w:p>
            <w:pPr>
              <w:spacing w:after="0"/>
              <w:rPr>
                <w:sz w:val="16"/>
                <w:szCs w:val="16"/>
                <w:color w:val="auto"/>
              </w:rPr>
            </w:pPr>
          </w:p>
        </w:tc>
        <w:tc>
          <w:tcPr>
            <w:tcW w:w="540" w:type="dxa"/>
            <w:vAlign w:val="bottom"/>
            <w:shd w:val="clear" w:color="auto" w:fill="E5EDFE"/>
          </w:tcPr>
          <w:p>
            <w:pPr>
              <w:jc w:val="right"/>
              <w:spacing w:after="0" w:line="189" w:lineRule="exact"/>
              <w:rPr>
                <w:sz w:val="20"/>
                <w:szCs w:val="20"/>
                <w:color w:val="auto"/>
              </w:rPr>
            </w:pPr>
            <w:r>
              <w:rPr>
                <w:rFonts w:ascii="Arial" w:cs="Arial" w:eastAsia="Arial" w:hAnsi="Arial"/>
                <w:sz w:val="14"/>
                <w:szCs w:val="14"/>
                <w:color w:val="auto"/>
              </w:rPr>
              <w:t>7,823</w:t>
            </w:r>
            <w:r>
              <w:rPr>
                <w:rFonts w:ascii="Arial" w:cs="Arial" w:eastAsia="Arial" w:hAnsi="Arial"/>
                <w:sz w:val="21"/>
                <w:szCs w:val="21"/>
                <w:color w:val="auto"/>
                <w:vertAlign w:val="superscript"/>
              </w:rPr>
              <w:t>(8</w:t>
            </w:r>
          </w:p>
        </w:tc>
        <w:tc>
          <w:tcPr>
            <w:tcW w:w="60" w:type="dxa"/>
            <w:vAlign w:val="bottom"/>
            <w:shd w:val="clear" w:color="auto" w:fill="E5EDFE"/>
          </w:tcPr>
          <w:p>
            <w:pPr>
              <w:jc w:val="right"/>
              <w:ind w:right="35"/>
              <w:spacing w:after="0"/>
              <w:rPr>
                <w:sz w:val="20"/>
                <w:szCs w:val="20"/>
                <w:color w:val="auto"/>
              </w:rPr>
            </w:pPr>
            <w:r>
              <w:rPr>
                <w:rFonts w:ascii="Arial" w:cs="Arial" w:eastAsia="Arial" w:hAnsi="Arial"/>
                <w:sz w:val="1"/>
                <w:szCs w:val="1"/>
                <w:color w:val="auto"/>
                <w:w w:val="4294967281"/>
              </w:rPr>
              <w:t>)</w:t>
            </w:r>
          </w:p>
        </w:tc>
        <w:tc>
          <w:tcPr>
            <w:tcW w:w="40" w:type="dxa"/>
            <w:vAlign w:val="bottom"/>
            <w:tcBorders>
              <w:right w:val="single" w:sz="8" w:color="auto"/>
            </w:tcBorders>
            <w:shd w:val="clear" w:color="auto" w:fill="E5EDFE"/>
          </w:tcPr>
          <w:p>
            <w:pPr>
              <w:spacing w:after="0"/>
              <w:rPr>
                <w:sz w:val="16"/>
                <w:szCs w:val="16"/>
                <w:color w:val="auto"/>
              </w:rPr>
            </w:pPr>
          </w:p>
        </w:tc>
        <w:tc>
          <w:tcPr>
            <w:tcW w:w="140" w:type="dxa"/>
            <w:vAlign w:val="bottom"/>
            <w:shd w:val="clear" w:color="auto" w:fill="E5EDFE"/>
          </w:tcPr>
          <w:p>
            <w:pPr>
              <w:spacing w:after="0"/>
              <w:rPr>
                <w:sz w:val="16"/>
                <w:szCs w:val="16"/>
                <w:color w:val="auto"/>
              </w:rPr>
            </w:pPr>
          </w:p>
        </w:tc>
        <w:tc>
          <w:tcPr>
            <w:tcW w:w="540" w:type="dxa"/>
            <w:vAlign w:val="bottom"/>
            <w:shd w:val="clear" w:color="auto" w:fill="E5EDFE"/>
          </w:tcPr>
          <w:p>
            <w:pPr>
              <w:jc w:val="right"/>
              <w:spacing w:after="0"/>
              <w:rPr>
                <w:sz w:val="20"/>
                <w:szCs w:val="20"/>
                <w:color w:val="auto"/>
              </w:rPr>
            </w:pPr>
            <w:r>
              <w:rPr>
                <w:rFonts w:ascii="Arial" w:cs="Arial" w:eastAsia="Arial" w:hAnsi="Arial"/>
                <w:sz w:val="14"/>
                <w:szCs w:val="14"/>
                <w:color w:val="auto"/>
              </w:rPr>
              <w:t>216,228</w:t>
            </w:r>
          </w:p>
        </w:tc>
        <w:tc>
          <w:tcPr>
            <w:tcW w:w="20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20" w:type="dxa"/>
            <w:vAlign w:val="bottom"/>
            <w:tcBorders>
              <w:right w:val="single" w:sz="8" w:color="auto"/>
            </w:tcBorders>
            <w:shd w:val="clear" w:color="auto" w:fill="E5EDFE"/>
          </w:tcPr>
          <w:p>
            <w:pPr>
              <w:spacing w:after="0"/>
              <w:rPr>
                <w:sz w:val="16"/>
                <w:szCs w:val="16"/>
                <w:color w:val="auto"/>
              </w:rPr>
            </w:pPr>
          </w:p>
        </w:tc>
        <w:tc>
          <w:tcPr>
            <w:tcW w:w="2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120" w:type="dxa"/>
            <w:vAlign w:val="bottom"/>
            <w:shd w:val="clear" w:color="auto" w:fill="E5EDFE"/>
          </w:tcPr>
          <w:p>
            <w:pPr>
              <w:spacing w:after="0"/>
              <w:rPr>
                <w:sz w:val="16"/>
                <w:szCs w:val="16"/>
                <w:color w:val="auto"/>
              </w:rPr>
            </w:pPr>
          </w:p>
        </w:tc>
        <w:tc>
          <w:tcPr>
            <w:tcW w:w="360" w:type="dxa"/>
            <w:vAlign w:val="bottom"/>
            <w:shd w:val="clear" w:color="auto" w:fill="E5EDFE"/>
          </w:tcPr>
          <w:p>
            <w:pPr>
              <w:spacing w:after="0"/>
              <w:rPr>
                <w:sz w:val="16"/>
                <w:szCs w:val="16"/>
                <w:color w:val="auto"/>
              </w:rPr>
            </w:pPr>
          </w:p>
        </w:tc>
        <w:tc>
          <w:tcPr>
            <w:tcW w:w="1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78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jc w:val="right"/>
              <w:spacing w:after="0" w:line="189"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(6</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440" w:type="dxa"/>
            <w:vAlign w:val="bottom"/>
            <w:shd w:val="clear" w:color="auto" w:fill="E5EDFE"/>
          </w:tcPr>
          <w:p>
            <w:pPr>
              <w:jc w:val="right"/>
              <w:spacing w:after="0"/>
              <w:rPr>
                <w:sz w:val="20"/>
                <w:szCs w:val="20"/>
                <w:color w:val="auto"/>
              </w:rPr>
            </w:pPr>
            <w:r>
              <w:rPr>
                <w:rFonts w:ascii="Arial" w:cs="Arial" w:eastAsia="Arial" w:hAnsi="Arial"/>
                <w:sz w:val="14"/>
                <w:szCs w:val="14"/>
                <w:color w:val="auto"/>
              </w:rPr>
              <w:t>4,958</w:t>
            </w:r>
          </w:p>
        </w:tc>
        <w:tc>
          <w:tcPr>
            <w:tcW w:w="120" w:type="dxa"/>
            <w:vAlign w:val="bottom"/>
            <w:tcBorders>
              <w:right w:val="single" w:sz="8" w:color="auto"/>
            </w:tcBorders>
            <w:shd w:val="clear" w:color="auto" w:fill="E5EDFE"/>
          </w:tcPr>
          <w:p>
            <w:pPr>
              <w:spacing w:after="0"/>
              <w:rPr>
                <w:sz w:val="16"/>
                <w:szCs w:val="16"/>
                <w:color w:val="auto"/>
              </w:rPr>
            </w:pPr>
          </w:p>
        </w:tc>
        <w:tc>
          <w:tcPr>
            <w:tcW w:w="72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137,039</w:t>
            </w:r>
          </w:p>
        </w:tc>
        <w:tc>
          <w:tcPr>
            <w:tcW w:w="10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60" w:type="dxa"/>
            <w:vAlign w:val="bottom"/>
            <w:shd w:val="clear" w:color="auto" w:fill="E5EDFE"/>
          </w:tcPr>
          <w:p>
            <w:pPr>
              <w:spacing w:after="0"/>
              <w:rPr>
                <w:sz w:val="16"/>
                <w:szCs w:val="16"/>
                <w:color w:val="auto"/>
              </w:rPr>
            </w:pPr>
          </w:p>
        </w:tc>
        <w:tc>
          <w:tcPr>
            <w:tcW w:w="40" w:type="dxa"/>
            <w:vAlign w:val="bottom"/>
            <w:tcBorders>
              <w:right w:val="single" w:sz="8" w:color="auto"/>
            </w:tcBorders>
            <w:shd w:val="clear" w:color="auto" w:fill="E5EDFE"/>
          </w:tcPr>
          <w:p>
            <w:pPr>
              <w:spacing w:after="0"/>
              <w:rPr>
                <w:sz w:val="16"/>
                <w:szCs w:val="16"/>
                <w:color w:val="auto"/>
              </w:rPr>
            </w:pPr>
          </w:p>
        </w:tc>
        <w:tc>
          <w:tcPr>
            <w:tcW w:w="1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0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20" w:type="dxa"/>
            <w:vAlign w:val="bottom"/>
            <w:tcBorders>
              <w:left w:val="single" w:sz="8" w:color="auto"/>
              <w:bottom w:val="single" w:sz="8" w:color="auto"/>
              <w:right w:val="single" w:sz="8" w:color="auto"/>
            </w:tcBorders>
            <w:shd w:val="clear" w:color="auto" w:fill="E5EDFE"/>
          </w:tcPr>
          <w:p>
            <w:pPr>
              <w:spacing w:after="0"/>
              <w:rPr>
                <w:sz w:val="20"/>
                <w:szCs w:val="20"/>
                <w:color w:val="auto"/>
              </w:rPr>
            </w:pPr>
          </w:p>
        </w:tc>
        <w:tc>
          <w:tcPr>
            <w:tcW w:w="100" w:type="dxa"/>
            <w:vAlign w:val="bottom"/>
            <w:tcBorders>
              <w:bottom w:val="single" w:sz="8" w:color="auto"/>
            </w:tcBorders>
            <w:shd w:val="clear" w:color="auto" w:fill="E5EDFE"/>
          </w:tcPr>
          <w:p>
            <w:pPr>
              <w:spacing w:after="0"/>
              <w:rPr>
                <w:sz w:val="20"/>
                <w:szCs w:val="20"/>
                <w:color w:val="auto"/>
              </w:rPr>
            </w:pPr>
          </w:p>
        </w:tc>
        <w:tc>
          <w:tcPr>
            <w:tcW w:w="660" w:type="dxa"/>
            <w:vAlign w:val="bottom"/>
            <w:tcBorders>
              <w:bottom w:val="single" w:sz="8" w:color="auto"/>
            </w:tcBorders>
            <w:shd w:val="clear" w:color="auto" w:fill="E5EDFE"/>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shd w:val="clear" w:color="auto" w:fill="E5EDFE"/>
          </w:tcPr>
          <w:p>
            <w:pPr>
              <w:spacing w:after="0"/>
              <w:rPr>
                <w:sz w:val="20"/>
                <w:szCs w:val="20"/>
                <w:color w:val="auto"/>
              </w:rPr>
            </w:pPr>
          </w:p>
        </w:tc>
        <w:tc>
          <w:tcPr>
            <w:tcW w:w="540" w:type="dxa"/>
            <w:vAlign w:val="bottom"/>
            <w:tcBorders>
              <w:bottom w:val="single" w:sz="8" w:color="auto"/>
            </w:tcBorders>
            <w:shd w:val="clear" w:color="auto" w:fill="E5EDFE"/>
          </w:tcPr>
          <w:p>
            <w:pPr>
              <w:spacing w:after="0"/>
              <w:rPr>
                <w:sz w:val="20"/>
                <w:szCs w:val="20"/>
                <w:color w:val="auto"/>
              </w:rPr>
            </w:pPr>
          </w:p>
        </w:tc>
        <w:tc>
          <w:tcPr>
            <w:tcW w:w="220" w:type="dxa"/>
            <w:vAlign w:val="bottom"/>
            <w:tcBorders>
              <w:bottom w:val="single" w:sz="8" w:color="auto"/>
              <w:right w:val="single" w:sz="8" w:color="auto"/>
            </w:tcBorders>
            <w:shd w:val="clear" w:color="auto" w:fill="E5EDFE"/>
          </w:tcPr>
          <w:p>
            <w:pPr>
              <w:spacing w:after="0"/>
              <w:rPr>
                <w:sz w:val="20"/>
                <w:szCs w:val="20"/>
                <w:color w:val="auto"/>
              </w:rPr>
            </w:pPr>
          </w:p>
        </w:tc>
        <w:tc>
          <w:tcPr>
            <w:tcW w:w="240" w:type="dxa"/>
            <w:vAlign w:val="bottom"/>
            <w:tcBorders>
              <w:bottom w:val="single" w:sz="8" w:color="auto"/>
            </w:tcBorders>
            <w:shd w:val="clear" w:color="auto" w:fill="E5EDFE"/>
          </w:tcPr>
          <w:p>
            <w:pPr>
              <w:spacing w:after="0"/>
              <w:rPr>
                <w:sz w:val="20"/>
                <w:szCs w:val="20"/>
                <w:color w:val="auto"/>
              </w:rPr>
            </w:pPr>
          </w:p>
        </w:tc>
        <w:tc>
          <w:tcPr>
            <w:tcW w:w="540" w:type="dxa"/>
            <w:vAlign w:val="bottom"/>
            <w:tcBorders>
              <w:bottom w:val="single" w:sz="8" w:color="auto"/>
            </w:tcBorders>
            <w:shd w:val="clear" w:color="auto" w:fill="E5EDFE"/>
          </w:tcPr>
          <w:p>
            <w:pPr>
              <w:spacing w:after="0"/>
              <w:rPr>
                <w:sz w:val="20"/>
                <w:szCs w:val="20"/>
                <w:color w:val="auto"/>
              </w:rPr>
            </w:pPr>
          </w:p>
        </w:tc>
        <w:tc>
          <w:tcPr>
            <w:tcW w:w="260" w:type="dxa"/>
            <w:vAlign w:val="bottom"/>
            <w:tcBorders>
              <w:bottom w:val="single" w:sz="8" w:color="auto"/>
              <w:right w:val="single" w:sz="8" w:color="auto"/>
            </w:tcBorders>
            <w:shd w:val="clear" w:color="auto" w:fill="E5EDFE"/>
          </w:tcPr>
          <w:p>
            <w:pPr>
              <w:spacing w:after="0"/>
              <w:rPr>
                <w:sz w:val="20"/>
                <w:szCs w:val="20"/>
                <w:color w:val="auto"/>
              </w:rPr>
            </w:pPr>
          </w:p>
        </w:tc>
        <w:tc>
          <w:tcPr>
            <w:tcW w:w="40" w:type="dxa"/>
            <w:vAlign w:val="bottom"/>
            <w:tcBorders>
              <w:bottom w:val="single" w:sz="8" w:color="auto"/>
            </w:tcBorders>
            <w:shd w:val="clear" w:color="auto" w:fill="E5EDFE"/>
          </w:tcPr>
          <w:p>
            <w:pPr>
              <w:spacing w:after="0"/>
              <w:rPr>
                <w:sz w:val="20"/>
                <w:szCs w:val="20"/>
                <w:color w:val="auto"/>
              </w:rPr>
            </w:pPr>
          </w:p>
        </w:tc>
        <w:tc>
          <w:tcPr>
            <w:tcW w:w="120" w:type="dxa"/>
            <w:vAlign w:val="bottom"/>
            <w:tcBorders>
              <w:bottom w:val="single" w:sz="8" w:color="auto"/>
            </w:tcBorders>
            <w:shd w:val="clear" w:color="auto" w:fill="E5EDFE"/>
          </w:tcPr>
          <w:p>
            <w:pPr>
              <w:spacing w:after="0"/>
              <w:rPr>
                <w:sz w:val="20"/>
                <w:szCs w:val="20"/>
                <w:color w:val="auto"/>
              </w:rPr>
            </w:pPr>
          </w:p>
        </w:tc>
        <w:tc>
          <w:tcPr>
            <w:tcW w:w="360" w:type="dxa"/>
            <w:vAlign w:val="bottom"/>
            <w:tcBorders>
              <w:bottom w:val="single" w:sz="8" w:color="auto"/>
            </w:tcBorders>
            <w:shd w:val="clear" w:color="auto" w:fill="E5EDFE"/>
          </w:tcPr>
          <w:p>
            <w:pPr>
              <w:spacing w:after="0"/>
              <w:rPr>
                <w:sz w:val="20"/>
                <w:szCs w:val="20"/>
                <w:color w:val="auto"/>
              </w:rPr>
            </w:pPr>
          </w:p>
        </w:tc>
        <w:tc>
          <w:tcPr>
            <w:tcW w:w="160" w:type="dxa"/>
            <w:vAlign w:val="bottom"/>
            <w:tcBorders>
              <w:bottom w:val="single" w:sz="8" w:color="auto"/>
              <w:right w:val="single" w:sz="8" w:color="auto"/>
            </w:tcBorders>
            <w:shd w:val="clear" w:color="auto" w:fill="E5EDFE"/>
          </w:tcPr>
          <w:p>
            <w:pPr>
              <w:spacing w:after="0"/>
              <w:rPr>
                <w:sz w:val="20"/>
                <w:szCs w:val="20"/>
                <w:color w:val="auto"/>
              </w:rPr>
            </w:pPr>
          </w:p>
        </w:tc>
        <w:tc>
          <w:tcPr>
            <w:tcW w:w="40" w:type="dxa"/>
            <w:vAlign w:val="bottom"/>
            <w:tcBorders>
              <w:bottom w:val="single" w:sz="8" w:color="auto"/>
            </w:tcBorders>
            <w:shd w:val="clear" w:color="auto" w:fill="E5EDFE"/>
          </w:tcPr>
          <w:p>
            <w:pPr>
              <w:spacing w:after="0"/>
              <w:rPr>
                <w:sz w:val="20"/>
                <w:szCs w:val="20"/>
                <w:color w:val="auto"/>
              </w:rPr>
            </w:pPr>
          </w:p>
        </w:tc>
        <w:tc>
          <w:tcPr>
            <w:tcW w:w="780" w:type="dxa"/>
            <w:vAlign w:val="bottom"/>
            <w:tcBorders>
              <w:bottom w:val="single" w:sz="8" w:color="auto"/>
              <w:right w:val="single" w:sz="8" w:color="auto"/>
            </w:tcBorders>
            <w:shd w:val="clear" w:color="auto" w:fill="E5EDFE"/>
          </w:tcPr>
          <w:p>
            <w:pPr>
              <w:spacing w:after="0"/>
              <w:rPr>
                <w:sz w:val="20"/>
                <w:szCs w:val="20"/>
                <w:color w:val="auto"/>
              </w:rPr>
            </w:pPr>
          </w:p>
        </w:tc>
        <w:tc>
          <w:tcPr>
            <w:tcW w:w="100" w:type="dxa"/>
            <w:vAlign w:val="bottom"/>
            <w:tcBorders>
              <w:bottom w:val="single" w:sz="8" w:color="auto"/>
            </w:tcBorders>
            <w:shd w:val="clear" w:color="auto" w:fill="E5EDFE"/>
          </w:tcPr>
          <w:p>
            <w:pPr>
              <w:spacing w:after="0"/>
              <w:rPr>
                <w:sz w:val="20"/>
                <w:szCs w:val="20"/>
                <w:color w:val="auto"/>
              </w:rPr>
            </w:pPr>
          </w:p>
        </w:tc>
        <w:tc>
          <w:tcPr>
            <w:tcW w:w="660" w:type="dxa"/>
            <w:vAlign w:val="bottom"/>
            <w:tcBorders>
              <w:bottom w:val="single" w:sz="8" w:color="auto"/>
            </w:tcBorders>
            <w:shd w:val="clear" w:color="auto" w:fill="E5EDFE"/>
          </w:tcPr>
          <w:p>
            <w:pPr>
              <w:jc w:val="right"/>
              <w:spacing w:after="0" w:line="233"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(9</w:t>
            </w:r>
          </w:p>
        </w:tc>
        <w:tc>
          <w:tcPr>
            <w:tcW w:w="80" w:type="dxa"/>
            <w:vAlign w:val="bottom"/>
            <w:tcBorders>
              <w:bottom w:val="single" w:sz="8" w:color="auto"/>
            </w:tcBorders>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auto"/>
              <w:right w:val="single" w:sz="8" w:color="auto"/>
            </w:tcBorders>
            <w:shd w:val="clear" w:color="auto" w:fill="E5EDFE"/>
          </w:tcPr>
          <w:p>
            <w:pPr>
              <w:spacing w:after="0"/>
              <w:rPr>
                <w:sz w:val="20"/>
                <w:szCs w:val="20"/>
                <w:color w:val="auto"/>
              </w:rPr>
            </w:pPr>
          </w:p>
        </w:tc>
        <w:tc>
          <w:tcPr>
            <w:tcW w:w="100" w:type="dxa"/>
            <w:vAlign w:val="bottom"/>
            <w:tcBorders>
              <w:bottom w:val="single" w:sz="8" w:color="auto"/>
            </w:tcBorders>
            <w:shd w:val="clear" w:color="auto" w:fill="E5EDFE"/>
          </w:tcPr>
          <w:p>
            <w:pPr>
              <w:spacing w:after="0"/>
              <w:rPr>
                <w:sz w:val="20"/>
                <w:szCs w:val="20"/>
                <w:color w:val="auto"/>
              </w:rPr>
            </w:pPr>
          </w:p>
        </w:tc>
        <w:tc>
          <w:tcPr>
            <w:tcW w:w="440" w:type="dxa"/>
            <w:vAlign w:val="bottom"/>
            <w:tcBorders>
              <w:bottom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auto"/>
              <w:right w:val="single" w:sz="8" w:color="auto"/>
            </w:tcBorders>
            <w:shd w:val="clear" w:color="auto" w:fill="E5EDFE"/>
          </w:tcPr>
          <w:p>
            <w:pPr>
              <w:spacing w:after="0"/>
              <w:rPr>
                <w:sz w:val="20"/>
                <w:szCs w:val="20"/>
                <w:color w:val="auto"/>
              </w:rPr>
            </w:pPr>
          </w:p>
        </w:tc>
        <w:tc>
          <w:tcPr>
            <w:tcW w:w="720" w:type="dxa"/>
            <w:vAlign w:val="bottom"/>
            <w:tcBorders>
              <w:bottom w:val="single" w:sz="8" w:color="auto"/>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auto"/>
            </w:tcBorders>
            <w:shd w:val="clear" w:color="auto" w:fill="E5EDFE"/>
          </w:tcPr>
          <w:p>
            <w:pPr>
              <w:spacing w:after="0"/>
              <w:rPr>
                <w:sz w:val="20"/>
                <w:szCs w:val="20"/>
                <w:color w:val="auto"/>
              </w:rPr>
            </w:pPr>
          </w:p>
        </w:tc>
        <w:tc>
          <w:tcPr>
            <w:tcW w:w="540" w:type="dxa"/>
            <w:vAlign w:val="bottom"/>
            <w:tcBorders>
              <w:bottom w:val="single" w:sz="8" w:color="auto"/>
            </w:tcBorders>
            <w:shd w:val="clear" w:color="auto" w:fill="E5EDFE"/>
          </w:tcPr>
          <w:p>
            <w:pPr>
              <w:jc w:val="right"/>
              <w:spacing w:after="0" w:line="233" w:lineRule="exact"/>
              <w:rPr>
                <w:sz w:val="20"/>
                <w:szCs w:val="20"/>
                <w:color w:val="auto"/>
              </w:rPr>
            </w:pPr>
            <w:r>
              <w:rPr>
                <w:rFonts w:ascii="Arial" w:cs="Arial" w:eastAsia="Arial" w:hAnsi="Arial"/>
                <w:sz w:val="14"/>
                <w:szCs w:val="14"/>
                <w:color w:val="auto"/>
              </w:rPr>
              <w:t>5,089</w:t>
            </w:r>
            <w:r>
              <w:rPr>
                <w:rFonts w:ascii="Arial" w:cs="Arial" w:eastAsia="Arial" w:hAnsi="Arial"/>
                <w:sz w:val="21"/>
                <w:szCs w:val="21"/>
                <w:color w:val="auto"/>
                <w:vertAlign w:val="superscript"/>
              </w:rPr>
              <w:t>(9</w:t>
            </w:r>
          </w:p>
        </w:tc>
        <w:tc>
          <w:tcPr>
            <w:tcW w:w="60" w:type="dxa"/>
            <w:vAlign w:val="bottom"/>
            <w:tcBorders>
              <w:bottom w:val="single" w:sz="8" w:color="auto"/>
            </w:tcBorders>
            <w:shd w:val="clear" w:color="auto" w:fill="E5EDFE"/>
          </w:tcPr>
          <w:p>
            <w:pPr>
              <w:jc w:val="right"/>
              <w:ind w:right="35"/>
              <w:spacing w:after="0"/>
              <w:rPr>
                <w:sz w:val="20"/>
                <w:szCs w:val="20"/>
                <w:color w:val="auto"/>
              </w:rPr>
            </w:pPr>
            <w:r>
              <w:rPr>
                <w:rFonts w:ascii="Arial" w:cs="Arial" w:eastAsia="Arial" w:hAnsi="Arial"/>
                <w:sz w:val="1"/>
                <w:szCs w:val="1"/>
                <w:color w:val="auto"/>
                <w:w w:val="4294967281"/>
              </w:rPr>
              <w:t>)</w:t>
            </w:r>
          </w:p>
        </w:tc>
        <w:tc>
          <w:tcPr>
            <w:tcW w:w="40" w:type="dxa"/>
            <w:vAlign w:val="bottom"/>
            <w:tcBorders>
              <w:bottom w:val="single" w:sz="8" w:color="auto"/>
              <w:right w:val="single" w:sz="8" w:color="auto"/>
            </w:tcBorders>
            <w:shd w:val="clear" w:color="auto" w:fill="E5EDFE"/>
          </w:tcPr>
          <w:p>
            <w:pPr>
              <w:spacing w:after="0"/>
              <w:rPr>
                <w:sz w:val="20"/>
                <w:szCs w:val="20"/>
                <w:color w:val="auto"/>
              </w:rPr>
            </w:pPr>
          </w:p>
        </w:tc>
        <w:tc>
          <w:tcPr>
            <w:tcW w:w="140" w:type="dxa"/>
            <w:vAlign w:val="bottom"/>
            <w:tcBorders>
              <w:bottom w:val="single" w:sz="8" w:color="auto"/>
            </w:tcBorders>
            <w:shd w:val="clear" w:color="auto" w:fill="E5EDFE"/>
          </w:tcPr>
          <w:p>
            <w:pPr>
              <w:spacing w:after="0"/>
              <w:rPr>
                <w:sz w:val="20"/>
                <w:szCs w:val="20"/>
                <w:color w:val="auto"/>
              </w:rPr>
            </w:pPr>
          </w:p>
        </w:tc>
        <w:tc>
          <w:tcPr>
            <w:tcW w:w="540" w:type="dxa"/>
            <w:vAlign w:val="bottom"/>
            <w:tcBorders>
              <w:bottom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140,660</w:t>
            </w:r>
          </w:p>
        </w:tc>
        <w:tc>
          <w:tcPr>
            <w:tcW w:w="200" w:type="dxa"/>
            <w:vAlign w:val="bottom"/>
            <w:tcBorders>
              <w:bottom w:val="single" w:sz="8" w:color="auto"/>
              <w:right w:val="single" w:sz="8" w:color="auto"/>
            </w:tcBorders>
            <w:shd w:val="clear" w:color="auto" w:fill="E5EDF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James P. McClure</w:t>
            </w:r>
          </w:p>
        </w:tc>
        <w:tc>
          <w:tcPr>
            <w:tcW w:w="10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4"/>
                <w:szCs w:val="14"/>
                <w:color w:val="auto"/>
              </w:rPr>
              <w:t>3/21/95</w:t>
            </w:r>
            <w:r>
              <w:rPr>
                <w:rFonts w:ascii="Arial" w:cs="Arial" w:eastAsia="Arial" w:hAnsi="Arial"/>
                <w:sz w:val="20"/>
                <w:szCs w:val="20"/>
                <w:color w:val="auto"/>
                <w:vertAlign w:val="superscript"/>
              </w:rPr>
              <w:t>(1</w:t>
            </w:r>
          </w:p>
        </w:tc>
        <w:tc>
          <w:tcPr>
            <w:tcW w:w="120" w:type="dxa"/>
            <w:vAlign w:val="bottom"/>
            <w:tcBorders>
              <w:right w:val="single" w:sz="8" w:color="auto"/>
            </w:tcBorders>
          </w:tcPr>
          <w:p>
            <w:pPr>
              <w:jc w:val="right"/>
              <w:ind w:right="95"/>
              <w:spacing w:after="0"/>
              <w:rPr>
                <w:sz w:val="20"/>
                <w:szCs w:val="20"/>
                <w:color w:val="auto"/>
              </w:rPr>
            </w:pPr>
            <w:r>
              <w:rPr>
                <w:rFonts w:ascii="Arial" w:cs="Arial" w:eastAsia="Arial" w:hAnsi="Arial"/>
                <w:sz w:val="1"/>
                <w:szCs w:val="1"/>
                <w:color w:val="auto"/>
                <w:w w:val="4294967281"/>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4,000</w:t>
            </w:r>
          </w:p>
        </w:tc>
        <w:tc>
          <w:tcPr>
            <w:tcW w:w="260" w:type="dxa"/>
            <w:vAlign w:val="bottom"/>
            <w:tcBorders>
              <w:right w:val="single" w:sz="8" w:color="auto"/>
            </w:tcBorders>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5.63</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4"/>
                <w:szCs w:val="14"/>
                <w:color w:val="auto"/>
              </w:rPr>
              <w:t>3/31/10</w:t>
            </w:r>
            <w:r>
              <w:rPr>
                <w:rFonts w:ascii="Arial" w:cs="Arial" w:eastAsia="Arial" w:hAnsi="Arial"/>
                <w:sz w:val="20"/>
                <w:szCs w:val="20"/>
                <w:color w:val="auto"/>
                <w:vertAlign w:val="superscript"/>
              </w:rPr>
              <w:t>(5</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39,637</w:t>
            </w: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1,095,567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12/16/97</w:t>
            </w:r>
            <w:r>
              <w:rPr>
                <w:rFonts w:ascii="Arial" w:cs="Arial" w:eastAsia="Arial" w:hAnsi="Arial"/>
                <w:sz w:val="21"/>
                <w:szCs w:val="21"/>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14.70</w:t>
            </w: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9/13/11</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4,528</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125,154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3/17/98</w:t>
            </w:r>
            <w:r>
              <w:rPr>
                <w:rFonts w:ascii="Arial" w:cs="Arial" w:eastAsia="Arial" w:hAnsi="Arial"/>
                <w:sz w:val="21"/>
                <w:szCs w:val="21"/>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18.30</w:t>
            </w: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3/8/12</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11,523</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318,496</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12/19/00</w:t>
            </w:r>
            <w:r>
              <w:rPr>
                <w:rFonts w:ascii="Arial" w:cs="Arial" w:eastAsia="Arial" w:hAnsi="Arial"/>
                <w:sz w:val="21"/>
                <w:szCs w:val="21"/>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15.38</w:t>
            </w: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10/11/12</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5,058</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139,803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3/31/10</w:t>
            </w:r>
            <w:r>
              <w:rPr>
                <w:rFonts w:ascii="Arial" w:cs="Arial" w:eastAsia="Arial" w:hAnsi="Arial"/>
                <w:sz w:val="21"/>
                <w:szCs w:val="21"/>
                <w:color w:val="auto"/>
                <w:vertAlign w:val="superscript"/>
              </w:rPr>
              <w:t>(5)</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115,740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21.20</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3/31/17</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1/14/13</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6,524</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180,323</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14"/>
                <w:szCs w:val="14"/>
                <w:color w:val="auto"/>
              </w:rPr>
              <w:t>10,387</w:t>
            </w:r>
            <w:r>
              <w:rPr>
                <w:rFonts w:ascii="Arial" w:cs="Arial" w:eastAsia="Arial" w:hAnsi="Arial"/>
                <w:sz w:val="21"/>
                <w:szCs w:val="21"/>
                <w:color w:val="auto"/>
                <w:vertAlign w:val="superscript"/>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286,848</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9/13/11</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7,126</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19.09</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9/13/18</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8,091</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223,635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10/11/12</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16,893</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18.31</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10/11/2019</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1/14/14</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2,318</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64,070</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14"/>
                <w:szCs w:val="14"/>
                <w:color w:val="auto"/>
              </w:rPr>
              <w:t>10,375</w:t>
            </w:r>
            <w:r>
              <w:rPr>
                <w:rFonts w:ascii="Arial" w:cs="Arial" w:eastAsia="Arial" w:hAnsi="Arial"/>
                <w:sz w:val="21"/>
                <w:szCs w:val="21"/>
                <w:color w:val="auto"/>
                <w:vertAlign w:val="superscript"/>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286,765</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19,947</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25.30</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9/6/20</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6,575</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181,733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
              <w:spacing w:after="0" w:line="233"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(9)</w:t>
            </w:r>
          </w:p>
        </w:tc>
        <w:tc>
          <w:tcPr>
            <w:tcW w:w="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auto"/>
            </w:tcBorders>
            <w:gridSpan w:val="3"/>
          </w:tcPr>
          <w:p>
            <w:pPr>
              <w:jc w:val="right"/>
              <w:ind w:right="35"/>
              <w:spacing w:after="0" w:line="233" w:lineRule="exact"/>
              <w:rPr>
                <w:sz w:val="20"/>
                <w:szCs w:val="20"/>
                <w:color w:val="auto"/>
              </w:rPr>
            </w:pPr>
            <w:r>
              <w:rPr>
                <w:rFonts w:ascii="Arial" w:cs="Arial" w:eastAsia="Arial" w:hAnsi="Arial"/>
                <w:sz w:val="14"/>
                <w:szCs w:val="14"/>
                <w:color w:val="auto"/>
              </w:rPr>
              <w:t>6,749</w:t>
            </w:r>
            <w:r>
              <w:rPr>
                <w:rFonts w:ascii="Arial" w:cs="Arial" w:eastAsia="Arial" w:hAnsi="Arial"/>
                <w:sz w:val="21"/>
                <w:szCs w:val="21"/>
                <w:color w:val="auto"/>
                <w:vertAlign w:val="superscript"/>
              </w:rPr>
              <w:t>(9)</w:t>
            </w:r>
          </w:p>
        </w:tc>
        <w:tc>
          <w:tcPr>
            <w:tcW w:w="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186,542</w:t>
            </w:r>
          </w:p>
        </w:tc>
        <w:tc>
          <w:tcPr>
            <w:tcW w:w="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4"/>
                <w:szCs w:val="14"/>
                <w:color w:val="auto"/>
              </w:rPr>
              <w:t>Tracy K. Price</w:t>
            </w:r>
          </w:p>
        </w:tc>
        <w:tc>
          <w:tcPr>
            <w:tcW w:w="880" w:type="dxa"/>
            <w:vAlign w:val="bottom"/>
            <w:tcBorders>
              <w:right w:val="single" w:sz="8" w:color="auto"/>
            </w:tcBorders>
            <w:gridSpan w:val="3"/>
            <w:shd w:val="clear" w:color="auto" w:fill="E5EDFE"/>
          </w:tcPr>
          <w:p>
            <w:pPr>
              <w:jc w:val="right"/>
              <w:ind w:right="95"/>
              <w:spacing w:after="0" w:line="210" w:lineRule="exact"/>
              <w:rPr>
                <w:sz w:val="20"/>
                <w:szCs w:val="20"/>
                <w:color w:val="auto"/>
              </w:rPr>
            </w:pPr>
            <w:r>
              <w:rPr>
                <w:rFonts w:ascii="Arial" w:cs="Arial" w:eastAsia="Arial" w:hAnsi="Arial"/>
                <w:sz w:val="14"/>
                <w:szCs w:val="14"/>
                <w:color w:val="auto"/>
              </w:rPr>
              <w:t>1/10/11</w:t>
            </w:r>
            <w:r>
              <w:rPr>
                <w:rFonts w:ascii="Arial" w:cs="Arial" w:eastAsia="Arial" w:hAnsi="Arial"/>
                <w:sz w:val="21"/>
                <w:szCs w:val="21"/>
                <w:color w:val="auto"/>
                <w:vertAlign w:val="superscript"/>
              </w:rPr>
              <w:t>(5)</w:t>
            </w:r>
          </w:p>
        </w:tc>
        <w:tc>
          <w:tcPr>
            <w:tcW w:w="720" w:type="dxa"/>
            <w:vAlign w:val="bottom"/>
            <w:gridSpan w:val="2"/>
            <w:shd w:val="clear" w:color="auto" w:fill="E5EDFE"/>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shd w:val="clear" w:color="auto" w:fill="E5EDFE"/>
          </w:tcPr>
          <w:p>
            <w:pPr>
              <w:spacing w:after="0"/>
              <w:rPr>
                <w:sz w:val="18"/>
                <w:szCs w:val="18"/>
                <w:color w:val="auto"/>
              </w:rPr>
            </w:pPr>
          </w:p>
        </w:tc>
        <w:tc>
          <w:tcPr>
            <w:tcW w:w="780" w:type="dxa"/>
            <w:vAlign w:val="bottom"/>
            <w:gridSpan w:val="2"/>
            <w:shd w:val="clear" w:color="auto" w:fill="E5EDFE"/>
          </w:tcPr>
          <w:p>
            <w:pPr>
              <w:jc w:val="right"/>
              <w:spacing w:after="0"/>
              <w:rPr>
                <w:sz w:val="20"/>
                <w:szCs w:val="20"/>
                <w:color w:val="auto"/>
              </w:rPr>
            </w:pPr>
            <w:r>
              <w:rPr>
                <w:rFonts w:ascii="Arial" w:cs="Arial" w:eastAsia="Arial" w:hAnsi="Arial"/>
                <w:sz w:val="14"/>
                <w:szCs w:val="14"/>
                <w:color w:val="auto"/>
              </w:rPr>
              <w:t>62,189</w:t>
            </w:r>
          </w:p>
        </w:tc>
        <w:tc>
          <w:tcPr>
            <w:tcW w:w="260" w:type="dxa"/>
            <w:vAlign w:val="bottom"/>
            <w:tcBorders>
              <w:right w:val="single" w:sz="8" w:color="auto"/>
            </w:tcBorders>
            <w:shd w:val="clear" w:color="auto" w:fill="E5EDFE"/>
          </w:tcPr>
          <w:p>
            <w:pPr>
              <w:spacing w:after="0"/>
              <w:rPr>
                <w:sz w:val="18"/>
                <w:szCs w:val="18"/>
                <w:color w:val="auto"/>
              </w:rPr>
            </w:pPr>
          </w:p>
        </w:tc>
        <w:tc>
          <w:tcPr>
            <w:tcW w:w="40" w:type="dxa"/>
            <w:vAlign w:val="bottom"/>
            <w:shd w:val="clear" w:color="auto" w:fill="E5EDFE"/>
          </w:tcPr>
          <w:p>
            <w:pPr>
              <w:spacing w:after="0"/>
              <w:rPr>
                <w:sz w:val="18"/>
                <w:szCs w:val="18"/>
                <w:color w:val="auto"/>
              </w:rPr>
            </w:pPr>
          </w:p>
        </w:tc>
        <w:tc>
          <w:tcPr>
            <w:tcW w:w="480" w:type="dxa"/>
            <w:vAlign w:val="bottom"/>
            <w:gridSpan w:val="2"/>
            <w:shd w:val="clear" w:color="auto" w:fill="E5EDFE"/>
          </w:tcPr>
          <w:p>
            <w:pPr>
              <w:jc w:val="right"/>
              <w:spacing w:after="0"/>
              <w:rPr>
                <w:sz w:val="20"/>
                <w:szCs w:val="20"/>
                <w:color w:val="auto"/>
              </w:rPr>
            </w:pPr>
            <w:r>
              <w:rPr>
                <w:rFonts w:ascii="Arial" w:cs="Arial" w:eastAsia="Arial" w:hAnsi="Arial"/>
                <w:sz w:val="14"/>
                <w:szCs w:val="14"/>
                <w:color w:val="auto"/>
              </w:rPr>
              <w:t>25.84</w:t>
            </w:r>
          </w:p>
        </w:tc>
        <w:tc>
          <w:tcPr>
            <w:tcW w:w="160" w:type="dxa"/>
            <w:vAlign w:val="bottom"/>
            <w:tcBorders>
              <w:right w:val="single" w:sz="8" w:color="auto"/>
            </w:tcBorders>
            <w:shd w:val="clear" w:color="auto" w:fill="E5EDFE"/>
          </w:tcPr>
          <w:p>
            <w:pPr>
              <w:spacing w:after="0"/>
              <w:rPr>
                <w:sz w:val="18"/>
                <w:szCs w:val="18"/>
                <w:color w:val="auto"/>
              </w:rPr>
            </w:pPr>
          </w:p>
        </w:tc>
        <w:tc>
          <w:tcPr>
            <w:tcW w:w="820" w:type="dxa"/>
            <w:vAlign w:val="bottom"/>
            <w:tcBorders>
              <w:right w:val="single" w:sz="8" w:color="auto"/>
            </w:tcBorders>
            <w:gridSpan w:val="2"/>
            <w:shd w:val="clear" w:color="auto" w:fill="E5EDFE"/>
          </w:tcPr>
          <w:p>
            <w:pPr>
              <w:jc w:val="right"/>
              <w:spacing w:after="0"/>
              <w:rPr>
                <w:sz w:val="20"/>
                <w:szCs w:val="20"/>
                <w:color w:val="auto"/>
              </w:rPr>
            </w:pPr>
            <w:r>
              <w:rPr>
                <w:rFonts w:ascii="Arial" w:cs="Arial" w:eastAsia="Arial" w:hAnsi="Arial"/>
                <w:sz w:val="14"/>
                <w:szCs w:val="14"/>
                <w:color w:val="auto"/>
              </w:rPr>
              <w:t>1/10/18</w:t>
            </w:r>
          </w:p>
        </w:tc>
        <w:tc>
          <w:tcPr>
            <w:tcW w:w="840" w:type="dxa"/>
            <w:vAlign w:val="bottom"/>
            <w:gridSpan w:val="3"/>
            <w:shd w:val="clear" w:color="auto" w:fill="E5EDFE"/>
          </w:tcPr>
          <w:p>
            <w:pPr>
              <w:jc w:val="right"/>
              <w:ind w:right="2"/>
              <w:spacing w:after="0" w:line="210" w:lineRule="exact"/>
              <w:rPr>
                <w:sz w:val="20"/>
                <w:szCs w:val="20"/>
                <w:color w:val="auto"/>
              </w:rPr>
            </w:pPr>
            <w:r>
              <w:rPr>
                <w:rFonts w:ascii="Arial" w:cs="Arial" w:eastAsia="Arial" w:hAnsi="Arial"/>
                <w:sz w:val="14"/>
                <w:szCs w:val="14"/>
                <w:color w:val="auto"/>
              </w:rPr>
              <w:t>1/10/11</w:t>
            </w:r>
            <w:r>
              <w:rPr>
                <w:rFonts w:ascii="Arial" w:cs="Arial" w:eastAsia="Arial" w:hAnsi="Arial"/>
                <w:sz w:val="21"/>
                <w:szCs w:val="21"/>
                <w:color w:val="auto"/>
                <w:vertAlign w:val="superscript"/>
              </w:rPr>
              <w:t>(5)</w:t>
            </w:r>
          </w:p>
        </w:tc>
        <w:tc>
          <w:tcPr>
            <w:tcW w:w="40" w:type="dxa"/>
            <w:vAlign w:val="bottom"/>
            <w:tcBorders>
              <w:right w:val="single" w:sz="8" w:color="auto"/>
            </w:tcBorders>
            <w:shd w:val="clear" w:color="auto" w:fill="E5EDFE"/>
          </w:tcPr>
          <w:p>
            <w:pPr>
              <w:spacing w:after="0"/>
              <w:rPr>
                <w:sz w:val="18"/>
                <w:szCs w:val="18"/>
                <w:color w:val="auto"/>
              </w:rPr>
            </w:pPr>
          </w:p>
        </w:tc>
        <w:tc>
          <w:tcPr>
            <w:tcW w:w="540" w:type="dxa"/>
            <w:vAlign w:val="bottom"/>
            <w:gridSpan w:val="2"/>
            <w:shd w:val="clear" w:color="auto" w:fill="E5EDFE"/>
          </w:tcPr>
          <w:p>
            <w:pPr>
              <w:jc w:val="right"/>
              <w:spacing w:after="0"/>
              <w:rPr>
                <w:sz w:val="20"/>
                <w:szCs w:val="20"/>
                <w:color w:val="auto"/>
              </w:rPr>
            </w:pPr>
            <w:r>
              <w:rPr>
                <w:rFonts w:ascii="Arial" w:cs="Arial" w:eastAsia="Arial" w:hAnsi="Arial"/>
                <w:sz w:val="14"/>
                <w:szCs w:val="14"/>
                <w:color w:val="auto"/>
              </w:rPr>
              <w:t>21,176</w:t>
            </w:r>
          </w:p>
        </w:tc>
        <w:tc>
          <w:tcPr>
            <w:tcW w:w="120" w:type="dxa"/>
            <w:vAlign w:val="bottom"/>
            <w:tcBorders>
              <w:right w:val="single" w:sz="8" w:color="auto"/>
            </w:tcBorders>
            <w:shd w:val="clear" w:color="auto" w:fill="E5EDFE"/>
          </w:tcPr>
          <w:p>
            <w:pPr>
              <w:spacing w:after="0"/>
              <w:rPr>
                <w:sz w:val="18"/>
                <w:szCs w:val="18"/>
                <w:color w:val="auto"/>
              </w:rPr>
            </w:pPr>
          </w:p>
        </w:tc>
        <w:tc>
          <w:tcPr>
            <w:tcW w:w="72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585,305</w:t>
            </w:r>
          </w:p>
        </w:tc>
        <w:tc>
          <w:tcPr>
            <w:tcW w:w="100" w:type="dxa"/>
            <w:vAlign w:val="bottom"/>
            <w:shd w:val="clear" w:color="auto" w:fill="E5EDFE"/>
          </w:tcPr>
          <w:p>
            <w:pPr>
              <w:spacing w:after="0"/>
              <w:rPr>
                <w:sz w:val="18"/>
                <w:szCs w:val="18"/>
                <w:color w:val="auto"/>
              </w:rPr>
            </w:pPr>
          </w:p>
        </w:tc>
        <w:tc>
          <w:tcPr>
            <w:tcW w:w="540" w:type="dxa"/>
            <w:vAlign w:val="bottom"/>
            <w:shd w:val="clear" w:color="auto" w:fill="E5EDFE"/>
          </w:tcPr>
          <w:p>
            <w:pPr>
              <w:spacing w:after="0"/>
              <w:rPr>
                <w:sz w:val="18"/>
                <w:szCs w:val="18"/>
                <w:color w:val="auto"/>
              </w:rPr>
            </w:pPr>
          </w:p>
        </w:tc>
        <w:tc>
          <w:tcPr>
            <w:tcW w:w="60" w:type="dxa"/>
            <w:vAlign w:val="bottom"/>
            <w:shd w:val="clear" w:color="auto" w:fill="E5EDFE"/>
          </w:tcPr>
          <w:p>
            <w:pPr>
              <w:spacing w:after="0"/>
              <w:rPr>
                <w:sz w:val="18"/>
                <w:szCs w:val="18"/>
                <w:color w:val="auto"/>
              </w:rPr>
            </w:pPr>
          </w:p>
        </w:tc>
        <w:tc>
          <w:tcPr>
            <w:tcW w:w="40" w:type="dxa"/>
            <w:vAlign w:val="bottom"/>
            <w:tcBorders>
              <w:right w:val="single" w:sz="8" w:color="auto"/>
            </w:tcBorders>
            <w:shd w:val="clear" w:color="auto" w:fill="E5EDFE"/>
          </w:tcPr>
          <w:p>
            <w:pPr>
              <w:spacing w:after="0"/>
              <w:rPr>
                <w:sz w:val="18"/>
                <w:szCs w:val="18"/>
                <w:color w:val="auto"/>
              </w:rPr>
            </w:pPr>
          </w:p>
        </w:tc>
        <w:tc>
          <w:tcPr>
            <w:tcW w:w="140" w:type="dxa"/>
            <w:vAlign w:val="bottom"/>
            <w:shd w:val="clear" w:color="auto" w:fill="E5EDFE"/>
          </w:tcPr>
          <w:p>
            <w:pPr>
              <w:spacing w:after="0"/>
              <w:rPr>
                <w:sz w:val="18"/>
                <w:szCs w:val="18"/>
                <w:color w:val="auto"/>
              </w:rPr>
            </w:pPr>
          </w:p>
        </w:tc>
        <w:tc>
          <w:tcPr>
            <w:tcW w:w="540" w:type="dxa"/>
            <w:vAlign w:val="bottom"/>
            <w:shd w:val="clear" w:color="auto" w:fill="E5EDFE"/>
          </w:tcPr>
          <w:p>
            <w:pPr>
              <w:spacing w:after="0"/>
              <w:rPr>
                <w:sz w:val="18"/>
                <w:szCs w:val="18"/>
                <w:color w:val="auto"/>
              </w:rPr>
            </w:pPr>
          </w:p>
        </w:tc>
        <w:tc>
          <w:tcPr>
            <w:tcW w:w="200" w:type="dxa"/>
            <w:vAlign w:val="bottom"/>
            <w:tcBorders>
              <w:right w:val="single" w:sz="8" w:color="auto"/>
            </w:tcBorders>
            <w:shd w:val="clear" w:color="auto" w:fill="E5EDFE"/>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520" w:type="dxa"/>
            <w:vAlign w:val="bottom"/>
            <w:tcBorders>
              <w:top w:val="single" w:sz="8" w:color="E5EDFE"/>
              <w:left w:val="single" w:sz="8" w:color="auto"/>
              <w:right w:val="single" w:sz="8" w:color="auto"/>
            </w:tcBorders>
            <w:shd w:val="clear" w:color="auto" w:fill="E5EDFE"/>
          </w:tcPr>
          <w:p>
            <w:pPr>
              <w:spacing w:after="0"/>
              <w:rPr>
                <w:sz w:val="12"/>
                <w:szCs w:val="12"/>
                <w:color w:val="auto"/>
              </w:rPr>
            </w:pPr>
          </w:p>
        </w:tc>
        <w:tc>
          <w:tcPr>
            <w:tcW w:w="100" w:type="dxa"/>
            <w:vAlign w:val="bottom"/>
            <w:tcBorders>
              <w:top w:val="single" w:sz="8" w:color="E5EDFE"/>
            </w:tcBorders>
            <w:shd w:val="clear" w:color="auto" w:fill="E5EDFE"/>
          </w:tcPr>
          <w:p>
            <w:pPr>
              <w:spacing w:after="0"/>
              <w:rPr>
                <w:sz w:val="12"/>
                <w:szCs w:val="12"/>
                <w:color w:val="auto"/>
              </w:rPr>
            </w:pPr>
          </w:p>
        </w:tc>
        <w:tc>
          <w:tcPr>
            <w:tcW w:w="780" w:type="dxa"/>
            <w:vAlign w:val="bottom"/>
            <w:tcBorders>
              <w:right w:val="single" w:sz="8" w:color="auto"/>
            </w:tcBorders>
            <w:gridSpan w:val="2"/>
          </w:tcPr>
          <w:p>
            <w:pPr>
              <w:jc w:val="right"/>
              <w:ind w:right="95"/>
              <w:spacing w:after="0" w:line="139" w:lineRule="exact"/>
              <w:rPr>
                <w:sz w:val="20"/>
                <w:szCs w:val="20"/>
                <w:color w:val="auto"/>
              </w:rPr>
            </w:pPr>
            <w:r>
              <w:rPr>
                <w:rFonts w:ascii="Arial" w:cs="Arial" w:eastAsia="Arial" w:hAnsi="Arial"/>
                <w:sz w:val="11"/>
                <w:szCs w:val="11"/>
                <w:color w:val="auto"/>
              </w:rPr>
              <w:t>9/13/11</w:t>
            </w:r>
            <w:r>
              <w:rPr>
                <w:rFonts w:ascii="Arial" w:cs="Arial" w:eastAsia="Arial" w:hAnsi="Arial"/>
                <w:sz w:val="16"/>
                <w:szCs w:val="16"/>
                <w:color w:val="auto"/>
                <w:vertAlign w:val="superscript"/>
              </w:rPr>
              <w:t>(4)</w:t>
            </w:r>
          </w:p>
        </w:tc>
        <w:tc>
          <w:tcPr>
            <w:tcW w:w="180" w:type="dxa"/>
            <w:vAlign w:val="bottom"/>
            <w:tcBorders>
              <w:top w:val="single" w:sz="8" w:color="E5EDFE"/>
            </w:tcBorders>
            <w:shd w:val="clear" w:color="auto" w:fill="E5EDFE"/>
          </w:tcPr>
          <w:p>
            <w:pPr>
              <w:spacing w:after="0"/>
              <w:rPr>
                <w:sz w:val="12"/>
                <w:szCs w:val="12"/>
                <w:color w:val="auto"/>
              </w:rPr>
            </w:pPr>
          </w:p>
        </w:tc>
        <w:tc>
          <w:tcPr>
            <w:tcW w:w="540" w:type="dxa"/>
            <w:vAlign w:val="bottom"/>
            <w:tcBorders>
              <w:top w:val="single" w:sz="8" w:color="E5EDFE"/>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23,325</w:t>
            </w:r>
          </w:p>
        </w:tc>
        <w:tc>
          <w:tcPr>
            <w:tcW w:w="220" w:type="dxa"/>
            <w:vAlign w:val="bottom"/>
            <w:tcBorders>
              <w:top w:val="single" w:sz="8" w:color="E5EDFE"/>
              <w:right w:val="single" w:sz="8" w:color="auto"/>
            </w:tcBorders>
            <w:shd w:val="clear" w:color="auto" w:fill="E5EDFE"/>
          </w:tcPr>
          <w:p>
            <w:pPr>
              <w:spacing w:after="0"/>
              <w:rPr>
                <w:sz w:val="12"/>
                <w:szCs w:val="12"/>
                <w:color w:val="auto"/>
              </w:rPr>
            </w:pPr>
          </w:p>
        </w:tc>
        <w:tc>
          <w:tcPr>
            <w:tcW w:w="240" w:type="dxa"/>
            <w:vAlign w:val="bottom"/>
            <w:tcBorders>
              <w:top w:val="single" w:sz="8" w:color="E5EDFE"/>
            </w:tcBorders>
            <w:shd w:val="clear" w:color="auto" w:fill="E5EDFE"/>
          </w:tcPr>
          <w:p>
            <w:pPr>
              <w:spacing w:after="0"/>
              <w:rPr>
                <w:sz w:val="12"/>
                <w:szCs w:val="12"/>
                <w:color w:val="auto"/>
              </w:rPr>
            </w:pPr>
          </w:p>
        </w:tc>
        <w:tc>
          <w:tcPr>
            <w:tcW w:w="540" w:type="dxa"/>
            <w:vAlign w:val="bottom"/>
            <w:tcBorders>
              <w:top w:val="single" w:sz="8" w:color="E5EDFE"/>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7,776</w:t>
            </w:r>
          </w:p>
        </w:tc>
        <w:tc>
          <w:tcPr>
            <w:tcW w:w="260" w:type="dxa"/>
            <w:vAlign w:val="bottom"/>
            <w:tcBorders>
              <w:top w:val="single" w:sz="8" w:color="E5EDFE"/>
              <w:right w:val="single" w:sz="8" w:color="auto"/>
            </w:tcBorders>
            <w:shd w:val="clear" w:color="auto" w:fill="E5EDFE"/>
          </w:tcPr>
          <w:p>
            <w:pPr>
              <w:spacing w:after="0"/>
              <w:rPr>
                <w:sz w:val="12"/>
                <w:szCs w:val="12"/>
                <w:color w:val="auto"/>
              </w:rPr>
            </w:pPr>
          </w:p>
        </w:tc>
        <w:tc>
          <w:tcPr>
            <w:tcW w:w="40" w:type="dxa"/>
            <w:vAlign w:val="bottom"/>
            <w:tcBorders>
              <w:top w:val="single" w:sz="8" w:color="E5EDFE"/>
            </w:tcBorders>
            <w:shd w:val="clear" w:color="auto" w:fill="E5EDFE"/>
          </w:tcPr>
          <w:p>
            <w:pPr>
              <w:spacing w:after="0"/>
              <w:rPr>
                <w:sz w:val="12"/>
                <w:szCs w:val="12"/>
                <w:color w:val="auto"/>
              </w:rPr>
            </w:pPr>
          </w:p>
        </w:tc>
        <w:tc>
          <w:tcPr>
            <w:tcW w:w="120" w:type="dxa"/>
            <w:vAlign w:val="bottom"/>
            <w:tcBorders>
              <w:top w:val="single" w:sz="8" w:color="E5EDFE"/>
            </w:tcBorders>
            <w:shd w:val="clear" w:color="auto" w:fill="E5EDFE"/>
          </w:tcPr>
          <w:p>
            <w:pPr>
              <w:spacing w:after="0"/>
              <w:rPr>
                <w:sz w:val="12"/>
                <w:szCs w:val="12"/>
                <w:color w:val="auto"/>
              </w:rPr>
            </w:pPr>
          </w:p>
        </w:tc>
        <w:tc>
          <w:tcPr>
            <w:tcW w:w="360" w:type="dxa"/>
            <w:vAlign w:val="bottom"/>
            <w:tcBorders>
              <w:top w:val="single" w:sz="8" w:color="E5EDFE"/>
            </w:tcBorders>
            <w:shd w:val="clear" w:color="auto" w:fill="E5EDFE"/>
          </w:tcPr>
          <w:p>
            <w:pPr>
              <w:jc w:val="right"/>
              <w:spacing w:after="0" w:line="139" w:lineRule="exact"/>
              <w:rPr>
                <w:sz w:val="20"/>
                <w:szCs w:val="20"/>
                <w:color w:val="auto"/>
              </w:rPr>
            </w:pPr>
            <w:r>
              <w:rPr>
                <w:rFonts w:ascii="Arial" w:cs="Arial" w:eastAsia="Arial" w:hAnsi="Arial"/>
                <w:sz w:val="14"/>
                <w:szCs w:val="14"/>
                <w:color w:val="auto"/>
                <w:w w:val="96"/>
              </w:rPr>
              <w:t>19.09</w:t>
            </w:r>
          </w:p>
        </w:tc>
        <w:tc>
          <w:tcPr>
            <w:tcW w:w="160" w:type="dxa"/>
            <w:vAlign w:val="bottom"/>
            <w:tcBorders>
              <w:top w:val="single" w:sz="8" w:color="E5EDFE"/>
              <w:right w:val="single" w:sz="8" w:color="auto"/>
            </w:tcBorders>
            <w:shd w:val="clear" w:color="auto" w:fill="E5EDFE"/>
          </w:tcPr>
          <w:p>
            <w:pPr>
              <w:spacing w:after="0"/>
              <w:rPr>
                <w:sz w:val="12"/>
                <w:szCs w:val="12"/>
                <w:color w:val="auto"/>
              </w:rPr>
            </w:pPr>
          </w:p>
        </w:tc>
        <w:tc>
          <w:tcPr>
            <w:tcW w:w="40" w:type="dxa"/>
            <w:vAlign w:val="bottom"/>
            <w:tcBorders>
              <w:top w:val="single" w:sz="8" w:color="E5EDFE"/>
            </w:tcBorders>
            <w:shd w:val="clear" w:color="auto" w:fill="E5EDFE"/>
          </w:tcPr>
          <w:p>
            <w:pPr>
              <w:spacing w:after="0"/>
              <w:rPr>
                <w:sz w:val="12"/>
                <w:szCs w:val="12"/>
                <w:color w:val="auto"/>
              </w:rPr>
            </w:pPr>
          </w:p>
        </w:tc>
        <w:tc>
          <w:tcPr>
            <w:tcW w:w="780" w:type="dxa"/>
            <w:vAlign w:val="bottom"/>
            <w:tcBorders>
              <w:top w:val="single" w:sz="8" w:color="E5EDFE"/>
              <w:right w:val="single" w:sz="8" w:color="auto"/>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9/13/18</w:t>
            </w:r>
          </w:p>
        </w:tc>
        <w:tc>
          <w:tcPr>
            <w:tcW w:w="100" w:type="dxa"/>
            <w:vAlign w:val="bottom"/>
            <w:tcBorders>
              <w:top w:val="single" w:sz="8" w:color="E5EDFE"/>
            </w:tcBorders>
            <w:shd w:val="clear" w:color="auto" w:fill="E5EDFE"/>
          </w:tcPr>
          <w:p>
            <w:pPr>
              <w:spacing w:after="0"/>
              <w:rPr>
                <w:sz w:val="12"/>
                <w:szCs w:val="12"/>
                <w:color w:val="auto"/>
              </w:rPr>
            </w:pPr>
          </w:p>
        </w:tc>
        <w:tc>
          <w:tcPr>
            <w:tcW w:w="740" w:type="dxa"/>
            <w:vAlign w:val="bottom"/>
            <w:gridSpan w:val="2"/>
          </w:tcPr>
          <w:p>
            <w:pPr>
              <w:jc w:val="right"/>
              <w:ind w:right="2"/>
              <w:spacing w:after="0" w:line="139" w:lineRule="exact"/>
              <w:rPr>
                <w:sz w:val="20"/>
                <w:szCs w:val="20"/>
                <w:color w:val="auto"/>
              </w:rPr>
            </w:pPr>
            <w:r>
              <w:rPr>
                <w:rFonts w:ascii="Arial" w:cs="Arial" w:eastAsia="Arial" w:hAnsi="Arial"/>
                <w:sz w:val="11"/>
                <w:szCs w:val="11"/>
                <w:color w:val="auto"/>
              </w:rPr>
              <w:t>9/13/11</w:t>
            </w:r>
            <w:r>
              <w:rPr>
                <w:rFonts w:ascii="Arial" w:cs="Arial" w:eastAsia="Arial" w:hAnsi="Arial"/>
                <w:sz w:val="16"/>
                <w:szCs w:val="16"/>
                <w:color w:val="auto"/>
                <w:vertAlign w:val="superscript"/>
              </w:rPr>
              <w:t>(6)</w:t>
            </w:r>
          </w:p>
        </w:tc>
        <w:tc>
          <w:tcPr>
            <w:tcW w:w="40" w:type="dxa"/>
            <w:vAlign w:val="bottom"/>
            <w:tcBorders>
              <w:right w:val="single" w:sz="8" w:color="auto"/>
            </w:tcBorders>
          </w:tcPr>
          <w:p>
            <w:pPr>
              <w:spacing w:after="0"/>
              <w:rPr>
                <w:sz w:val="12"/>
                <w:szCs w:val="12"/>
                <w:color w:val="auto"/>
              </w:rPr>
            </w:pPr>
          </w:p>
        </w:tc>
        <w:tc>
          <w:tcPr>
            <w:tcW w:w="100" w:type="dxa"/>
            <w:vAlign w:val="bottom"/>
            <w:tcBorders>
              <w:top w:val="single" w:sz="8" w:color="E5EDFE"/>
            </w:tcBorders>
            <w:shd w:val="clear" w:color="auto" w:fill="E5EDFE"/>
          </w:tcPr>
          <w:p>
            <w:pPr>
              <w:spacing w:after="0"/>
              <w:rPr>
                <w:sz w:val="12"/>
                <w:szCs w:val="12"/>
                <w:color w:val="auto"/>
              </w:rPr>
            </w:pPr>
          </w:p>
        </w:tc>
        <w:tc>
          <w:tcPr>
            <w:tcW w:w="440" w:type="dxa"/>
            <w:vAlign w:val="bottom"/>
            <w:tcBorders>
              <w:top w:val="single" w:sz="8" w:color="E5EDFE"/>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4,940</w:t>
            </w:r>
          </w:p>
        </w:tc>
        <w:tc>
          <w:tcPr>
            <w:tcW w:w="120" w:type="dxa"/>
            <w:vAlign w:val="bottom"/>
            <w:tcBorders>
              <w:top w:val="single" w:sz="8" w:color="E5EDFE"/>
              <w:right w:val="single" w:sz="8" w:color="auto"/>
            </w:tcBorders>
            <w:shd w:val="clear" w:color="auto" w:fill="E5EDFE"/>
          </w:tcPr>
          <w:p>
            <w:pPr>
              <w:spacing w:after="0"/>
              <w:rPr>
                <w:sz w:val="12"/>
                <w:szCs w:val="12"/>
                <w:color w:val="auto"/>
              </w:rPr>
            </w:pPr>
          </w:p>
        </w:tc>
        <w:tc>
          <w:tcPr>
            <w:tcW w:w="720" w:type="dxa"/>
            <w:vAlign w:val="bottom"/>
            <w:tcBorders>
              <w:top w:val="single" w:sz="8" w:color="E5EDFE"/>
              <w:right w:val="single" w:sz="8" w:color="auto"/>
            </w:tcBorders>
            <w:shd w:val="clear" w:color="auto" w:fill="E5EDFE"/>
          </w:tcPr>
          <w:p>
            <w:pPr>
              <w:jc w:val="right"/>
              <w:spacing w:after="0" w:line="139" w:lineRule="exact"/>
              <w:rPr>
                <w:sz w:val="20"/>
                <w:szCs w:val="20"/>
                <w:color w:val="auto"/>
              </w:rPr>
            </w:pPr>
            <w:r>
              <w:rPr>
                <w:rFonts w:ascii="Arial" w:cs="Arial" w:eastAsia="Arial" w:hAnsi="Arial"/>
                <w:sz w:val="14"/>
                <w:szCs w:val="14"/>
                <w:color w:val="auto"/>
              </w:rPr>
              <w:t>136,542</w:t>
            </w:r>
          </w:p>
        </w:tc>
        <w:tc>
          <w:tcPr>
            <w:tcW w:w="100" w:type="dxa"/>
            <w:vAlign w:val="bottom"/>
            <w:tcBorders>
              <w:top w:val="single" w:sz="8" w:color="E5EDFE"/>
            </w:tcBorders>
            <w:shd w:val="clear" w:color="auto" w:fill="E5EDFE"/>
          </w:tcPr>
          <w:p>
            <w:pPr>
              <w:spacing w:after="0"/>
              <w:rPr>
                <w:sz w:val="12"/>
                <w:szCs w:val="12"/>
                <w:color w:val="auto"/>
              </w:rPr>
            </w:pPr>
          </w:p>
        </w:tc>
        <w:tc>
          <w:tcPr>
            <w:tcW w:w="540" w:type="dxa"/>
            <w:vAlign w:val="bottom"/>
            <w:tcBorders>
              <w:top w:val="single" w:sz="8" w:color="E5EDFE"/>
            </w:tcBorders>
          </w:tcPr>
          <w:p>
            <w:pPr>
              <w:spacing w:after="0"/>
              <w:rPr>
                <w:sz w:val="12"/>
                <w:szCs w:val="12"/>
                <w:color w:val="auto"/>
              </w:rPr>
            </w:pPr>
          </w:p>
        </w:tc>
        <w:tc>
          <w:tcPr>
            <w:tcW w:w="60" w:type="dxa"/>
            <w:vAlign w:val="bottom"/>
            <w:tcBorders>
              <w:top w:val="single" w:sz="8" w:color="E5EDFE"/>
            </w:tcBorders>
          </w:tcPr>
          <w:p>
            <w:pPr>
              <w:spacing w:after="0"/>
              <w:rPr>
                <w:sz w:val="12"/>
                <w:szCs w:val="12"/>
                <w:color w:val="auto"/>
              </w:rPr>
            </w:pPr>
          </w:p>
        </w:tc>
        <w:tc>
          <w:tcPr>
            <w:tcW w:w="40" w:type="dxa"/>
            <w:vAlign w:val="bottom"/>
            <w:tcBorders>
              <w:top w:val="single" w:sz="8" w:color="E5EDFE"/>
              <w:right w:val="single" w:sz="8" w:color="auto"/>
            </w:tcBorders>
          </w:tcPr>
          <w:p>
            <w:pPr>
              <w:spacing w:after="0"/>
              <w:rPr>
                <w:sz w:val="12"/>
                <w:szCs w:val="12"/>
                <w:color w:val="auto"/>
              </w:rPr>
            </w:pPr>
          </w:p>
        </w:tc>
        <w:tc>
          <w:tcPr>
            <w:tcW w:w="140" w:type="dxa"/>
            <w:vAlign w:val="bottom"/>
            <w:tcBorders>
              <w:top w:val="single" w:sz="8" w:color="E5EDFE"/>
            </w:tcBorders>
            <w:shd w:val="clear" w:color="auto" w:fill="E5EDFE"/>
          </w:tcPr>
          <w:p>
            <w:pPr>
              <w:spacing w:after="0"/>
              <w:rPr>
                <w:sz w:val="12"/>
                <w:szCs w:val="12"/>
                <w:color w:val="auto"/>
              </w:rPr>
            </w:pPr>
          </w:p>
        </w:tc>
        <w:tc>
          <w:tcPr>
            <w:tcW w:w="540" w:type="dxa"/>
            <w:vAlign w:val="bottom"/>
            <w:tcBorders>
              <w:top w:val="single" w:sz="8" w:color="E5EDFE"/>
            </w:tcBorders>
            <w:shd w:val="clear" w:color="auto" w:fill="E5EDFE"/>
          </w:tcPr>
          <w:p>
            <w:pPr>
              <w:spacing w:after="0"/>
              <w:rPr>
                <w:sz w:val="12"/>
                <w:szCs w:val="12"/>
                <w:color w:val="auto"/>
              </w:rPr>
            </w:pPr>
          </w:p>
        </w:tc>
        <w:tc>
          <w:tcPr>
            <w:tcW w:w="200" w:type="dxa"/>
            <w:vAlign w:val="bottom"/>
            <w:tcBorders>
              <w:top w:val="single" w:sz="8" w:color="E5EDFE"/>
              <w:right w:val="single" w:sz="8" w:color="auto"/>
            </w:tcBorders>
            <w:shd w:val="clear" w:color="auto" w:fill="E5EDF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520" w:type="dxa"/>
            <w:vAlign w:val="bottom"/>
            <w:tcBorders>
              <w:left w:val="single" w:sz="8" w:color="auto"/>
              <w:right w:val="single" w:sz="8" w:color="auto"/>
            </w:tcBorders>
            <w:shd w:val="clear" w:color="auto" w:fill="E5EDFE"/>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vMerge w:val="restart"/>
          </w:tcPr>
          <w:p>
            <w:pPr>
              <w:jc w:val="right"/>
              <w:ind w:right="95"/>
              <w:spacing w:after="0"/>
              <w:rPr>
                <w:sz w:val="20"/>
                <w:szCs w:val="20"/>
                <w:color w:val="auto"/>
              </w:rPr>
            </w:pPr>
            <w:r>
              <w:rPr>
                <w:rFonts w:ascii="Arial" w:cs="Arial" w:eastAsia="Arial" w:hAnsi="Arial"/>
                <w:sz w:val="1"/>
                <w:szCs w:val="1"/>
                <w:color w:val="auto"/>
                <w:w w:val="4294967281"/>
              </w:rPr>
              <w:t>)</w:t>
            </w:r>
          </w:p>
        </w:tc>
        <w:tc>
          <w:tcPr>
            <w:tcW w:w="18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16,892</w:t>
            </w:r>
          </w:p>
        </w:tc>
        <w:tc>
          <w:tcPr>
            <w:tcW w:w="220" w:type="dxa"/>
            <w:vAlign w:val="bottom"/>
            <w:tcBorders>
              <w:right w:val="single" w:sz="8" w:color="auto"/>
            </w:tcBorders>
            <w:shd w:val="clear" w:color="auto" w:fill="E5EDFE"/>
          </w:tcPr>
          <w:p>
            <w:pPr>
              <w:spacing w:after="0"/>
              <w:rPr>
                <w:sz w:val="3"/>
                <w:szCs w:val="3"/>
                <w:color w:val="auto"/>
              </w:rPr>
            </w:pPr>
          </w:p>
        </w:tc>
        <w:tc>
          <w:tcPr>
            <w:tcW w:w="24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16,893</w:t>
            </w:r>
          </w:p>
        </w:tc>
        <w:tc>
          <w:tcPr>
            <w:tcW w:w="2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120" w:type="dxa"/>
            <w:vAlign w:val="bottom"/>
            <w:shd w:val="clear" w:color="auto" w:fill="E5EDFE"/>
          </w:tcPr>
          <w:p>
            <w:pPr>
              <w:spacing w:after="0"/>
              <w:rPr>
                <w:sz w:val="3"/>
                <w:szCs w:val="3"/>
                <w:color w:val="auto"/>
              </w:rPr>
            </w:pPr>
          </w:p>
        </w:tc>
        <w:tc>
          <w:tcPr>
            <w:tcW w:w="36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w w:val="96"/>
              </w:rPr>
              <w:t>18.31</w:t>
            </w:r>
          </w:p>
        </w:tc>
        <w:tc>
          <w:tcPr>
            <w:tcW w:w="1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78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10/11/19</w:t>
            </w:r>
          </w:p>
        </w:tc>
        <w:tc>
          <w:tcPr>
            <w:tcW w:w="100" w:type="dxa"/>
            <w:vAlign w:val="bottom"/>
            <w:shd w:val="clear" w:color="auto" w:fill="E5EDFE"/>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vMerge w:val="restart"/>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4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w w:val="97"/>
              </w:rPr>
              <w:t>11,523</w:t>
            </w:r>
          </w:p>
        </w:tc>
        <w:tc>
          <w:tcPr>
            <w:tcW w:w="120" w:type="dxa"/>
            <w:vAlign w:val="bottom"/>
            <w:tcBorders>
              <w:right w:val="single" w:sz="8" w:color="auto"/>
            </w:tcBorders>
            <w:shd w:val="clear" w:color="auto" w:fill="E5EDFE"/>
          </w:tcPr>
          <w:p>
            <w:pPr>
              <w:spacing w:after="0"/>
              <w:rPr>
                <w:sz w:val="3"/>
                <w:szCs w:val="3"/>
                <w:color w:val="auto"/>
              </w:rPr>
            </w:pPr>
          </w:p>
        </w:tc>
        <w:tc>
          <w:tcPr>
            <w:tcW w:w="72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318,496</w:t>
            </w:r>
          </w:p>
        </w:tc>
        <w:tc>
          <w:tcPr>
            <w:tcW w:w="100" w:type="dxa"/>
            <w:vAlign w:val="bottom"/>
            <w:shd w:val="clear" w:color="auto" w:fill="E5EDF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vMerge w:val="restart"/>
          </w:tcPr>
          <w:p>
            <w:pPr>
              <w:jc w:val="right"/>
              <w:ind w:right="35"/>
              <w:spacing w:after="0"/>
              <w:rPr>
                <w:sz w:val="20"/>
                <w:szCs w:val="20"/>
                <w:color w:val="auto"/>
              </w:rPr>
            </w:pPr>
            <w:r>
              <w:rPr>
                <w:rFonts w:ascii="Arial" w:cs="Arial" w:eastAsia="Arial" w:hAnsi="Arial"/>
                <w:sz w:val="1"/>
                <w:szCs w:val="1"/>
                <w:color w:val="auto"/>
                <w:w w:val="4294967281"/>
              </w:rPr>
              <w:t>)</w:t>
            </w:r>
          </w:p>
        </w:tc>
        <w:tc>
          <w:tcPr>
            <w:tcW w:w="40" w:type="dxa"/>
            <w:vAlign w:val="bottom"/>
            <w:tcBorders>
              <w:right w:val="single" w:sz="8" w:color="auto"/>
            </w:tcBorders>
          </w:tcPr>
          <w:p>
            <w:pPr>
              <w:spacing w:after="0"/>
              <w:rPr>
                <w:sz w:val="3"/>
                <w:szCs w:val="3"/>
                <w:color w:val="auto"/>
              </w:rPr>
            </w:pPr>
          </w:p>
        </w:tc>
        <w:tc>
          <w:tcPr>
            <w:tcW w:w="14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252,707</w:t>
            </w:r>
          </w:p>
        </w:tc>
        <w:tc>
          <w:tcPr>
            <w:tcW w:w="200" w:type="dxa"/>
            <w:vAlign w:val="bottom"/>
            <w:tcBorders>
              <w:right w:val="single" w:sz="8" w:color="auto"/>
            </w:tcBorders>
            <w:shd w:val="clear" w:color="auto" w:fill="E5EDF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right w:val="single" w:sz="8" w:color="auto"/>
            </w:tcBorders>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660" w:type="dxa"/>
            <w:vAlign w:val="bottom"/>
            <w:shd w:val="clear" w:color="auto" w:fill="E5EDFE"/>
          </w:tcPr>
          <w:p>
            <w:pPr>
              <w:jc w:val="right"/>
              <w:spacing w:after="0" w:line="145" w:lineRule="exact"/>
              <w:rPr>
                <w:sz w:val="20"/>
                <w:szCs w:val="20"/>
                <w:color w:val="auto"/>
              </w:rPr>
            </w:pPr>
            <w:r>
              <w:rPr>
                <w:rFonts w:ascii="Arial" w:cs="Arial" w:eastAsia="Arial" w:hAnsi="Arial"/>
                <w:sz w:val="11"/>
                <w:szCs w:val="11"/>
                <w:color w:val="auto"/>
              </w:rPr>
              <w:t>10/11/12</w:t>
            </w:r>
            <w:r>
              <w:rPr>
                <w:rFonts w:ascii="Arial" w:cs="Arial" w:eastAsia="Arial" w:hAnsi="Arial"/>
                <w:sz w:val="16"/>
                <w:szCs w:val="16"/>
                <w:color w:val="auto"/>
                <w:vertAlign w:val="superscript"/>
              </w:rPr>
              <w:t>(4</w:t>
            </w:r>
          </w:p>
        </w:tc>
        <w:tc>
          <w:tcPr>
            <w:tcW w:w="120" w:type="dxa"/>
            <w:vAlign w:val="bottom"/>
            <w:tcBorders>
              <w:right w:val="single" w:sz="8" w:color="auto"/>
            </w:tcBorders>
            <w:vMerge w:val="continue"/>
          </w:tcPr>
          <w:p>
            <w:pPr>
              <w:spacing w:after="0"/>
              <w:rPr>
                <w:sz w:val="12"/>
                <w:szCs w:val="12"/>
                <w:color w:val="auto"/>
              </w:rPr>
            </w:pPr>
          </w:p>
        </w:tc>
        <w:tc>
          <w:tcPr>
            <w:tcW w:w="18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20" w:type="dxa"/>
            <w:vAlign w:val="bottom"/>
            <w:tcBorders>
              <w:right w:val="single" w:sz="8" w:color="auto"/>
            </w:tcBorders>
            <w:shd w:val="clear" w:color="auto" w:fill="E5EDFE"/>
          </w:tcPr>
          <w:p>
            <w:pPr>
              <w:spacing w:after="0"/>
              <w:rPr>
                <w:sz w:val="12"/>
                <w:szCs w:val="12"/>
                <w:color w:val="auto"/>
              </w:rPr>
            </w:pPr>
          </w:p>
        </w:tc>
        <w:tc>
          <w:tcPr>
            <w:tcW w:w="24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120" w:type="dxa"/>
            <w:vAlign w:val="bottom"/>
            <w:shd w:val="clear" w:color="auto" w:fill="E5EDFE"/>
          </w:tcPr>
          <w:p>
            <w:pPr>
              <w:spacing w:after="0"/>
              <w:rPr>
                <w:sz w:val="12"/>
                <w:szCs w:val="12"/>
                <w:color w:val="auto"/>
              </w:rPr>
            </w:pPr>
          </w:p>
        </w:tc>
        <w:tc>
          <w:tcPr>
            <w:tcW w:w="360" w:type="dxa"/>
            <w:vAlign w:val="bottom"/>
            <w:vMerge w:val="continue"/>
            <w:shd w:val="clear" w:color="auto" w:fill="E5EDFE"/>
          </w:tcPr>
          <w:p>
            <w:pPr>
              <w:spacing w:after="0"/>
              <w:rPr>
                <w:sz w:val="12"/>
                <w:szCs w:val="12"/>
                <w:color w:val="auto"/>
              </w:rPr>
            </w:pPr>
          </w:p>
        </w:tc>
        <w:tc>
          <w:tcPr>
            <w:tcW w:w="1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78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660" w:type="dxa"/>
            <w:vAlign w:val="bottom"/>
            <w:shd w:val="clear" w:color="auto" w:fill="E5EDFE"/>
          </w:tcPr>
          <w:p>
            <w:pPr>
              <w:jc w:val="right"/>
              <w:spacing w:after="0" w:line="145" w:lineRule="exact"/>
              <w:rPr>
                <w:sz w:val="20"/>
                <w:szCs w:val="20"/>
                <w:color w:val="auto"/>
              </w:rPr>
            </w:pPr>
            <w:r>
              <w:rPr>
                <w:rFonts w:ascii="Arial" w:cs="Arial" w:eastAsia="Arial" w:hAnsi="Arial"/>
                <w:sz w:val="11"/>
                <w:szCs w:val="11"/>
                <w:color w:val="auto"/>
              </w:rPr>
              <w:t>3/8/12</w:t>
            </w:r>
            <w:r>
              <w:rPr>
                <w:rFonts w:ascii="Arial" w:cs="Arial" w:eastAsia="Arial" w:hAnsi="Arial"/>
                <w:sz w:val="16"/>
                <w:szCs w:val="16"/>
                <w:color w:val="auto"/>
                <w:vertAlign w:val="superscript"/>
              </w:rPr>
              <w:t>(7</w:t>
            </w:r>
          </w:p>
        </w:tc>
        <w:tc>
          <w:tcPr>
            <w:tcW w:w="8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440" w:type="dxa"/>
            <w:vAlign w:val="bottom"/>
            <w:vMerge w:val="continue"/>
            <w:shd w:val="clear" w:color="auto" w:fill="E5EDFE"/>
          </w:tcPr>
          <w:p>
            <w:pPr>
              <w:spacing w:after="0"/>
              <w:rPr>
                <w:sz w:val="12"/>
                <w:szCs w:val="12"/>
                <w:color w:val="auto"/>
              </w:rPr>
            </w:pPr>
          </w:p>
        </w:tc>
        <w:tc>
          <w:tcPr>
            <w:tcW w:w="120" w:type="dxa"/>
            <w:vAlign w:val="bottom"/>
            <w:tcBorders>
              <w:right w:val="single" w:sz="8" w:color="auto"/>
            </w:tcBorders>
            <w:shd w:val="clear" w:color="auto" w:fill="E5EDFE"/>
          </w:tcPr>
          <w:p>
            <w:pPr>
              <w:spacing w:after="0"/>
              <w:rPr>
                <w:sz w:val="12"/>
                <w:szCs w:val="12"/>
                <w:color w:val="auto"/>
              </w:rPr>
            </w:pPr>
          </w:p>
        </w:tc>
        <w:tc>
          <w:tcPr>
            <w:tcW w:w="72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540" w:type="dxa"/>
            <w:vAlign w:val="bottom"/>
            <w:shd w:val="clear" w:color="auto" w:fill="E5EDFE"/>
          </w:tcPr>
          <w:p>
            <w:pPr>
              <w:jc w:val="right"/>
              <w:spacing w:after="0" w:line="145" w:lineRule="exact"/>
              <w:rPr>
                <w:sz w:val="20"/>
                <w:szCs w:val="20"/>
                <w:color w:val="auto"/>
              </w:rPr>
            </w:pPr>
            <w:r>
              <w:rPr>
                <w:rFonts w:ascii="Arial" w:cs="Arial" w:eastAsia="Arial" w:hAnsi="Arial"/>
                <w:sz w:val="11"/>
                <w:szCs w:val="11"/>
                <w:color w:val="auto"/>
              </w:rPr>
              <w:t>9,186</w:t>
            </w:r>
            <w:r>
              <w:rPr>
                <w:rFonts w:ascii="Arial" w:cs="Arial" w:eastAsia="Arial" w:hAnsi="Arial"/>
                <w:sz w:val="16"/>
                <w:szCs w:val="16"/>
                <w:color w:val="auto"/>
                <w:vertAlign w:val="superscript"/>
              </w:rPr>
              <w:t>(8</w:t>
            </w:r>
          </w:p>
        </w:tc>
        <w:tc>
          <w:tcPr>
            <w:tcW w:w="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00" w:type="dxa"/>
            <w:vAlign w:val="bottom"/>
            <w:tcBorders>
              <w:right w:val="single" w:sz="8" w:color="auto"/>
            </w:tcBorders>
            <w:shd w:val="clear" w:color="auto" w:fill="E5EDF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520" w:type="dxa"/>
            <w:vAlign w:val="bottom"/>
            <w:tcBorders>
              <w:left w:val="single" w:sz="8" w:color="auto"/>
              <w:right w:val="single" w:sz="8" w:color="auto"/>
            </w:tcBorders>
            <w:shd w:val="clear" w:color="auto" w:fill="E5EDFE"/>
          </w:tcPr>
          <w:p>
            <w:pPr>
              <w:spacing w:after="0"/>
              <w:rPr>
                <w:sz w:val="3"/>
                <w:szCs w:val="3"/>
                <w:color w:val="auto"/>
              </w:rPr>
            </w:pPr>
          </w:p>
        </w:tc>
        <w:tc>
          <w:tcPr>
            <w:tcW w:w="100" w:type="dxa"/>
            <w:vAlign w:val="bottom"/>
            <w:vMerge w:val="restart"/>
            <w:shd w:val="clear" w:color="auto" w:fill="E5EDFE"/>
          </w:tcPr>
          <w:p>
            <w:pPr>
              <w:spacing w:after="0"/>
              <w:rPr>
                <w:sz w:val="3"/>
                <w:szCs w:val="3"/>
                <w:color w:val="auto"/>
              </w:rPr>
            </w:pPr>
          </w:p>
        </w:tc>
        <w:tc>
          <w:tcPr>
            <w:tcW w:w="660" w:type="dxa"/>
            <w:vAlign w:val="bottom"/>
            <w:vMerge w:val="restart"/>
            <w:shd w:val="clear" w:color="auto" w:fill="E5EDFE"/>
          </w:tcPr>
          <w:p>
            <w:pPr>
              <w:jc w:val="right"/>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(4</w:t>
            </w:r>
          </w:p>
        </w:tc>
        <w:tc>
          <w:tcPr>
            <w:tcW w:w="120" w:type="dxa"/>
            <w:vAlign w:val="bottom"/>
            <w:tcBorders>
              <w:right w:val="single" w:sz="8" w:color="auto"/>
            </w:tcBorders>
            <w:vMerge w:val="restart"/>
          </w:tcPr>
          <w:p>
            <w:pPr>
              <w:jc w:val="right"/>
              <w:ind w:right="95"/>
              <w:spacing w:after="0"/>
              <w:rPr>
                <w:sz w:val="20"/>
                <w:szCs w:val="20"/>
                <w:color w:val="auto"/>
              </w:rPr>
            </w:pPr>
            <w:r>
              <w:rPr>
                <w:rFonts w:ascii="Arial" w:cs="Arial" w:eastAsia="Arial" w:hAnsi="Arial"/>
                <w:sz w:val="1"/>
                <w:szCs w:val="1"/>
                <w:color w:val="auto"/>
                <w:w w:val="4294967281"/>
              </w:rPr>
              <w:t>)</w:t>
            </w:r>
          </w:p>
        </w:tc>
        <w:tc>
          <w:tcPr>
            <w:tcW w:w="18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6,648</w:t>
            </w:r>
          </w:p>
        </w:tc>
        <w:tc>
          <w:tcPr>
            <w:tcW w:w="220" w:type="dxa"/>
            <w:vAlign w:val="bottom"/>
            <w:tcBorders>
              <w:right w:val="single" w:sz="8" w:color="auto"/>
            </w:tcBorders>
            <w:shd w:val="clear" w:color="auto" w:fill="E5EDFE"/>
          </w:tcPr>
          <w:p>
            <w:pPr>
              <w:spacing w:after="0"/>
              <w:rPr>
                <w:sz w:val="3"/>
                <w:szCs w:val="3"/>
                <w:color w:val="auto"/>
              </w:rPr>
            </w:pPr>
          </w:p>
        </w:tc>
        <w:tc>
          <w:tcPr>
            <w:tcW w:w="24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19,947</w:t>
            </w:r>
          </w:p>
        </w:tc>
        <w:tc>
          <w:tcPr>
            <w:tcW w:w="2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120" w:type="dxa"/>
            <w:vAlign w:val="bottom"/>
            <w:shd w:val="clear" w:color="auto" w:fill="E5EDFE"/>
          </w:tcPr>
          <w:p>
            <w:pPr>
              <w:spacing w:after="0"/>
              <w:rPr>
                <w:sz w:val="3"/>
                <w:szCs w:val="3"/>
                <w:color w:val="auto"/>
              </w:rPr>
            </w:pPr>
          </w:p>
        </w:tc>
        <w:tc>
          <w:tcPr>
            <w:tcW w:w="36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w w:val="96"/>
              </w:rPr>
              <w:t>25.30</w:t>
            </w:r>
          </w:p>
        </w:tc>
        <w:tc>
          <w:tcPr>
            <w:tcW w:w="1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78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9/6/20</w:t>
            </w:r>
          </w:p>
        </w:tc>
        <w:tc>
          <w:tcPr>
            <w:tcW w:w="100" w:type="dxa"/>
            <w:vAlign w:val="bottom"/>
            <w:vMerge w:val="restart"/>
            <w:shd w:val="clear" w:color="auto" w:fill="E5EDFE"/>
          </w:tcPr>
          <w:p>
            <w:pPr>
              <w:spacing w:after="0"/>
              <w:rPr>
                <w:sz w:val="3"/>
                <w:szCs w:val="3"/>
                <w:color w:val="auto"/>
              </w:rPr>
            </w:pPr>
          </w:p>
        </w:tc>
        <w:tc>
          <w:tcPr>
            <w:tcW w:w="660" w:type="dxa"/>
            <w:vAlign w:val="bottom"/>
            <w:vMerge w:val="restart"/>
            <w:shd w:val="clear" w:color="auto" w:fill="E5EDFE"/>
          </w:tcPr>
          <w:p>
            <w:pPr>
              <w:jc w:val="right"/>
              <w:spacing w:after="0" w:line="189" w:lineRule="exact"/>
              <w:rPr>
                <w:sz w:val="20"/>
                <w:szCs w:val="20"/>
                <w:color w:val="auto"/>
              </w:rPr>
            </w:pPr>
            <w:r>
              <w:rPr>
                <w:rFonts w:ascii="Arial" w:cs="Arial" w:eastAsia="Arial" w:hAnsi="Arial"/>
                <w:sz w:val="14"/>
                <w:szCs w:val="14"/>
                <w:color w:val="auto"/>
                <w:w w:val="95"/>
              </w:rPr>
              <w:t>10/11/12</w:t>
            </w:r>
            <w:r>
              <w:rPr>
                <w:rFonts w:ascii="Arial" w:cs="Arial" w:eastAsia="Arial" w:hAnsi="Arial"/>
                <w:sz w:val="21"/>
                <w:szCs w:val="21"/>
                <w:color w:val="auto"/>
                <w:w w:val="95"/>
                <w:vertAlign w:val="superscript"/>
              </w:rPr>
              <w:t>(6</w:t>
            </w:r>
          </w:p>
        </w:tc>
        <w:tc>
          <w:tcPr>
            <w:tcW w:w="80" w:type="dxa"/>
            <w:vAlign w:val="bottom"/>
            <w:vMerge w:val="restart"/>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4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5,058</w:t>
            </w:r>
          </w:p>
        </w:tc>
        <w:tc>
          <w:tcPr>
            <w:tcW w:w="120" w:type="dxa"/>
            <w:vAlign w:val="bottom"/>
            <w:tcBorders>
              <w:right w:val="single" w:sz="8" w:color="auto"/>
            </w:tcBorders>
            <w:shd w:val="clear" w:color="auto" w:fill="E5EDFE"/>
          </w:tcPr>
          <w:p>
            <w:pPr>
              <w:spacing w:after="0"/>
              <w:rPr>
                <w:sz w:val="3"/>
                <w:szCs w:val="3"/>
                <w:color w:val="auto"/>
              </w:rPr>
            </w:pPr>
          </w:p>
        </w:tc>
        <w:tc>
          <w:tcPr>
            <w:tcW w:w="72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139,803</w:t>
            </w:r>
          </w:p>
        </w:tc>
        <w:tc>
          <w:tcPr>
            <w:tcW w:w="100" w:type="dxa"/>
            <w:vAlign w:val="bottom"/>
            <w:shd w:val="clear" w:color="auto" w:fill="E5EDFE"/>
          </w:tcPr>
          <w:p>
            <w:pPr>
              <w:spacing w:after="0"/>
              <w:rPr>
                <w:sz w:val="3"/>
                <w:szCs w:val="3"/>
                <w:color w:val="auto"/>
              </w:rPr>
            </w:pPr>
          </w:p>
        </w:tc>
        <w:tc>
          <w:tcPr>
            <w:tcW w:w="540" w:type="dxa"/>
            <w:vAlign w:val="bottom"/>
            <w:shd w:val="clear" w:color="auto" w:fill="E5EDF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40" w:type="dxa"/>
            <w:vAlign w:val="bottom"/>
            <w:shd w:val="clear" w:color="auto" w:fill="E5EDFE"/>
          </w:tcPr>
          <w:p>
            <w:pPr>
              <w:spacing w:after="0"/>
              <w:rPr>
                <w:sz w:val="3"/>
                <w:szCs w:val="3"/>
                <w:color w:val="auto"/>
              </w:rPr>
            </w:pPr>
          </w:p>
        </w:tc>
        <w:tc>
          <w:tcPr>
            <w:tcW w:w="540" w:type="dxa"/>
            <w:vAlign w:val="bottom"/>
            <w:shd w:val="clear" w:color="auto" w:fill="E5EDFE"/>
          </w:tcPr>
          <w:p>
            <w:pPr>
              <w:spacing w:after="0"/>
              <w:rPr>
                <w:sz w:val="3"/>
                <w:szCs w:val="3"/>
                <w:color w:val="auto"/>
              </w:rPr>
            </w:pPr>
          </w:p>
        </w:tc>
        <w:tc>
          <w:tcPr>
            <w:tcW w:w="200" w:type="dxa"/>
            <w:vAlign w:val="bottom"/>
            <w:tcBorders>
              <w:right w:val="single" w:sz="8" w:color="auto"/>
            </w:tcBorders>
            <w:shd w:val="clear" w:color="auto" w:fill="E5EDF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right w:val="single" w:sz="8" w:color="auto"/>
            </w:tcBorders>
            <w:shd w:val="clear" w:color="auto" w:fill="E5EDFE"/>
          </w:tcPr>
          <w:p>
            <w:pPr>
              <w:spacing w:after="0"/>
              <w:rPr>
                <w:sz w:val="12"/>
                <w:szCs w:val="12"/>
                <w:color w:val="auto"/>
              </w:rPr>
            </w:pPr>
          </w:p>
        </w:tc>
        <w:tc>
          <w:tcPr>
            <w:tcW w:w="100" w:type="dxa"/>
            <w:vAlign w:val="bottom"/>
            <w:vMerge w:val="continue"/>
            <w:shd w:val="clear" w:color="auto" w:fill="E5EDFE"/>
          </w:tcPr>
          <w:p>
            <w:pPr>
              <w:spacing w:after="0"/>
              <w:rPr>
                <w:sz w:val="12"/>
                <w:szCs w:val="12"/>
                <w:color w:val="auto"/>
              </w:rPr>
            </w:pPr>
          </w:p>
        </w:tc>
        <w:tc>
          <w:tcPr>
            <w:tcW w:w="660" w:type="dxa"/>
            <w:vAlign w:val="bottom"/>
            <w:vMerge w:val="continue"/>
            <w:shd w:val="clear" w:color="auto" w:fill="E5EDF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18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20" w:type="dxa"/>
            <w:vAlign w:val="bottom"/>
            <w:tcBorders>
              <w:right w:val="single" w:sz="8" w:color="auto"/>
            </w:tcBorders>
            <w:shd w:val="clear" w:color="auto" w:fill="E5EDFE"/>
          </w:tcPr>
          <w:p>
            <w:pPr>
              <w:spacing w:after="0"/>
              <w:rPr>
                <w:sz w:val="12"/>
                <w:szCs w:val="12"/>
                <w:color w:val="auto"/>
              </w:rPr>
            </w:pPr>
          </w:p>
        </w:tc>
        <w:tc>
          <w:tcPr>
            <w:tcW w:w="24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120" w:type="dxa"/>
            <w:vAlign w:val="bottom"/>
            <w:shd w:val="clear" w:color="auto" w:fill="E5EDFE"/>
          </w:tcPr>
          <w:p>
            <w:pPr>
              <w:spacing w:after="0"/>
              <w:rPr>
                <w:sz w:val="12"/>
                <w:szCs w:val="12"/>
                <w:color w:val="auto"/>
              </w:rPr>
            </w:pPr>
          </w:p>
        </w:tc>
        <w:tc>
          <w:tcPr>
            <w:tcW w:w="360" w:type="dxa"/>
            <w:vAlign w:val="bottom"/>
            <w:vMerge w:val="continue"/>
            <w:shd w:val="clear" w:color="auto" w:fill="E5EDFE"/>
          </w:tcPr>
          <w:p>
            <w:pPr>
              <w:spacing w:after="0"/>
              <w:rPr>
                <w:sz w:val="12"/>
                <w:szCs w:val="12"/>
                <w:color w:val="auto"/>
              </w:rPr>
            </w:pPr>
          </w:p>
        </w:tc>
        <w:tc>
          <w:tcPr>
            <w:tcW w:w="1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78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vMerge w:val="continue"/>
            <w:shd w:val="clear" w:color="auto" w:fill="E5EDFE"/>
          </w:tcPr>
          <w:p>
            <w:pPr>
              <w:spacing w:after="0"/>
              <w:rPr>
                <w:sz w:val="12"/>
                <w:szCs w:val="12"/>
                <w:color w:val="auto"/>
              </w:rPr>
            </w:pPr>
          </w:p>
        </w:tc>
        <w:tc>
          <w:tcPr>
            <w:tcW w:w="660" w:type="dxa"/>
            <w:vAlign w:val="bottom"/>
            <w:vMerge w:val="continue"/>
            <w:shd w:val="clear" w:color="auto" w:fill="E5EDF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440" w:type="dxa"/>
            <w:vAlign w:val="bottom"/>
            <w:vMerge w:val="continue"/>
            <w:shd w:val="clear" w:color="auto" w:fill="E5EDFE"/>
          </w:tcPr>
          <w:p>
            <w:pPr>
              <w:spacing w:after="0"/>
              <w:rPr>
                <w:sz w:val="12"/>
                <w:szCs w:val="12"/>
                <w:color w:val="auto"/>
              </w:rPr>
            </w:pPr>
          </w:p>
        </w:tc>
        <w:tc>
          <w:tcPr>
            <w:tcW w:w="120" w:type="dxa"/>
            <w:vAlign w:val="bottom"/>
            <w:tcBorders>
              <w:right w:val="single" w:sz="8" w:color="auto"/>
            </w:tcBorders>
            <w:shd w:val="clear" w:color="auto" w:fill="E5EDFE"/>
          </w:tcPr>
          <w:p>
            <w:pPr>
              <w:spacing w:after="0"/>
              <w:rPr>
                <w:sz w:val="12"/>
                <w:szCs w:val="12"/>
                <w:color w:val="auto"/>
              </w:rPr>
            </w:pPr>
          </w:p>
        </w:tc>
        <w:tc>
          <w:tcPr>
            <w:tcW w:w="72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540" w:type="dxa"/>
            <w:vAlign w:val="bottom"/>
            <w:shd w:val="clear" w:color="auto" w:fill="E5EDFE"/>
          </w:tcPr>
          <w:p>
            <w:pPr>
              <w:spacing w:after="0"/>
              <w:rPr>
                <w:sz w:val="12"/>
                <w:szCs w:val="12"/>
                <w:color w:val="auto"/>
              </w:rPr>
            </w:pPr>
          </w:p>
        </w:tc>
        <w:tc>
          <w:tcPr>
            <w:tcW w:w="60" w:type="dxa"/>
            <w:vAlign w:val="bottom"/>
            <w:shd w:val="clear" w:color="auto" w:fill="E5EDF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0" w:type="dxa"/>
            <w:vAlign w:val="bottom"/>
            <w:shd w:val="clear" w:color="auto" w:fill="E5EDFE"/>
          </w:tcPr>
          <w:p>
            <w:pPr>
              <w:spacing w:after="0"/>
              <w:rPr>
                <w:sz w:val="12"/>
                <w:szCs w:val="12"/>
                <w:color w:val="auto"/>
              </w:rPr>
            </w:pPr>
          </w:p>
        </w:tc>
        <w:tc>
          <w:tcPr>
            <w:tcW w:w="540" w:type="dxa"/>
            <w:vAlign w:val="bottom"/>
            <w:shd w:val="clear" w:color="auto" w:fill="E5EDFE"/>
          </w:tcPr>
          <w:p>
            <w:pPr>
              <w:spacing w:after="0"/>
              <w:rPr>
                <w:sz w:val="12"/>
                <w:szCs w:val="12"/>
                <w:color w:val="auto"/>
              </w:rPr>
            </w:pPr>
          </w:p>
        </w:tc>
        <w:tc>
          <w:tcPr>
            <w:tcW w:w="200" w:type="dxa"/>
            <w:vAlign w:val="bottom"/>
            <w:tcBorders>
              <w:right w:val="single" w:sz="8" w:color="auto"/>
            </w:tcBorders>
            <w:shd w:val="clear" w:color="auto" w:fill="E5EDFE"/>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520" w:type="dxa"/>
            <w:vAlign w:val="bottom"/>
            <w:tcBorders>
              <w:left w:val="single" w:sz="8" w:color="auto"/>
              <w:right w:val="single" w:sz="8" w:color="auto"/>
            </w:tcBorders>
            <w:shd w:val="clear" w:color="auto" w:fill="E5EDFE"/>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660" w:type="dxa"/>
            <w:vAlign w:val="bottom"/>
            <w:shd w:val="clear" w:color="auto" w:fill="E5EDF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80" w:type="dxa"/>
            <w:vAlign w:val="bottom"/>
            <w:shd w:val="clear" w:color="auto" w:fill="E5EDFE"/>
          </w:tcPr>
          <w:p>
            <w:pPr>
              <w:spacing w:after="0"/>
              <w:rPr>
                <w:sz w:val="3"/>
                <w:szCs w:val="3"/>
                <w:color w:val="auto"/>
              </w:rPr>
            </w:pPr>
          </w:p>
        </w:tc>
        <w:tc>
          <w:tcPr>
            <w:tcW w:w="540" w:type="dxa"/>
            <w:vAlign w:val="bottom"/>
            <w:shd w:val="clear" w:color="auto" w:fill="E5EDFE"/>
          </w:tcPr>
          <w:p>
            <w:pPr>
              <w:spacing w:after="0"/>
              <w:rPr>
                <w:sz w:val="3"/>
                <w:szCs w:val="3"/>
                <w:color w:val="auto"/>
              </w:rPr>
            </w:pPr>
          </w:p>
        </w:tc>
        <w:tc>
          <w:tcPr>
            <w:tcW w:w="220" w:type="dxa"/>
            <w:vAlign w:val="bottom"/>
            <w:tcBorders>
              <w:right w:val="single" w:sz="8" w:color="auto"/>
            </w:tcBorders>
            <w:shd w:val="clear" w:color="auto" w:fill="E5EDFE"/>
          </w:tcPr>
          <w:p>
            <w:pPr>
              <w:spacing w:after="0"/>
              <w:rPr>
                <w:sz w:val="3"/>
                <w:szCs w:val="3"/>
                <w:color w:val="auto"/>
              </w:rPr>
            </w:pPr>
          </w:p>
        </w:tc>
        <w:tc>
          <w:tcPr>
            <w:tcW w:w="240" w:type="dxa"/>
            <w:vAlign w:val="bottom"/>
            <w:shd w:val="clear" w:color="auto" w:fill="E5EDFE"/>
          </w:tcPr>
          <w:p>
            <w:pPr>
              <w:spacing w:after="0"/>
              <w:rPr>
                <w:sz w:val="3"/>
                <w:szCs w:val="3"/>
                <w:color w:val="auto"/>
              </w:rPr>
            </w:pPr>
          </w:p>
        </w:tc>
        <w:tc>
          <w:tcPr>
            <w:tcW w:w="540" w:type="dxa"/>
            <w:vAlign w:val="bottom"/>
            <w:shd w:val="clear" w:color="auto" w:fill="E5EDFE"/>
          </w:tcPr>
          <w:p>
            <w:pPr>
              <w:spacing w:after="0"/>
              <w:rPr>
                <w:sz w:val="3"/>
                <w:szCs w:val="3"/>
                <w:color w:val="auto"/>
              </w:rPr>
            </w:pPr>
          </w:p>
        </w:tc>
        <w:tc>
          <w:tcPr>
            <w:tcW w:w="2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120" w:type="dxa"/>
            <w:vAlign w:val="bottom"/>
            <w:shd w:val="clear" w:color="auto" w:fill="E5EDFE"/>
          </w:tcPr>
          <w:p>
            <w:pPr>
              <w:spacing w:after="0"/>
              <w:rPr>
                <w:sz w:val="3"/>
                <w:szCs w:val="3"/>
                <w:color w:val="auto"/>
              </w:rPr>
            </w:pPr>
          </w:p>
        </w:tc>
        <w:tc>
          <w:tcPr>
            <w:tcW w:w="360" w:type="dxa"/>
            <w:vAlign w:val="bottom"/>
            <w:shd w:val="clear" w:color="auto" w:fill="E5EDFE"/>
          </w:tcPr>
          <w:p>
            <w:pPr>
              <w:spacing w:after="0"/>
              <w:rPr>
                <w:sz w:val="3"/>
                <w:szCs w:val="3"/>
                <w:color w:val="auto"/>
              </w:rPr>
            </w:pPr>
          </w:p>
        </w:tc>
        <w:tc>
          <w:tcPr>
            <w:tcW w:w="160" w:type="dxa"/>
            <w:vAlign w:val="bottom"/>
            <w:tcBorders>
              <w:right w:val="single" w:sz="8" w:color="auto"/>
            </w:tcBorders>
            <w:shd w:val="clear" w:color="auto" w:fill="E5EDFE"/>
          </w:tcPr>
          <w:p>
            <w:pPr>
              <w:spacing w:after="0"/>
              <w:rPr>
                <w:sz w:val="3"/>
                <w:szCs w:val="3"/>
                <w:color w:val="auto"/>
              </w:rPr>
            </w:pPr>
          </w:p>
        </w:tc>
        <w:tc>
          <w:tcPr>
            <w:tcW w:w="40" w:type="dxa"/>
            <w:vAlign w:val="bottom"/>
            <w:shd w:val="clear" w:color="auto" w:fill="E5EDFE"/>
          </w:tcPr>
          <w:p>
            <w:pPr>
              <w:spacing w:after="0"/>
              <w:rPr>
                <w:sz w:val="3"/>
                <w:szCs w:val="3"/>
                <w:color w:val="auto"/>
              </w:rPr>
            </w:pPr>
          </w:p>
        </w:tc>
        <w:tc>
          <w:tcPr>
            <w:tcW w:w="780" w:type="dxa"/>
            <w:vAlign w:val="bottom"/>
            <w:tcBorders>
              <w:right w:val="single" w:sz="8" w:color="auto"/>
            </w:tcBorders>
            <w:shd w:val="clear" w:color="auto" w:fill="E5EDFE"/>
          </w:tcPr>
          <w:p>
            <w:pPr>
              <w:spacing w:after="0"/>
              <w:rPr>
                <w:sz w:val="3"/>
                <w:szCs w:val="3"/>
                <w:color w:val="auto"/>
              </w:rPr>
            </w:pPr>
          </w:p>
        </w:tc>
        <w:tc>
          <w:tcPr>
            <w:tcW w:w="100" w:type="dxa"/>
            <w:vAlign w:val="bottom"/>
            <w:vMerge w:val="restart"/>
            <w:shd w:val="clear" w:color="auto" w:fill="E5EDFE"/>
          </w:tcPr>
          <w:p>
            <w:pPr>
              <w:spacing w:after="0"/>
              <w:rPr>
                <w:sz w:val="3"/>
                <w:szCs w:val="3"/>
                <w:color w:val="auto"/>
              </w:rPr>
            </w:pPr>
          </w:p>
        </w:tc>
        <w:tc>
          <w:tcPr>
            <w:tcW w:w="660" w:type="dxa"/>
            <w:vAlign w:val="bottom"/>
            <w:vMerge w:val="restart"/>
            <w:shd w:val="clear" w:color="auto" w:fill="E5EDFE"/>
          </w:tcPr>
          <w:p>
            <w:pPr>
              <w:jc w:val="right"/>
              <w:spacing w:after="0" w:line="189" w:lineRule="exact"/>
              <w:rPr>
                <w:sz w:val="20"/>
                <w:szCs w:val="20"/>
                <w:color w:val="auto"/>
              </w:rPr>
            </w:pPr>
            <w:r>
              <w:rPr>
                <w:rFonts w:ascii="Arial" w:cs="Arial" w:eastAsia="Arial" w:hAnsi="Arial"/>
                <w:sz w:val="14"/>
                <w:szCs w:val="14"/>
                <w:color w:val="auto"/>
              </w:rPr>
              <w:t>1/14/13</w:t>
            </w:r>
            <w:r>
              <w:rPr>
                <w:rFonts w:ascii="Arial" w:cs="Arial" w:eastAsia="Arial" w:hAnsi="Arial"/>
                <w:sz w:val="21"/>
                <w:szCs w:val="21"/>
                <w:color w:val="auto"/>
                <w:vertAlign w:val="superscript"/>
              </w:rPr>
              <w:t>(7</w:t>
            </w:r>
          </w:p>
        </w:tc>
        <w:tc>
          <w:tcPr>
            <w:tcW w:w="80" w:type="dxa"/>
            <w:vAlign w:val="bottom"/>
            <w:vMerge w:val="restart"/>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tcPr>
          <w:p>
            <w:pPr>
              <w:spacing w:after="0"/>
              <w:rPr>
                <w:sz w:val="3"/>
                <w:szCs w:val="3"/>
                <w:color w:val="auto"/>
              </w:rPr>
            </w:pPr>
          </w:p>
        </w:tc>
        <w:tc>
          <w:tcPr>
            <w:tcW w:w="100" w:type="dxa"/>
            <w:vAlign w:val="bottom"/>
            <w:shd w:val="clear" w:color="auto" w:fill="E5EDFE"/>
          </w:tcPr>
          <w:p>
            <w:pPr>
              <w:spacing w:after="0"/>
              <w:rPr>
                <w:sz w:val="3"/>
                <w:szCs w:val="3"/>
                <w:color w:val="auto"/>
              </w:rPr>
            </w:pPr>
          </w:p>
        </w:tc>
        <w:tc>
          <w:tcPr>
            <w:tcW w:w="4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6,524</w:t>
            </w:r>
          </w:p>
        </w:tc>
        <w:tc>
          <w:tcPr>
            <w:tcW w:w="120" w:type="dxa"/>
            <w:vAlign w:val="bottom"/>
            <w:tcBorders>
              <w:right w:val="single" w:sz="8" w:color="auto"/>
            </w:tcBorders>
            <w:shd w:val="clear" w:color="auto" w:fill="E5EDFE"/>
          </w:tcPr>
          <w:p>
            <w:pPr>
              <w:spacing w:after="0"/>
              <w:rPr>
                <w:sz w:val="3"/>
                <w:szCs w:val="3"/>
                <w:color w:val="auto"/>
              </w:rPr>
            </w:pPr>
          </w:p>
        </w:tc>
        <w:tc>
          <w:tcPr>
            <w:tcW w:w="720" w:type="dxa"/>
            <w:vAlign w:val="bottom"/>
            <w:tcBorders>
              <w:right w:val="single" w:sz="8" w:color="auto"/>
            </w:tcBorders>
            <w:vMerge w:val="restart"/>
            <w:shd w:val="clear" w:color="auto" w:fill="E5EDFE"/>
          </w:tcPr>
          <w:p>
            <w:pPr>
              <w:jc w:val="right"/>
              <w:spacing w:after="0"/>
              <w:rPr>
                <w:sz w:val="20"/>
                <w:szCs w:val="20"/>
                <w:color w:val="auto"/>
              </w:rPr>
            </w:pPr>
            <w:r>
              <w:rPr>
                <w:rFonts w:ascii="Arial" w:cs="Arial" w:eastAsia="Arial" w:hAnsi="Arial"/>
                <w:sz w:val="14"/>
                <w:szCs w:val="14"/>
                <w:color w:val="auto"/>
              </w:rPr>
              <w:t>180,323</w:t>
            </w:r>
          </w:p>
        </w:tc>
        <w:tc>
          <w:tcPr>
            <w:tcW w:w="100" w:type="dxa"/>
            <w:vAlign w:val="bottom"/>
            <w:vMerge w:val="restart"/>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line="189" w:lineRule="exact"/>
              <w:rPr>
                <w:sz w:val="20"/>
                <w:szCs w:val="20"/>
                <w:color w:val="auto"/>
              </w:rPr>
            </w:pPr>
            <w:r>
              <w:rPr>
                <w:rFonts w:ascii="Arial" w:cs="Arial" w:eastAsia="Arial" w:hAnsi="Arial"/>
                <w:sz w:val="14"/>
                <w:szCs w:val="14"/>
                <w:color w:val="auto"/>
                <w:w w:val="90"/>
              </w:rPr>
              <w:t>13,837</w:t>
            </w:r>
            <w:r>
              <w:rPr>
                <w:rFonts w:ascii="Arial" w:cs="Arial" w:eastAsia="Arial" w:hAnsi="Arial"/>
                <w:sz w:val="21"/>
                <w:szCs w:val="21"/>
                <w:color w:val="auto"/>
                <w:w w:val="90"/>
                <w:vertAlign w:val="superscript"/>
              </w:rPr>
              <w:t>(8</w:t>
            </w:r>
          </w:p>
        </w:tc>
        <w:tc>
          <w:tcPr>
            <w:tcW w:w="60" w:type="dxa"/>
            <w:vAlign w:val="bottom"/>
            <w:vMerge w:val="restart"/>
            <w:shd w:val="clear" w:color="auto" w:fill="E5EDFE"/>
          </w:tcPr>
          <w:p>
            <w:pPr>
              <w:jc w:val="right"/>
              <w:ind w:right="35"/>
              <w:spacing w:after="0"/>
              <w:rPr>
                <w:sz w:val="20"/>
                <w:szCs w:val="20"/>
                <w:color w:val="auto"/>
              </w:rPr>
            </w:pPr>
            <w:r>
              <w:rPr>
                <w:rFonts w:ascii="Arial" w:cs="Arial" w:eastAsia="Arial" w:hAnsi="Arial"/>
                <w:sz w:val="1"/>
                <w:szCs w:val="1"/>
                <w:color w:val="auto"/>
                <w:w w:val="4294967281"/>
              </w:rPr>
              <w:t>)</w:t>
            </w:r>
          </w:p>
        </w:tc>
        <w:tc>
          <w:tcPr>
            <w:tcW w:w="40" w:type="dxa"/>
            <w:vAlign w:val="bottom"/>
            <w:tcBorders>
              <w:right w:val="single" w:sz="8" w:color="auto"/>
            </w:tcBorders>
          </w:tcPr>
          <w:p>
            <w:pPr>
              <w:spacing w:after="0"/>
              <w:rPr>
                <w:sz w:val="3"/>
                <w:szCs w:val="3"/>
                <w:color w:val="auto"/>
              </w:rPr>
            </w:pPr>
          </w:p>
        </w:tc>
        <w:tc>
          <w:tcPr>
            <w:tcW w:w="140" w:type="dxa"/>
            <w:vAlign w:val="bottom"/>
            <w:shd w:val="clear" w:color="auto" w:fill="E5EDFE"/>
          </w:tcPr>
          <w:p>
            <w:pPr>
              <w:spacing w:after="0"/>
              <w:rPr>
                <w:sz w:val="3"/>
                <w:szCs w:val="3"/>
                <w:color w:val="auto"/>
              </w:rPr>
            </w:pPr>
          </w:p>
        </w:tc>
        <w:tc>
          <w:tcPr>
            <w:tcW w:w="540" w:type="dxa"/>
            <w:vAlign w:val="bottom"/>
            <w:vMerge w:val="restart"/>
            <w:shd w:val="clear" w:color="auto" w:fill="E5EDFE"/>
          </w:tcPr>
          <w:p>
            <w:pPr>
              <w:jc w:val="right"/>
              <w:spacing w:after="0"/>
              <w:rPr>
                <w:sz w:val="20"/>
                <w:szCs w:val="20"/>
                <w:color w:val="auto"/>
              </w:rPr>
            </w:pPr>
            <w:r>
              <w:rPr>
                <w:rFonts w:ascii="Arial" w:cs="Arial" w:eastAsia="Arial" w:hAnsi="Arial"/>
                <w:sz w:val="14"/>
                <w:szCs w:val="14"/>
                <w:color w:val="auto"/>
              </w:rPr>
              <w:t>380,656</w:t>
            </w:r>
          </w:p>
        </w:tc>
        <w:tc>
          <w:tcPr>
            <w:tcW w:w="200" w:type="dxa"/>
            <w:vAlign w:val="bottom"/>
            <w:tcBorders>
              <w:right w:val="single" w:sz="8" w:color="auto"/>
            </w:tcBorders>
            <w:shd w:val="clear" w:color="auto" w:fill="E5EDF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right w:val="single" w:sz="8" w:color="auto"/>
            </w:tcBorders>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660" w:type="dxa"/>
            <w:vAlign w:val="bottom"/>
            <w:shd w:val="clear" w:color="auto" w:fill="E5EDF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0" w:type="dxa"/>
            <w:vAlign w:val="bottom"/>
            <w:shd w:val="clear" w:color="auto" w:fill="E5EDFE"/>
          </w:tcPr>
          <w:p>
            <w:pPr>
              <w:spacing w:after="0"/>
              <w:rPr>
                <w:sz w:val="12"/>
                <w:szCs w:val="12"/>
                <w:color w:val="auto"/>
              </w:rPr>
            </w:pPr>
          </w:p>
        </w:tc>
        <w:tc>
          <w:tcPr>
            <w:tcW w:w="540" w:type="dxa"/>
            <w:vAlign w:val="bottom"/>
            <w:shd w:val="clear" w:color="auto" w:fill="E5EDFE"/>
          </w:tcPr>
          <w:p>
            <w:pPr>
              <w:spacing w:after="0"/>
              <w:rPr>
                <w:sz w:val="12"/>
                <w:szCs w:val="12"/>
                <w:color w:val="auto"/>
              </w:rPr>
            </w:pPr>
          </w:p>
        </w:tc>
        <w:tc>
          <w:tcPr>
            <w:tcW w:w="220" w:type="dxa"/>
            <w:vAlign w:val="bottom"/>
            <w:tcBorders>
              <w:right w:val="single" w:sz="8" w:color="auto"/>
            </w:tcBorders>
            <w:shd w:val="clear" w:color="auto" w:fill="E5EDFE"/>
          </w:tcPr>
          <w:p>
            <w:pPr>
              <w:spacing w:after="0"/>
              <w:rPr>
                <w:sz w:val="12"/>
                <w:szCs w:val="12"/>
                <w:color w:val="auto"/>
              </w:rPr>
            </w:pPr>
          </w:p>
        </w:tc>
        <w:tc>
          <w:tcPr>
            <w:tcW w:w="240" w:type="dxa"/>
            <w:vAlign w:val="bottom"/>
            <w:shd w:val="clear" w:color="auto" w:fill="E5EDFE"/>
          </w:tcPr>
          <w:p>
            <w:pPr>
              <w:spacing w:after="0"/>
              <w:rPr>
                <w:sz w:val="12"/>
                <w:szCs w:val="12"/>
                <w:color w:val="auto"/>
              </w:rPr>
            </w:pPr>
          </w:p>
        </w:tc>
        <w:tc>
          <w:tcPr>
            <w:tcW w:w="540" w:type="dxa"/>
            <w:vAlign w:val="bottom"/>
            <w:shd w:val="clear" w:color="auto" w:fill="E5EDFE"/>
          </w:tcPr>
          <w:p>
            <w:pPr>
              <w:spacing w:after="0"/>
              <w:rPr>
                <w:sz w:val="12"/>
                <w:szCs w:val="12"/>
                <w:color w:val="auto"/>
              </w:rPr>
            </w:pPr>
          </w:p>
        </w:tc>
        <w:tc>
          <w:tcPr>
            <w:tcW w:w="2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120" w:type="dxa"/>
            <w:vAlign w:val="bottom"/>
            <w:shd w:val="clear" w:color="auto" w:fill="E5EDFE"/>
          </w:tcPr>
          <w:p>
            <w:pPr>
              <w:spacing w:after="0"/>
              <w:rPr>
                <w:sz w:val="12"/>
                <w:szCs w:val="12"/>
                <w:color w:val="auto"/>
              </w:rPr>
            </w:pPr>
          </w:p>
        </w:tc>
        <w:tc>
          <w:tcPr>
            <w:tcW w:w="360" w:type="dxa"/>
            <w:vAlign w:val="bottom"/>
            <w:shd w:val="clear" w:color="auto" w:fill="E5EDFE"/>
          </w:tcPr>
          <w:p>
            <w:pPr>
              <w:spacing w:after="0"/>
              <w:rPr>
                <w:sz w:val="12"/>
                <w:szCs w:val="12"/>
                <w:color w:val="auto"/>
              </w:rPr>
            </w:pPr>
          </w:p>
        </w:tc>
        <w:tc>
          <w:tcPr>
            <w:tcW w:w="160" w:type="dxa"/>
            <w:vAlign w:val="bottom"/>
            <w:tcBorders>
              <w:right w:val="single" w:sz="8" w:color="auto"/>
            </w:tcBorders>
            <w:shd w:val="clear" w:color="auto" w:fill="E5EDFE"/>
          </w:tcPr>
          <w:p>
            <w:pPr>
              <w:spacing w:after="0"/>
              <w:rPr>
                <w:sz w:val="12"/>
                <w:szCs w:val="12"/>
                <w:color w:val="auto"/>
              </w:rPr>
            </w:pPr>
          </w:p>
        </w:tc>
        <w:tc>
          <w:tcPr>
            <w:tcW w:w="40" w:type="dxa"/>
            <w:vAlign w:val="bottom"/>
            <w:shd w:val="clear" w:color="auto" w:fill="E5EDFE"/>
          </w:tcPr>
          <w:p>
            <w:pPr>
              <w:spacing w:after="0"/>
              <w:rPr>
                <w:sz w:val="12"/>
                <w:szCs w:val="12"/>
                <w:color w:val="auto"/>
              </w:rPr>
            </w:pPr>
          </w:p>
        </w:tc>
        <w:tc>
          <w:tcPr>
            <w:tcW w:w="780" w:type="dxa"/>
            <w:vAlign w:val="bottom"/>
            <w:tcBorders>
              <w:right w:val="single" w:sz="8" w:color="auto"/>
            </w:tcBorders>
            <w:shd w:val="clear" w:color="auto" w:fill="E5EDFE"/>
          </w:tcPr>
          <w:p>
            <w:pPr>
              <w:spacing w:after="0"/>
              <w:rPr>
                <w:sz w:val="12"/>
                <w:szCs w:val="12"/>
                <w:color w:val="auto"/>
              </w:rPr>
            </w:pPr>
          </w:p>
        </w:tc>
        <w:tc>
          <w:tcPr>
            <w:tcW w:w="100" w:type="dxa"/>
            <w:vAlign w:val="bottom"/>
            <w:vMerge w:val="continue"/>
            <w:shd w:val="clear" w:color="auto" w:fill="E5EDFE"/>
          </w:tcPr>
          <w:p>
            <w:pPr>
              <w:spacing w:after="0"/>
              <w:rPr>
                <w:sz w:val="12"/>
                <w:szCs w:val="12"/>
                <w:color w:val="auto"/>
              </w:rPr>
            </w:pPr>
          </w:p>
        </w:tc>
        <w:tc>
          <w:tcPr>
            <w:tcW w:w="660" w:type="dxa"/>
            <w:vAlign w:val="bottom"/>
            <w:vMerge w:val="continue"/>
            <w:shd w:val="clear" w:color="auto" w:fill="E5EDFE"/>
          </w:tcPr>
          <w:p>
            <w:pPr>
              <w:spacing w:after="0"/>
              <w:rPr>
                <w:sz w:val="12"/>
                <w:szCs w:val="12"/>
                <w:color w:val="auto"/>
              </w:rPr>
            </w:pPr>
          </w:p>
        </w:tc>
        <w:tc>
          <w:tcPr>
            <w:tcW w:w="80" w:type="dxa"/>
            <w:vAlign w:val="bottom"/>
            <w:vMerge w:val="continue"/>
          </w:tcPr>
          <w:p>
            <w:pPr>
              <w:spacing w:after="0"/>
              <w:rPr>
                <w:sz w:val="12"/>
                <w:szCs w:val="12"/>
                <w:color w:val="auto"/>
              </w:rPr>
            </w:pPr>
          </w:p>
        </w:tc>
        <w:tc>
          <w:tcPr>
            <w:tcW w:w="40" w:type="dxa"/>
            <w:vAlign w:val="bottom"/>
            <w:tcBorders>
              <w:right w:val="single" w:sz="8" w:color="auto"/>
            </w:tcBorders>
            <w:shd w:val="clear" w:color="auto" w:fill="E5EDFE"/>
          </w:tcPr>
          <w:p>
            <w:pPr>
              <w:spacing w:after="0"/>
              <w:rPr>
                <w:sz w:val="12"/>
                <w:szCs w:val="12"/>
                <w:color w:val="auto"/>
              </w:rPr>
            </w:pPr>
          </w:p>
        </w:tc>
        <w:tc>
          <w:tcPr>
            <w:tcW w:w="100" w:type="dxa"/>
            <w:vAlign w:val="bottom"/>
            <w:shd w:val="clear" w:color="auto" w:fill="E5EDFE"/>
          </w:tcPr>
          <w:p>
            <w:pPr>
              <w:spacing w:after="0"/>
              <w:rPr>
                <w:sz w:val="12"/>
                <w:szCs w:val="12"/>
                <w:color w:val="auto"/>
              </w:rPr>
            </w:pPr>
          </w:p>
        </w:tc>
        <w:tc>
          <w:tcPr>
            <w:tcW w:w="440" w:type="dxa"/>
            <w:vAlign w:val="bottom"/>
            <w:vMerge w:val="continue"/>
            <w:shd w:val="clear" w:color="auto" w:fill="E5EDFE"/>
          </w:tcPr>
          <w:p>
            <w:pPr>
              <w:spacing w:after="0"/>
              <w:rPr>
                <w:sz w:val="12"/>
                <w:szCs w:val="12"/>
                <w:color w:val="auto"/>
              </w:rPr>
            </w:pPr>
          </w:p>
        </w:tc>
        <w:tc>
          <w:tcPr>
            <w:tcW w:w="120" w:type="dxa"/>
            <w:vAlign w:val="bottom"/>
            <w:tcBorders>
              <w:right w:val="single" w:sz="8" w:color="auto"/>
            </w:tcBorders>
            <w:shd w:val="clear" w:color="auto" w:fill="E5EDFE"/>
          </w:tcPr>
          <w:p>
            <w:pPr>
              <w:spacing w:after="0"/>
              <w:rPr>
                <w:sz w:val="12"/>
                <w:szCs w:val="12"/>
                <w:color w:val="auto"/>
              </w:rPr>
            </w:pPr>
          </w:p>
        </w:tc>
        <w:tc>
          <w:tcPr>
            <w:tcW w:w="720" w:type="dxa"/>
            <w:vAlign w:val="bottom"/>
            <w:tcBorders>
              <w:right w:val="single" w:sz="8" w:color="auto"/>
            </w:tcBorders>
            <w:vMerge w:val="continue"/>
            <w:shd w:val="clear" w:color="auto" w:fill="E5EDFE"/>
          </w:tcPr>
          <w:p>
            <w:pPr>
              <w:spacing w:after="0"/>
              <w:rPr>
                <w:sz w:val="12"/>
                <w:szCs w:val="12"/>
                <w:color w:val="auto"/>
              </w:rPr>
            </w:pPr>
          </w:p>
        </w:tc>
        <w:tc>
          <w:tcPr>
            <w:tcW w:w="100" w:type="dxa"/>
            <w:vAlign w:val="bottom"/>
            <w:vMerge w:val="continue"/>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60" w:type="dxa"/>
            <w:vAlign w:val="bottom"/>
            <w:vMerge w:val="continue"/>
            <w:shd w:val="clear" w:color="auto" w:fill="E5EDFE"/>
          </w:tcPr>
          <w:p>
            <w:pPr>
              <w:spacing w:after="0"/>
              <w:rPr>
                <w:sz w:val="12"/>
                <w:szCs w:val="12"/>
                <w:color w:val="auto"/>
              </w:rPr>
            </w:pPr>
          </w:p>
        </w:tc>
        <w:tc>
          <w:tcPr>
            <w:tcW w:w="40" w:type="dxa"/>
            <w:vAlign w:val="bottom"/>
            <w:tcBorders>
              <w:right w:val="single" w:sz="8" w:color="auto"/>
            </w:tcBorders>
            <w:shd w:val="clear" w:color="auto" w:fill="E5EDFE"/>
          </w:tcPr>
          <w:p>
            <w:pPr>
              <w:spacing w:after="0"/>
              <w:rPr>
                <w:sz w:val="12"/>
                <w:szCs w:val="12"/>
                <w:color w:val="auto"/>
              </w:rPr>
            </w:pPr>
          </w:p>
        </w:tc>
        <w:tc>
          <w:tcPr>
            <w:tcW w:w="140" w:type="dxa"/>
            <w:vAlign w:val="bottom"/>
            <w:shd w:val="clear" w:color="auto" w:fill="E5EDFE"/>
          </w:tcPr>
          <w:p>
            <w:pPr>
              <w:spacing w:after="0"/>
              <w:rPr>
                <w:sz w:val="12"/>
                <w:szCs w:val="12"/>
                <w:color w:val="auto"/>
              </w:rPr>
            </w:pPr>
          </w:p>
        </w:tc>
        <w:tc>
          <w:tcPr>
            <w:tcW w:w="540" w:type="dxa"/>
            <w:vAlign w:val="bottom"/>
            <w:vMerge w:val="continue"/>
            <w:shd w:val="clear" w:color="auto" w:fill="E5EDFE"/>
          </w:tcPr>
          <w:p>
            <w:pPr>
              <w:spacing w:after="0"/>
              <w:rPr>
                <w:sz w:val="12"/>
                <w:szCs w:val="12"/>
                <w:color w:val="auto"/>
              </w:rPr>
            </w:pPr>
          </w:p>
        </w:tc>
        <w:tc>
          <w:tcPr>
            <w:tcW w:w="200" w:type="dxa"/>
            <w:vAlign w:val="bottom"/>
            <w:tcBorders>
              <w:right w:val="single" w:sz="8" w:color="auto"/>
            </w:tcBorders>
            <w:shd w:val="clear" w:color="auto" w:fill="E5EDF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20" w:type="dxa"/>
            <w:vAlign w:val="bottom"/>
            <w:tcBorders>
              <w:right w:val="single" w:sz="8" w:color="auto"/>
            </w:tcBorders>
            <w:shd w:val="clear" w:color="auto" w:fill="E5EDFE"/>
          </w:tcPr>
          <w:p>
            <w:pPr>
              <w:spacing w:after="0"/>
              <w:rPr>
                <w:sz w:val="16"/>
                <w:szCs w:val="16"/>
                <w:color w:val="auto"/>
              </w:rPr>
            </w:pPr>
          </w:p>
        </w:tc>
        <w:tc>
          <w:tcPr>
            <w:tcW w:w="2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120" w:type="dxa"/>
            <w:vAlign w:val="bottom"/>
            <w:shd w:val="clear" w:color="auto" w:fill="E5EDFE"/>
          </w:tcPr>
          <w:p>
            <w:pPr>
              <w:spacing w:after="0"/>
              <w:rPr>
                <w:sz w:val="16"/>
                <w:szCs w:val="16"/>
                <w:color w:val="auto"/>
              </w:rPr>
            </w:pPr>
          </w:p>
        </w:tc>
        <w:tc>
          <w:tcPr>
            <w:tcW w:w="360" w:type="dxa"/>
            <w:vAlign w:val="bottom"/>
            <w:shd w:val="clear" w:color="auto" w:fill="E5EDFE"/>
          </w:tcPr>
          <w:p>
            <w:pPr>
              <w:spacing w:after="0"/>
              <w:rPr>
                <w:sz w:val="16"/>
                <w:szCs w:val="16"/>
                <w:color w:val="auto"/>
              </w:rPr>
            </w:pPr>
          </w:p>
        </w:tc>
        <w:tc>
          <w:tcPr>
            <w:tcW w:w="1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78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jc w:val="right"/>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(6</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440" w:type="dxa"/>
            <w:vAlign w:val="bottom"/>
            <w:shd w:val="clear" w:color="auto" w:fill="E5EDFE"/>
          </w:tcPr>
          <w:p>
            <w:pPr>
              <w:jc w:val="right"/>
              <w:spacing w:after="0"/>
              <w:rPr>
                <w:sz w:val="20"/>
                <w:szCs w:val="20"/>
                <w:color w:val="auto"/>
              </w:rPr>
            </w:pPr>
            <w:r>
              <w:rPr>
                <w:rFonts w:ascii="Arial" w:cs="Arial" w:eastAsia="Arial" w:hAnsi="Arial"/>
                <w:sz w:val="14"/>
                <w:szCs w:val="14"/>
                <w:color w:val="auto"/>
              </w:rPr>
              <w:t>8,091</w:t>
            </w:r>
          </w:p>
        </w:tc>
        <w:tc>
          <w:tcPr>
            <w:tcW w:w="120" w:type="dxa"/>
            <w:vAlign w:val="bottom"/>
            <w:tcBorders>
              <w:right w:val="single" w:sz="8" w:color="auto"/>
            </w:tcBorders>
            <w:shd w:val="clear" w:color="auto" w:fill="E5EDFE"/>
          </w:tcPr>
          <w:p>
            <w:pPr>
              <w:spacing w:after="0"/>
              <w:rPr>
                <w:sz w:val="16"/>
                <w:szCs w:val="16"/>
                <w:color w:val="auto"/>
              </w:rPr>
            </w:pPr>
          </w:p>
        </w:tc>
        <w:tc>
          <w:tcPr>
            <w:tcW w:w="72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223,635</w:t>
            </w:r>
          </w:p>
        </w:tc>
        <w:tc>
          <w:tcPr>
            <w:tcW w:w="10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60" w:type="dxa"/>
            <w:vAlign w:val="bottom"/>
            <w:shd w:val="clear" w:color="auto" w:fill="E5EDFE"/>
          </w:tcPr>
          <w:p>
            <w:pPr>
              <w:spacing w:after="0"/>
              <w:rPr>
                <w:sz w:val="16"/>
                <w:szCs w:val="16"/>
                <w:color w:val="auto"/>
              </w:rPr>
            </w:pPr>
          </w:p>
        </w:tc>
        <w:tc>
          <w:tcPr>
            <w:tcW w:w="40" w:type="dxa"/>
            <w:vAlign w:val="bottom"/>
            <w:tcBorders>
              <w:right w:val="single" w:sz="8" w:color="auto"/>
            </w:tcBorders>
            <w:shd w:val="clear" w:color="auto" w:fill="E5EDFE"/>
          </w:tcPr>
          <w:p>
            <w:pPr>
              <w:spacing w:after="0"/>
              <w:rPr>
                <w:sz w:val="16"/>
                <w:szCs w:val="16"/>
                <w:color w:val="auto"/>
              </w:rPr>
            </w:pPr>
          </w:p>
        </w:tc>
        <w:tc>
          <w:tcPr>
            <w:tcW w:w="1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0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20" w:type="dxa"/>
            <w:vAlign w:val="bottom"/>
            <w:tcBorders>
              <w:right w:val="single" w:sz="8" w:color="auto"/>
            </w:tcBorders>
            <w:shd w:val="clear" w:color="auto" w:fill="E5EDFE"/>
          </w:tcPr>
          <w:p>
            <w:pPr>
              <w:spacing w:after="0"/>
              <w:rPr>
                <w:sz w:val="16"/>
                <w:szCs w:val="16"/>
                <w:color w:val="auto"/>
              </w:rPr>
            </w:pPr>
          </w:p>
        </w:tc>
        <w:tc>
          <w:tcPr>
            <w:tcW w:w="2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120" w:type="dxa"/>
            <w:vAlign w:val="bottom"/>
            <w:shd w:val="clear" w:color="auto" w:fill="E5EDFE"/>
          </w:tcPr>
          <w:p>
            <w:pPr>
              <w:spacing w:after="0"/>
              <w:rPr>
                <w:sz w:val="16"/>
                <w:szCs w:val="16"/>
                <w:color w:val="auto"/>
              </w:rPr>
            </w:pPr>
          </w:p>
        </w:tc>
        <w:tc>
          <w:tcPr>
            <w:tcW w:w="360" w:type="dxa"/>
            <w:vAlign w:val="bottom"/>
            <w:shd w:val="clear" w:color="auto" w:fill="E5EDFE"/>
          </w:tcPr>
          <w:p>
            <w:pPr>
              <w:spacing w:after="0"/>
              <w:rPr>
                <w:sz w:val="16"/>
                <w:szCs w:val="16"/>
                <w:color w:val="auto"/>
              </w:rPr>
            </w:pPr>
          </w:p>
        </w:tc>
        <w:tc>
          <w:tcPr>
            <w:tcW w:w="1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78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jc w:val="right"/>
              <w:spacing w:after="0" w:line="189" w:lineRule="exact"/>
              <w:rPr>
                <w:sz w:val="20"/>
                <w:szCs w:val="20"/>
                <w:color w:val="auto"/>
              </w:rPr>
            </w:pPr>
            <w:r>
              <w:rPr>
                <w:rFonts w:ascii="Arial" w:cs="Arial" w:eastAsia="Arial" w:hAnsi="Arial"/>
                <w:sz w:val="14"/>
                <w:szCs w:val="14"/>
                <w:color w:val="auto"/>
              </w:rPr>
              <w:t>1/14/14</w:t>
            </w:r>
            <w:r>
              <w:rPr>
                <w:rFonts w:ascii="Arial" w:cs="Arial" w:eastAsia="Arial" w:hAnsi="Arial"/>
                <w:sz w:val="21"/>
                <w:szCs w:val="21"/>
                <w:color w:val="auto"/>
                <w:vertAlign w:val="superscript"/>
              </w:rPr>
              <w:t>(7</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440" w:type="dxa"/>
            <w:vAlign w:val="bottom"/>
            <w:shd w:val="clear" w:color="auto" w:fill="E5EDFE"/>
          </w:tcPr>
          <w:p>
            <w:pPr>
              <w:jc w:val="right"/>
              <w:spacing w:after="0"/>
              <w:rPr>
                <w:sz w:val="20"/>
                <w:szCs w:val="20"/>
                <w:color w:val="auto"/>
              </w:rPr>
            </w:pPr>
            <w:r>
              <w:rPr>
                <w:rFonts w:ascii="Arial" w:cs="Arial" w:eastAsia="Arial" w:hAnsi="Arial"/>
                <w:sz w:val="14"/>
                <w:szCs w:val="14"/>
                <w:color w:val="auto"/>
              </w:rPr>
              <w:t>2,318</w:t>
            </w:r>
          </w:p>
        </w:tc>
        <w:tc>
          <w:tcPr>
            <w:tcW w:w="120" w:type="dxa"/>
            <w:vAlign w:val="bottom"/>
            <w:tcBorders>
              <w:right w:val="single" w:sz="8" w:color="auto"/>
            </w:tcBorders>
            <w:shd w:val="clear" w:color="auto" w:fill="E5EDFE"/>
          </w:tcPr>
          <w:p>
            <w:pPr>
              <w:spacing w:after="0"/>
              <w:rPr>
                <w:sz w:val="16"/>
                <w:szCs w:val="16"/>
                <w:color w:val="auto"/>
              </w:rPr>
            </w:pPr>
          </w:p>
        </w:tc>
        <w:tc>
          <w:tcPr>
            <w:tcW w:w="72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64,070</w:t>
            </w:r>
          </w:p>
        </w:tc>
        <w:tc>
          <w:tcPr>
            <w:tcW w:w="100" w:type="dxa"/>
            <w:vAlign w:val="bottom"/>
            <w:shd w:val="clear" w:color="auto" w:fill="E5EDFE"/>
          </w:tcPr>
          <w:p>
            <w:pPr>
              <w:spacing w:after="0"/>
              <w:rPr>
                <w:sz w:val="16"/>
                <w:szCs w:val="16"/>
                <w:color w:val="auto"/>
              </w:rPr>
            </w:pPr>
          </w:p>
        </w:tc>
        <w:tc>
          <w:tcPr>
            <w:tcW w:w="540" w:type="dxa"/>
            <w:vAlign w:val="bottom"/>
            <w:shd w:val="clear" w:color="auto" w:fill="E5EDFE"/>
          </w:tcPr>
          <w:p>
            <w:pPr>
              <w:jc w:val="right"/>
              <w:spacing w:after="0" w:line="189" w:lineRule="exact"/>
              <w:rPr>
                <w:sz w:val="20"/>
                <w:szCs w:val="20"/>
                <w:color w:val="auto"/>
              </w:rPr>
            </w:pPr>
            <w:r>
              <w:rPr>
                <w:rFonts w:ascii="Arial" w:cs="Arial" w:eastAsia="Arial" w:hAnsi="Arial"/>
                <w:sz w:val="14"/>
                <w:szCs w:val="14"/>
                <w:color w:val="auto"/>
                <w:w w:val="90"/>
              </w:rPr>
              <w:t>10,375</w:t>
            </w:r>
            <w:r>
              <w:rPr>
                <w:rFonts w:ascii="Arial" w:cs="Arial" w:eastAsia="Arial" w:hAnsi="Arial"/>
                <w:sz w:val="21"/>
                <w:szCs w:val="21"/>
                <w:color w:val="auto"/>
                <w:w w:val="90"/>
                <w:vertAlign w:val="superscript"/>
              </w:rPr>
              <w:t>(8</w:t>
            </w:r>
          </w:p>
        </w:tc>
        <w:tc>
          <w:tcPr>
            <w:tcW w:w="60" w:type="dxa"/>
            <w:vAlign w:val="bottom"/>
            <w:shd w:val="clear" w:color="auto" w:fill="E5EDFE"/>
          </w:tcPr>
          <w:p>
            <w:pPr>
              <w:jc w:val="right"/>
              <w:ind w:right="35"/>
              <w:spacing w:after="0"/>
              <w:rPr>
                <w:sz w:val="20"/>
                <w:szCs w:val="20"/>
                <w:color w:val="auto"/>
              </w:rPr>
            </w:pPr>
            <w:r>
              <w:rPr>
                <w:rFonts w:ascii="Arial" w:cs="Arial" w:eastAsia="Arial" w:hAnsi="Arial"/>
                <w:sz w:val="1"/>
                <w:szCs w:val="1"/>
                <w:color w:val="auto"/>
                <w:w w:val="4294967281"/>
              </w:rPr>
              <w:t>)</w:t>
            </w:r>
          </w:p>
        </w:tc>
        <w:tc>
          <w:tcPr>
            <w:tcW w:w="40" w:type="dxa"/>
            <w:vAlign w:val="bottom"/>
            <w:tcBorders>
              <w:right w:val="single" w:sz="8" w:color="auto"/>
            </w:tcBorders>
            <w:shd w:val="clear" w:color="auto" w:fill="E5EDFE"/>
          </w:tcPr>
          <w:p>
            <w:pPr>
              <w:spacing w:after="0"/>
              <w:rPr>
                <w:sz w:val="16"/>
                <w:szCs w:val="16"/>
                <w:color w:val="auto"/>
              </w:rPr>
            </w:pPr>
          </w:p>
        </w:tc>
        <w:tc>
          <w:tcPr>
            <w:tcW w:w="140" w:type="dxa"/>
            <w:vAlign w:val="bottom"/>
            <w:shd w:val="clear" w:color="auto" w:fill="E5EDFE"/>
          </w:tcPr>
          <w:p>
            <w:pPr>
              <w:spacing w:after="0"/>
              <w:rPr>
                <w:sz w:val="16"/>
                <w:szCs w:val="16"/>
                <w:color w:val="auto"/>
              </w:rPr>
            </w:pPr>
          </w:p>
        </w:tc>
        <w:tc>
          <w:tcPr>
            <w:tcW w:w="540" w:type="dxa"/>
            <w:vAlign w:val="bottom"/>
            <w:shd w:val="clear" w:color="auto" w:fill="E5EDFE"/>
          </w:tcPr>
          <w:p>
            <w:pPr>
              <w:jc w:val="right"/>
              <w:spacing w:after="0"/>
              <w:rPr>
                <w:sz w:val="20"/>
                <w:szCs w:val="20"/>
                <w:color w:val="auto"/>
              </w:rPr>
            </w:pPr>
            <w:r>
              <w:rPr>
                <w:rFonts w:ascii="Arial" w:cs="Arial" w:eastAsia="Arial" w:hAnsi="Arial"/>
                <w:sz w:val="14"/>
                <w:szCs w:val="14"/>
                <w:color w:val="auto"/>
              </w:rPr>
              <w:t>286,765</w:t>
            </w:r>
          </w:p>
        </w:tc>
        <w:tc>
          <w:tcPr>
            <w:tcW w:w="20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20" w:type="dxa"/>
            <w:vAlign w:val="bottom"/>
            <w:tcBorders>
              <w:right w:val="single" w:sz="8" w:color="auto"/>
            </w:tcBorders>
            <w:shd w:val="clear" w:color="auto" w:fill="E5EDFE"/>
          </w:tcPr>
          <w:p>
            <w:pPr>
              <w:spacing w:after="0"/>
              <w:rPr>
                <w:sz w:val="16"/>
                <w:szCs w:val="16"/>
                <w:color w:val="auto"/>
              </w:rPr>
            </w:pPr>
          </w:p>
        </w:tc>
        <w:tc>
          <w:tcPr>
            <w:tcW w:w="2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120" w:type="dxa"/>
            <w:vAlign w:val="bottom"/>
            <w:shd w:val="clear" w:color="auto" w:fill="E5EDFE"/>
          </w:tcPr>
          <w:p>
            <w:pPr>
              <w:spacing w:after="0"/>
              <w:rPr>
                <w:sz w:val="16"/>
                <w:szCs w:val="16"/>
                <w:color w:val="auto"/>
              </w:rPr>
            </w:pPr>
          </w:p>
        </w:tc>
        <w:tc>
          <w:tcPr>
            <w:tcW w:w="360" w:type="dxa"/>
            <w:vAlign w:val="bottom"/>
            <w:shd w:val="clear" w:color="auto" w:fill="E5EDFE"/>
          </w:tcPr>
          <w:p>
            <w:pPr>
              <w:spacing w:after="0"/>
              <w:rPr>
                <w:sz w:val="16"/>
                <w:szCs w:val="16"/>
                <w:color w:val="auto"/>
              </w:rPr>
            </w:pPr>
          </w:p>
        </w:tc>
        <w:tc>
          <w:tcPr>
            <w:tcW w:w="160" w:type="dxa"/>
            <w:vAlign w:val="bottom"/>
            <w:tcBorders>
              <w:right w:val="single" w:sz="8" w:color="auto"/>
            </w:tcBorders>
            <w:shd w:val="clear" w:color="auto" w:fill="E5EDFE"/>
          </w:tcPr>
          <w:p>
            <w:pPr>
              <w:spacing w:after="0"/>
              <w:rPr>
                <w:sz w:val="16"/>
                <w:szCs w:val="16"/>
                <w:color w:val="auto"/>
              </w:rPr>
            </w:pPr>
          </w:p>
        </w:tc>
        <w:tc>
          <w:tcPr>
            <w:tcW w:w="40" w:type="dxa"/>
            <w:vAlign w:val="bottom"/>
            <w:shd w:val="clear" w:color="auto" w:fill="E5EDFE"/>
          </w:tcPr>
          <w:p>
            <w:pPr>
              <w:spacing w:after="0"/>
              <w:rPr>
                <w:sz w:val="16"/>
                <w:szCs w:val="16"/>
                <w:color w:val="auto"/>
              </w:rPr>
            </w:pPr>
          </w:p>
        </w:tc>
        <w:tc>
          <w:tcPr>
            <w:tcW w:w="78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660" w:type="dxa"/>
            <w:vAlign w:val="bottom"/>
            <w:shd w:val="clear" w:color="auto" w:fill="E5EDFE"/>
          </w:tcPr>
          <w:p>
            <w:pPr>
              <w:jc w:val="right"/>
              <w:spacing w:after="0" w:line="189"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(6</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shd w:val="clear" w:color="auto" w:fill="E5EDFE"/>
          </w:tcPr>
          <w:p>
            <w:pPr>
              <w:spacing w:after="0"/>
              <w:rPr>
                <w:sz w:val="16"/>
                <w:szCs w:val="16"/>
                <w:color w:val="auto"/>
              </w:rPr>
            </w:pPr>
          </w:p>
        </w:tc>
        <w:tc>
          <w:tcPr>
            <w:tcW w:w="100" w:type="dxa"/>
            <w:vAlign w:val="bottom"/>
            <w:shd w:val="clear" w:color="auto" w:fill="E5EDFE"/>
          </w:tcPr>
          <w:p>
            <w:pPr>
              <w:spacing w:after="0"/>
              <w:rPr>
                <w:sz w:val="16"/>
                <w:szCs w:val="16"/>
                <w:color w:val="auto"/>
              </w:rPr>
            </w:pPr>
          </w:p>
        </w:tc>
        <w:tc>
          <w:tcPr>
            <w:tcW w:w="440" w:type="dxa"/>
            <w:vAlign w:val="bottom"/>
            <w:shd w:val="clear" w:color="auto" w:fill="E5EDFE"/>
          </w:tcPr>
          <w:p>
            <w:pPr>
              <w:jc w:val="right"/>
              <w:spacing w:after="0"/>
              <w:rPr>
                <w:sz w:val="20"/>
                <w:szCs w:val="20"/>
                <w:color w:val="auto"/>
              </w:rPr>
            </w:pPr>
            <w:r>
              <w:rPr>
                <w:rFonts w:ascii="Arial" w:cs="Arial" w:eastAsia="Arial" w:hAnsi="Arial"/>
                <w:sz w:val="14"/>
                <w:szCs w:val="14"/>
                <w:color w:val="auto"/>
              </w:rPr>
              <w:t>6,575</w:t>
            </w:r>
          </w:p>
        </w:tc>
        <w:tc>
          <w:tcPr>
            <w:tcW w:w="120" w:type="dxa"/>
            <w:vAlign w:val="bottom"/>
            <w:tcBorders>
              <w:right w:val="single" w:sz="8" w:color="auto"/>
            </w:tcBorders>
            <w:shd w:val="clear" w:color="auto" w:fill="E5EDFE"/>
          </w:tcPr>
          <w:p>
            <w:pPr>
              <w:spacing w:after="0"/>
              <w:rPr>
                <w:sz w:val="16"/>
                <w:szCs w:val="16"/>
                <w:color w:val="auto"/>
              </w:rPr>
            </w:pPr>
          </w:p>
        </w:tc>
        <w:tc>
          <w:tcPr>
            <w:tcW w:w="720" w:type="dxa"/>
            <w:vAlign w:val="bottom"/>
            <w:tcBorders>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181,733</w:t>
            </w:r>
          </w:p>
        </w:tc>
        <w:tc>
          <w:tcPr>
            <w:tcW w:w="10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60" w:type="dxa"/>
            <w:vAlign w:val="bottom"/>
            <w:shd w:val="clear" w:color="auto" w:fill="E5EDFE"/>
          </w:tcPr>
          <w:p>
            <w:pPr>
              <w:spacing w:after="0"/>
              <w:rPr>
                <w:sz w:val="16"/>
                <w:szCs w:val="16"/>
                <w:color w:val="auto"/>
              </w:rPr>
            </w:pPr>
          </w:p>
        </w:tc>
        <w:tc>
          <w:tcPr>
            <w:tcW w:w="40" w:type="dxa"/>
            <w:vAlign w:val="bottom"/>
            <w:tcBorders>
              <w:right w:val="single" w:sz="8" w:color="auto"/>
            </w:tcBorders>
            <w:shd w:val="clear" w:color="auto" w:fill="E5EDFE"/>
          </w:tcPr>
          <w:p>
            <w:pPr>
              <w:spacing w:after="0"/>
              <w:rPr>
                <w:sz w:val="16"/>
                <w:szCs w:val="16"/>
                <w:color w:val="auto"/>
              </w:rPr>
            </w:pPr>
          </w:p>
        </w:tc>
        <w:tc>
          <w:tcPr>
            <w:tcW w:w="140" w:type="dxa"/>
            <w:vAlign w:val="bottom"/>
            <w:shd w:val="clear" w:color="auto" w:fill="E5EDFE"/>
          </w:tcPr>
          <w:p>
            <w:pPr>
              <w:spacing w:after="0"/>
              <w:rPr>
                <w:sz w:val="16"/>
                <w:szCs w:val="16"/>
                <w:color w:val="auto"/>
              </w:rPr>
            </w:pPr>
          </w:p>
        </w:tc>
        <w:tc>
          <w:tcPr>
            <w:tcW w:w="540" w:type="dxa"/>
            <w:vAlign w:val="bottom"/>
            <w:shd w:val="clear" w:color="auto" w:fill="E5EDFE"/>
          </w:tcPr>
          <w:p>
            <w:pPr>
              <w:spacing w:after="0"/>
              <w:rPr>
                <w:sz w:val="16"/>
                <w:szCs w:val="16"/>
                <w:color w:val="auto"/>
              </w:rPr>
            </w:pPr>
          </w:p>
        </w:tc>
        <w:tc>
          <w:tcPr>
            <w:tcW w:w="200" w:type="dxa"/>
            <w:vAlign w:val="bottom"/>
            <w:tcBorders>
              <w:right w:val="single" w:sz="8" w:color="auto"/>
            </w:tcBorders>
            <w:shd w:val="clear" w:color="auto" w:fill="E5EDF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20" w:type="dxa"/>
            <w:vAlign w:val="bottom"/>
            <w:tcBorders>
              <w:left w:val="single" w:sz="8" w:color="auto"/>
              <w:bottom w:val="single" w:sz="8" w:color="auto"/>
              <w:right w:val="single" w:sz="8" w:color="auto"/>
            </w:tcBorders>
            <w:shd w:val="clear" w:color="auto" w:fill="E5EDFE"/>
          </w:tcPr>
          <w:p>
            <w:pPr>
              <w:spacing w:after="0"/>
              <w:rPr>
                <w:sz w:val="20"/>
                <w:szCs w:val="20"/>
                <w:color w:val="auto"/>
              </w:rPr>
            </w:pPr>
          </w:p>
        </w:tc>
        <w:tc>
          <w:tcPr>
            <w:tcW w:w="100" w:type="dxa"/>
            <w:vAlign w:val="bottom"/>
            <w:tcBorders>
              <w:bottom w:val="single" w:sz="8" w:color="auto"/>
            </w:tcBorders>
            <w:shd w:val="clear" w:color="auto" w:fill="E5EDFE"/>
          </w:tcPr>
          <w:p>
            <w:pPr>
              <w:spacing w:after="0"/>
              <w:rPr>
                <w:sz w:val="20"/>
                <w:szCs w:val="20"/>
                <w:color w:val="auto"/>
              </w:rPr>
            </w:pPr>
          </w:p>
        </w:tc>
        <w:tc>
          <w:tcPr>
            <w:tcW w:w="660" w:type="dxa"/>
            <w:vAlign w:val="bottom"/>
            <w:tcBorders>
              <w:bottom w:val="single" w:sz="8" w:color="auto"/>
            </w:tcBorders>
            <w:shd w:val="clear" w:color="auto" w:fill="E5EDFE"/>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shd w:val="clear" w:color="auto" w:fill="E5EDFE"/>
          </w:tcPr>
          <w:p>
            <w:pPr>
              <w:spacing w:after="0"/>
              <w:rPr>
                <w:sz w:val="20"/>
                <w:szCs w:val="20"/>
                <w:color w:val="auto"/>
              </w:rPr>
            </w:pPr>
          </w:p>
        </w:tc>
        <w:tc>
          <w:tcPr>
            <w:tcW w:w="540" w:type="dxa"/>
            <w:vAlign w:val="bottom"/>
            <w:tcBorders>
              <w:bottom w:val="single" w:sz="8" w:color="auto"/>
            </w:tcBorders>
            <w:shd w:val="clear" w:color="auto" w:fill="E5EDFE"/>
          </w:tcPr>
          <w:p>
            <w:pPr>
              <w:spacing w:after="0"/>
              <w:rPr>
                <w:sz w:val="20"/>
                <w:szCs w:val="20"/>
                <w:color w:val="auto"/>
              </w:rPr>
            </w:pPr>
          </w:p>
        </w:tc>
        <w:tc>
          <w:tcPr>
            <w:tcW w:w="220" w:type="dxa"/>
            <w:vAlign w:val="bottom"/>
            <w:tcBorders>
              <w:bottom w:val="single" w:sz="8" w:color="auto"/>
              <w:right w:val="single" w:sz="8" w:color="auto"/>
            </w:tcBorders>
            <w:shd w:val="clear" w:color="auto" w:fill="E5EDFE"/>
          </w:tcPr>
          <w:p>
            <w:pPr>
              <w:spacing w:after="0"/>
              <w:rPr>
                <w:sz w:val="20"/>
                <w:szCs w:val="20"/>
                <w:color w:val="auto"/>
              </w:rPr>
            </w:pPr>
          </w:p>
        </w:tc>
        <w:tc>
          <w:tcPr>
            <w:tcW w:w="240" w:type="dxa"/>
            <w:vAlign w:val="bottom"/>
            <w:tcBorders>
              <w:bottom w:val="single" w:sz="8" w:color="auto"/>
            </w:tcBorders>
            <w:shd w:val="clear" w:color="auto" w:fill="E5EDFE"/>
          </w:tcPr>
          <w:p>
            <w:pPr>
              <w:spacing w:after="0"/>
              <w:rPr>
                <w:sz w:val="20"/>
                <w:szCs w:val="20"/>
                <w:color w:val="auto"/>
              </w:rPr>
            </w:pPr>
          </w:p>
        </w:tc>
        <w:tc>
          <w:tcPr>
            <w:tcW w:w="540" w:type="dxa"/>
            <w:vAlign w:val="bottom"/>
            <w:tcBorders>
              <w:bottom w:val="single" w:sz="8" w:color="auto"/>
            </w:tcBorders>
            <w:shd w:val="clear" w:color="auto" w:fill="E5EDFE"/>
          </w:tcPr>
          <w:p>
            <w:pPr>
              <w:spacing w:after="0"/>
              <w:rPr>
                <w:sz w:val="20"/>
                <w:szCs w:val="20"/>
                <w:color w:val="auto"/>
              </w:rPr>
            </w:pPr>
          </w:p>
        </w:tc>
        <w:tc>
          <w:tcPr>
            <w:tcW w:w="260" w:type="dxa"/>
            <w:vAlign w:val="bottom"/>
            <w:tcBorders>
              <w:bottom w:val="single" w:sz="8" w:color="auto"/>
              <w:right w:val="single" w:sz="8" w:color="auto"/>
            </w:tcBorders>
            <w:shd w:val="clear" w:color="auto" w:fill="E5EDFE"/>
          </w:tcPr>
          <w:p>
            <w:pPr>
              <w:spacing w:after="0"/>
              <w:rPr>
                <w:sz w:val="20"/>
                <w:szCs w:val="20"/>
                <w:color w:val="auto"/>
              </w:rPr>
            </w:pPr>
          </w:p>
        </w:tc>
        <w:tc>
          <w:tcPr>
            <w:tcW w:w="40" w:type="dxa"/>
            <w:vAlign w:val="bottom"/>
            <w:tcBorders>
              <w:bottom w:val="single" w:sz="8" w:color="auto"/>
            </w:tcBorders>
            <w:shd w:val="clear" w:color="auto" w:fill="E5EDFE"/>
          </w:tcPr>
          <w:p>
            <w:pPr>
              <w:spacing w:after="0"/>
              <w:rPr>
                <w:sz w:val="20"/>
                <w:szCs w:val="20"/>
                <w:color w:val="auto"/>
              </w:rPr>
            </w:pPr>
          </w:p>
        </w:tc>
        <w:tc>
          <w:tcPr>
            <w:tcW w:w="120" w:type="dxa"/>
            <w:vAlign w:val="bottom"/>
            <w:tcBorders>
              <w:bottom w:val="single" w:sz="8" w:color="auto"/>
            </w:tcBorders>
            <w:shd w:val="clear" w:color="auto" w:fill="E5EDFE"/>
          </w:tcPr>
          <w:p>
            <w:pPr>
              <w:spacing w:after="0"/>
              <w:rPr>
                <w:sz w:val="20"/>
                <w:szCs w:val="20"/>
                <w:color w:val="auto"/>
              </w:rPr>
            </w:pPr>
          </w:p>
        </w:tc>
        <w:tc>
          <w:tcPr>
            <w:tcW w:w="360" w:type="dxa"/>
            <w:vAlign w:val="bottom"/>
            <w:tcBorders>
              <w:bottom w:val="single" w:sz="8" w:color="auto"/>
            </w:tcBorders>
            <w:shd w:val="clear" w:color="auto" w:fill="E5EDFE"/>
          </w:tcPr>
          <w:p>
            <w:pPr>
              <w:spacing w:after="0"/>
              <w:rPr>
                <w:sz w:val="20"/>
                <w:szCs w:val="20"/>
                <w:color w:val="auto"/>
              </w:rPr>
            </w:pPr>
          </w:p>
        </w:tc>
        <w:tc>
          <w:tcPr>
            <w:tcW w:w="160" w:type="dxa"/>
            <w:vAlign w:val="bottom"/>
            <w:tcBorders>
              <w:bottom w:val="single" w:sz="8" w:color="auto"/>
              <w:right w:val="single" w:sz="8" w:color="auto"/>
            </w:tcBorders>
            <w:shd w:val="clear" w:color="auto" w:fill="E5EDFE"/>
          </w:tcPr>
          <w:p>
            <w:pPr>
              <w:spacing w:after="0"/>
              <w:rPr>
                <w:sz w:val="20"/>
                <w:szCs w:val="20"/>
                <w:color w:val="auto"/>
              </w:rPr>
            </w:pPr>
          </w:p>
        </w:tc>
        <w:tc>
          <w:tcPr>
            <w:tcW w:w="40" w:type="dxa"/>
            <w:vAlign w:val="bottom"/>
            <w:tcBorders>
              <w:bottom w:val="single" w:sz="8" w:color="auto"/>
            </w:tcBorders>
            <w:shd w:val="clear" w:color="auto" w:fill="E5EDFE"/>
          </w:tcPr>
          <w:p>
            <w:pPr>
              <w:spacing w:after="0"/>
              <w:rPr>
                <w:sz w:val="20"/>
                <w:szCs w:val="20"/>
                <w:color w:val="auto"/>
              </w:rPr>
            </w:pPr>
          </w:p>
        </w:tc>
        <w:tc>
          <w:tcPr>
            <w:tcW w:w="780" w:type="dxa"/>
            <w:vAlign w:val="bottom"/>
            <w:tcBorders>
              <w:bottom w:val="single" w:sz="8" w:color="auto"/>
              <w:right w:val="single" w:sz="8" w:color="auto"/>
            </w:tcBorders>
            <w:shd w:val="clear" w:color="auto" w:fill="E5EDFE"/>
          </w:tcPr>
          <w:p>
            <w:pPr>
              <w:spacing w:after="0"/>
              <w:rPr>
                <w:sz w:val="20"/>
                <w:szCs w:val="20"/>
                <w:color w:val="auto"/>
              </w:rPr>
            </w:pPr>
          </w:p>
        </w:tc>
        <w:tc>
          <w:tcPr>
            <w:tcW w:w="100" w:type="dxa"/>
            <w:vAlign w:val="bottom"/>
            <w:tcBorders>
              <w:bottom w:val="single" w:sz="8" w:color="auto"/>
            </w:tcBorders>
            <w:shd w:val="clear" w:color="auto" w:fill="E5EDFE"/>
          </w:tcPr>
          <w:p>
            <w:pPr>
              <w:spacing w:after="0"/>
              <w:rPr>
                <w:sz w:val="20"/>
                <w:szCs w:val="20"/>
                <w:color w:val="auto"/>
              </w:rPr>
            </w:pPr>
          </w:p>
        </w:tc>
        <w:tc>
          <w:tcPr>
            <w:tcW w:w="660" w:type="dxa"/>
            <w:vAlign w:val="bottom"/>
            <w:tcBorders>
              <w:bottom w:val="single" w:sz="8" w:color="auto"/>
            </w:tcBorders>
            <w:shd w:val="clear" w:color="auto" w:fill="E5EDFE"/>
          </w:tcPr>
          <w:p>
            <w:pPr>
              <w:jc w:val="right"/>
              <w:spacing w:after="0" w:line="233"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(9</w:t>
            </w:r>
          </w:p>
        </w:tc>
        <w:tc>
          <w:tcPr>
            <w:tcW w:w="80" w:type="dxa"/>
            <w:vAlign w:val="bottom"/>
            <w:tcBorders>
              <w:bottom w:val="single" w:sz="8" w:color="auto"/>
            </w:tcBorders>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auto"/>
              <w:right w:val="single" w:sz="8" w:color="auto"/>
            </w:tcBorders>
            <w:shd w:val="clear" w:color="auto" w:fill="E5EDFE"/>
          </w:tcPr>
          <w:p>
            <w:pPr>
              <w:spacing w:after="0"/>
              <w:rPr>
                <w:sz w:val="20"/>
                <w:szCs w:val="20"/>
                <w:color w:val="auto"/>
              </w:rPr>
            </w:pPr>
          </w:p>
        </w:tc>
        <w:tc>
          <w:tcPr>
            <w:tcW w:w="100" w:type="dxa"/>
            <w:vAlign w:val="bottom"/>
            <w:tcBorders>
              <w:bottom w:val="single" w:sz="8" w:color="auto"/>
            </w:tcBorders>
            <w:shd w:val="clear" w:color="auto" w:fill="E5EDFE"/>
          </w:tcPr>
          <w:p>
            <w:pPr>
              <w:spacing w:after="0"/>
              <w:rPr>
                <w:sz w:val="20"/>
                <w:szCs w:val="20"/>
                <w:color w:val="auto"/>
              </w:rPr>
            </w:pPr>
          </w:p>
        </w:tc>
        <w:tc>
          <w:tcPr>
            <w:tcW w:w="440" w:type="dxa"/>
            <w:vAlign w:val="bottom"/>
            <w:tcBorders>
              <w:bottom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auto"/>
              <w:right w:val="single" w:sz="8" w:color="auto"/>
            </w:tcBorders>
            <w:shd w:val="clear" w:color="auto" w:fill="E5EDFE"/>
          </w:tcPr>
          <w:p>
            <w:pPr>
              <w:spacing w:after="0"/>
              <w:rPr>
                <w:sz w:val="20"/>
                <w:szCs w:val="20"/>
                <w:color w:val="auto"/>
              </w:rPr>
            </w:pPr>
          </w:p>
        </w:tc>
        <w:tc>
          <w:tcPr>
            <w:tcW w:w="720" w:type="dxa"/>
            <w:vAlign w:val="bottom"/>
            <w:tcBorders>
              <w:bottom w:val="single" w:sz="8" w:color="auto"/>
              <w:right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auto"/>
            </w:tcBorders>
            <w:shd w:val="clear" w:color="auto" w:fill="E5EDFE"/>
          </w:tcPr>
          <w:p>
            <w:pPr>
              <w:spacing w:after="0"/>
              <w:rPr>
                <w:sz w:val="20"/>
                <w:szCs w:val="20"/>
                <w:color w:val="auto"/>
              </w:rPr>
            </w:pPr>
          </w:p>
        </w:tc>
        <w:tc>
          <w:tcPr>
            <w:tcW w:w="540" w:type="dxa"/>
            <w:vAlign w:val="bottom"/>
            <w:tcBorders>
              <w:bottom w:val="single" w:sz="8" w:color="auto"/>
            </w:tcBorders>
            <w:shd w:val="clear" w:color="auto" w:fill="E5EDFE"/>
          </w:tcPr>
          <w:p>
            <w:pPr>
              <w:jc w:val="right"/>
              <w:spacing w:after="0" w:line="233" w:lineRule="exact"/>
              <w:rPr>
                <w:sz w:val="20"/>
                <w:szCs w:val="20"/>
                <w:color w:val="auto"/>
              </w:rPr>
            </w:pPr>
            <w:r>
              <w:rPr>
                <w:rFonts w:ascii="Arial" w:cs="Arial" w:eastAsia="Arial" w:hAnsi="Arial"/>
                <w:sz w:val="14"/>
                <w:szCs w:val="14"/>
                <w:color w:val="auto"/>
              </w:rPr>
              <w:t>6,749</w:t>
            </w:r>
            <w:r>
              <w:rPr>
                <w:rFonts w:ascii="Arial" w:cs="Arial" w:eastAsia="Arial" w:hAnsi="Arial"/>
                <w:sz w:val="21"/>
                <w:szCs w:val="21"/>
                <w:color w:val="auto"/>
                <w:vertAlign w:val="superscript"/>
              </w:rPr>
              <w:t>(9</w:t>
            </w:r>
          </w:p>
        </w:tc>
        <w:tc>
          <w:tcPr>
            <w:tcW w:w="60" w:type="dxa"/>
            <w:vAlign w:val="bottom"/>
            <w:tcBorders>
              <w:bottom w:val="single" w:sz="8" w:color="auto"/>
            </w:tcBorders>
            <w:shd w:val="clear" w:color="auto" w:fill="E5EDFE"/>
          </w:tcPr>
          <w:p>
            <w:pPr>
              <w:jc w:val="right"/>
              <w:ind w:right="35"/>
              <w:spacing w:after="0"/>
              <w:rPr>
                <w:sz w:val="20"/>
                <w:szCs w:val="20"/>
                <w:color w:val="auto"/>
              </w:rPr>
            </w:pPr>
            <w:r>
              <w:rPr>
                <w:rFonts w:ascii="Arial" w:cs="Arial" w:eastAsia="Arial" w:hAnsi="Arial"/>
                <w:sz w:val="1"/>
                <w:szCs w:val="1"/>
                <w:color w:val="auto"/>
                <w:w w:val="4294967281"/>
              </w:rPr>
              <w:t>)</w:t>
            </w:r>
          </w:p>
        </w:tc>
        <w:tc>
          <w:tcPr>
            <w:tcW w:w="40" w:type="dxa"/>
            <w:vAlign w:val="bottom"/>
            <w:tcBorders>
              <w:bottom w:val="single" w:sz="8" w:color="auto"/>
              <w:right w:val="single" w:sz="8" w:color="auto"/>
            </w:tcBorders>
            <w:shd w:val="clear" w:color="auto" w:fill="E5EDFE"/>
          </w:tcPr>
          <w:p>
            <w:pPr>
              <w:spacing w:after="0"/>
              <w:rPr>
                <w:sz w:val="20"/>
                <w:szCs w:val="20"/>
                <w:color w:val="auto"/>
              </w:rPr>
            </w:pPr>
          </w:p>
        </w:tc>
        <w:tc>
          <w:tcPr>
            <w:tcW w:w="140" w:type="dxa"/>
            <w:vAlign w:val="bottom"/>
            <w:tcBorders>
              <w:bottom w:val="single" w:sz="8" w:color="auto"/>
            </w:tcBorders>
            <w:shd w:val="clear" w:color="auto" w:fill="E5EDFE"/>
          </w:tcPr>
          <w:p>
            <w:pPr>
              <w:spacing w:after="0"/>
              <w:rPr>
                <w:sz w:val="20"/>
                <w:szCs w:val="20"/>
                <w:color w:val="auto"/>
              </w:rPr>
            </w:pPr>
          </w:p>
        </w:tc>
        <w:tc>
          <w:tcPr>
            <w:tcW w:w="540" w:type="dxa"/>
            <w:vAlign w:val="bottom"/>
            <w:tcBorders>
              <w:bottom w:val="single" w:sz="8" w:color="auto"/>
            </w:tcBorders>
            <w:shd w:val="clear" w:color="auto" w:fill="E5EDFE"/>
          </w:tcPr>
          <w:p>
            <w:pPr>
              <w:jc w:val="right"/>
              <w:spacing w:after="0"/>
              <w:rPr>
                <w:sz w:val="20"/>
                <w:szCs w:val="20"/>
                <w:color w:val="auto"/>
              </w:rPr>
            </w:pPr>
            <w:r>
              <w:rPr>
                <w:rFonts w:ascii="Arial" w:cs="Arial" w:eastAsia="Arial" w:hAnsi="Arial"/>
                <w:sz w:val="14"/>
                <w:szCs w:val="14"/>
                <w:color w:val="auto"/>
              </w:rPr>
              <w:t>186,542</w:t>
            </w:r>
          </w:p>
        </w:tc>
        <w:tc>
          <w:tcPr>
            <w:tcW w:w="200" w:type="dxa"/>
            <w:vAlign w:val="bottom"/>
            <w:tcBorders>
              <w:bottom w:val="single" w:sz="8" w:color="auto"/>
              <w:right w:val="single" w:sz="8" w:color="auto"/>
            </w:tcBorders>
            <w:shd w:val="clear" w:color="auto" w:fill="E5EDF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Sarah H. McConnell</w:t>
            </w:r>
          </w:p>
        </w:tc>
        <w:tc>
          <w:tcPr>
            <w:tcW w:w="10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4"/>
                <w:szCs w:val="14"/>
                <w:color w:val="auto"/>
              </w:rPr>
              <w:t>3/31/10</w:t>
            </w:r>
            <w:r>
              <w:rPr>
                <w:rFonts w:ascii="Arial" w:cs="Arial" w:eastAsia="Arial" w:hAnsi="Arial"/>
                <w:sz w:val="20"/>
                <w:szCs w:val="20"/>
                <w:color w:val="auto"/>
                <w:vertAlign w:val="superscript"/>
              </w:rPr>
              <w:t>(5</w:t>
            </w:r>
          </w:p>
        </w:tc>
        <w:tc>
          <w:tcPr>
            <w:tcW w:w="120" w:type="dxa"/>
            <w:vAlign w:val="bottom"/>
            <w:tcBorders>
              <w:right w:val="single" w:sz="8" w:color="auto"/>
            </w:tcBorders>
          </w:tcPr>
          <w:p>
            <w:pPr>
              <w:jc w:val="right"/>
              <w:ind w:right="95"/>
              <w:spacing w:after="0"/>
              <w:rPr>
                <w:sz w:val="20"/>
                <w:szCs w:val="20"/>
                <w:color w:val="auto"/>
              </w:rPr>
            </w:pPr>
            <w:r>
              <w:rPr>
                <w:rFonts w:ascii="Arial" w:cs="Arial" w:eastAsia="Arial" w:hAnsi="Arial"/>
                <w:sz w:val="1"/>
                <w:szCs w:val="1"/>
                <w:color w:val="auto"/>
                <w:w w:val="4294967281"/>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20" w:type="dxa"/>
            <w:vAlign w:val="bottom"/>
            <w:tcBorders>
              <w:right w:val="single" w:sz="8" w:color="auto"/>
            </w:tcBorders>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23,148</w:t>
            </w:r>
          </w:p>
        </w:tc>
        <w:tc>
          <w:tcPr>
            <w:tcW w:w="260" w:type="dxa"/>
            <w:vAlign w:val="bottom"/>
            <w:tcBorders>
              <w:right w:val="single" w:sz="8" w:color="auto"/>
            </w:tcBorders>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21.20</w:t>
            </w:r>
          </w:p>
        </w:tc>
        <w:tc>
          <w:tcPr>
            <w:tcW w:w="1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3/31/17</w:t>
            </w:r>
          </w:p>
        </w:tc>
        <w:tc>
          <w:tcPr>
            <w:tcW w:w="10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4"/>
                <w:szCs w:val="14"/>
                <w:color w:val="auto"/>
              </w:rPr>
              <w:t>3/31/10</w:t>
            </w:r>
            <w:r>
              <w:rPr>
                <w:rFonts w:ascii="Arial" w:cs="Arial" w:eastAsia="Arial" w:hAnsi="Arial"/>
                <w:sz w:val="20"/>
                <w:szCs w:val="20"/>
                <w:color w:val="auto"/>
                <w:vertAlign w:val="superscript"/>
              </w:rPr>
              <w:t>(5</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40" w:type="dxa"/>
            <w:vAlign w:val="bottom"/>
            <w:tcBorders>
              <w:right w:val="single" w:sz="8" w:color="auto"/>
            </w:tcBorders>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7,927</w:t>
            </w:r>
          </w:p>
        </w:tc>
        <w:tc>
          <w:tcPr>
            <w:tcW w:w="1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219,102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9/8/10</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8,069</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21.49</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9/8/17</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9/13/11</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1,652</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45,661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9/13/11</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7,800</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2,601</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19.09</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9/13/18</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3/8/12</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4,384</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121,174</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21"/>
                <w:szCs w:val="21"/>
                <w:color w:val="auto"/>
                <w:vertAlign w:val="subscript"/>
              </w:rPr>
              <w:t>0</w:t>
            </w:r>
            <w:r>
              <w:rPr>
                <w:rFonts w:ascii="Arial" w:cs="Arial" w:eastAsia="Arial" w:hAnsi="Arial"/>
                <w:sz w:val="9"/>
                <w:szCs w:val="9"/>
                <w:color w:val="auto"/>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10/11/12</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6,428</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6,429</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18.31</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10/11/19</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10/11/12</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1,925</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53,207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880" w:type="dxa"/>
            <w:vAlign w:val="bottom"/>
            <w:tcBorders>
              <w:right w:val="single" w:sz="8" w:color="auto"/>
            </w:tcBorders>
            <w:gridSpan w:val="3"/>
          </w:tcPr>
          <w:p>
            <w:pPr>
              <w:jc w:val="right"/>
              <w:ind w:right="95"/>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2,493</w:t>
            </w:r>
          </w:p>
        </w:tc>
        <w:tc>
          <w:tcPr>
            <w:tcW w:w="220" w:type="dxa"/>
            <w:vAlign w:val="bottom"/>
            <w:tcBorders>
              <w:right w:val="single" w:sz="8" w:color="auto"/>
            </w:tcBorders>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7,480</w:t>
            </w:r>
          </w:p>
        </w:tc>
        <w:tc>
          <w:tcPr>
            <w:tcW w:w="260" w:type="dxa"/>
            <w:vAlign w:val="bottom"/>
            <w:tcBorders>
              <w:right w:val="single" w:sz="8" w:color="auto"/>
            </w:tcBorders>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25.30</w:t>
            </w:r>
          </w:p>
        </w:tc>
        <w:tc>
          <w:tcPr>
            <w:tcW w:w="1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9/6/20</w:t>
            </w: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1/14/13</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2,482</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68,602</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14"/>
                <w:szCs w:val="14"/>
                <w:color w:val="auto"/>
              </w:rPr>
              <w:t>3,949</w:t>
            </w:r>
            <w:r>
              <w:rPr>
                <w:rFonts w:ascii="Arial" w:cs="Arial" w:eastAsia="Arial" w:hAnsi="Arial"/>
                <w:sz w:val="21"/>
                <w:szCs w:val="21"/>
                <w:color w:val="auto"/>
                <w:vertAlign w:val="superscript"/>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109,150</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9/6/13</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3,033</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83,832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1/14/14</w:t>
            </w:r>
            <w:r>
              <w:rPr>
                <w:rFonts w:ascii="Arial" w:cs="Arial" w:eastAsia="Arial" w:hAnsi="Arial"/>
                <w:sz w:val="21"/>
                <w:szCs w:val="21"/>
                <w:color w:val="auto"/>
                <w:vertAlign w:val="superscript"/>
              </w:rPr>
              <w:t>(7)</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1,470</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40,631</w:t>
            </w:r>
          </w:p>
        </w:tc>
        <w:tc>
          <w:tcPr>
            <w:tcW w:w="700" w:type="dxa"/>
            <w:vAlign w:val="bottom"/>
            <w:gridSpan w:val="3"/>
          </w:tcPr>
          <w:p>
            <w:pPr>
              <w:jc w:val="right"/>
              <w:ind w:right="35"/>
              <w:spacing w:after="0" w:line="189" w:lineRule="exact"/>
              <w:rPr>
                <w:sz w:val="20"/>
                <w:szCs w:val="20"/>
                <w:color w:val="auto"/>
              </w:rPr>
            </w:pPr>
            <w:r>
              <w:rPr>
                <w:rFonts w:ascii="Arial" w:cs="Arial" w:eastAsia="Arial" w:hAnsi="Arial"/>
                <w:sz w:val="14"/>
                <w:szCs w:val="14"/>
                <w:color w:val="auto"/>
              </w:rPr>
              <w:t>6,580</w:t>
            </w:r>
            <w:r>
              <w:rPr>
                <w:rFonts w:ascii="Arial" w:cs="Arial" w:eastAsia="Arial" w:hAnsi="Arial"/>
                <w:sz w:val="21"/>
                <w:szCs w:val="21"/>
                <w:color w:val="auto"/>
                <w:vertAlign w:val="superscript"/>
              </w:rPr>
              <w:t>(8)</w:t>
            </w:r>
          </w:p>
        </w:tc>
        <w:tc>
          <w:tcPr>
            <w:tcW w:w="40" w:type="dxa"/>
            <w:vAlign w:val="bottom"/>
            <w:tcBorders>
              <w:right w:val="single" w:sz="8" w:color="auto"/>
            </w:tcBorders>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181,871</w:t>
            </w: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40" w:type="dxa"/>
            <w:vAlign w:val="bottom"/>
            <w:gridSpan w:val="3"/>
          </w:tcPr>
          <w:p>
            <w:pPr>
              <w:jc w:val="right"/>
              <w:ind w:right="2"/>
              <w:spacing w:after="0" w:line="189"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(6)</w:t>
            </w:r>
          </w:p>
        </w:tc>
        <w:tc>
          <w:tcPr>
            <w:tcW w:w="4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5,838</w:t>
            </w:r>
          </w:p>
        </w:tc>
        <w:tc>
          <w:tcPr>
            <w:tcW w:w="1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161,362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
              <w:spacing w:after="0" w:line="233" w:lineRule="exact"/>
              <w:rPr>
                <w:sz w:val="20"/>
                <w:szCs w:val="20"/>
                <w:color w:val="auto"/>
              </w:rPr>
            </w:pPr>
            <w:r>
              <w:rPr>
                <w:rFonts w:ascii="Arial" w:cs="Arial" w:eastAsia="Arial" w:hAnsi="Arial"/>
                <w:sz w:val="14"/>
                <w:szCs w:val="14"/>
                <w:color w:val="auto"/>
              </w:rPr>
              <w:t>9/8/14</w:t>
            </w:r>
            <w:r>
              <w:rPr>
                <w:rFonts w:ascii="Arial" w:cs="Arial" w:eastAsia="Arial" w:hAnsi="Arial"/>
                <w:sz w:val="21"/>
                <w:szCs w:val="21"/>
                <w:color w:val="auto"/>
                <w:vertAlign w:val="superscript"/>
              </w:rPr>
              <w:t>(9)</w:t>
            </w:r>
          </w:p>
        </w:tc>
        <w:tc>
          <w:tcPr>
            <w:tcW w:w="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auto"/>
            </w:tcBorders>
            <w:gridSpan w:val="3"/>
          </w:tcPr>
          <w:p>
            <w:pPr>
              <w:jc w:val="right"/>
              <w:ind w:right="35"/>
              <w:spacing w:after="0" w:line="233" w:lineRule="exact"/>
              <w:rPr>
                <w:sz w:val="20"/>
                <w:szCs w:val="20"/>
                <w:color w:val="auto"/>
              </w:rPr>
            </w:pPr>
            <w:r>
              <w:rPr>
                <w:rFonts w:ascii="Arial" w:cs="Arial" w:eastAsia="Arial" w:hAnsi="Arial"/>
                <w:sz w:val="14"/>
                <w:szCs w:val="14"/>
                <w:color w:val="auto"/>
              </w:rPr>
              <w:t>8,225</w:t>
            </w:r>
            <w:r>
              <w:rPr>
                <w:rFonts w:ascii="Arial" w:cs="Arial" w:eastAsia="Arial" w:hAnsi="Arial"/>
                <w:sz w:val="21"/>
                <w:szCs w:val="21"/>
                <w:color w:val="auto"/>
                <w:vertAlign w:val="superscript"/>
              </w:rPr>
              <w:t>(9)</w:t>
            </w:r>
          </w:p>
        </w:tc>
        <w:tc>
          <w:tcPr>
            <w:tcW w:w="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227,339</w:t>
            </w:r>
          </w:p>
        </w:tc>
        <w:tc>
          <w:tcPr>
            <w:tcW w:w="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-4321810</wp:posOffset>
            </wp:positionV>
            <wp:extent cx="5222875" cy="3353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22875" cy="335343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-5556250</wp:posOffset>
            </wp:positionV>
            <wp:extent cx="5486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[Footnotes on following page]</w:t>
      </w:r>
    </w:p>
    <w:p>
      <w:pPr>
        <w:sectPr>
          <w:pgSz w:w="11900" w:h="16838" w:orient="portrait"/>
          <w:cols w:equalWidth="0" w:num="1">
            <w:col w:w="10240"/>
          </w:cols>
          <w:pgMar w:left="240" w:top="132" w:right="1419" w:bottom="1440" w:gutter="0" w:footer="0" w:header="0"/>
        </w:sectPr>
      </w:pPr>
    </w:p>
    <w:p>
      <w:pPr>
        <w:spacing w:after="0" w:line="275"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2" w:right="1419"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left="1620" w:right="759" w:hanging="352"/>
        <w:spacing w:after="0" w:line="209"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Age-vested Options</w:t>
      </w:r>
      <w:r>
        <w:rPr>
          <w:rFonts w:ascii="Arial" w:cs="Arial" w:eastAsia="Arial" w:hAnsi="Arial"/>
          <w:sz w:val="14"/>
          <w:szCs w:val="14"/>
          <w:color w:val="auto"/>
        </w:rPr>
        <w:t>. The options become exercisable with respect to 50% of the underlying shares on the optionee’s 61</w:t>
      </w:r>
      <w:r>
        <w:rPr>
          <w:rFonts w:ascii="Arial" w:cs="Arial" w:eastAsia="Arial" w:hAnsi="Arial"/>
          <w:sz w:val="21"/>
          <w:szCs w:val="21"/>
          <w:color w:val="auto"/>
          <w:vertAlign w:val="superscript"/>
        </w:rPr>
        <w:t>st</w:t>
      </w:r>
      <w:r>
        <w:rPr>
          <w:rFonts w:ascii="Arial" w:cs="Arial" w:eastAsia="Arial" w:hAnsi="Arial"/>
          <w:sz w:val="14"/>
          <w:szCs w:val="14"/>
          <w:i w:val="1"/>
          <w:iCs w:val="1"/>
          <w:color w:val="auto"/>
        </w:rPr>
        <w:t xml:space="preserve"> </w:t>
      </w:r>
      <w:r>
        <w:rPr>
          <w:rFonts w:ascii="Arial" w:cs="Arial" w:eastAsia="Arial" w:hAnsi="Arial"/>
          <w:sz w:val="14"/>
          <w:szCs w:val="14"/>
          <w:color w:val="auto"/>
        </w:rPr>
        <w:t>birthday, and 50% on the optionee’s 64</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birthday, if still employed. Vested options expire one year after termination of employment. Mr. Slipsager will reach his 61</w:t>
      </w:r>
      <w:r>
        <w:rPr>
          <w:rFonts w:ascii="Arial" w:cs="Arial" w:eastAsia="Arial" w:hAnsi="Arial"/>
          <w:sz w:val="21"/>
          <w:szCs w:val="21"/>
          <w:color w:val="auto"/>
          <w:vertAlign w:val="superscript"/>
        </w:rPr>
        <w:t>st</w:t>
      </w:r>
      <w:r>
        <w:rPr>
          <w:rFonts w:ascii="Arial" w:cs="Arial" w:eastAsia="Arial" w:hAnsi="Arial"/>
          <w:sz w:val="14"/>
          <w:szCs w:val="14"/>
          <w:color w:val="auto"/>
        </w:rPr>
        <w:t xml:space="preserve"> birthday on January 12, 2016 and his 64</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birthday on January 12, 2019. Mr. McClure will reach his 61</w:t>
      </w:r>
      <w:r>
        <w:rPr>
          <w:rFonts w:ascii="Arial" w:cs="Arial" w:eastAsia="Arial" w:hAnsi="Arial"/>
          <w:sz w:val="21"/>
          <w:szCs w:val="21"/>
          <w:color w:val="auto"/>
          <w:vertAlign w:val="superscript"/>
        </w:rPr>
        <w:t>st</w:t>
      </w:r>
      <w:r>
        <w:rPr>
          <w:rFonts w:ascii="Arial" w:cs="Arial" w:eastAsia="Arial" w:hAnsi="Arial"/>
          <w:sz w:val="14"/>
          <w:szCs w:val="14"/>
          <w:color w:val="auto"/>
        </w:rPr>
        <w:t xml:space="preserve"> birthday on February 14, 2018 and his 64</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birthday on February 14, 2021.</w:t>
      </w:r>
    </w:p>
    <w:p>
      <w:pPr>
        <w:spacing w:after="0" w:line="57" w:lineRule="exact"/>
        <w:rPr>
          <w:rFonts w:ascii="Arial" w:cs="Arial" w:eastAsia="Arial" w:hAnsi="Arial"/>
          <w:sz w:val="14"/>
          <w:szCs w:val="14"/>
          <w:color w:val="auto"/>
        </w:rPr>
      </w:pPr>
    </w:p>
    <w:p>
      <w:pPr>
        <w:ind w:left="1620" w:right="759" w:hanging="352"/>
        <w:spacing w:after="0" w:line="299"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Time-vested Options. </w:t>
      </w:r>
      <w:r>
        <w:rPr>
          <w:rFonts w:ascii="Arial" w:cs="Arial" w:eastAsia="Arial" w:hAnsi="Arial"/>
          <w:sz w:val="14"/>
          <w:szCs w:val="14"/>
          <w:color w:val="auto"/>
        </w:rPr>
        <w:t>The options become exercisable with respect to 20% of the underlying shares on the anniversary of</w:t>
      </w:r>
      <w:r>
        <w:rPr>
          <w:rFonts w:ascii="Arial" w:cs="Arial" w:eastAsia="Arial" w:hAnsi="Arial"/>
          <w:sz w:val="14"/>
          <w:szCs w:val="14"/>
          <w:i w:val="1"/>
          <w:iCs w:val="1"/>
          <w:color w:val="auto"/>
        </w:rPr>
        <w:t xml:space="preserve"> </w:t>
      </w:r>
      <w:r>
        <w:rPr>
          <w:rFonts w:ascii="Arial" w:cs="Arial" w:eastAsia="Arial" w:hAnsi="Arial"/>
          <w:sz w:val="14"/>
          <w:szCs w:val="14"/>
          <w:color w:val="auto"/>
        </w:rPr>
        <w:t>the grant date for five succeeding years.</w:t>
      </w:r>
    </w:p>
    <w:p>
      <w:pPr>
        <w:spacing w:after="0" w:line="71" w:lineRule="exact"/>
        <w:rPr>
          <w:rFonts w:ascii="Arial" w:cs="Arial" w:eastAsia="Arial" w:hAnsi="Arial"/>
          <w:sz w:val="14"/>
          <w:szCs w:val="14"/>
          <w:color w:val="auto"/>
        </w:rPr>
      </w:pPr>
    </w:p>
    <w:p>
      <w:pPr>
        <w:jc w:val="both"/>
        <w:ind w:left="1620" w:right="759" w:hanging="352"/>
        <w:spacing w:after="0" w:line="274"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Price-vested Options</w:t>
      </w:r>
      <w:r>
        <w:rPr>
          <w:rFonts w:ascii="Arial" w:cs="Arial" w:eastAsia="Arial" w:hAnsi="Arial"/>
          <w:sz w:val="14"/>
          <w:szCs w:val="14"/>
          <w:color w:val="auto"/>
        </w:rPr>
        <w:t>. The options provide that if ABM common stock closes at a designated price for ten days during a</w:t>
      </w:r>
      <w:r>
        <w:rPr>
          <w:rFonts w:ascii="Arial" w:cs="Arial" w:eastAsia="Arial" w:hAnsi="Arial"/>
          <w:sz w:val="14"/>
          <w:szCs w:val="14"/>
          <w:i w:val="1"/>
          <w:iCs w:val="1"/>
          <w:color w:val="auto"/>
        </w:rPr>
        <w:t xml:space="preserve"> </w:t>
      </w:r>
      <w:r>
        <w:rPr>
          <w:rFonts w:ascii="Arial" w:cs="Arial" w:eastAsia="Arial" w:hAnsi="Arial"/>
          <w:sz w:val="14"/>
          <w:szCs w:val="14"/>
          <w:color w:val="auto"/>
        </w:rPr>
        <w:t>period of 30 consecutive trading days within the first four years after grant, the options will become exercisable following the tenth day. Options not vesting during the first four years following the grant date become exercisable on the eighth anniversary of the grant date, provided the optionee is employed by the Company.</w:t>
      </w:r>
    </w:p>
    <w:p>
      <w:pPr>
        <w:spacing w:after="0" w:line="102" w:lineRule="exact"/>
        <w:rPr>
          <w:rFonts w:ascii="Arial" w:cs="Arial" w:eastAsia="Arial" w:hAnsi="Arial"/>
          <w:sz w:val="14"/>
          <w:szCs w:val="14"/>
          <w:color w:val="auto"/>
        </w:rPr>
      </w:pPr>
    </w:p>
    <w:p>
      <w:pPr>
        <w:ind w:left="1620" w:right="759" w:hanging="352"/>
        <w:spacing w:after="0" w:line="299"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 xml:space="preserve">2006 Equity Incentive Plan. </w:t>
      </w:r>
      <w:r>
        <w:rPr>
          <w:rFonts w:ascii="Arial" w:cs="Arial" w:eastAsia="Arial" w:hAnsi="Arial"/>
          <w:sz w:val="14"/>
          <w:szCs w:val="14"/>
          <w:color w:val="auto"/>
        </w:rPr>
        <w:t>The options become exercisable with respect to 25% of the underlying shares on each</w:t>
      </w:r>
      <w:r>
        <w:rPr>
          <w:rFonts w:ascii="Arial" w:cs="Arial" w:eastAsia="Arial" w:hAnsi="Arial"/>
          <w:sz w:val="14"/>
          <w:szCs w:val="14"/>
          <w:i w:val="1"/>
          <w:iCs w:val="1"/>
          <w:color w:val="auto"/>
        </w:rPr>
        <w:t xml:space="preserve"> </w:t>
      </w:r>
      <w:r>
        <w:rPr>
          <w:rFonts w:ascii="Arial" w:cs="Arial" w:eastAsia="Arial" w:hAnsi="Arial"/>
          <w:sz w:val="14"/>
          <w:szCs w:val="14"/>
          <w:color w:val="auto"/>
        </w:rPr>
        <w:t>anniversary date of the grant for four succeeding years.</w:t>
      </w:r>
    </w:p>
    <w:p>
      <w:pPr>
        <w:spacing w:after="0" w:line="71" w:lineRule="exact"/>
        <w:rPr>
          <w:rFonts w:ascii="Arial" w:cs="Arial" w:eastAsia="Arial" w:hAnsi="Arial"/>
          <w:sz w:val="14"/>
          <w:szCs w:val="14"/>
          <w:color w:val="auto"/>
        </w:rPr>
      </w:pPr>
    </w:p>
    <w:p>
      <w:pPr>
        <w:jc w:val="both"/>
        <w:ind w:left="1620" w:right="759" w:hanging="352"/>
        <w:spacing w:after="0" w:line="280"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Special Equity Awards</w:t>
      </w:r>
      <w:r>
        <w:rPr>
          <w:rFonts w:ascii="Arial" w:cs="Arial" w:eastAsia="Arial" w:hAnsi="Arial"/>
          <w:sz w:val="14"/>
          <w:szCs w:val="14"/>
          <w:color w:val="auto"/>
        </w:rPr>
        <w:t>. On March 31, 2010, Messrs. Lusk and McClure and Ms. McConnell were granted options and</w:t>
      </w:r>
      <w:r>
        <w:rPr>
          <w:rFonts w:ascii="Arial" w:cs="Arial" w:eastAsia="Arial" w:hAnsi="Arial"/>
          <w:sz w:val="14"/>
          <w:szCs w:val="14"/>
          <w:i w:val="1"/>
          <w:iCs w:val="1"/>
          <w:color w:val="auto"/>
        </w:rPr>
        <w:t xml:space="preserve"> </w:t>
      </w:r>
      <w:r>
        <w:rPr>
          <w:rFonts w:ascii="Arial" w:cs="Arial" w:eastAsia="Arial" w:hAnsi="Arial"/>
          <w:sz w:val="14"/>
          <w:szCs w:val="14"/>
          <w:color w:val="auto"/>
        </w:rPr>
        <w:t>RSUs which vest 100% on the fifth anniversary of the grant date. On January 10, 2011, Mr. Price was granted options and RSUs which vest 100% on the fifth anniversary of the grant date.</w:t>
      </w:r>
    </w:p>
    <w:p>
      <w:pPr>
        <w:spacing w:after="0" w:line="84" w:lineRule="exact"/>
        <w:rPr>
          <w:rFonts w:ascii="Arial" w:cs="Arial" w:eastAsia="Arial" w:hAnsi="Arial"/>
          <w:sz w:val="14"/>
          <w:szCs w:val="14"/>
          <w:color w:val="auto"/>
        </w:rPr>
      </w:pPr>
    </w:p>
    <w:p>
      <w:pPr>
        <w:jc w:val="both"/>
        <w:ind w:left="1620" w:right="759" w:hanging="352"/>
        <w:spacing w:after="0" w:line="274"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Fifty percent of the RSUs vest on the second anniversary of the grant date and the remainder vest on the fourth</w:t>
      </w:r>
      <w:r>
        <w:rPr>
          <w:rFonts w:ascii="Arial" w:cs="Arial" w:eastAsia="Arial" w:hAnsi="Arial"/>
          <w:sz w:val="14"/>
          <w:szCs w:val="14"/>
          <w:i w:val="1"/>
          <w:iCs w:val="1"/>
          <w:color w:val="auto"/>
        </w:rPr>
        <w:t xml:space="preserve"> </w:t>
      </w:r>
      <w:r>
        <w:rPr>
          <w:rFonts w:ascii="Arial" w:cs="Arial" w:eastAsia="Arial" w:hAnsi="Arial"/>
          <w:sz w:val="14"/>
          <w:szCs w:val="14"/>
          <w:color w:val="auto"/>
        </w:rPr>
        <w:t>anniversary of the grant date. When cash dividends are paid on ABM common stock, DEUs are credited and converted into additional RSUs, subject to the same terms and conditions (including vesting) as the underlying RSUs. The number of RSUs shown includes the dividend equivalents through October 31, 2014.</w:t>
      </w:r>
    </w:p>
    <w:p>
      <w:pPr>
        <w:spacing w:after="0" w:line="88" w:lineRule="exact"/>
        <w:rPr>
          <w:rFonts w:ascii="Arial" w:cs="Arial" w:eastAsia="Arial" w:hAnsi="Arial"/>
          <w:sz w:val="14"/>
          <w:szCs w:val="14"/>
          <w:color w:val="auto"/>
        </w:rPr>
      </w:pPr>
    </w:p>
    <w:p>
      <w:pPr>
        <w:jc w:val="both"/>
        <w:ind w:left="1620" w:right="759" w:hanging="352"/>
        <w:spacing w:after="0" w:line="268"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Performance Shares (Earned)</w:t>
      </w:r>
      <w:r>
        <w:rPr>
          <w:rFonts w:ascii="Arial" w:cs="Arial" w:eastAsia="Arial" w:hAnsi="Arial"/>
          <w:sz w:val="14"/>
          <w:szCs w:val="14"/>
          <w:color w:val="auto"/>
        </w:rPr>
        <w:t>. Amounts shown include performance share awards under the 2012, 2013 and 2014</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Share Programs that have been “earned” but remain unpaid until the vesting date, which is the third anniversary of the date of the award. These amounts were 53,679 for Mr. Slipsager, 15,355 for Mr. Lusk, 20,365 for Mr. McClure, 20,365 for Mr. Price and 8,336 for Ms. McConnell. Performance shares granted under the 2012 Fiscal Year Performance Share Program vest, to the extent earned, on March 8, 2015, performance shares granted under the 2013 Fiscal Year Performance Share Program vest, to the extent earned, on January 14, 2016, and performance shares granted under the 2014 Fiscal Year Performance Share Program vest, to the extent earned, on January 14, 2017.</w:t>
      </w:r>
    </w:p>
    <w:p>
      <w:pPr>
        <w:spacing w:after="0" w:line="105" w:lineRule="exact"/>
        <w:rPr>
          <w:rFonts w:ascii="Arial" w:cs="Arial" w:eastAsia="Arial" w:hAnsi="Arial"/>
          <w:sz w:val="14"/>
          <w:szCs w:val="14"/>
          <w:color w:val="auto"/>
        </w:rPr>
      </w:pPr>
    </w:p>
    <w:p>
      <w:pPr>
        <w:jc w:val="both"/>
        <w:ind w:left="1620" w:right="759" w:hanging="352"/>
        <w:spacing w:after="0" w:line="274" w:lineRule="auto"/>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Performance Shares (Unearned)</w:t>
      </w:r>
      <w:r>
        <w:rPr>
          <w:rFonts w:ascii="Arial" w:cs="Arial" w:eastAsia="Arial" w:hAnsi="Arial"/>
          <w:sz w:val="14"/>
          <w:szCs w:val="14"/>
          <w:color w:val="auto"/>
        </w:rPr>
        <w:t>. On March 8, 2012, performance shares were granted under the 2012 – 2014 Fiscal Year</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Share Program and on January 14, 2013, performance shares were granted under the 2013 – 2015 Fiscal Year Performance Share Program, each as described under the CD&amp;A. Unearned performance shares are stated at target. Performance shares will vest, to the extent earned, on March 8, 2015 and January 14, 2016, respectively.</w:t>
      </w:r>
    </w:p>
    <w:p>
      <w:pPr>
        <w:spacing w:after="0" w:line="102" w:lineRule="exact"/>
        <w:rPr>
          <w:rFonts w:ascii="Arial" w:cs="Arial" w:eastAsia="Arial" w:hAnsi="Arial"/>
          <w:sz w:val="14"/>
          <w:szCs w:val="14"/>
          <w:color w:val="auto"/>
        </w:rPr>
      </w:pPr>
    </w:p>
    <w:p>
      <w:pPr>
        <w:ind w:left="1620" w:hanging="352"/>
        <w:spacing w:after="0"/>
        <w:tabs>
          <w:tab w:leader="none" w:pos="1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shown are based on $27.64 per share, the closing price of ABM common stock on October 31, 2014.</w:t>
      </w:r>
    </w:p>
    <w:p>
      <w:pPr>
        <w:spacing w:after="0" w:line="119" w:lineRule="exact"/>
        <w:rPr>
          <w:rFonts w:ascii="Arial" w:cs="Arial" w:eastAsia="Arial" w:hAnsi="Arial"/>
          <w:sz w:val="14"/>
          <w:szCs w:val="14"/>
          <w:color w:val="auto"/>
        </w:rPr>
      </w:pPr>
    </w:p>
    <w:p>
      <w:pPr>
        <w:ind w:left="4540"/>
        <w:spacing w:after="0"/>
        <w:rPr>
          <w:rFonts w:ascii="Arial" w:cs="Arial" w:eastAsia="Arial" w:hAnsi="Arial"/>
          <w:sz w:val="14"/>
          <w:szCs w:val="14"/>
          <w:color w:val="auto"/>
        </w:rPr>
      </w:pPr>
      <w:r>
        <w:rPr>
          <w:rFonts w:ascii="Arial" w:cs="Arial" w:eastAsia="Arial" w:hAnsi="Arial"/>
          <w:sz w:val="16"/>
          <w:szCs w:val="16"/>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260"/>
        <w:spacing w:after="0" w:line="260" w:lineRule="auto"/>
        <w:rPr>
          <w:sz w:val="20"/>
          <w:szCs w:val="20"/>
          <w:color w:val="auto"/>
        </w:rPr>
      </w:pPr>
      <w:r>
        <w:rPr>
          <w:rFonts w:ascii="Arial" w:cs="Arial" w:eastAsia="Arial" w:hAnsi="Arial"/>
          <w:sz w:val="16"/>
          <w:szCs w:val="16"/>
          <w:color w:val="auto"/>
        </w:rPr>
        <w:t>The following table shows the amounts realized upon exercise of stock options and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739"/>
        <w:spacing w:after="0" w:line="260" w:lineRule="auto"/>
        <w:rPr>
          <w:sz w:val="20"/>
          <w:szCs w:val="20"/>
          <w:color w:val="auto"/>
        </w:rPr>
      </w:pPr>
      <w:r>
        <w:rPr>
          <w:rFonts w:ascii="Arial" w:cs="Arial" w:eastAsia="Arial" w:hAnsi="Arial"/>
          <w:sz w:val="16"/>
          <w:szCs w:val="16"/>
          <w:color w:val="auto"/>
        </w:rPr>
        <w:t>in fiscal year 2014 of stock awards previously awarded.</w:t>
      </w:r>
    </w:p>
    <w:p>
      <w:pPr>
        <w:spacing w:after="0" w:line="200" w:lineRule="exact"/>
        <w:rPr>
          <w:sz w:val="20"/>
          <w:szCs w:val="20"/>
          <w:color w:val="auto"/>
        </w:rPr>
      </w:pPr>
    </w:p>
    <w:p>
      <w:pPr>
        <w:sectPr>
          <w:pgSz w:w="11900" w:h="16838" w:orient="portrait"/>
          <w:cols w:equalWidth="0" w:num="2">
            <w:col w:w="5060" w:space="620"/>
            <w:col w:w="4539"/>
          </w:cols>
          <w:pgMar w:left="240" w:top="13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004FF9"/>
        </w:rPr>
        <w:t>Option Exercises and Stock Vested in Fiscal Year 2014</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332"/>
        </w:trPr>
        <w:tc>
          <w:tcPr>
            <w:tcW w:w="3440" w:type="dxa"/>
            <w:vAlign w:val="bottom"/>
            <w:tcBorders>
              <w:top w:val="single" w:sz="8" w:color="auto"/>
              <w:left w:val="single" w:sz="8" w:color="auto"/>
              <w:bottom w:val="single" w:sz="8" w:color="auto"/>
              <w:right w:val="single" w:sz="8" w:color="auto"/>
            </w:tcBorders>
            <w:shd w:val="clear" w:color="auto" w:fill="B1C9FD"/>
          </w:tcPr>
          <w:p>
            <w:pPr>
              <w:spacing w:after="0"/>
              <w:rPr>
                <w:sz w:val="24"/>
                <w:szCs w:val="24"/>
                <w:color w:val="auto"/>
              </w:rPr>
            </w:pPr>
          </w:p>
        </w:tc>
        <w:tc>
          <w:tcPr>
            <w:tcW w:w="2400" w:type="dxa"/>
            <w:vAlign w:val="bottom"/>
            <w:tcBorders>
              <w:top w:val="single" w:sz="8" w:color="auto"/>
              <w:bottom w:val="single" w:sz="8" w:color="auto"/>
              <w:right w:val="single" w:sz="8" w:color="auto"/>
            </w:tcBorders>
            <w:gridSpan w:val="2"/>
            <w:shd w:val="clear" w:color="auto" w:fill="B1C9FD"/>
          </w:tcPr>
          <w:p>
            <w:pPr>
              <w:jc w:val="right"/>
              <w:ind w:right="623"/>
              <w:spacing w:after="0"/>
              <w:rPr>
                <w:sz w:val="20"/>
                <w:szCs w:val="20"/>
                <w:color w:val="auto"/>
              </w:rPr>
            </w:pPr>
            <w:r>
              <w:rPr>
                <w:rFonts w:ascii="Arial" w:cs="Arial" w:eastAsia="Arial" w:hAnsi="Arial"/>
                <w:sz w:val="14"/>
                <w:szCs w:val="14"/>
                <w:b w:val="1"/>
                <w:bCs w:val="1"/>
                <w:color w:val="004FF9"/>
              </w:rPr>
              <w:t>Option Awards</w:t>
            </w:r>
          </w:p>
        </w:tc>
        <w:tc>
          <w:tcPr>
            <w:tcW w:w="2380" w:type="dxa"/>
            <w:vAlign w:val="bottom"/>
            <w:tcBorders>
              <w:top w:val="single" w:sz="8" w:color="auto"/>
              <w:bottom w:val="single" w:sz="8" w:color="auto"/>
              <w:right w:val="single" w:sz="8" w:color="auto"/>
            </w:tcBorders>
            <w:gridSpan w:val="2"/>
            <w:shd w:val="clear" w:color="auto" w:fill="B1C9FD"/>
          </w:tcPr>
          <w:p>
            <w:pPr>
              <w:ind w:left="740"/>
              <w:spacing w:after="0"/>
              <w:rPr>
                <w:sz w:val="20"/>
                <w:szCs w:val="20"/>
                <w:color w:val="auto"/>
              </w:rPr>
            </w:pPr>
            <w:r>
              <w:rPr>
                <w:rFonts w:ascii="Arial" w:cs="Arial" w:eastAsia="Arial" w:hAnsi="Arial"/>
                <w:sz w:val="14"/>
                <w:szCs w:val="14"/>
                <w:b w:val="1"/>
                <w:bCs w:val="1"/>
                <w:color w:val="004FF9"/>
              </w:rPr>
              <w:t>Stock Awards</w:t>
            </w:r>
          </w:p>
        </w:tc>
      </w:tr>
      <w:tr>
        <w:trPr>
          <w:trHeight w:val="189"/>
        </w:trPr>
        <w:tc>
          <w:tcPr>
            <w:tcW w:w="3440" w:type="dxa"/>
            <w:vAlign w:val="bottom"/>
            <w:tcBorders>
              <w:left w:val="single" w:sz="8" w:color="auto"/>
              <w:right w:val="single" w:sz="8" w:color="auto"/>
            </w:tcBorders>
            <w:shd w:val="clear" w:color="auto" w:fill="B1C9FD"/>
          </w:tcPr>
          <w:p>
            <w:pPr>
              <w:spacing w:after="0"/>
              <w:rPr>
                <w:sz w:val="16"/>
                <w:szCs w:val="16"/>
                <w:color w:val="auto"/>
              </w:rPr>
            </w:pP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Number of</w:t>
            </w: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Value</w:t>
            </w: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Number of</w:t>
            </w:r>
          </w:p>
        </w:tc>
        <w:tc>
          <w:tcPr>
            <w:tcW w:w="11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6"/>
              </w:rPr>
              <w:t>Value</w:t>
            </w:r>
          </w:p>
        </w:tc>
      </w:tr>
      <w:tr>
        <w:trPr>
          <w:trHeight w:val="162"/>
        </w:trPr>
        <w:tc>
          <w:tcPr>
            <w:tcW w:w="3440" w:type="dxa"/>
            <w:vAlign w:val="bottom"/>
            <w:tcBorders>
              <w:left w:val="single" w:sz="8" w:color="auto"/>
              <w:right w:val="single" w:sz="8" w:color="auto"/>
            </w:tcBorders>
            <w:shd w:val="clear" w:color="auto" w:fill="B1C9FD"/>
          </w:tcPr>
          <w:p>
            <w:pPr>
              <w:spacing w:after="0"/>
              <w:rPr>
                <w:sz w:val="14"/>
                <w:szCs w:val="14"/>
                <w:color w:val="auto"/>
              </w:rPr>
            </w:pP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Shares</w:t>
            </w: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Realized on</w:t>
            </w: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Shares</w:t>
            </w:r>
          </w:p>
        </w:tc>
        <w:tc>
          <w:tcPr>
            <w:tcW w:w="11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Realized on</w:t>
            </w:r>
          </w:p>
        </w:tc>
      </w:tr>
      <w:tr>
        <w:trPr>
          <w:trHeight w:val="176"/>
        </w:trPr>
        <w:tc>
          <w:tcPr>
            <w:tcW w:w="3440" w:type="dxa"/>
            <w:vAlign w:val="bottom"/>
            <w:tcBorders>
              <w:left w:val="single" w:sz="8" w:color="auto"/>
              <w:right w:val="single" w:sz="8" w:color="auto"/>
            </w:tcBorders>
            <w:shd w:val="clear" w:color="auto" w:fill="B1C9FD"/>
          </w:tcPr>
          <w:p>
            <w:pPr>
              <w:spacing w:after="0"/>
              <w:rPr>
                <w:sz w:val="15"/>
                <w:szCs w:val="15"/>
                <w:color w:val="auto"/>
              </w:rPr>
            </w:pP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Acquired on</w:t>
            </w:r>
          </w:p>
        </w:tc>
        <w:tc>
          <w:tcPr>
            <w:tcW w:w="120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Exercise</w:t>
            </w:r>
            <w:r>
              <w:rPr>
                <w:rFonts w:ascii="Arial" w:cs="Arial" w:eastAsia="Arial" w:hAnsi="Arial"/>
                <w:sz w:val="20"/>
                <w:szCs w:val="20"/>
                <w:b w:val="1"/>
                <w:bCs w:val="1"/>
                <w:color w:val="004FF9"/>
                <w:w w:val="97"/>
                <w:vertAlign w:val="superscript"/>
              </w:rPr>
              <w:t>(1)</w:t>
            </w:r>
          </w:p>
        </w:tc>
        <w:tc>
          <w:tcPr>
            <w:tcW w:w="12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Acquired on</w:t>
            </w:r>
          </w:p>
        </w:tc>
        <w:tc>
          <w:tcPr>
            <w:tcW w:w="11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Vesting</w:t>
            </w:r>
          </w:p>
        </w:tc>
      </w:tr>
      <w:tr>
        <w:trPr>
          <w:trHeight w:val="196"/>
        </w:trPr>
        <w:tc>
          <w:tcPr>
            <w:tcW w:w="3440" w:type="dxa"/>
            <w:vAlign w:val="bottom"/>
            <w:tcBorders>
              <w:left w:val="single" w:sz="8" w:color="auto"/>
              <w:bottom w:val="single" w:sz="8" w:color="auto"/>
              <w:right w:val="single" w:sz="8" w:color="auto"/>
            </w:tcBorders>
            <w:shd w:val="clear" w:color="auto" w:fill="B1C9FD"/>
          </w:tcPr>
          <w:p>
            <w:pPr>
              <w:ind w:left="840"/>
              <w:spacing w:after="0"/>
              <w:rPr>
                <w:sz w:val="20"/>
                <w:szCs w:val="20"/>
                <w:color w:val="auto"/>
              </w:rPr>
            </w:pPr>
            <w:r>
              <w:rPr>
                <w:rFonts w:ascii="Arial" w:cs="Arial" w:eastAsia="Arial" w:hAnsi="Arial"/>
                <w:sz w:val="14"/>
                <w:szCs w:val="14"/>
                <w:b w:val="1"/>
                <w:bCs w:val="1"/>
                <w:color w:val="004FF9"/>
              </w:rPr>
              <w:t>Named Executive Officer</w:t>
            </w:r>
          </w:p>
        </w:tc>
        <w:tc>
          <w:tcPr>
            <w:tcW w:w="12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Exercise</w:t>
            </w:r>
          </w:p>
        </w:tc>
        <w:tc>
          <w:tcPr>
            <w:tcW w:w="12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2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8"/>
              </w:rPr>
              <w:t>Vesting</w:t>
            </w:r>
          </w:p>
        </w:tc>
        <w:tc>
          <w:tcPr>
            <w:tcW w:w="11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r>
      <w:tr>
        <w:trPr>
          <w:trHeight w:val="243"/>
        </w:trPr>
        <w:tc>
          <w:tcPr>
            <w:tcW w:w="34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Henrik C. Slipsager</w:t>
            </w:r>
          </w:p>
        </w:tc>
        <w:tc>
          <w:tcPr>
            <w:tcW w:w="1200" w:type="dxa"/>
            <w:vAlign w:val="bottom"/>
            <w:tcBorders>
              <w:bottom w:val="single" w:sz="8" w:color="auto"/>
              <w:right w:val="single" w:sz="8" w:color="auto"/>
            </w:tcBorders>
            <w:shd w:val="clear" w:color="auto" w:fill="E5EDFE"/>
          </w:tcPr>
          <w:p>
            <w:pPr>
              <w:jc w:val="right"/>
              <w:ind w:right="223"/>
              <w:spacing w:after="0"/>
              <w:rPr>
                <w:sz w:val="20"/>
                <w:szCs w:val="20"/>
                <w:color w:val="auto"/>
              </w:rPr>
            </w:pPr>
            <w:r>
              <w:rPr>
                <w:rFonts w:ascii="Arial" w:cs="Arial" w:eastAsia="Arial" w:hAnsi="Arial"/>
                <w:sz w:val="16"/>
                <w:szCs w:val="16"/>
                <w:color w:val="auto"/>
              </w:rPr>
              <w:t>236,255</w:t>
            </w:r>
          </w:p>
        </w:tc>
        <w:tc>
          <w:tcPr>
            <w:tcW w:w="1200" w:type="dxa"/>
            <w:vAlign w:val="bottom"/>
            <w:tcBorders>
              <w:bottom w:val="single" w:sz="8" w:color="auto"/>
              <w:right w:val="single" w:sz="8" w:color="auto"/>
            </w:tcBorders>
            <w:shd w:val="clear" w:color="auto" w:fill="E5EDFE"/>
          </w:tcPr>
          <w:p>
            <w:pPr>
              <w:jc w:val="right"/>
              <w:ind w:right="163"/>
              <w:spacing w:after="0"/>
              <w:rPr>
                <w:sz w:val="20"/>
                <w:szCs w:val="20"/>
                <w:color w:val="auto"/>
              </w:rPr>
            </w:pPr>
            <w:r>
              <w:rPr>
                <w:rFonts w:ascii="Arial" w:cs="Arial" w:eastAsia="Arial" w:hAnsi="Arial"/>
                <w:sz w:val="16"/>
                <w:szCs w:val="16"/>
                <w:color w:val="auto"/>
              </w:rPr>
              <w:t>1,548,819</w:t>
            </w:r>
          </w:p>
        </w:tc>
        <w:tc>
          <w:tcPr>
            <w:tcW w:w="1200" w:type="dxa"/>
            <w:vAlign w:val="bottom"/>
            <w:tcBorders>
              <w:bottom w:val="single" w:sz="8" w:color="auto"/>
              <w:right w:val="single" w:sz="8" w:color="auto"/>
            </w:tcBorders>
            <w:shd w:val="clear" w:color="auto" w:fill="E5EDFE"/>
          </w:tcPr>
          <w:p>
            <w:pPr>
              <w:ind w:left="340"/>
              <w:spacing w:after="0" w:line="242" w:lineRule="exact"/>
              <w:rPr>
                <w:sz w:val="20"/>
                <w:szCs w:val="20"/>
                <w:color w:val="auto"/>
              </w:rPr>
            </w:pPr>
            <w:r>
              <w:rPr>
                <w:rFonts w:ascii="Arial" w:cs="Arial" w:eastAsia="Arial" w:hAnsi="Arial"/>
                <w:sz w:val="16"/>
                <w:szCs w:val="16"/>
                <w:color w:val="auto"/>
                <w:w w:val="91"/>
              </w:rPr>
              <w:t>33,960</w:t>
            </w:r>
            <w:r>
              <w:rPr>
                <w:rFonts w:ascii="Arial" w:cs="Arial" w:eastAsia="Arial" w:hAnsi="Arial"/>
                <w:sz w:val="25"/>
                <w:szCs w:val="25"/>
                <w:color w:val="auto"/>
                <w:w w:val="91"/>
                <w:vertAlign w:val="superscript"/>
              </w:rPr>
              <w:t>(2)(3)</w:t>
            </w:r>
          </w:p>
        </w:tc>
        <w:tc>
          <w:tcPr>
            <w:tcW w:w="11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963,608</w:t>
            </w:r>
          </w:p>
        </w:tc>
      </w:tr>
      <w:tr>
        <w:trPr>
          <w:trHeight w:val="230"/>
        </w:trPr>
        <w:tc>
          <w:tcPr>
            <w:tcW w:w="3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S. Lusk</w:t>
            </w:r>
          </w:p>
        </w:tc>
        <w:tc>
          <w:tcPr>
            <w:tcW w:w="1200" w:type="dxa"/>
            <w:vAlign w:val="bottom"/>
            <w:tcBorders>
              <w:bottom w:val="single" w:sz="8" w:color="auto"/>
              <w:right w:val="single" w:sz="8" w:color="auto"/>
            </w:tcBorders>
          </w:tcPr>
          <w:p>
            <w:pPr>
              <w:jc w:val="right"/>
              <w:ind w:right="223"/>
              <w:spacing w:after="0"/>
              <w:rPr>
                <w:sz w:val="20"/>
                <w:szCs w:val="20"/>
                <w:color w:val="auto"/>
              </w:rPr>
            </w:pPr>
            <w:r>
              <w:rPr>
                <w:rFonts w:ascii="Arial" w:cs="Arial" w:eastAsia="Arial" w:hAnsi="Arial"/>
                <w:sz w:val="16"/>
                <w:szCs w:val="16"/>
                <w:color w:val="auto"/>
              </w:rPr>
              <w:t>23,564</w:t>
            </w:r>
          </w:p>
        </w:tc>
        <w:tc>
          <w:tcPr>
            <w:tcW w:w="1200" w:type="dxa"/>
            <w:vAlign w:val="bottom"/>
            <w:tcBorders>
              <w:bottom w:val="single" w:sz="8" w:color="auto"/>
              <w:right w:val="single" w:sz="8" w:color="auto"/>
            </w:tcBorders>
          </w:tcPr>
          <w:p>
            <w:pPr>
              <w:jc w:val="right"/>
              <w:ind w:right="163"/>
              <w:spacing w:after="0"/>
              <w:rPr>
                <w:sz w:val="20"/>
                <w:szCs w:val="20"/>
                <w:color w:val="auto"/>
              </w:rPr>
            </w:pPr>
            <w:r>
              <w:rPr>
                <w:rFonts w:ascii="Arial" w:cs="Arial" w:eastAsia="Arial" w:hAnsi="Arial"/>
                <w:sz w:val="16"/>
                <w:szCs w:val="16"/>
                <w:color w:val="auto"/>
              </w:rPr>
              <w:t>177,370</w:t>
            </w:r>
          </w:p>
        </w:tc>
        <w:tc>
          <w:tcPr>
            <w:tcW w:w="12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13,460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370,277</w:t>
            </w:r>
          </w:p>
        </w:tc>
      </w:tr>
      <w:tr>
        <w:trPr>
          <w:trHeight w:val="243"/>
        </w:trPr>
        <w:tc>
          <w:tcPr>
            <w:tcW w:w="34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James P. McClure</w:t>
            </w:r>
          </w:p>
        </w:tc>
        <w:tc>
          <w:tcPr>
            <w:tcW w:w="1200" w:type="dxa"/>
            <w:vAlign w:val="bottom"/>
            <w:tcBorders>
              <w:bottom w:val="single" w:sz="8" w:color="auto"/>
              <w:right w:val="single" w:sz="8" w:color="auto"/>
            </w:tcBorders>
            <w:shd w:val="clear" w:color="auto" w:fill="E5EDFE"/>
          </w:tcPr>
          <w:p>
            <w:pPr>
              <w:jc w:val="right"/>
              <w:ind w:right="223"/>
              <w:spacing w:after="0"/>
              <w:rPr>
                <w:sz w:val="20"/>
                <w:szCs w:val="20"/>
                <w:color w:val="auto"/>
              </w:rPr>
            </w:pPr>
            <w:r>
              <w:rPr>
                <w:rFonts w:ascii="Arial" w:cs="Arial" w:eastAsia="Arial" w:hAnsi="Arial"/>
                <w:sz w:val="16"/>
                <w:szCs w:val="16"/>
                <w:color w:val="auto"/>
              </w:rPr>
              <w:t>77,795</w:t>
            </w:r>
          </w:p>
        </w:tc>
        <w:tc>
          <w:tcPr>
            <w:tcW w:w="1200" w:type="dxa"/>
            <w:vAlign w:val="bottom"/>
            <w:tcBorders>
              <w:bottom w:val="single" w:sz="8" w:color="auto"/>
              <w:right w:val="single" w:sz="8" w:color="auto"/>
            </w:tcBorders>
            <w:shd w:val="clear" w:color="auto" w:fill="E5EDFE"/>
          </w:tcPr>
          <w:p>
            <w:pPr>
              <w:jc w:val="right"/>
              <w:ind w:right="163"/>
              <w:spacing w:after="0"/>
              <w:rPr>
                <w:sz w:val="20"/>
                <w:szCs w:val="20"/>
                <w:color w:val="auto"/>
              </w:rPr>
            </w:pPr>
            <w:r>
              <w:rPr>
                <w:rFonts w:ascii="Arial" w:cs="Arial" w:eastAsia="Arial" w:hAnsi="Arial"/>
                <w:sz w:val="16"/>
                <w:szCs w:val="16"/>
                <w:color w:val="auto"/>
              </w:rPr>
              <w:t>567,882</w:t>
            </w:r>
          </w:p>
        </w:tc>
        <w:tc>
          <w:tcPr>
            <w:tcW w:w="1200" w:type="dxa"/>
            <w:vAlign w:val="bottom"/>
            <w:tcBorders>
              <w:bottom w:val="single" w:sz="8" w:color="auto"/>
              <w:right w:val="single" w:sz="8" w:color="auto"/>
            </w:tcBorders>
            <w:shd w:val="clear" w:color="auto" w:fill="E5EDFE"/>
          </w:tcPr>
          <w:p>
            <w:pPr>
              <w:ind w:left="340"/>
              <w:spacing w:after="0" w:line="242" w:lineRule="exact"/>
              <w:rPr>
                <w:sz w:val="20"/>
                <w:szCs w:val="20"/>
                <w:color w:val="auto"/>
              </w:rPr>
            </w:pPr>
            <w:r>
              <w:rPr>
                <w:rFonts w:ascii="Arial" w:cs="Arial" w:eastAsia="Arial" w:hAnsi="Arial"/>
                <w:sz w:val="16"/>
                <w:szCs w:val="16"/>
                <w:color w:val="auto"/>
              </w:rPr>
              <w:t>18,588</w:t>
            </w:r>
            <w:r>
              <w:rPr>
                <w:rFonts w:ascii="Arial" w:cs="Arial" w:eastAsia="Arial" w:hAnsi="Arial"/>
                <w:sz w:val="25"/>
                <w:szCs w:val="25"/>
                <w:color w:val="auto"/>
                <w:vertAlign w:val="superscript"/>
              </w:rPr>
              <w:t>(4)</w:t>
            </w:r>
          </w:p>
        </w:tc>
        <w:tc>
          <w:tcPr>
            <w:tcW w:w="11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511,993</w:t>
            </w:r>
          </w:p>
        </w:tc>
      </w:tr>
      <w:tr>
        <w:trPr>
          <w:trHeight w:val="230"/>
        </w:trPr>
        <w:tc>
          <w:tcPr>
            <w:tcW w:w="34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Tracy K. Price</w:t>
            </w:r>
          </w:p>
        </w:tc>
        <w:tc>
          <w:tcPr>
            <w:tcW w:w="1200" w:type="dxa"/>
            <w:vAlign w:val="bottom"/>
            <w:tcBorders>
              <w:bottom w:val="single" w:sz="8" w:color="auto"/>
              <w:right w:val="single" w:sz="8" w:color="auto"/>
            </w:tcBorders>
          </w:tcPr>
          <w:p>
            <w:pPr>
              <w:jc w:val="right"/>
              <w:ind w:right="223"/>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auto"/>
              <w:right w:val="single" w:sz="8" w:color="auto"/>
            </w:tcBorders>
          </w:tcPr>
          <w:p>
            <w:pPr>
              <w:jc w:val="right"/>
              <w:ind w:right="163"/>
              <w:spacing w:after="0"/>
              <w:rPr>
                <w:sz w:val="20"/>
                <w:szCs w:val="20"/>
                <w:color w:val="auto"/>
              </w:rPr>
            </w:pPr>
            <w:r>
              <w:rPr>
                <w:rFonts w:ascii="Arial" w:cs="Arial" w:eastAsia="Arial" w:hAnsi="Arial"/>
                <w:sz w:val="16"/>
                <w:szCs w:val="16"/>
                <w:color w:val="auto"/>
              </w:rPr>
              <w:t>0</w:t>
            </w:r>
          </w:p>
        </w:tc>
        <w:tc>
          <w:tcPr>
            <w:tcW w:w="12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14,501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396,146</w:t>
            </w:r>
          </w:p>
        </w:tc>
      </w:tr>
      <w:tr>
        <w:trPr>
          <w:trHeight w:val="243"/>
        </w:trPr>
        <w:tc>
          <w:tcPr>
            <w:tcW w:w="34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Sarah H. McConnell</w:t>
            </w:r>
          </w:p>
        </w:tc>
        <w:tc>
          <w:tcPr>
            <w:tcW w:w="1200" w:type="dxa"/>
            <w:vAlign w:val="bottom"/>
            <w:tcBorders>
              <w:bottom w:val="single" w:sz="8" w:color="auto"/>
              <w:right w:val="single" w:sz="8" w:color="auto"/>
            </w:tcBorders>
            <w:shd w:val="clear" w:color="auto" w:fill="E5EDFE"/>
          </w:tcPr>
          <w:p>
            <w:pPr>
              <w:jc w:val="right"/>
              <w:ind w:right="223"/>
              <w:spacing w:after="0"/>
              <w:rPr>
                <w:sz w:val="20"/>
                <w:szCs w:val="20"/>
                <w:color w:val="auto"/>
              </w:rPr>
            </w:pPr>
            <w:r>
              <w:rPr>
                <w:rFonts w:ascii="Arial" w:cs="Arial" w:eastAsia="Arial" w:hAnsi="Arial"/>
                <w:sz w:val="16"/>
                <w:szCs w:val="16"/>
                <w:color w:val="auto"/>
              </w:rPr>
              <w:t>9,475</w:t>
            </w:r>
          </w:p>
        </w:tc>
        <w:tc>
          <w:tcPr>
            <w:tcW w:w="1200" w:type="dxa"/>
            <w:vAlign w:val="bottom"/>
            <w:tcBorders>
              <w:bottom w:val="single" w:sz="8" w:color="auto"/>
              <w:right w:val="single" w:sz="8" w:color="auto"/>
            </w:tcBorders>
            <w:shd w:val="clear" w:color="auto" w:fill="E5EDFE"/>
          </w:tcPr>
          <w:p>
            <w:pPr>
              <w:jc w:val="right"/>
              <w:ind w:right="163"/>
              <w:spacing w:after="0"/>
              <w:rPr>
                <w:sz w:val="20"/>
                <w:szCs w:val="20"/>
                <w:color w:val="auto"/>
              </w:rPr>
            </w:pPr>
            <w:r>
              <w:rPr>
                <w:rFonts w:ascii="Arial" w:cs="Arial" w:eastAsia="Arial" w:hAnsi="Arial"/>
                <w:sz w:val="16"/>
                <w:szCs w:val="16"/>
                <w:color w:val="auto"/>
              </w:rPr>
              <w:t>89,294</w:t>
            </w:r>
          </w:p>
        </w:tc>
        <w:tc>
          <w:tcPr>
            <w:tcW w:w="1200" w:type="dxa"/>
            <w:vAlign w:val="bottom"/>
            <w:tcBorders>
              <w:bottom w:val="single" w:sz="8" w:color="auto"/>
              <w:right w:val="single" w:sz="8" w:color="auto"/>
            </w:tcBorders>
            <w:shd w:val="clear" w:color="auto" w:fill="E5EDFE"/>
          </w:tcPr>
          <w:p>
            <w:pPr>
              <w:ind w:left="340"/>
              <w:spacing w:after="0" w:line="242" w:lineRule="exact"/>
              <w:rPr>
                <w:sz w:val="20"/>
                <w:szCs w:val="20"/>
                <w:color w:val="auto"/>
              </w:rPr>
            </w:pPr>
            <w:r>
              <w:rPr>
                <w:rFonts w:ascii="Arial" w:cs="Arial" w:eastAsia="Arial" w:hAnsi="Arial"/>
                <w:sz w:val="16"/>
                <w:szCs w:val="16"/>
                <w:color w:val="auto"/>
              </w:rPr>
              <w:t>10,083</w:t>
            </w:r>
            <w:r>
              <w:rPr>
                <w:rFonts w:ascii="Arial" w:cs="Arial" w:eastAsia="Arial" w:hAnsi="Arial"/>
                <w:sz w:val="25"/>
                <w:szCs w:val="25"/>
                <w:color w:val="auto"/>
                <w:vertAlign w:val="superscript"/>
              </w:rPr>
              <w:t>(5)</w:t>
            </w:r>
          </w:p>
        </w:tc>
        <w:tc>
          <w:tcPr>
            <w:tcW w:w="11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280,285</w:t>
            </w:r>
          </w:p>
        </w:tc>
      </w:tr>
    </w:tbl>
    <w:p>
      <w:pPr>
        <w:spacing w:after="0" w:line="167" w:lineRule="exact"/>
        <w:rPr>
          <w:sz w:val="20"/>
          <w:szCs w:val="20"/>
          <w:color w:val="auto"/>
        </w:rPr>
      </w:pPr>
    </w:p>
    <w:p>
      <w:pPr>
        <w:ind w:left="1620" w:right="759" w:hanging="352"/>
        <w:spacing w:after="0" w:line="278"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consists of difference between the closing price of ABM common stock on the date of exercise and the exercise price of the option, multiplied by the number of shares acquired on exercise.</w:t>
      </w:r>
    </w:p>
    <w:p>
      <w:pPr>
        <w:spacing w:after="0" w:line="99"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includes 10,337 RSUs deferred under ABM’s Employee Deferred Compensation Plan. Distribution of shares deferred until separation from service.</w:t>
      </w:r>
    </w:p>
    <w:p>
      <w:pPr>
        <w:spacing w:after="0" w:line="99"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includes 8,660 RSUs previously deferred under ABM’s Employee Deferred Compensation Plan and distributed in March 2014.</w:t>
      </w:r>
    </w:p>
    <w:p>
      <w:pPr>
        <w:spacing w:after="0" w:line="99"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includes 9,145 RSUs deferred under ABM’s Employee Deferred Compensation Plan. Distribution of shares is deferred until separation from service.</w:t>
      </w:r>
    </w:p>
    <w:p>
      <w:pPr>
        <w:spacing w:after="0" w:line="113"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includes 3,302 RSUs deferred under ABM’s Employee Deferred Compensation Plan. Distribution of shares is deferred until separation from service.</w:t>
      </w:r>
    </w:p>
    <w:p>
      <w:pPr>
        <w:spacing w:after="0" w:line="83"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127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004FF9"/>
              </w:rPr>
              <w:t>Executive Compensation</w:t>
            </w:r>
          </w:p>
        </w:tc>
      </w:tr>
      <w:tr>
        <w:trPr>
          <w:trHeight w:val="257"/>
        </w:trPr>
        <w:tc>
          <w:tcPr>
            <w:tcW w:w="3280" w:type="dxa"/>
            <w:vAlign w:val="bottom"/>
            <w:tcBorders>
              <w:bottom w:val="single" w:sz="8" w:color="004FF9"/>
            </w:tcBorders>
            <w:gridSpan w:val="2"/>
          </w:tcPr>
          <w:p>
            <w:pPr>
              <w:spacing w:after="0"/>
              <w:rPr>
                <w:sz w:val="22"/>
                <w:szCs w:val="22"/>
                <w:color w:val="auto"/>
              </w:rPr>
            </w:pPr>
          </w:p>
        </w:tc>
        <w:tc>
          <w:tcPr>
            <w:tcW w:w="940" w:type="dxa"/>
            <w:vAlign w:val="bottom"/>
            <w:tcBorders>
              <w:bottom w:val="single" w:sz="8" w:color="004FF9"/>
            </w:tcBorders>
          </w:tcPr>
          <w:p>
            <w:pPr>
              <w:spacing w:after="0"/>
              <w:rPr>
                <w:sz w:val="22"/>
                <w:szCs w:val="22"/>
                <w:color w:val="auto"/>
              </w:rPr>
            </w:pPr>
          </w:p>
        </w:tc>
        <w:tc>
          <w:tcPr>
            <w:tcW w:w="1380" w:type="dxa"/>
            <w:vAlign w:val="bottom"/>
            <w:tcBorders>
              <w:bottom w:val="single" w:sz="8" w:color="004FF9"/>
            </w:tcBorders>
          </w:tcPr>
          <w:p>
            <w:pPr>
              <w:spacing w:after="0"/>
              <w:rPr>
                <w:sz w:val="22"/>
                <w:szCs w:val="22"/>
                <w:color w:val="auto"/>
              </w:rPr>
            </w:pPr>
          </w:p>
        </w:tc>
        <w:tc>
          <w:tcPr>
            <w:tcW w:w="1340" w:type="dxa"/>
            <w:vAlign w:val="bottom"/>
            <w:tcBorders>
              <w:bottom w:val="single" w:sz="8" w:color="004FF9"/>
            </w:tcBorders>
            <w:gridSpan w:val="2"/>
          </w:tcPr>
          <w:p>
            <w:pPr>
              <w:spacing w:after="0"/>
              <w:rPr>
                <w:sz w:val="22"/>
                <w:szCs w:val="22"/>
                <w:color w:val="auto"/>
              </w:rPr>
            </w:pPr>
          </w:p>
        </w:tc>
        <w:tc>
          <w:tcPr>
            <w:tcW w:w="1280" w:type="dxa"/>
            <w:vAlign w:val="bottom"/>
            <w:tcBorders>
              <w:bottom w:val="single" w:sz="8" w:color="004FF9"/>
            </w:tcBorders>
          </w:tcPr>
          <w:p>
            <w:pPr>
              <w:spacing w:after="0"/>
              <w:rPr>
                <w:sz w:val="22"/>
                <w:szCs w:val="22"/>
                <w:color w:val="auto"/>
              </w:rPr>
            </w:pPr>
          </w:p>
        </w:tc>
      </w:tr>
      <w:tr>
        <w:trPr>
          <w:trHeight w:val="433"/>
        </w:trPr>
        <w:tc>
          <w:tcPr>
            <w:tcW w:w="6940" w:type="dxa"/>
            <w:vAlign w:val="bottom"/>
            <w:gridSpan w:val="6"/>
          </w:tcPr>
          <w:p>
            <w:pPr>
              <w:jc w:val="center"/>
              <w:ind w:left="1200"/>
              <w:spacing w:after="0"/>
              <w:rPr>
                <w:sz w:val="20"/>
                <w:szCs w:val="20"/>
                <w:color w:val="auto"/>
              </w:rPr>
            </w:pPr>
            <w:r>
              <w:rPr>
                <w:rFonts w:ascii="Arial" w:cs="Arial" w:eastAsia="Arial" w:hAnsi="Arial"/>
                <w:sz w:val="16"/>
                <w:szCs w:val="16"/>
                <w:b w:val="1"/>
                <w:bCs w:val="1"/>
                <w:color w:val="004FF9"/>
              </w:rPr>
              <w:t>Pension and Deferred Compensation Benefits</w:t>
            </w:r>
          </w:p>
        </w:tc>
        <w:tc>
          <w:tcPr>
            <w:tcW w:w="1280" w:type="dxa"/>
            <w:vAlign w:val="bottom"/>
          </w:tcPr>
          <w:p>
            <w:pPr>
              <w:spacing w:after="0"/>
              <w:rPr>
                <w:sz w:val="24"/>
                <w:szCs w:val="24"/>
                <w:color w:val="auto"/>
              </w:rPr>
            </w:pPr>
          </w:p>
        </w:tc>
      </w:tr>
      <w:tr>
        <w:trPr>
          <w:trHeight w:val="251"/>
        </w:trPr>
        <w:tc>
          <w:tcPr>
            <w:tcW w:w="4220" w:type="dxa"/>
            <w:vAlign w:val="bottom"/>
            <w:gridSpan w:val="3"/>
          </w:tcPr>
          <w:p>
            <w:pPr>
              <w:spacing w:after="0"/>
              <w:rPr>
                <w:sz w:val="20"/>
                <w:szCs w:val="20"/>
                <w:color w:val="auto"/>
              </w:rPr>
            </w:pPr>
            <w:r>
              <w:rPr>
                <w:rFonts w:ascii="Arial" w:cs="Arial" w:eastAsia="Arial" w:hAnsi="Arial"/>
                <w:sz w:val="16"/>
                <w:szCs w:val="16"/>
                <w:color w:val="auto"/>
              </w:rPr>
              <w:t>The following tables and accompanying footnotes</w:t>
            </w:r>
          </w:p>
        </w:tc>
        <w:tc>
          <w:tcPr>
            <w:tcW w:w="4000" w:type="dxa"/>
            <w:vAlign w:val="bottom"/>
            <w:gridSpan w:val="4"/>
          </w:tcPr>
          <w:p>
            <w:pPr>
              <w:jc w:val="right"/>
              <w:spacing w:after="0"/>
              <w:rPr>
                <w:sz w:val="20"/>
                <w:szCs w:val="20"/>
                <w:color w:val="auto"/>
              </w:rPr>
            </w:pPr>
            <w:r>
              <w:rPr>
                <w:rFonts w:ascii="Arial" w:cs="Arial" w:eastAsia="Arial" w:hAnsi="Arial"/>
                <w:sz w:val="16"/>
                <w:szCs w:val="16"/>
                <w:color w:val="auto"/>
              </w:rPr>
              <w:t>the   SAB,   SERP   and   Employee   Deferred</w:t>
            </w:r>
          </w:p>
        </w:tc>
      </w:tr>
      <w:tr>
        <w:trPr>
          <w:trHeight w:val="195"/>
        </w:trPr>
        <w:tc>
          <w:tcPr>
            <w:tcW w:w="4220" w:type="dxa"/>
            <w:vAlign w:val="bottom"/>
            <w:gridSpan w:val="3"/>
          </w:tcPr>
          <w:p>
            <w:pPr>
              <w:spacing w:after="0"/>
              <w:rPr>
                <w:sz w:val="20"/>
                <w:szCs w:val="20"/>
                <w:color w:val="auto"/>
              </w:rPr>
            </w:pPr>
            <w:r>
              <w:rPr>
                <w:rFonts w:ascii="Arial" w:cs="Arial" w:eastAsia="Arial" w:hAnsi="Arial"/>
                <w:sz w:val="16"/>
                <w:szCs w:val="16"/>
                <w:color w:val="auto"/>
              </w:rPr>
              <w:t>and narrative describe benefits to the NEOs under</w:t>
            </w:r>
          </w:p>
        </w:tc>
        <w:tc>
          <w:tcPr>
            <w:tcW w:w="2720" w:type="dxa"/>
            <w:vAlign w:val="bottom"/>
            <w:gridSpan w:val="3"/>
          </w:tcPr>
          <w:p>
            <w:pPr>
              <w:jc w:val="right"/>
              <w:ind w:right="981"/>
              <w:spacing w:after="0"/>
              <w:rPr>
                <w:sz w:val="20"/>
                <w:szCs w:val="20"/>
                <w:color w:val="auto"/>
              </w:rPr>
            </w:pPr>
            <w:r>
              <w:rPr>
                <w:rFonts w:ascii="Arial" w:cs="Arial" w:eastAsia="Arial" w:hAnsi="Arial"/>
                <w:sz w:val="16"/>
                <w:szCs w:val="16"/>
                <w:color w:val="auto"/>
              </w:rPr>
              <w:t>Compensation Plan.</w:t>
            </w:r>
          </w:p>
        </w:tc>
        <w:tc>
          <w:tcPr>
            <w:tcW w:w="1280" w:type="dxa"/>
            <w:vAlign w:val="bottom"/>
          </w:tcPr>
          <w:p>
            <w:pPr>
              <w:spacing w:after="0"/>
              <w:rPr>
                <w:sz w:val="16"/>
                <w:szCs w:val="16"/>
                <w:color w:val="auto"/>
              </w:rPr>
            </w:pPr>
          </w:p>
        </w:tc>
      </w:tr>
      <w:tr>
        <w:trPr>
          <w:trHeight w:val="527"/>
        </w:trPr>
        <w:tc>
          <w:tcPr>
            <w:tcW w:w="2500" w:type="dxa"/>
            <w:vAlign w:val="bottom"/>
          </w:tcPr>
          <w:p>
            <w:pPr>
              <w:spacing w:after="0"/>
              <w:rPr>
                <w:sz w:val="24"/>
                <w:szCs w:val="24"/>
                <w:color w:val="auto"/>
              </w:rPr>
            </w:pPr>
          </w:p>
        </w:tc>
        <w:tc>
          <w:tcPr>
            <w:tcW w:w="3200" w:type="dxa"/>
            <w:vAlign w:val="bottom"/>
            <w:gridSpan w:val="4"/>
          </w:tcPr>
          <w:p>
            <w:pPr>
              <w:jc w:val="center"/>
              <w:spacing w:after="0"/>
              <w:rPr>
                <w:sz w:val="20"/>
                <w:szCs w:val="20"/>
                <w:color w:val="auto"/>
              </w:rPr>
            </w:pPr>
            <w:r>
              <w:rPr>
                <w:rFonts w:ascii="Arial" w:cs="Arial" w:eastAsia="Arial" w:hAnsi="Arial"/>
                <w:sz w:val="16"/>
                <w:szCs w:val="16"/>
                <w:b w:val="1"/>
                <w:bCs w:val="1"/>
                <w:color w:val="004FF9"/>
              </w:rPr>
              <w:t>Pension Benefits at 2014 Fiscal Year-End</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4"/>
        </w:trPr>
        <w:tc>
          <w:tcPr>
            <w:tcW w:w="25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r>
        <w:trPr>
          <w:trHeight w:val="277"/>
        </w:trPr>
        <w:tc>
          <w:tcPr>
            <w:tcW w:w="2500" w:type="dxa"/>
            <w:vAlign w:val="bottom"/>
            <w:tcBorders>
              <w:left w:val="single" w:sz="8" w:color="auto"/>
            </w:tcBorders>
            <w:shd w:val="clear" w:color="auto" w:fill="B1C9FD"/>
          </w:tcPr>
          <w:p>
            <w:pPr>
              <w:spacing w:after="0"/>
              <w:rPr>
                <w:sz w:val="24"/>
                <w:szCs w:val="24"/>
                <w:color w:val="auto"/>
              </w:rPr>
            </w:pPr>
          </w:p>
        </w:tc>
        <w:tc>
          <w:tcPr>
            <w:tcW w:w="780" w:type="dxa"/>
            <w:vAlign w:val="bottom"/>
            <w:tcBorders>
              <w:right w:val="single" w:sz="8" w:color="auto"/>
            </w:tcBorders>
            <w:shd w:val="clear" w:color="auto" w:fill="B1C9FD"/>
          </w:tcPr>
          <w:p>
            <w:pPr>
              <w:spacing w:after="0"/>
              <w:rPr>
                <w:sz w:val="24"/>
                <w:szCs w:val="24"/>
                <w:color w:val="auto"/>
              </w:rPr>
            </w:pPr>
          </w:p>
        </w:tc>
        <w:tc>
          <w:tcPr>
            <w:tcW w:w="940" w:type="dxa"/>
            <w:vAlign w:val="bottom"/>
            <w:tcBorders>
              <w:right w:val="single" w:sz="8" w:color="auto"/>
            </w:tcBorders>
            <w:shd w:val="clear" w:color="auto" w:fill="B1C9FD"/>
          </w:tcPr>
          <w:p>
            <w:pPr>
              <w:spacing w:after="0"/>
              <w:rPr>
                <w:sz w:val="24"/>
                <w:szCs w:val="24"/>
                <w:color w:val="auto"/>
              </w:rPr>
            </w:pPr>
          </w:p>
        </w:tc>
        <w:tc>
          <w:tcPr>
            <w:tcW w:w="1380" w:type="dxa"/>
            <w:vAlign w:val="bottom"/>
            <w:tcBorders>
              <w:right w:val="single" w:sz="8" w:color="auto"/>
            </w:tcBorders>
            <w:shd w:val="clear" w:color="auto" w:fill="B1C9FD"/>
          </w:tcPr>
          <w:p>
            <w:pPr>
              <w:spacing w:after="0"/>
              <w:rPr>
                <w:sz w:val="24"/>
                <w:szCs w:val="24"/>
                <w:color w:val="auto"/>
              </w:rPr>
            </w:pPr>
          </w:p>
        </w:tc>
        <w:tc>
          <w:tcPr>
            <w:tcW w:w="100" w:type="dxa"/>
            <w:vAlign w:val="bottom"/>
            <w:shd w:val="clear" w:color="auto" w:fill="B1C9FD"/>
          </w:tcPr>
          <w:p>
            <w:pPr>
              <w:spacing w:after="0"/>
              <w:rPr>
                <w:sz w:val="24"/>
                <w:szCs w:val="24"/>
                <w:color w:val="auto"/>
              </w:rPr>
            </w:pPr>
          </w:p>
        </w:tc>
        <w:tc>
          <w:tcPr>
            <w:tcW w:w="1240" w:type="dxa"/>
            <w:vAlign w:val="bottom"/>
            <w:tcBorders>
              <w:right w:val="single" w:sz="8" w:color="auto"/>
            </w:tcBorders>
            <w:shd w:val="clear" w:color="auto" w:fill="B1C9FD"/>
          </w:tcPr>
          <w:p>
            <w:pPr>
              <w:jc w:val="center"/>
              <w:ind w:right="41"/>
              <w:spacing w:after="0"/>
              <w:rPr>
                <w:sz w:val="20"/>
                <w:szCs w:val="20"/>
                <w:color w:val="auto"/>
              </w:rPr>
            </w:pPr>
            <w:r>
              <w:rPr>
                <w:rFonts w:ascii="Arial" w:cs="Arial" w:eastAsia="Arial" w:hAnsi="Arial"/>
                <w:sz w:val="14"/>
                <w:szCs w:val="14"/>
                <w:b w:val="1"/>
                <w:bCs w:val="1"/>
                <w:color w:val="004FF9"/>
              </w:rPr>
              <w:t>Present Value of</w:t>
            </w:r>
          </w:p>
        </w:tc>
        <w:tc>
          <w:tcPr>
            <w:tcW w:w="1280" w:type="dxa"/>
            <w:vAlign w:val="bottom"/>
            <w:tcBorders>
              <w:right w:val="single" w:sz="8" w:color="auto"/>
            </w:tcBorders>
            <w:shd w:val="clear" w:color="auto" w:fill="B1C9FD"/>
          </w:tcPr>
          <w:p>
            <w:pPr>
              <w:spacing w:after="0"/>
              <w:rPr>
                <w:sz w:val="24"/>
                <w:szCs w:val="24"/>
                <w:color w:val="auto"/>
              </w:rPr>
            </w:pPr>
          </w:p>
        </w:tc>
      </w:tr>
      <w:tr>
        <w:trPr>
          <w:trHeight w:val="175"/>
        </w:trPr>
        <w:tc>
          <w:tcPr>
            <w:tcW w:w="2500" w:type="dxa"/>
            <w:vAlign w:val="bottom"/>
            <w:tcBorders>
              <w:left w:val="single" w:sz="8" w:color="auto"/>
            </w:tcBorders>
            <w:shd w:val="clear" w:color="auto" w:fill="B1C9FD"/>
          </w:tcPr>
          <w:p>
            <w:pPr>
              <w:spacing w:after="0"/>
              <w:rPr>
                <w:sz w:val="15"/>
                <w:szCs w:val="15"/>
                <w:color w:val="auto"/>
              </w:rPr>
            </w:pPr>
          </w:p>
        </w:tc>
        <w:tc>
          <w:tcPr>
            <w:tcW w:w="780" w:type="dxa"/>
            <w:vAlign w:val="bottom"/>
            <w:tcBorders>
              <w:right w:val="single" w:sz="8" w:color="auto"/>
            </w:tcBorders>
            <w:shd w:val="clear" w:color="auto" w:fill="B1C9FD"/>
          </w:tcPr>
          <w:p>
            <w:pPr>
              <w:spacing w:after="0"/>
              <w:rPr>
                <w:sz w:val="15"/>
                <w:szCs w:val="15"/>
                <w:color w:val="auto"/>
              </w:rPr>
            </w:pPr>
          </w:p>
        </w:tc>
        <w:tc>
          <w:tcPr>
            <w:tcW w:w="940" w:type="dxa"/>
            <w:vAlign w:val="bottom"/>
            <w:tcBorders>
              <w:right w:val="single" w:sz="8" w:color="auto"/>
            </w:tcBorders>
            <w:shd w:val="clear" w:color="auto" w:fill="B1C9FD"/>
          </w:tcPr>
          <w:p>
            <w:pPr>
              <w:spacing w:after="0"/>
              <w:rPr>
                <w:sz w:val="15"/>
                <w:szCs w:val="15"/>
                <w:color w:val="auto"/>
              </w:rPr>
            </w:pPr>
          </w:p>
        </w:tc>
        <w:tc>
          <w:tcPr>
            <w:tcW w:w="13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Number of Years</w:t>
            </w:r>
          </w:p>
        </w:tc>
        <w:tc>
          <w:tcPr>
            <w:tcW w:w="100" w:type="dxa"/>
            <w:vAlign w:val="bottom"/>
            <w:shd w:val="clear" w:color="auto" w:fill="B1C9FD"/>
          </w:tcPr>
          <w:p>
            <w:pPr>
              <w:spacing w:after="0"/>
              <w:rPr>
                <w:sz w:val="15"/>
                <w:szCs w:val="15"/>
                <w:color w:val="auto"/>
              </w:rPr>
            </w:pPr>
          </w:p>
        </w:tc>
        <w:tc>
          <w:tcPr>
            <w:tcW w:w="1240" w:type="dxa"/>
            <w:vAlign w:val="bottom"/>
            <w:tcBorders>
              <w:right w:val="single" w:sz="8" w:color="auto"/>
            </w:tcBorders>
            <w:shd w:val="clear" w:color="auto" w:fill="B1C9FD"/>
          </w:tcPr>
          <w:p>
            <w:pPr>
              <w:jc w:val="center"/>
              <w:ind w:right="41"/>
              <w:spacing w:after="0"/>
              <w:rPr>
                <w:sz w:val="20"/>
                <w:szCs w:val="20"/>
                <w:color w:val="auto"/>
              </w:rPr>
            </w:pPr>
            <w:r>
              <w:rPr>
                <w:rFonts w:ascii="Arial" w:cs="Arial" w:eastAsia="Arial" w:hAnsi="Arial"/>
                <w:sz w:val="14"/>
                <w:szCs w:val="14"/>
                <w:b w:val="1"/>
                <w:bCs w:val="1"/>
                <w:color w:val="004FF9"/>
              </w:rPr>
              <w:t>Accumulated</w:t>
            </w:r>
          </w:p>
        </w:tc>
        <w:tc>
          <w:tcPr>
            <w:tcW w:w="12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Payment During</w:t>
            </w:r>
          </w:p>
        </w:tc>
      </w:tr>
      <w:tr>
        <w:trPr>
          <w:trHeight w:val="176"/>
        </w:trPr>
        <w:tc>
          <w:tcPr>
            <w:tcW w:w="2500" w:type="dxa"/>
            <w:vAlign w:val="bottom"/>
            <w:tcBorders>
              <w:left w:val="single" w:sz="8" w:color="auto"/>
            </w:tcBorders>
            <w:shd w:val="clear" w:color="auto" w:fill="B1C9FD"/>
          </w:tcPr>
          <w:p>
            <w:pPr>
              <w:spacing w:after="0"/>
              <w:rPr>
                <w:sz w:val="15"/>
                <w:szCs w:val="15"/>
                <w:color w:val="auto"/>
              </w:rPr>
            </w:pPr>
          </w:p>
        </w:tc>
        <w:tc>
          <w:tcPr>
            <w:tcW w:w="780" w:type="dxa"/>
            <w:vAlign w:val="bottom"/>
            <w:tcBorders>
              <w:right w:val="single" w:sz="8" w:color="auto"/>
            </w:tcBorders>
            <w:shd w:val="clear" w:color="auto" w:fill="B1C9FD"/>
          </w:tcPr>
          <w:p>
            <w:pPr>
              <w:spacing w:after="0"/>
              <w:rPr>
                <w:sz w:val="15"/>
                <w:szCs w:val="15"/>
                <w:color w:val="auto"/>
              </w:rPr>
            </w:pPr>
          </w:p>
        </w:tc>
        <w:tc>
          <w:tcPr>
            <w:tcW w:w="940" w:type="dxa"/>
            <w:vAlign w:val="bottom"/>
            <w:tcBorders>
              <w:right w:val="single" w:sz="8" w:color="auto"/>
            </w:tcBorders>
            <w:shd w:val="clear" w:color="auto" w:fill="B1C9FD"/>
          </w:tcPr>
          <w:p>
            <w:pPr>
              <w:spacing w:after="0"/>
              <w:rPr>
                <w:sz w:val="15"/>
                <w:szCs w:val="15"/>
                <w:color w:val="auto"/>
              </w:rPr>
            </w:pPr>
          </w:p>
        </w:tc>
        <w:tc>
          <w:tcPr>
            <w:tcW w:w="13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of Credited</w:t>
            </w:r>
          </w:p>
        </w:tc>
        <w:tc>
          <w:tcPr>
            <w:tcW w:w="100" w:type="dxa"/>
            <w:vAlign w:val="bottom"/>
            <w:shd w:val="clear" w:color="auto" w:fill="B1C9FD"/>
          </w:tcPr>
          <w:p>
            <w:pPr>
              <w:spacing w:after="0"/>
              <w:rPr>
                <w:sz w:val="15"/>
                <w:szCs w:val="15"/>
                <w:color w:val="auto"/>
              </w:rPr>
            </w:pPr>
          </w:p>
        </w:tc>
        <w:tc>
          <w:tcPr>
            <w:tcW w:w="1240" w:type="dxa"/>
            <w:vAlign w:val="bottom"/>
            <w:tcBorders>
              <w:right w:val="single" w:sz="8" w:color="auto"/>
            </w:tcBorders>
            <w:shd w:val="clear" w:color="auto" w:fill="B1C9FD"/>
          </w:tcPr>
          <w:p>
            <w:pPr>
              <w:jc w:val="center"/>
              <w:ind w:right="21"/>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(3)</w:t>
            </w:r>
          </w:p>
        </w:tc>
        <w:tc>
          <w:tcPr>
            <w:tcW w:w="12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Last Fiscal Year</w:t>
            </w:r>
          </w:p>
        </w:tc>
      </w:tr>
      <w:tr>
        <w:trPr>
          <w:trHeight w:val="196"/>
        </w:trPr>
        <w:tc>
          <w:tcPr>
            <w:tcW w:w="2500" w:type="dxa"/>
            <w:vAlign w:val="bottom"/>
            <w:tcBorders>
              <w:left w:val="single" w:sz="8" w:color="auto"/>
              <w:bottom w:val="single" w:sz="8" w:color="auto"/>
            </w:tcBorders>
            <w:shd w:val="clear" w:color="auto" w:fill="B1C9FD"/>
          </w:tcPr>
          <w:p>
            <w:pPr>
              <w:ind w:left="760"/>
              <w:spacing w:after="0"/>
              <w:rPr>
                <w:sz w:val="20"/>
                <w:szCs w:val="20"/>
                <w:color w:val="auto"/>
              </w:rPr>
            </w:pPr>
            <w:r>
              <w:rPr>
                <w:rFonts w:ascii="Arial" w:cs="Arial" w:eastAsia="Arial" w:hAnsi="Arial"/>
                <w:sz w:val="14"/>
                <w:szCs w:val="14"/>
                <w:b w:val="1"/>
                <w:bCs w:val="1"/>
                <w:color w:val="004FF9"/>
              </w:rPr>
              <w:t>Named Executive Officer</w:t>
            </w:r>
          </w:p>
        </w:tc>
        <w:tc>
          <w:tcPr>
            <w:tcW w:w="780" w:type="dxa"/>
            <w:vAlign w:val="bottom"/>
            <w:tcBorders>
              <w:bottom w:val="single" w:sz="8" w:color="auto"/>
              <w:right w:val="single" w:sz="8" w:color="auto"/>
            </w:tcBorders>
            <w:shd w:val="clear" w:color="auto" w:fill="B1C9FD"/>
          </w:tcPr>
          <w:p>
            <w:pPr>
              <w:spacing w:after="0"/>
              <w:rPr>
                <w:sz w:val="17"/>
                <w:szCs w:val="17"/>
                <w:color w:val="auto"/>
              </w:rPr>
            </w:pPr>
          </w:p>
        </w:tc>
        <w:tc>
          <w:tcPr>
            <w:tcW w:w="940" w:type="dxa"/>
            <w:vAlign w:val="bottom"/>
            <w:tcBorders>
              <w:bottom w:val="single" w:sz="8" w:color="auto"/>
              <w:right w:val="single" w:sz="8" w:color="auto"/>
            </w:tcBorders>
            <w:shd w:val="clear" w:color="auto" w:fill="B1C9FD"/>
          </w:tcPr>
          <w:p>
            <w:pPr>
              <w:ind w:left="100"/>
              <w:spacing w:after="0"/>
              <w:rPr>
                <w:sz w:val="20"/>
                <w:szCs w:val="20"/>
                <w:color w:val="auto"/>
              </w:rPr>
            </w:pPr>
            <w:r>
              <w:rPr>
                <w:rFonts w:ascii="Arial" w:cs="Arial" w:eastAsia="Arial" w:hAnsi="Arial"/>
                <w:sz w:val="14"/>
                <w:szCs w:val="14"/>
                <w:b w:val="1"/>
                <w:bCs w:val="1"/>
                <w:color w:val="004FF9"/>
              </w:rPr>
              <w:t>Plan Name</w:t>
            </w:r>
          </w:p>
        </w:tc>
        <w:tc>
          <w:tcPr>
            <w:tcW w:w="13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Service</w:t>
            </w:r>
          </w:p>
        </w:tc>
        <w:tc>
          <w:tcPr>
            <w:tcW w:w="100" w:type="dxa"/>
            <w:vAlign w:val="bottom"/>
            <w:tcBorders>
              <w:bottom w:val="single" w:sz="8" w:color="auto"/>
            </w:tcBorders>
            <w:shd w:val="clear" w:color="auto" w:fill="B1C9FD"/>
          </w:tcPr>
          <w:p>
            <w:pPr>
              <w:spacing w:after="0"/>
              <w:rPr>
                <w:sz w:val="17"/>
                <w:szCs w:val="17"/>
                <w:color w:val="auto"/>
              </w:rPr>
            </w:pPr>
          </w:p>
        </w:tc>
        <w:tc>
          <w:tcPr>
            <w:tcW w:w="1240" w:type="dxa"/>
            <w:vAlign w:val="bottom"/>
            <w:tcBorders>
              <w:bottom w:val="single" w:sz="8" w:color="auto"/>
              <w:right w:val="single" w:sz="8" w:color="auto"/>
            </w:tcBorders>
            <w:shd w:val="clear" w:color="auto" w:fill="B1C9FD"/>
          </w:tcPr>
          <w:p>
            <w:pPr>
              <w:jc w:val="center"/>
              <w:ind w:right="41"/>
              <w:spacing w:after="0"/>
              <w:rPr>
                <w:sz w:val="20"/>
                <w:szCs w:val="20"/>
                <w:color w:val="auto"/>
              </w:rPr>
            </w:pPr>
            <w:r>
              <w:rPr>
                <w:rFonts w:ascii="Arial" w:cs="Arial" w:eastAsia="Arial" w:hAnsi="Arial"/>
                <w:sz w:val="14"/>
                <w:szCs w:val="14"/>
                <w:b w:val="1"/>
                <w:bCs w:val="1"/>
                <w:color w:val="004FF9"/>
                <w:w w:val="93"/>
              </w:rPr>
              <w:t>($)</w:t>
            </w:r>
          </w:p>
        </w:tc>
        <w:tc>
          <w:tcPr>
            <w:tcW w:w="12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r>
      <w:tr>
        <w:trPr>
          <w:trHeight w:val="291"/>
        </w:trPr>
        <w:tc>
          <w:tcPr>
            <w:tcW w:w="250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Henrik C. Slipsager</w:t>
            </w:r>
          </w:p>
        </w:tc>
        <w:tc>
          <w:tcPr>
            <w:tcW w:w="7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SAB</w:t>
            </w:r>
            <w:r>
              <w:rPr>
                <w:rFonts w:ascii="Arial" w:cs="Arial" w:eastAsia="Arial" w:hAnsi="Arial"/>
                <w:sz w:val="25"/>
                <w:szCs w:val="25"/>
                <w:color w:val="auto"/>
                <w:vertAlign w:val="superscript"/>
              </w:rPr>
              <w:t>(1)</w:t>
            </w:r>
          </w:p>
        </w:tc>
        <w:tc>
          <w:tcPr>
            <w:tcW w:w="1380" w:type="dxa"/>
            <w:vAlign w:val="bottom"/>
            <w:tcBorders>
              <w:right w:val="single" w:sz="8" w:color="auto"/>
            </w:tcBorders>
          </w:tcPr>
          <w:p>
            <w:pPr>
              <w:jc w:val="right"/>
              <w:ind w:right="50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240" w:type="dxa"/>
            <w:vAlign w:val="bottom"/>
            <w:tcBorders>
              <w:right w:val="single" w:sz="8" w:color="auto"/>
            </w:tcBorders>
          </w:tcPr>
          <w:p>
            <w:pPr>
              <w:jc w:val="right"/>
              <w:ind w:right="301"/>
              <w:spacing w:after="0"/>
              <w:rPr>
                <w:sz w:val="20"/>
                <w:szCs w:val="20"/>
                <w:color w:val="auto"/>
              </w:rPr>
            </w:pPr>
            <w:r>
              <w:rPr>
                <w:rFonts w:ascii="Arial" w:cs="Arial" w:eastAsia="Arial" w:hAnsi="Arial"/>
                <w:sz w:val="16"/>
                <w:szCs w:val="16"/>
                <w:color w:val="auto"/>
              </w:rPr>
              <w:t>34,327</w:t>
            </w:r>
          </w:p>
        </w:tc>
        <w:tc>
          <w:tcPr>
            <w:tcW w:w="1280" w:type="dxa"/>
            <w:vAlign w:val="bottom"/>
            <w:tcBorders>
              <w:right w:val="single" w:sz="8" w:color="auto"/>
            </w:tcBorders>
          </w:tcPr>
          <w:p>
            <w:pPr>
              <w:jc w:val="right"/>
              <w:ind w:right="442"/>
              <w:spacing w:after="0"/>
              <w:rPr>
                <w:sz w:val="20"/>
                <w:szCs w:val="20"/>
                <w:color w:val="auto"/>
              </w:rPr>
            </w:pPr>
            <w:r>
              <w:rPr>
                <w:rFonts w:ascii="Arial" w:cs="Arial" w:eastAsia="Arial" w:hAnsi="Arial"/>
                <w:sz w:val="16"/>
                <w:szCs w:val="16"/>
                <w:color w:val="auto"/>
              </w:rPr>
              <w:t>0</w:t>
            </w:r>
          </w:p>
        </w:tc>
      </w:tr>
      <w:tr>
        <w:trPr>
          <w:trHeight w:val="263"/>
        </w:trPr>
        <w:tc>
          <w:tcPr>
            <w:tcW w:w="2500" w:type="dxa"/>
            <w:vAlign w:val="bottom"/>
            <w:tcBorders>
              <w:left w:val="single" w:sz="8" w:color="auto"/>
              <w:bottom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ind w:left="100"/>
              <w:spacing w:after="0" w:line="263" w:lineRule="exact"/>
              <w:rPr>
                <w:sz w:val="20"/>
                <w:szCs w:val="20"/>
                <w:color w:val="auto"/>
              </w:rPr>
            </w:pPr>
            <w:r>
              <w:rPr>
                <w:rFonts w:ascii="Arial" w:cs="Arial" w:eastAsia="Arial" w:hAnsi="Arial"/>
                <w:sz w:val="16"/>
                <w:szCs w:val="16"/>
                <w:color w:val="auto"/>
              </w:rPr>
              <w:t>SERP</w:t>
            </w:r>
            <w:r>
              <w:rPr>
                <w:rFonts w:ascii="Arial" w:cs="Arial" w:eastAsia="Arial" w:hAnsi="Arial"/>
                <w:sz w:val="25"/>
                <w:szCs w:val="25"/>
                <w:color w:val="auto"/>
                <w:vertAlign w:val="superscript"/>
              </w:rPr>
              <w:t>(2)</w:t>
            </w:r>
          </w:p>
        </w:tc>
        <w:tc>
          <w:tcPr>
            <w:tcW w:w="1380" w:type="dxa"/>
            <w:vAlign w:val="bottom"/>
            <w:tcBorders>
              <w:bottom w:val="single" w:sz="8" w:color="auto"/>
              <w:right w:val="single" w:sz="8" w:color="auto"/>
            </w:tcBorders>
          </w:tcPr>
          <w:p>
            <w:pPr>
              <w:jc w:val="right"/>
              <w:ind w:right="50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301"/>
              <w:spacing w:after="0"/>
              <w:rPr>
                <w:sz w:val="20"/>
                <w:szCs w:val="20"/>
                <w:color w:val="auto"/>
              </w:rPr>
            </w:pPr>
            <w:r>
              <w:rPr>
                <w:rFonts w:ascii="Arial" w:cs="Arial" w:eastAsia="Arial" w:hAnsi="Arial"/>
                <w:sz w:val="16"/>
                <w:szCs w:val="16"/>
                <w:color w:val="auto"/>
              </w:rPr>
              <w:t>671,060</w:t>
            </w:r>
          </w:p>
        </w:tc>
        <w:tc>
          <w:tcPr>
            <w:tcW w:w="128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0</w:t>
            </w:r>
          </w:p>
        </w:tc>
      </w:tr>
      <w:tr>
        <w:trPr>
          <w:trHeight w:val="230"/>
        </w:trPr>
        <w:tc>
          <w:tcPr>
            <w:tcW w:w="2500" w:type="dxa"/>
            <w:vAlign w:val="bottom"/>
            <w:tcBorders>
              <w:left w:val="single" w:sz="8" w:color="auto"/>
              <w:bottom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James S. Lusk</w:t>
            </w:r>
          </w:p>
        </w:tc>
        <w:tc>
          <w:tcPr>
            <w:tcW w:w="780" w:type="dxa"/>
            <w:vAlign w:val="bottom"/>
            <w:tcBorders>
              <w:bottom w:val="single" w:sz="8" w:color="auto"/>
              <w:right w:val="single" w:sz="8" w:color="auto"/>
            </w:tcBorders>
            <w:shd w:val="clear" w:color="auto" w:fill="E5EDFE"/>
          </w:tcPr>
          <w:p>
            <w:pPr>
              <w:spacing w:after="0"/>
              <w:rPr>
                <w:sz w:val="20"/>
                <w:szCs w:val="20"/>
                <w:color w:val="auto"/>
              </w:rPr>
            </w:pPr>
          </w:p>
        </w:tc>
        <w:tc>
          <w:tcPr>
            <w:tcW w:w="940" w:type="dxa"/>
            <w:vAlign w:val="bottom"/>
            <w:tcBorders>
              <w:bottom w:val="single" w:sz="8" w:color="auto"/>
              <w:right w:val="single" w:sz="8" w:color="auto"/>
            </w:tcBorders>
            <w:shd w:val="clear" w:color="auto" w:fill="E5EDFE"/>
          </w:tcPr>
          <w:p>
            <w:pPr>
              <w:ind w:left="100"/>
              <w:spacing w:after="0"/>
              <w:rPr>
                <w:sz w:val="20"/>
                <w:szCs w:val="20"/>
                <w:color w:val="auto"/>
              </w:rPr>
            </w:pPr>
            <w:r>
              <w:rPr>
                <w:rFonts w:ascii="Arial" w:cs="Arial" w:eastAsia="Arial" w:hAnsi="Arial"/>
                <w:sz w:val="16"/>
                <w:szCs w:val="16"/>
                <w:color w:val="auto"/>
              </w:rPr>
              <w:t>n/a</w:t>
            </w:r>
          </w:p>
        </w:tc>
        <w:tc>
          <w:tcPr>
            <w:tcW w:w="13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w w:val="98"/>
              </w:rPr>
              <w:t>n/a</w:t>
            </w:r>
          </w:p>
        </w:tc>
        <w:tc>
          <w:tcPr>
            <w:tcW w:w="100" w:type="dxa"/>
            <w:vAlign w:val="bottom"/>
            <w:tcBorders>
              <w:bottom w:val="single" w:sz="8" w:color="auto"/>
            </w:tcBorders>
            <w:shd w:val="clear" w:color="auto" w:fill="E5EDFE"/>
          </w:tcPr>
          <w:p>
            <w:pPr>
              <w:spacing w:after="0"/>
              <w:rPr>
                <w:sz w:val="20"/>
                <w:szCs w:val="20"/>
                <w:color w:val="auto"/>
              </w:rPr>
            </w:pPr>
          </w:p>
        </w:tc>
        <w:tc>
          <w:tcPr>
            <w:tcW w:w="1240" w:type="dxa"/>
            <w:vAlign w:val="bottom"/>
            <w:tcBorders>
              <w:bottom w:val="single" w:sz="8" w:color="auto"/>
              <w:right w:val="single" w:sz="8" w:color="auto"/>
            </w:tcBorders>
            <w:shd w:val="clear" w:color="auto" w:fill="E5EDFE"/>
          </w:tcPr>
          <w:p>
            <w:pPr>
              <w:jc w:val="right"/>
              <w:ind w:right="301"/>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auto"/>
              <w:right w:val="single" w:sz="8" w:color="auto"/>
            </w:tcBorders>
            <w:shd w:val="clear" w:color="auto" w:fill="E5EDFE"/>
          </w:tcPr>
          <w:p>
            <w:pPr>
              <w:jc w:val="right"/>
              <w:ind w:right="442"/>
              <w:spacing w:after="0"/>
              <w:rPr>
                <w:sz w:val="20"/>
                <w:szCs w:val="20"/>
                <w:color w:val="auto"/>
              </w:rPr>
            </w:pPr>
            <w:r>
              <w:rPr>
                <w:rFonts w:ascii="Arial" w:cs="Arial" w:eastAsia="Arial" w:hAnsi="Arial"/>
                <w:sz w:val="16"/>
                <w:szCs w:val="16"/>
                <w:color w:val="auto"/>
              </w:rPr>
              <w:t>n/a</w:t>
            </w:r>
          </w:p>
        </w:tc>
      </w:tr>
      <w:tr>
        <w:trPr>
          <w:trHeight w:val="291"/>
        </w:trPr>
        <w:tc>
          <w:tcPr>
            <w:tcW w:w="250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James P. McClure</w:t>
            </w:r>
          </w:p>
        </w:tc>
        <w:tc>
          <w:tcPr>
            <w:tcW w:w="7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SAB</w:t>
            </w:r>
            <w:r>
              <w:rPr>
                <w:rFonts w:ascii="Arial" w:cs="Arial" w:eastAsia="Arial" w:hAnsi="Arial"/>
                <w:sz w:val="25"/>
                <w:szCs w:val="25"/>
                <w:color w:val="auto"/>
                <w:vertAlign w:val="superscript"/>
              </w:rPr>
              <w:t>(1)</w:t>
            </w:r>
          </w:p>
        </w:tc>
        <w:tc>
          <w:tcPr>
            <w:tcW w:w="1380" w:type="dxa"/>
            <w:vAlign w:val="bottom"/>
            <w:tcBorders>
              <w:right w:val="single" w:sz="8" w:color="auto"/>
            </w:tcBorders>
          </w:tcPr>
          <w:p>
            <w:pPr>
              <w:jc w:val="right"/>
              <w:ind w:right="50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240" w:type="dxa"/>
            <w:vAlign w:val="bottom"/>
            <w:tcBorders>
              <w:right w:val="single" w:sz="8" w:color="auto"/>
            </w:tcBorders>
          </w:tcPr>
          <w:p>
            <w:pPr>
              <w:jc w:val="right"/>
              <w:ind w:right="301"/>
              <w:spacing w:after="0"/>
              <w:rPr>
                <w:sz w:val="20"/>
                <w:szCs w:val="20"/>
                <w:color w:val="auto"/>
              </w:rPr>
            </w:pPr>
            <w:r>
              <w:rPr>
                <w:rFonts w:ascii="Arial" w:cs="Arial" w:eastAsia="Arial" w:hAnsi="Arial"/>
                <w:sz w:val="16"/>
                <w:szCs w:val="16"/>
                <w:color w:val="auto"/>
              </w:rPr>
              <w:t>82,115</w:t>
            </w:r>
          </w:p>
        </w:tc>
        <w:tc>
          <w:tcPr>
            <w:tcW w:w="1280" w:type="dxa"/>
            <w:vAlign w:val="bottom"/>
            <w:tcBorders>
              <w:right w:val="single" w:sz="8" w:color="auto"/>
            </w:tcBorders>
          </w:tcPr>
          <w:p>
            <w:pPr>
              <w:jc w:val="right"/>
              <w:ind w:right="442"/>
              <w:spacing w:after="0"/>
              <w:rPr>
                <w:sz w:val="20"/>
                <w:szCs w:val="20"/>
                <w:color w:val="auto"/>
              </w:rPr>
            </w:pPr>
            <w:r>
              <w:rPr>
                <w:rFonts w:ascii="Arial" w:cs="Arial" w:eastAsia="Arial" w:hAnsi="Arial"/>
                <w:sz w:val="16"/>
                <w:szCs w:val="16"/>
                <w:color w:val="auto"/>
              </w:rPr>
              <w:t>0</w:t>
            </w:r>
          </w:p>
        </w:tc>
      </w:tr>
      <w:tr>
        <w:trPr>
          <w:trHeight w:val="263"/>
        </w:trPr>
        <w:tc>
          <w:tcPr>
            <w:tcW w:w="2500" w:type="dxa"/>
            <w:vAlign w:val="bottom"/>
            <w:tcBorders>
              <w:left w:val="single" w:sz="8" w:color="auto"/>
              <w:bottom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ind w:left="100"/>
              <w:spacing w:after="0" w:line="263" w:lineRule="exact"/>
              <w:rPr>
                <w:sz w:val="20"/>
                <w:szCs w:val="20"/>
                <w:color w:val="auto"/>
              </w:rPr>
            </w:pPr>
            <w:r>
              <w:rPr>
                <w:rFonts w:ascii="Arial" w:cs="Arial" w:eastAsia="Arial" w:hAnsi="Arial"/>
                <w:sz w:val="16"/>
                <w:szCs w:val="16"/>
                <w:color w:val="auto"/>
              </w:rPr>
              <w:t>SERP</w:t>
            </w:r>
            <w:r>
              <w:rPr>
                <w:rFonts w:ascii="Arial" w:cs="Arial" w:eastAsia="Arial" w:hAnsi="Arial"/>
                <w:sz w:val="25"/>
                <w:szCs w:val="25"/>
                <w:color w:val="auto"/>
                <w:vertAlign w:val="superscript"/>
              </w:rPr>
              <w:t>(2)</w:t>
            </w:r>
          </w:p>
        </w:tc>
        <w:tc>
          <w:tcPr>
            <w:tcW w:w="1380" w:type="dxa"/>
            <w:vAlign w:val="bottom"/>
            <w:tcBorders>
              <w:bottom w:val="single" w:sz="8" w:color="auto"/>
              <w:right w:val="single" w:sz="8" w:color="auto"/>
            </w:tcBorders>
          </w:tcPr>
          <w:p>
            <w:pPr>
              <w:jc w:val="right"/>
              <w:ind w:right="50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301"/>
              <w:spacing w:after="0"/>
              <w:rPr>
                <w:sz w:val="20"/>
                <w:szCs w:val="20"/>
                <w:color w:val="auto"/>
              </w:rPr>
            </w:pPr>
            <w:r>
              <w:rPr>
                <w:rFonts w:ascii="Arial" w:cs="Arial" w:eastAsia="Arial" w:hAnsi="Arial"/>
                <w:sz w:val="16"/>
                <w:szCs w:val="16"/>
                <w:color w:val="auto"/>
              </w:rPr>
              <w:t>167,765</w:t>
            </w:r>
          </w:p>
        </w:tc>
        <w:tc>
          <w:tcPr>
            <w:tcW w:w="128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0</w:t>
            </w:r>
          </w:p>
        </w:tc>
      </w:tr>
      <w:tr>
        <w:trPr>
          <w:trHeight w:val="230"/>
        </w:trPr>
        <w:tc>
          <w:tcPr>
            <w:tcW w:w="2500" w:type="dxa"/>
            <w:vAlign w:val="bottom"/>
            <w:tcBorders>
              <w:left w:val="single" w:sz="8" w:color="auto"/>
              <w:bottom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Tracy K. Price</w:t>
            </w:r>
          </w:p>
        </w:tc>
        <w:tc>
          <w:tcPr>
            <w:tcW w:w="780" w:type="dxa"/>
            <w:vAlign w:val="bottom"/>
            <w:tcBorders>
              <w:bottom w:val="single" w:sz="8" w:color="auto"/>
              <w:right w:val="single" w:sz="8" w:color="auto"/>
            </w:tcBorders>
            <w:shd w:val="clear" w:color="auto" w:fill="E5EDFE"/>
          </w:tcPr>
          <w:p>
            <w:pPr>
              <w:spacing w:after="0"/>
              <w:rPr>
                <w:sz w:val="20"/>
                <w:szCs w:val="20"/>
                <w:color w:val="auto"/>
              </w:rPr>
            </w:pPr>
          </w:p>
        </w:tc>
        <w:tc>
          <w:tcPr>
            <w:tcW w:w="940" w:type="dxa"/>
            <w:vAlign w:val="bottom"/>
            <w:tcBorders>
              <w:bottom w:val="single" w:sz="8" w:color="auto"/>
              <w:right w:val="single" w:sz="8" w:color="auto"/>
            </w:tcBorders>
            <w:shd w:val="clear" w:color="auto" w:fill="E5EDFE"/>
          </w:tcPr>
          <w:p>
            <w:pPr>
              <w:ind w:left="100"/>
              <w:spacing w:after="0"/>
              <w:rPr>
                <w:sz w:val="20"/>
                <w:szCs w:val="20"/>
                <w:color w:val="auto"/>
              </w:rPr>
            </w:pPr>
            <w:r>
              <w:rPr>
                <w:rFonts w:ascii="Arial" w:cs="Arial" w:eastAsia="Arial" w:hAnsi="Arial"/>
                <w:sz w:val="16"/>
                <w:szCs w:val="16"/>
                <w:color w:val="auto"/>
              </w:rPr>
              <w:t>n/a</w:t>
            </w:r>
          </w:p>
        </w:tc>
        <w:tc>
          <w:tcPr>
            <w:tcW w:w="13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w w:val="98"/>
              </w:rPr>
              <w:t>n/a</w:t>
            </w:r>
          </w:p>
        </w:tc>
        <w:tc>
          <w:tcPr>
            <w:tcW w:w="100" w:type="dxa"/>
            <w:vAlign w:val="bottom"/>
            <w:tcBorders>
              <w:bottom w:val="single" w:sz="8" w:color="auto"/>
            </w:tcBorders>
            <w:shd w:val="clear" w:color="auto" w:fill="E5EDFE"/>
          </w:tcPr>
          <w:p>
            <w:pPr>
              <w:spacing w:after="0"/>
              <w:rPr>
                <w:sz w:val="20"/>
                <w:szCs w:val="20"/>
                <w:color w:val="auto"/>
              </w:rPr>
            </w:pPr>
          </w:p>
        </w:tc>
        <w:tc>
          <w:tcPr>
            <w:tcW w:w="1240" w:type="dxa"/>
            <w:vAlign w:val="bottom"/>
            <w:tcBorders>
              <w:bottom w:val="single" w:sz="8" w:color="auto"/>
              <w:right w:val="single" w:sz="8" w:color="auto"/>
            </w:tcBorders>
            <w:shd w:val="clear" w:color="auto" w:fill="E5EDFE"/>
          </w:tcPr>
          <w:p>
            <w:pPr>
              <w:jc w:val="right"/>
              <w:ind w:right="301"/>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auto"/>
              <w:right w:val="single" w:sz="8" w:color="auto"/>
            </w:tcBorders>
            <w:shd w:val="clear" w:color="auto" w:fill="E5EDFE"/>
          </w:tcPr>
          <w:p>
            <w:pPr>
              <w:jc w:val="right"/>
              <w:ind w:right="442"/>
              <w:spacing w:after="0"/>
              <w:rPr>
                <w:sz w:val="20"/>
                <w:szCs w:val="20"/>
                <w:color w:val="auto"/>
              </w:rPr>
            </w:pPr>
            <w:r>
              <w:rPr>
                <w:rFonts w:ascii="Arial" w:cs="Arial" w:eastAsia="Arial" w:hAnsi="Arial"/>
                <w:sz w:val="16"/>
                <w:szCs w:val="16"/>
                <w:color w:val="auto"/>
              </w:rPr>
              <w:t>n/a</w:t>
            </w:r>
          </w:p>
        </w:tc>
      </w:tr>
      <w:tr>
        <w:trPr>
          <w:trHeight w:val="237"/>
        </w:trPr>
        <w:tc>
          <w:tcPr>
            <w:tcW w:w="25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Sarah H. McConnell</w:t>
            </w:r>
          </w:p>
        </w:tc>
        <w:tc>
          <w:tcPr>
            <w:tcW w:w="7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n/a</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301"/>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-505460</wp:posOffset>
            </wp:positionV>
            <wp:extent cx="8147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-1028700</wp:posOffset>
            </wp:positionV>
            <wp:extent cx="81470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47" w:lineRule="exact"/>
        <w:rPr>
          <w:sz w:val="20"/>
          <w:szCs w:val="20"/>
          <w:color w:val="auto"/>
        </w:rPr>
      </w:pPr>
    </w:p>
    <w:p>
      <w:pPr>
        <w:jc w:val="both"/>
        <w:ind w:left="1620" w:right="739" w:hanging="359"/>
        <w:spacing w:after="0" w:line="263" w:lineRule="auto"/>
        <w:tabs>
          <w:tab w:leader="none" w:pos="1600" w:val="left"/>
        </w:tabs>
        <w:rPr>
          <w:sz w:val="20"/>
          <w:szCs w:val="20"/>
          <w:color w:val="auto"/>
        </w:rPr>
      </w:pPr>
      <w:r>
        <w:rPr>
          <w:rFonts w:ascii="Arial" w:cs="Arial" w:eastAsia="Arial" w:hAnsi="Arial"/>
          <w:sz w:val="14"/>
          <w:szCs w:val="14"/>
          <w:color w:val="auto"/>
        </w:rPr>
        <w:t>(1)</w:t>
        <w:tab/>
        <w:t>SAB, an unfunded service award benefit plan, is a “severance pay plan” as defined in the Employee Retirement Income Security Act (“ERISA”) and covers certain qualified employees. The plan provides participants, upon termination, with a minimum of seven days of pay for each year of employment between November 1989 and January 2002, payable in a lump sum. The amount of the payment is based on the final average W-2 compensation, up to a maximum of $175,000, received by the participant during his or her last three full years of full-time employment with ABM. The amount of payment under the plan, together with any other severance paid to the employee, cannot exceed two times the compensation received by the employee in the 12-month period preceding termination of employment. If the employee is terminated for cause, the employee forfeits any benefits payable under the plan. At the end of fiscal year 2014, 55 active employees were eligible to receive benefits under the plan.</w:t>
      </w:r>
    </w:p>
    <w:p>
      <w:pPr>
        <w:spacing w:after="0" w:line="114" w:lineRule="exact"/>
        <w:rPr>
          <w:sz w:val="20"/>
          <w:szCs w:val="20"/>
          <w:color w:val="auto"/>
        </w:rPr>
      </w:pPr>
    </w:p>
    <w:p>
      <w:pPr>
        <w:jc w:val="both"/>
        <w:ind w:left="1620" w:right="759" w:hanging="359"/>
        <w:spacing w:after="0" w:line="265" w:lineRule="auto"/>
        <w:tabs>
          <w:tab w:leader="none" w:pos="1600" w:val="left"/>
        </w:tabs>
        <w:rPr>
          <w:sz w:val="20"/>
          <w:szCs w:val="20"/>
          <w:color w:val="auto"/>
        </w:rPr>
      </w:pPr>
      <w:r>
        <w:rPr>
          <w:rFonts w:ascii="Arial" w:cs="Arial" w:eastAsia="Arial" w:hAnsi="Arial"/>
          <w:sz w:val="14"/>
          <w:szCs w:val="14"/>
          <w:color w:val="auto"/>
        </w:rPr>
        <w:t>(2)</w:t>
        <w:tab/>
        <w:t>Individuals noted participate in the SERP, an unfunded retirement plan. Vesting in the SERP occurs after ten years of eligible service. The retirement arrangements provide for monthly benefits for ten years commencing on the respective retirement dates of those executives or age 65, whichever is later. The benefits are vested pro rata during a ten-year vesting period, which began with the participant being named an officer of ABM or a subsidiary. Messrs. Slipsager and McClure are fully vested in the SERP. Effective December 31, 2002, this plan was amended to preclude new participants. When fully vested, the current SERP benefits provide the following for participating NEOs:</w:t>
      </w:r>
    </w:p>
    <w:p>
      <w:pPr>
        <w:spacing w:after="0" w:line="111" w:lineRule="exact"/>
        <w:rPr>
          <w:sz w:val="20"/>
          <w:szCs w:val="20"/>
          <w:color w:val="auto"/>
        </w:rPr>
      </w:pPr>
    </w:p>
    <w:tbl>
      <w:tblPr>
        <w:tblLayout w:type="fixed"/>
        <w:tblInd w:w="1620" w:type="dxa"/>
        <w:tblCellMar>
          <w:top w:w="0" w:type="dxa"/>
          <w:left w:w="0" w:type="dxa"/>
          <w:bottom w:w="0" w:type="dxa"/>
          <w:right w:w="0" w:type="dxa"/>
        </w:tblCellMar>
      </w:tblPr>
      <w:tr>
        <w:trPr>
          <w:trHeight w:val="332"/>
        </w:trPr>
        <w:tc>
          <w:tcPr>
            <w:tcW w:w="740" w:type="dxa"/>
            <w:vAlign w:val="bottom"/>
            <w:tcBorders>
              <w:right w:val="single" w:sz="8" w:color="auto"/>
            </w:tcBorders>
          </w:tcPr>
          <w:p>
            <w:pPr>
              <w:spacing w:after="0"/>
              <w:rPr>
                <w:sz w:val="24"/>
                <w:szCs w:val="24"/>
                <w:color w:val="auto"/>
              </w:rPr>
            </w:pPr>
          </w:p>
        </w:tc>
        <w:tc>
          <w:tcPr>
            <w:tcW w:w="4260" w:type="dxa"/>
            <w:vAlign w:val="bottom"/>
            <w:tcBorders>
              <w:top w:val="single" w:sz="8" w:color="auto"/>
              <w:bottom w:val="single" w:sz="8" w:color="auto"/>
            </w:tcBorders>
            <w:shd w:val="clear" w:color="auto" w:fill="B1C9FD"/>
          </w:tcPr>
          <w:p>
            <w:pPr>
              <w:ind w:left="40"/>
              <w:spacing w:after="0"/>
              <w:rPr>
                <w:sz w:val="20"/>
                <w:szCs w:val="20"/>
                <w:color w:val="auto"/>
              </w:rPr>
            </w:pPr>
            <w:r>
              <w:rPr>
                <w:rFonts w:ascii="Arial" w:cs="Arial" w:eastAsia="Arial" w:hAnsi="Arial"/>
                <w:sz w:val="14"/>
                <w:szCs w:val="14"/>
                <w:b w:val="1"/>
                <w:bCs w:val="1"/>
                <w:color w:val="004FF9"/>
              </w:rPr>
              <w:t>SERP Participant</w:t>
            </w:r>
          </w:p>
        </w:tc>
        <w:tc>
          <w:tcPr>
            <w:tcW w:w="160" w:type="dxa"/>
            <w:vAlign w:val="bottom"/>
            <w:tcBorders>
              <w:top w:val="single" w:sz="8" w:color="auto"/>
              <w:bottom w:val="single" w:sz="8" w:color="auto"/>
              <w:right w:val="single" w:sz="8" w:color="auto"/>
            </w:tcBorders>
            <w:shd w:val="clear" w:color="auto" w:fill="B1C9FD"/>
          </w:tcPr>
          <w:p>
            <w:pPr>
              <w:spacing w:after="0"/>
              <w:rPr>
                <w:sz w:val="24"/>
                <w:szCs w:val="24"/>
                <w:color w:val="auto"/>
              </w:rPr>
            </w:pPr>
          </w:p>
        </w:tc>
        <w:tc>
          <w:tcPr>
            <w:tcW w:w="1620" w:type="dxa"/>
            <w:vAlign w:val="bottom"/>
            <w:tcBorders>
              <w:top w:val="single" w:sz="8" w:color="auto"/>
              <w:bottom w:val="single" w:sz="8" w:color="auto"/>
              <w:right w:val="single" w:sz="8" w:color="auto"/>
            </w:tcBorders>
            <w:gridSpan w:val="2"/>
            <w:shd w:val="clear" w:color="auto" w:fill="B1C9FD"/>
          </w:tcPr>
          <w:p>
            <w:pPr>
              <w:jc w:val="right"/>
              <w:ind w:right="8"/>
              <w:spacing w:after="0"/>
              <w:rPr>
                <w:sz w:val="20"/>
                <w:szCs w:val="20"/>
                <w:color w:val="auto"/>
              </w:rPr>
            </w:pPr>
            <w:r>
              <w:rPr>
                <w:rFonts w:ascii="Arial" w:cs="Arial" w:eastAsia="Arial" w:hAnsi="Arial"/>
                <w:sz w:val="14"/>
                <w:szCs w:val="14"/>
                <w:b w:val="1"/>
                <w:bCs w:val="1"/>
                <w:color w:val="004FF9"/>
              </w:rPr>
              <w:t>Aggregate Payments</w:t>
            </w:r>
          </w:p>
        </w:tc>
        <w:tc>
          <w:tcPr>
            <w:tcW w:w="1080" w:type="dxa"/>
            <w:vAlign w:val="bottom"/>
          </w:tcPr>
          <w:p>
            <w:pPr>
              <w:spacing w:after="0"/>
              <w:rPr>
                <w:sz w:val="24"/>
                <w:szCs w:val="24"/>
                <w:color w:val="auto"/>
              </w:rPr>
            </w:pPr>
          </w:p>
        </w:tc>
      </w:tr>
      <w:tr>
        <w:trPr>
          <w:trHeight w:val="210"/>
        </w:trPr>
        <w:tc>
          <w:tcPr>
            <w:tcW w:w="740" w:type="dxa"/>
            <w:vAlign w:val="bottom"/>
            <w:tcBorders>
              <w:right w:val="single" w:sz="8" w:color="auto"/>
            </w:tcBorders>
          </w:tcPr>
          <w:p>
            <w:pPr>
              <w:spacing w:after="0"/>
              <w:rPr>
                <w:sz w:val="18"/>
                <w:szCs w:val="18"/>
                <w:color w:val="auto"/>
              </w:rPr>
            </w:pPr>
          </w:p>
        </w:tc>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Henrik C. Slipsager</w:t>
            </w:r>
          </w:p>
        </w:tc>
        <w:tc>
          <w:tcPr>
            <w:tcW w:w="1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w w:val="99"/>
              </w:rPr>
              <w:t>1,000,000</w:t>
            </w:r>
          </w:p>
        </w:tc>
        <w:tc>
          <w:tcPr>
            <w:tcW w:w="1080" w:type="dxa"/>
            <w:vAlign w:val="bottom"/>
          </w:tcPr>
          <w:p>
            <w:pPr>
              <w:spacing w:after="0"/>
              <w:rPr>
                <w:sz w:val="18"/>
                <w:szCs w:val="18"/>
                <w:color w:val="auto"/>
              </w:rPr>
            </w:pPr>
          </w:p>
        </w:tc>
      </w:tr>
      <w:tr>
        <w:trPr>
          <w:trHeight w:val="210"/>
        </w:trPr>
        <w:tc>
          <w:tcPr>
            <w:tcW w:w="740" w:type="dxa"/>
            <w:vAlign w:val="bottom"/>
            <w:tcBorders>
              <w:right w:val="single" w:sz="8" w:color="auto"/>
            </w:tcBorders>
          </w:tcPr>
          <w:p>
            <w:pPr>
              <w:spacing w:after="0"/>
              <w:rPr>
                <w:sz w:val="18"/>
                <w:szCs w:val="18"/>
                <w:color w:val="auto"/>
              </w:rPr>
            </w:pPr>
          </w:p>
        </w:tc>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James P. McClure</w:t>
            </w:r>
          </w:p>
        </w:tc>
        <w:tc>
          <w:tcPr>
            <w:tcW w:w="1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color w:val="auto"/>
              </w:rPr>
              <w:t>250,000</w:t>
            </w:r>
          </w:p>
        </w:tc>
        <w:tc>
          <w:tcPr>
            <w:tcW w:w="1080" w:type="dxa"/>
            <w:vAlign w:val="bottom"/>
          </w:tcPr>
          <w:p>
            <w:pPr>
              <w:spacing w:after="0"/>
              <w:rPr>
                <w:sz w:val="18"/>
                <w:szCs w:val="18"/>
                <w:color w:val="auto"/>
              </w:rPr>
            </w:pPr>
          </w:p>
        </w:tc>
      </w:tr>
      <w:tr>
        <w:trPr>
          <w:trHeight w:val="423"/>
        </w:trPr>
        <w:tc>
          <w:tcPr>
            <w:tcW w:w="5000" w:type="dxa"/>
            <w:vAlign w:val="bottom"/>
            <w:gridSpan w:val="2"/>
          </w:tcPr>
          <w:p>
            <w:pPr>
              <w:spacing w:after="0"/>
              <w:rPr>
                <w:sz w:val="20"/>
                <w:szCs w:val="20"/>
                <w:color w:val="auto"/>
              </w:rPr>
            </w:pPr>
            <w:r>
              <w:rPr>
                <w:rFonts w:ascii="Arial" w:cs="Arial" w:eastAsia="Arial" w:hAnsi="Arial"/>
                <w:sz w:val="14"/>
                <w:szCs w:val="14"/>
                <w:color w:val="auto"/>
              </w:rPr>
              <w:t>These benefits will be paid out 1/120 per month after the later to occur of</w:t>
            </w:r>
          </w:p>
        </w:tc>
        <w:tc>
          <w:tcPr>
            <w:tcW w:w="2860" w:type="dxa"/>
            <w:vAlign w:val="bottom"/>
            <w:gridSpan w:val="4"/>
          </w:tcPr>
          <w:p>
            <w:pPr>
              <w:ind w:left="60"/>
              <w:spacing w:after="0"/>
              <w:rPr>
                <w:sz w:val="20"/>
                <w:szCs w:val="20"/>
                <w:color w:val="auto"/>
              </w:rPr>
            </w:pPr>
            <w:r>
              <w:rPr>
                <w:rFonts w:ascii="Arial" w:cs="Arial" w:eastAsia="Arial" w:hAnsi="Arial"/>
                <w:sz w:val="14"/>
                <w:szCs w:val="14"/>
                <w:color w:val="auto"/>
              </w:rPr>
              <w:t>(1) the executive’s 65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birthday or (2) the</w:t>
            </w:r>
          </w:p>
        </w:tc>
      </w:tr>
      <w:tr>
        <w:trPr>
          <w:trHeight w:val="172"/>
        </w:trPr>
        <w:tc>
          <w:tcPr>
            <w:tcW w:w="5000" w:type="dxa"/>
            <w:vAlign w:val="bottom"/>
            <w:gridSpan w:val="2"/>
          </w:tcPr>
          <w:p>
            <w:pPr>
              <w:spacing w:after="0"/>
              <w:rPr>
                <w:sz w:val="20"/>
                <w:szCs w:val="20"/>
                <w:color w:val="auto"/>
              </w:rPr>
            </w:pPr>
            <w:r>
              <w:rPr>
                <w:rFonts w:ascii="Arial" w:cs="Arial" w:eastAsia="Arial" w:hAnsi="Arial"/>
                <w:sz w:val="14"/>
                <w:szCs w:val="14"/>
                <w:color w:val="auto"/>
              </w:rPr>
              <w:t>executive’s retirement.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25" w:lineRule="exact"/>
        <w:rPr>
          <w:sz w:val="20"/>
          <w:szCs w:val="20"/>
          <w:color w:val="auto"/>
        </w:rPr>
      </w:pPr>
    </w:p>
    <w:p>
      <w:pPr>
        <w:jc w:val="both"/>
        <w:ind w:left="1620" w:right="759" w:hanging="359"/>
        <w:spacing w:after="0" w:line="267" w:lineRule="auto"/>
        <w:tabs>
          <w:tab w:leader="none" w:pos="1600" w:val="left"/>
        </w:tabs>
        <w:rPr>
          <w:sz w:val="20"/>
          <w:szCs w:val="20"/>
          <w:color w:val="auto"/>
        </w:rPr>
      </w:pPr>
      <w:r>
        <w:rPr>
          <w:rFonts w:ascii="Arial" w:cs="Arial" w:eastAsia="Arial" w:hAnsi="Arial"/>
          <w:sz w:val="14"/>
          <w:szCs w:val="14"/>
          <w:color w:val="auto"/>
        </w:rPr>
        <w:t>(3)</w:t>
        <w:tab/>
        <w:t>The material assumptions used to calculate the net present value are included in Note 11, “Employee Benefit Plans,” in the Notes to Consolidated Financial Statements included in ABM’s Annual Report on Form 10-K for the year ended October 31, 2014, except for the assumed retirement age under the SAB plan which is 62, the age at which an individual is eligible for full benefits under the plan.</w:t>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004FF9"/>
        </w:rPr>
        <w:t>Nonqualified Deferred Compensation in Fiscal Year 2014</w:t>
      </w:r>
    </w:p>
    <w:p>
      <w:pPr>
        <w:spacing w:after="0" w:line="125" w:lineRule="exact"/>
        <w:rPr>
          <w:sz w:val="20"/>
          <w:szCs w:val="20"/>
          <w:color w:val="auto"/>
        </w:rPr>
      </w:pPr>
    </w:p>
    <w:tbl>
      <w:tblPr>
        <w:tblLayout w:type="fixed"/>
        <w:tblInd w:w="1270" w:type="dxa"/>
        <w:tblCellMar>
          <w:top w:w="0" w:type="dxa"/>
          <w:left w:w="0" w:type="dxa"/>
          <w:bottom w:w="0" w:type="dxa"/>
          <w:right w:w="0" w:type="dxa"/>
        </w:tblCellMar>
      </w:tblPr>
      <w:tr>
        <w:trPr>
          <w:trHeight w:val="311"/>
        </w:trPr>
        <w:tc>
          <w:tcPr>
            <w:tcW w:w="204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1340" w:type="dxa"/>
            <w:vAlign w:val="bottom"/>
            <w:tcBorders>
              <w:top w:val="single" w:sz="8" w:color="auto"/>
              <w:right w:val="single" w:sz="8" w:color="auto"/>
            </w:tcBorders>
            <w:shd w:val="clear" w:color="auto" w:fill="B1C9FD"/>
          </w:tcPr>
          <w:p>
            <w:pPr>
              <w:spacing w:after="0"/>
              <w:rPr>
                <w:sz w:val="24"/>
                <w:szCs w:val="24"/>
                <w:color w:val="auto"/>
              </w:rPr>
            </w:pPr>
          </w:p>
        </w:tc>
        <w:tc>
          <w:tcPr>
            <w:tcW w:w="116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ABM</w:t>
            </w:r>
          </w:p>
        </w:tc>
        <w:tc>
          <w:tcPr>
            <w:tcW w:w="1340" w:type="dxa"/>
            <w:vAlign w:val="bottom"/>
            <w:tcBorders>
              <w:top w:val="single" w:sz="8" w:color="auto"/>
              <w:right w:val="single" w:sz="8" w:color="auto"/>
            </w:tcBorders>
            <w:shd w:val="clear" w:color="auto" w:fill="B1C9FD"/>
          </w:tcPr>
          <w:p>
            <w:pPr>
              <w:spacing w:after="0"/>
              <w:rPr>
                <w:sz w:val="24"/>
                <w:szCs w:val="24"/>
                <w:color w:val="auto"/>
              </w:rPr>
            </w:pPr>
          </w:p>
        </w:tc>
        <w:tc>
          <w:tcPr>
            <w:tcW w:w="1100" w:type="dxa"/>
            <w:vAlign w:val="bottom"/>
            <w:tcBorders>
              <w:top w:val="single" w:sz="8" w:color="auto"/>
              <w:right w:val="single" w:sz="8" w:color="auto"/>
            </w:tcBorders>
            <w:shd w:val="clear" w:color="auto" w:fill="B1C9FD"/>
          </w:tcPr>
          <w:p>
            <w:pPr>
              <w:spacing w:after="0"/>
              <w:rPr>
                <w:sz w:val="24"/>
                <w:szCs w:val="24"/>
                <w:color w:val="auto"/>
              </w:rPr>
            </w:pPr>
          </w:p>
        </w:tc>
        <w:tc>
          <w:tcPr>
            <w:tcW w:w="124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Aggregate</w:t>
            </w:r>
          </w:p>
        </w:tc>
      </w:tr>
      <w:tr>
        <w:trPr>
          <w:trHeight w:val="162"/>
        </w:trPr>
        <w:tc>
          <w:tcPr>
            <w:tcW w:w="2040" w:type="dxa"/>
            <w:vAlign w:val="bottom"/>
            <w:tcBorders>
              <w:left w:val="single" w:sz="8" w:color="auto"/>
              <w:right w:val="single" w:sz="8" w:color="auto"/>
            </w:tcBorders>
            <w:shd w:val="clear" w:color="auto" w:fill="B1C9FD"/>
          </w:tcPr>
          <w:p>
            <w:pPr>
              <w:spacing w:after="0"/>
              <w:rPr>
                <w:sz w:val="14"/>
                <w:szCs w:val="14"/>
                <w:color w:val="auto"/>
              </w:rPr>
            </w:pP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Executive</w:t>
            </w:r>
          </w:p>
        </w:tc>
        <w:tc>
          <w:tcPr>
            <w:tcW w:w="11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Contributions</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Aggregate</w:t>
            </w:r>
          </w:p>
        </w:tc>
        <w:tc>
          <w:tcPr>
            <w:tcW w:w="11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Aggregate</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Balance at Last</w:t>
            </w:r>
          </w:p>
        </w:tc>
      </w:tr>
      <w:tr>
        <w:trPr>
          <w:trHeight w:val="162"/>
        </w:trPr>
        <w:tc>
          <w:tcPr>
            <w:tcW w:w="2040" w:type="dxa"/>
            <w:vAlign w:val="bottom"/>
            <w:tcBorders>
              <w:left w:val="single" w:sz="8" w:color="auto"/>
              <w:right w:val="single" w:sz="8" w:color="auto"/>
            </w:tcBorders>
            <w:shd w:val="clear" w:color="auto" w:fill="B1C9FD"/>
          </w:tcPr>
          <w:p>
            <w:pPr>
              <w:spacing w:after="0"/>
              <w:rPr>
                <w:sz w:val="14"/>
                <w:szCs w:val="14"/>
                <w:color w:val="auto"/>
              </w:rPr>
            </w:pP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Contributions in</w:t>
            </w:r>
          </w:p>
        </w:tc>
        <w:tc>
          <w:tcPr>
            <w:tcW w:w="11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in Last Fiscal</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Earnings in Last</w:t>
            </w:r>
          </w:p>
        </w:tc>
        <w:tc>
          <w:tcPr>
            <w:tcW w:w="11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Withdrawals/</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Fiscal</w:t>
            </w:r>
          </w:p>
        </w:tc>
      </w:tr>
      <w:tr>
        <w:trPr>
          <w:trHeight w:val="176"/>
        </w:trPr>
        <w:tc>
          <w:tcPr>
            <w:tcW w:w="2040" w:type="dxa"/>
            <w:vAlign w:val="bottom"/>
            <w:tcBorders>
              <w:left w:val="single" w:sz="8" w:color="auto"/>
              <w:right w:val="single" w:sz="8" w:color="auto"/>
            </w:tcBorders>
            <w:shd w:val="clear" w:color="auto" w:fill="B1C9FD"/>
          </w:tcPr>
          <w:p>
            <w:pPr>
              <w:spacing w:after="0"/>
              <w:rPr>
                <w:sz w:val="15"/>
                <w:szCs w:val="15"/>
                <w:color w:val="auto"/>
              </w:rPr>
            </w:pP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Last Fiscal Year</w:t>
            </w:r>
          </w:p>
        </w:tc>
        <w:tc>
          <w:tcPr>
            <w:tcW w:w="11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8"/>
              </w:rPr>
              <w:t>Year</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Fiscal Year</w:t>
            </w:r>
          </w:p>
        </w:tc>
        <w:tc>
          <w:tcPr>
            <w:tcW w:w="11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Distributions</w:t>
            </w:r>
          </w:p>
        </w:tc>
        <w:tc>
          <w:tcPr>
            <w:tcW w:w="124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5"/>
              </w:rPr>
              <w:t>Year-End</w:t>
            </w:r>
            <w:r>
              <w:rPr>
                <w:rFonts w:ascii="Arial" w:cs="Arial" w:eastAsia="Arial" w:hAnsi="Arial"/>
                <w:sz w:val="20"/>
                <w:szCs w:val="20"/>
                <w:b w:val="1"/>
                <w:bCs w:val="1"/>
                <w:color w:val="004FF9"/>
                <w:w w:val="95"/>
                <w:vertAlign w:val="superscript"/>
              </w:rPr>
              <w:t>(5)</w:t>
            </w:r>
          </w:p>
        </w:tc>
      </w:tr>
      <w:tr>
        <w:trPr>
          <w:trHeight w:val="196"/>
        </w:trPr>
        <w:tc>
          <w:tcPr>
            <w:tcW w:w="2040" w:type="dxa"/>
            <w:vAlign w:val="bottom"/>
            <w:tcBorders>
              <w:left w:val="single" w:sz="8" w:color="auto"/>
              <w:bottom w:val="single" w:sz="8" w:color="auto"/>
              <w:right w:val="single" w:sz="8" w:color="auto"/>
            </w:tcBorders>
            <w:shd w:val="clear" w:color="auto" w:fill="B1C9FD"/>
          </w:tcPr>
          <w:p>
            <w:pPr>
              <w:ind w:left="160"/>
              <w:spacing w:after="0"/>
              <w:rPr>
                <w:sz w:val="20"/>
                <w:szCs w:val="20"/>
                <w:color w:val="auto"/>
              </w:rPr>
            </w:pPr>
            <w:r>
              <w:rPr>
                <w:rFonts w:ascii="Arial" w:cs="Arial" w:eastAsia="Arial" w:hAnsi="Arial"/>
                <w:sz w:val="14"/>
                <w:szCs w:val="14"/>
                <w:b w:val="1"/>
                <w:bCs w:val="1"/>
                <w:color w:val="004FF9"/>
              </w:rPr>
              <w:t>Named Executive Officer</w:t>
            </w:r>
          </w:p>
        </w:tc>
        <w:tc>
          <w:tcPr>
            <w:tcW w:w="13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1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3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11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2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r>
      <w:tr>
        <w:trPr>
          <w:trHeight w:val="229"/>
        </w:trPr>
        <w:tc>
          <w:tcPr>
            <w:tcW w:w="2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Henrik C. Slipsager</w:t>
            </w:r>
          </w:p>
        </w:tc>
        <w:tc>
          <w:tcPr>
            <w:tcW w:w="1340" w:type="dxa"/>
            <w:vAlign w:val="bottom"/>
            <w:tcBorders>
              <w:bottom w:val="single" w:sz="8" w:color="auto"/>
              <w:right w:val="single" w:sz="8" w:color="auto"/>
            </w:tcBorders>
          </w:tcPr>
          <w:p>
            <w:pPr>
              <w:jc w:val="right"/>
              <w:spacing w:after="0" w:line="229" w:lineRule="exact"/>
              <w:rPr>
                <w:sz w:val="20"/>
                <w:szCs w:val="20"/>
                <w:color w:val="auto"/>
              </w:rPr>
            </w:pPr>
            <w:r>
              <w:rPr>
                <w:rFonts w:ascii="Arial" w:cs="Arial" w:eastAsia="Arial" w:hAnsi="Arial"/>
                <w:sz w:val="16"/>
                <w:szCs w:val="16"/>
                <w:color w:val="auto"/>
              </w:rPr>
              <w:t>731,387</w:t>
            </w:r>
            <w:r>
              <w:rPr>
                <w:rFonts w:ascii="Arial" w:cs="Arial" w:eastAsia="Arial" w:hAnsi="Arial"/>
                <w:sz w:val="25"/>
                <w:szCs w:val="25"/>
                <w:color w:val="auto"/>
                <w:vertAlign w:val="superscript"/>
              </w:rPr>
              <w:t>(1)(2)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right"/>
              <w:ind w:right="48"/>
              <w:spacing w:after="0" w:line="229" w:lineRule="exact"/>
              <w:rPr>
                <w:sz w:val="20"/>
                <w:szCs w:val="20"/>
                <w:color w:val="auto"/>
              </w:rPr>
            </w:pPr>
            <w:r>
              <w:rPr>
                <w:rFonts w:ascii="Arial" w:cs="Arial" w:eastAsia="Arial" w:hAnsi="Arial"/>
                <w:sz w:val="16"/>
                <w:szCs w:val="16"/>
                <w:color w:val="auto"/>
              </w:rPr>
              <w:t>97,257</w:t>
            </w:r>
            <w:r>
              <w:rPr>
                <w:rFonts w:ascii="Arial" w:cs="Arial" w:eastAsia="Arial" w:hAnsi="Arial"/>
                <w:sz w:val="25"/>
                <w:szCs w:val="25"/>
                <w:color w:val="auto"/>
                <w:vertAlign w:val="superscript"/>
              </w:rPr>
              <w:t>(3)(4)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auto"/>
              <w:right w:val="single" w:sz="8" w:color="auto"/>
            </w:tcBorders>
          </w:tcPr>
          <w:p>
            <w:pPr>
              <w:jc w:val="right"/>
              <w:ind w:right="4"/>
              <w:spacing w:after="0" w:line="229" w:lineRule="exact"/>
              <w:rPr>
                <w:sz w:val="20"/>
                <w:szCs w:val="20"/>
                <w:color w:val="auto"/>
              </w:rPr>
            </w:pPr>
            <w:r>
              <w:rPr>
                <w:rFonts w:ascii="Arial" w:cs="Arial" w:eastAsia="Arial" w:hAnsi="Arial"/>
                <w:sz w:val="16"/>
                <w:szCs w:val="16"/>
                <w:color w:val="auto"/>
              </w:rPr>
              <w:t>5,236,397</w:t>
            </w:r>
            <w:r>
              <w:rPr>
                <w:rFonts w:ascii="Arial" w:cs="Arial" w:eastAsia="Arial" w:hAnsi="Arial"/>
                <w:sz w:val="25"/>
                <w:szCs w:val="25"/>
                <w:color w:val="auto"/>
                <w:vertAlign w:val="superscript"/>
              </w:rPr>
              <w:t>(6)</w:t>
            </w:r>
          </w:p>
        </w:tc>
      </w:tr>
      <w:tr>
        <w:trPr>
          <w:trHeight w:val="237"/>
        </w:trPr>
        <w:tc>
          <w:tcPr>
            <w:tcW w:w="20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James S. Lusk</w:t>
            </w:r>
          </w:p>
        </w:tc>
        <w:tc>
          <w:tcPr>
            <w:tcW w:w="1340" w:type="dxa"/>
            <w:vAlign w:val="bottom"/>
            <w:tcBorders>
              <w:bottom w:val="single" w:sz="8" w:color="auto"/>
              <w:right w:val="single" w:sz="8" w:color="auto"/>
            </w:tcBorders>
            <w:shd w:val="clear" w:color="auto" w:fill="E5EDFE"/>
          </w:tcPr>
          <w:p>
            <w:pPr>
              <w:jc w:val="right"/>
              <w:ind w:right="30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shd w:val="clear" w:color="auto" w:fill="E5EDFE"/>
          </w:tcPr>
          <w:p>
            <w:pPr>
              <w:jc w:val="right"/>
              <w:ind w:right="348"/>
              <w:spacing w:after="0"/>
              <w:rPr>
                <w:sz w:val="20"/>
                <w:szCs w:val="20"/>
                <w:color w:val="auto"/>
              </w:rPr>
            </w:pPr>
            <w:r>
              <w:rPr>
                <w:rFonts w:ascii="Arial" w:cs="Arial" w:eastAsia="Arial" w:hAnsi="Arial"/>
                <w:sz w:val="16"/>
                <w:szCs w:val="16"/>
                <w:color w:val="auto"/>
              </w:rPr>
              <w:t>454</w:t>
            </w:r>
          </w:p>
        </w:tc>
        <w:tc>
          <w:tcPr>
            <w:tcW w:w="11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auto"/>
              <w:right w:val="single" w:sz="8" w:color="auto"/>
            </w:tcBorders>
            <w:shd w:val="clear" w:color="auto" w:fill="E5EDFE"/>
          </w:tcPr>
          <w:p>
            <w:pPr>
              <w:jc w:val="right"/>
              <w:ind w:right="4"/>
              <w:spacing w:after="0" w:line="236" w:lineRule="exact"/>
              <w:rPr>
                <w:sz w:val="20"/>
                <w:szCs w:val="20"/>
                <w:color w:val="auto"/>
              </w:rPr>
            </w:pPr>
            <w:r>
              <w:rPr>
                <w:rFonts w:ascii="Arial" w:cs="Arial" w:eastAsia="Arial" w:hAnsi="Arial"/>
                <w:sz w:val="16"/>
                <w:szCs w:val="16"/>
                <w:color w:val="auto"/>
              </w:rPr>
              <w:t>96,602</w:t>
            </w:r>
            <w:r>
              <w:rPr>
                <w:rFonts w:ascii="Arial" w:cs="Arial" w:eastAsia="Arial" w:hAnsi="Arial"/>
                <w:sz w:val="25"/>
                <w:szCs w:val="25"/>
                <w:color w:val="auto"/>
                <w:vertAlign w:val="superscript"/>
              </w:rPr>
              <w:t>(6)</w:t>
            </w:r>
          </w:p>
        </w:tc>
      </w:tr>
      <w:tr>
        <w:trPr>
          <w:trHeight w:val="237"/>
        </w:trPr>
        <w:tc>
          <w:tcPr>
            <w:tcW w:w="2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P. McClure</w:t>
            </w:r>
          </w:p>
        </w:tc>
        <w:tc>
          <w:tcPr>
            <w:tcW w:w="134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583,407</w:t>
            </w:r>
            <w:r>
              <w:rPr>
                <w:rFonts w:ascii="Arial" w:cs="Arial" w:eastAsia="Arial" w:hAnsi="Arial"/>
                <w:sz w:val="25"/>
                <w:szCs w:val="25"/>
                <w:color w:val="auto"/>
                <w:vertAlign w:val="superscript"/>
              </w:rPr>
              <w:t>(1)(2)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right"/>
              <w:ind w:right="48"/>
              <w:spacing w:after="0" w:line="236" w:lineRule="exact"/>
              <w:rPr>
                <w:sz w:val="20"/>
                <w:szCs w:val="20"/>
                <w:color w:val="auto"/>
              </w:rPr>
            </w:pPr>
            <w:r>
              <w:rPr>
                <w:rFonts w:ascii="Arial" w:cs="Arial" w:eastAsia="Arial" w:hAnsi="Arial"/>
                <w:sz w:val="27"/>
                <w:szCs w:val="27"/>
                <w:color w:val="auto"/>
                <w:vertAlign w:val="subscript"/>
              </w:rPr>
              <w:t>65,105</w:t>
            </w:r>
            <w:r>
              <w:rPr>
                <w:rFonts w:ascii="Arial" w:cs="Arial" w:eastAsia="Arial" w:hAnsi="Arial"/>
                <w:sz w:val="11"/>
                <w:szCs w:val="11"/>
                <w:color w:val="auto"/>
              </w:rPr>
              <w:t>(3)(4)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auto"/>
              <w:right w:val="single" w:sz="8" w:color="auto"/>
            </w:tcBorders>
          </w:tcPr>
          <w:p>
            <w:pPr>
              <w:jc w:val="right"/>
              <w:ind w:right="4"/>
              <w:spacing w:after="0" w:line="236" w:lineRule="exact"/>
              <w:rPr>
                <w:sz w:val="20"/>
                <w:szCs w:val="20"/>
                <w:color w:val="auto"/>
              </w:rPr>
            </w:pPr>
            <w:r>
              <w:rPr>
                <w:rFonts w:ascii="Arial" w:cs="Arial" w:eastAsia="Arial" w:hAnsi="Arial"/>
                <w:sz w:val="16"/>
                <w:szCs w:val="16"/>
                <w:color w:val="auto"/>
              </w:rPr>
              <w:t>2,616,518</w:t>
            </w:r>
            <w:r>
              <w:rPr>
                <w:rFonts w:ascii="Arial" w:cs="Arial" w:eastAsia="Arial" w:hAnsi="Arial"/>
                <w:sz w:val="25"/>
                <w:szCs w:val="25"/>
                <w:color w:val="auto"/>
                <w:vertAlign w:val="superscript"/>
              </w:rPr>
              <w:t>(6)</w:t>
            </w:r>
          </w:p>
        </w:tc>
      </w:tr>
      <w:tr>
        <w:trPr>
          <w:trHeight w:val="230"/>
        </w:trPr>
        <w:tc>
          <w:tcPr>
            <w:tcW w:w="20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Tracy K. Price</w:t>
            </w:r>
          </w:p>
        </w:tc>
        <w:tc>
          <w:tcPr>
            <w:tcW w:w="1340" w:type="dxa"/>
            <w:vAlign w:val="bottom"/>
            <w:tcBorders>
              <w:bottom w:val="single" w:sz="8" w:color="auto"/>
              <w:right w:val="single" w:sz="8" w:color="auto"/>
            </w:tcBorders>
            <w:shd w:val="clear" w:color="auto" w:fill="E5EDFE"/>
          </w:tcPr>
          <w:p>
            <w:pPr>
              <w:jc w:val="right"/>
              <w:ind w:right="30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shd w:val="clear" w:color="auto" w:fill="E5EDFE"/>
          </w:tcPr>
          <w:p>
            <w:pPr>
              <w:jc w:val="right"/>
              <w:ind w:right="34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auto"/>
              <w:right w:val="single" w:sz="8" w:color="auto"/>
            </w:tcBorders>
            <w:shd w:val="clear" w:color="auto" w:fill="E5EDFE"/>
          </w:tcPr>
          <w:p>
            <w:pPr>
              <w:jc w:val="right"/>
              <w:ind w:right="164"/>
              <w:spacing w:after="0"/>
              <w:rPr>
                <w:sz w:val="20"/>
                <w:szCs w:val="20"/>
                <w:color w:val="auto"/>
              </w:rPr>
            </w:pPr>
            <w:r>
              <w:rPr>
                <w:rFonts w:ascii="Arial" w:cs="Arial" w:eastAsia="Arial" w:hAnsi="Arial"/>
                <w:sz w:val="16"/>
                <w:szCs w:val="16"/>
                <w:color w:val="auto"/>
              </w:rPr>
              <w:t>—</w:t>
            </w:r>
          </w:p>
        </w:tc>
      </w:tr>
      <w:tr>
        <w:trPr>
          <w:trHeight w:val="243"/>
        </w:trPr>
        <w:tc>
          <w:tcPr>
            <w:tcW w:w="2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Sarah H. McConnell</w:t>
            </w:r>
          </w:p>
        </w:tc>
        <w:tc>
          <w:tcPr>
            <w:tcW w:w="1340" w:type="dxa"/>
            <w:vAlign w:val="bottom"/>
            <w:tcBorders>
              <w:bottom w:val="single" w:sz="8" w:color="auto"/>
              <w:right w:val="single" w:sz="8" w:color="auto"/>
            </w:tcBorders>
          </w:tcPr>
          <w:p>
            <w:pPr>
              <w:jc w:val="right"/>
              <w:spacing w:after="0" w:line="242" w:lineRule="exact"/>
              <w:rPr>
                <w:sz w:val="20"/>
                <w:szCs w:val="20"/>
                <w:color w:val="auto"/>
              </w:rPr>
            </w:pPr>
            <w:r>
              <w:rPr>
                <w:rFonts w:ascii="Arial" w:cs="Arial" w:eastAsia="Arial" w:hAnsi="Arial"/>
                <w:sz w:val="16"/>
                <w:szCs w:val="16"/>
                <w:color w:val="auto"/>
              </w:rPr>
              <w:t>256,006</w:t>
            </w:r>
            <w:r>
              <w:rPr>
                <w:rFonts w:ascii="Arial" w:cs="Arial" w:eastAsia="Arial" w:hAnsi="Arial"/>
                <w:sz w:val="25"/>
                <w:szCs w:val="25"/>
                <w:color w:val="auto"/>
                <w:vertAlign w:val="superscript"/>
              </w:rPr>
              <w:t>(1)(2)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auto"/>
              <w:right w:val="single" w:sz="8" w:color="auto"/>
            </w:tcBorders>
          </w:tcPr>
          <w:p>
            <w:pPr>
              <w:jc w:val="right"/>
              <w:ind w:right="48"/>
              <w:spacing w:after="0" w:line="243" w:lineRule="exact"/>
              <w:rPr>
                <w:sz w:val="20"/>
                <w:szCs w:val="20"/>
                <w:color w:val="auto"/>
              </w:rPr>
            </w:pPr>
            <w:r>
              <w:rPr>
                <w:rFonts w:ascii="Arial" w:cs="Arial" w:eastAsia="Arial" w:hAnsi="Arial"/>
                <w:sz w:val="28"/>
                <w:szCs w:val="28"/>
                <w:color w:val="auto"/>
                <w:vertAlign w:val="subscript"/>
              </w:rPr>
              <w:t>28,017</w:t>
            </w:r>
            <w:r>
              <w:rPr>
                <w:rFonts w:ascii="Arial" w:cs="Arial" w:eastAsia="Arial" w:hAnsi="Arial"/>
                <w:sz w:val="12"/>
                <w:szCs w:val="12"/>
                <w:color w:val="auto"/>
              </w:rPr>
              <w:t>(3)(4)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auto"/>
              <w:right w:val="single" w:sz="8" w:color="auto"/>
            </w:tcBorders>
          </w:tcPr>
          <w:p>
            <w:pPr>
              <w:jc w:val="right"/>
              <w:ind w:right="4"/>
              <w:spacing w:after="0" w:line="242" w:lineRule="exact"/>
              <w:rPr>
                <w:sz w:val="20"/>
                <w:szCs w:val="20"/>
                <w:color w:val="auto"/>
              </w:rPr>
            </w:pPr>
            <w:r>
              <w:rPr>
                <w:rFonts w:ascii="Arial" w:cs="Arial" w:eastAsia="Arial" w:hAnsi="Arial"/>
                <w:sz w:val="16"/>
                <w:szCs w:val="16"/>
                <w:color w:val="auto"/>
              </w:rPr>
              <w:t>1,209,932</w:t>
            </w:r>
            <w:r>
              <w:rPr>
                <w:rFonts w:ascii="Arial" w:cs="Arial" w:eastAsia="Arial" w:hAnsi="Arial"/>
                <w:sz w:val="25"/>
                <w:szCs w:val="25"/>
                <w:color w:val="auto"/>
                <w:vertAlign w:val="superscript"/>
              </w:rPr>
              <w:t>(6)</w:t>
            </w:r>
          </w:p>
        </w:tc>
      </w:tr>
    </w:tbl>
    <w:p>
      <w:pPr>
        <w:spacing w:after="0" w:line="86" w:lineRule="exact"/>
        <w:rPr>
          <w:sz w:val="20"/>
          <w:szCs w:val="20"/>
          <w:color w:val="auto"/>
        </w:rPr>
      </w:pPr>
    </w:p>
    <w:p>
      <w:pPr>
        <w:jc w:val="both"/>
        <w:ind w:left="1620" w:right="759" w:hanging="352"/>
        <w:spacing w:after="0" w:line="270" w:lineRule="auto"/>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Cash deferrals under the Employee Deferred Compensation Plan are included in the Summary Compensation Table for each NEO. Amounts deferred during fiscal year 2014 by Mr. Slipsager were $438,423, by Mr. McClure were $339,501 and by Ms. McConnell were $168,233.</w:t>
      </w:r>
    </w:p>
    <w:p>
      <w:pPr>
        <w:spacing w:after="0" w:line="37" w:lineRule="exact"/>
        <w:rPr>
          <w:rFonts w:ascii="Arial" w:cs="Arial" w:eastAsia="Arial" w:hAnsi="Arial"/>
          <w:sz w:val="14"/>
          <w:szCs w:val="14"/>
          <w:color w:val="auto"/>
        </w:rPr>
      </w:pPr>
    </w:p>
    <w:p>
      <w:pPr>
        <w:jc w:val="both"/>
        <w:ind w:left="1620" w:right="759" w:hanging="352"/>
        <w:spacing w:after="0" w:line="267" w:lineRule="auto"/>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value of deferred RSUs, granted and vested under the 2006 Equity Incentive Plan, on the date of vesting. The vesting date value for the deferred awards for Mr. Slipsager was $292,964, for Mr. McClure was $243,906 and for Ms. McConnell was $87,773. Grant date values for the deferred awards were reported in the Summary Compensation Table for the fiscal year in which the RSUs were granted.</w:t>
      </w:r>
    </w:p>
    <w:p>
      <w:pPr>
        <w:spacing w:after="0" w:line="39" w:lineRule="exact"/>
        <w:rPr>
          <w:rFonts w:ascii="Arial" w:cs="Arial" w:eastAsia="Arial" w:hAnsi="Arial"/>
          <w:sz w:val="14"/>
          <w:szCs w:val="14"/>
          <w:color w:val="auto"/>
        </w:rPr>
      </w:pPr>
    </w:p>
    <w:p>
      <w:pPr>
        <w:jc w:val="both"/>
        <w:ind w:left="1620" w:right="759" w:hanging="352"/>
        <w:spacing w:after="0" w:line="270" w:lineRule="auto"/>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Interest earned on cash deferrals under the Employee Deferred Compensation Plan. The interest rate in fiscal year 2014 averaged 3.25%. These amounts were not required to be included in the Summary Compensation Table because they are not above-market.</w:t>
      </w:r>
    </w:p>
    <w:p>
      <w:pPr>
        <w:spacing w:after="0" w:line="37"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appreciation of value of ABM stock for equity deferrals. For deferrals in 2014, stock appreciation is from the date of vesting to the end of the fiscal year. For deferrals in prior years, stock appreciation is from the prior fiscal year-end.</w:t>
      </w:r>
    </w:p>
    <w:p>
      <w:pPr>
        <w:spacing w:after="0" w:line="32" w:lineRule="exact"/>
        <w:rPr>
          <w:rFonts w:ascii="Arial" w:cs="Arial" w:eastAsia="Arial" w:hAnsi="Arial"/>
          <w:sz w:val="14"/>
          <w:szCs w:val="14"/>
          <w:color w:val="auto"/>
        </w:rPr>
      </w:pPr>
    </w:p>
    <w:p>
      <w:pPr>
        <w:ind w:left="1620" w:hanging="352"/>
        <w:spacing w:after="0"/>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amounts included in the Summary Compensation Table for prior years.</w:t>
      </w:r>
    </w:p>
    <w:p>
      <w:pPr>
        <w:spacing w:after="0" w:line="68" w:lineRule="exact"/>
        <w:rPr>
          <w:rFonts w:ascii="Arial" w:cs="Arial" w:eastAsia="Arial" w:hAnsi="Arial"/>
          <w:sz w:val="14"/>
          <w:szCs w:val="14"/>
          <w:color w:val="auto"/>
        </w:rPr>
      </w:pPr>
    </w:p>
    <w:p>
      <w:pPr>
        <w:ind w:left="1620" w:hanging="352"/>
        <w:spacing w:after="0"/>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fiscal year-end value of shares deferred in prior years; excludes dividend equivalents earned on deferred shares.</w:t>
      </w:r>
    </w:p>
    <w:p>
      <w:pPr>
        <w:sectPr>
          <w:pgSz w:w="11900" w:h="16838" w:orient="portrait"/>
          <w:cols w:equalWidth="0" w:num="1">
            <w:col w:w="10219"/>
          </w:cols>
          <w:pgMar w:left="240" w:top="132" w:right="1440" w:bottom="1440" w:gutter="0" w:footer="0" w:header="0"/>
        </w:sectPr>
      </w:pPr>
    </w:p>
    <w:p>
      <w:pPr>
        <w:spacing w:after="0" w:line="390"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ABM’s Employee Deferred Compensation Plan is an unfunded deferred compensation plan available to the NEOs and other employees whose annualized base salary exceeds $140,000. A trust agreement was put into place in January 2011 to provide that, in the event of a “change-in-control” as defined in the plan, the trust will be funded in an amount necessary to cover liabilities under the plan.</w:t>
      </w:r>
    </w:p>
    <w:p>
      <w:pPr>
        <w:spacing w:after="0" w:line="100"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Employee Deferred Compensation Plan allows participants to make pretax contributions from 1% to 50% of their compensation, including base pay and bonuses. Elections to defer base salary must be made no later than December 31 of the year preceding the year in which deferral begins. Elections to defer performance-based bonuses must be made no later than six months prior to the end of the applicable performance period. Executives may elect to receive distributions from the Employee Deferred Compensation Plan following termination of employment or on specified in-service distribution dates. Distributions may be made in a single lump sum, four annual installments or ten annual installments, based on earlier elections made in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accordance with the plan provisions. In addition, if, upon termination, a participant wants to change his or her distribution, the change cannot be effective for at least 12 months and the date of payment must be at least five years after the previously scheduled date of distribution. The Employee Deferred Compensation Plan also permits hardship distributions. Deferred amounts earn interest equal to the prime interest rate on the last day of the calendar quarter up to 6%. If the prime rate exceeds 6%, the interest rate is equal to 6% plus one-half of the excess prime rate over 6%, subject to an interest rate cap equal to 120% of the long-term applicable federal rate, compounded quarterly.</w:t>
      </w:r>
    </w:p>
    <w:p>
      <w:pPr>
        <w:spacing w:after="0" w:line="104"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Certain executives may also elect to defer receipt of RSUs. Elections to defer receipt of RSUs must be made no later than December 31 of the year preceding the year in which any RSUs may be granted. The plan allows participants to defer up to 100% of their RSUs, and receive distributions in a lump sum, four annual installments or ten annual installments, based on earlier elections made in accordance with plan provisions.</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004FF9"/>
        </w:rPr>
        <w:t>Potential Benefits on Termination</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following tables and accompanying narrative contain information with respect to potential payments to NEOs upon qualifying terminations of employment after a change-in-control, resignation or retirement, termination without cause, and death or disability, assuming the termination occurred on October 31, 2014. No payments to the NEOs are triggered by a change-in-control alone. In addition, these tables describe benefits that may be payable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to these executives under arrangements in effect on October 31, 2014. Please refer to the earlier discussion of certain amended and restated employment agreements for Messrs. McClure and Price as well as to Mr. Slipsager’s transition and separation agreements. The arrangements described there are applicable to terminations after October 31, 2014.</w:t>
      </w:r>
    </w:p>
    <w:p>
      <w:pPr>
        <w:spacing w:after="0" w:line="39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Potential Payments upon Qualifying Terminations of Employment</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Following a Change in-Control on October 31, 2014</w:t>
      </w:r>
    </w:p>
    <w:p>
      <w:pPr>
        <w:spacing w:after="0" w:line="113"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6"/>
          <w:szCs w:val="16"/>
          <w:color w:val="auto"/>
        </w:rPr>
        <w:t>The following table estimates potential payments for each NEO if there had been a change-in-control and either the executive had been terminated involuntarily or the executive had terminated employment for “good reason” effective October 31, 2014.</w:t>
      </w:r>
    </w:p>
    <w:p>
      <w:pPr>
        <w:spacing w:after="0" w:line="112" w:lineRule="exact"/>
        <w:rPr>
          <w:sz w:val="20"/>
          <w:szCs w:val="20"/>
          <w:color w:val="auto"/>
        </w:rPr>
      </w:pPr>
    </w:p>
    <w:tbl>
      <w:tblPr>
        <w:tblLayout w:type="fixed"/>
        <w:tblInd w:w="1270" w:type="dxa"/>
        <w:tblCellMar>
          <w:top w:w="0" w:type="dxa"/>
          <w:left w:w="0" w:type="dxa"/>
          <w:bottom w:w="0" w:type="dxa"/>
          <w:right w:w="0" w:type="dxa"/>
        </w:tblCellMar>
      </w:tblPr>
      <w:tr>
        <w:trPr>
          <w:trHeight w:val="311"/>
        </w:trPr>
        <w:tc>
          <w:tcPr>
            <w:tcW w:w="158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760" w:type="dxa"/>
            <w:vAlign w:val="bottom"/>
            <w:tcBorders>
              <w:top w:val="single" w:sz="8" w:color="auto"/>
              <w:right w:val="single" w:sz="8" w:color="auto"/>
            </w:tcBorders>
            <w:shd w:val="clear" w:color="auto" w:fill="B1C9FD"/>
          </w:tcPr>
          <w:p>
            <w:pPr>
              <w:spacing w:after="0"/>
              <w:rPr>
                <w:sz w:val="24"/>
                <w:szCs w:val="24"/>
                <w:color w:val="auto"/>
              </w:rPr>
            </w:pPr>
          </w:p>
        </w:tc>
        <w:tc>
          <w:tcPr>
            <w:tcW w:w="1240" w:type="dxa"/>
            <w:vAlign w:val="bottom"/>
            <w:tcBorders>
              <w:top w:val="single" w:sz="8" w:color="auto"/>
              <w:right w:val="single" w:sz="8" w:color="auto"/>
            </w:tcBorders>
            <w:shd w:val="clear" w:color="auto" w:fill="B1C9FD"/>
          </w:tcPr>
          <w:p>
            <w:pPr>
              <w:spacing w:after="0"/>
              <w:rPr>
                <w:sz w:val="24"/>
                <w:szCs w:val="24"/>
                <w:color w:val="auto"/>
              </w:rPr>
            </w:pPr>
          </w:p>
        </w:tc>
        <w:tc>
          <w:tcPr>
            <w:tcW w:w="820" w:type="dxa"/>
            <w:vAlign w:val="bottom"/>
            <w:tcBorders>
              <w:top w:val="single" w:sz="8" w:color="auto"/>
              <w:right w:val="single" w:sz="8" w:color="auto"/>
            </w:tcBorders>
            <w:shd w:val="clear" w:color="auto" w:fill="B1C9FD"/>
          </w:tcPr>
          <w:p>
            <w:pPr>
              <w:spacing w:after="0"/>
              <w:rPr>
                <w:sz w:val="24"/>
                <w:szCs w:val="24"/>
                <w:color w:val="auto"/>
              </w:rPr>
            </w:pPr>
          </w:p>
        </w:tc>
        <w:tc>
          <w:tcPr>
            <w:tcW w:w="82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Equity</w:t>
            </w:r>
          </w:p>
        </w:tc>
        <w:tc>
          <w:tcPr>
            <w:tcW w:w="110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Nonqualified</w:t>
            </w:r>
          </w:p>
        </w:tc>
        <w:tc>
          <w:tcPr>
            <w:tcW w:w="98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Present</w:t>
            </w:r>
          </w:p>
        </w:tc>
        <w:tc>
          <w:tcPr>
            <w:tcW w:w="920" w:type="dxa"/>
            <w:vAlign w:val="bottom"/>
            <w:tcBorders>
              <w:top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B1C9FD"/>
          </w:tcPr>
          <w:p>
            <w:pPr>
              <w:spacing w:after="0"/>
              <w:rPr>
                <w:sz w:val="14"/>
                <w:szCs w:val="14"/>
                <w:color w:val="auto"/>
              </w:rPr>
            </w:pPr>
          </w:p>
        </w:tc>
        <w:tc>
          <w:tcPr>
            <w:tcW w:w="760" w:type="dxa"/>
            <w:vAlign w:val="bottom"/>
            <w:tcBorders>
              <w:right w:val="single" w:sz="8" w:color="auto"/>
            </w:tcBorders>
            <w:shd w:val="clear" w:color="auto" w:fill="B1C9FD"/>
          </w:tcPr>
          <w:p>
            <w:pPr>
              <w:spacing w:after="0"/>
              <w:rPr>
                <w:sz w:val="14"/>
                <w:szCs w:val="14"/>
                <w:color w:val="auto"/>
              </w:rPr>
            </w:pPr>
          </w:p>
        </w:tc>
        <w:tc>
          <w:tcPr>
            <w:tcW w:w="1240" w:type="dxa"/>
            <w:vAlign w:val="bottom"/>
            <w:tcBorders>
              <w:right w:val="single" w:sz="8" w:color="auto"/>
            </w:tcBorders>
            <w:shd w:val="clear" w:color="auto" w:fill="B1C9FD"/>
          </w:tcPr>
          <w:p>
            <w:pPr>
              <w:spacing w:after="0"/>
              <w:rPr>
                <w:sz w:val="14"/>
                <w:szCs w:val="14"/>
                <w:color w:val="auto"/>
              </w:rPr>
            </w:pP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Health</w:t>
            </w: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Grants</w:t>
            </w:r>
          </w:p>
        </w:tc>
        <w:tc>
          <w:tcPr>
            <w:tcW w:w="11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Deferred</w:t>
            </w:r>
          </w:p>
        </w:tc>
        <w:tc>
          <w:tcPr>
            <w:tcW w:w="9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Value of</w:t>
            </w:r>
          </w:p>
        </w:tc>
        <w:tc>
          <w:tcPr>
            <w:tcW w:w="92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B1C9FD"/>
          </w:tcPr>
          <w:p>
            <w:pPr>
              <w:spacing w:after="0"/>
              <w:rPr>
                <w:sz w:val="14"/>
                <w:szCs w:val="14"/>
                <w:color w:val="auto"/>
              </w:rPr>
            </w:pPr>
          </w:p>
        </w:tc>
        <w:tc>
          <w:tcPr>
            <w:tcW w:w="7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Unpaid</w:t>
            </w:r>
          </w:p>
        </w:tc>
        <w:tc>
          <w:tcPr>
            <w:tcW w:w="1240" w:type="dxa"/>
            <w:vAlign w:val="bottom"/>
            <w:tcBorders>
              <w:right w:val="single" w:sz="8" w:color="auto"/>
            </w:tcBorders>
            <w:shd w:val="clear" w:color="auto" w:fill="B1C9FD"/>
          </w:tcPr>
          <w:p>
            <w:pPr>
              <w:spacing w:after="0"/>
              <w:rPr>
                <w:sz w:val="14"/>
                <w:szCs w:val="14"/>
                <w:color w:val="auto"/>
              </w:rPr>
            </w:pP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and ERISA</w:t>
            </w: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Vesting as</w:t>
            </w:r>
          </w:p>
        </w:tc>
        <w:tc>
          <w:tcPr>
            <w:tcW w:w="11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Compensation</w:t>
            </w:r>
          </w:p>
        </w:tc>
        <w:tc>
          <w:tcPr>
            <w:tcW w:w="9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Accumulated</w:t>
            </w:r>
          </w:p>
        </w:tc>
        <w:tc>
          <w:tcPr>
            <w:tcW w:w="92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right w:val="single" w:sz="8" w:color="auto"/>
            </w:tcBorders>
            <w:shd w:val="clear" w:color="auto" w:fill="B1C9FD"/>
          </w:tcPr>
          <w:p>
            <w:pPr>
              <w:spacing w:after="0"/>
              <w:rPr>
                <w:sz w:val="14"/>
                <w:szCs w:val="14"/>
                <w:color w:val="auto"/>
              </w:rPr>
            </w:pPr>
          </w:p>
        </w:tc>
        <w:tc>
          <w:tcPr>
            <w:tcW w:w="7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Bonus for</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Severance</w:t>
            </w: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Welfare</w:t>
            </w:r>
          </w:p>
        </w:tc>
        <w:tc>
          <w:tcPr>
            <w:tcW w:w="8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 Result of</w:t>
            </w:r>
          </w:p>
        </w:tc>
        <w:tc>
          <w:tcPr>
            <w:tcW w:w="11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Aggregate</w:t>
            </w:r>
          </w:p>
        </w:tc>
        <w:tc>
          <w:tcPr>
            <w:tcW w:w="9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Pension</w:t>
            </w:r>
          </w:p>
        </w:tc>
        <w:tc>
          <w:tcPr>
            <w:tcW w:w="920" w:type="dxa"/>
            <w:vAlign w:val="bottom"/>
            <w:tcBorders>
              <w:right w:val="single" w:sz="8" w:color="auto"/>
            </w:tcBorders>
            <w:vMerge w:val="restart"/>
            <w:shd w:val="clear" w:color="auto" w:fill="B1C9FD"/>
          </w:tcPr>
          <w:p>
            <w:pPr>
              <w:jc w:val="right"/>
              <w:ind w:right="162"/>
              <w:spacing w:after="0"/>
              <w:rPr>
                <w:sz w:val="20"/>
                <w:szCs w:val="20"/>
                <w:color w:val="auto"/>
              </w:rPr>
            </w:pPr>
            <w:r>
              <w:rPr>
                <w:rFonts w:ascii="Arial" w:cs="Arial" w:eastAsia="Arial" w:hAnsi="Arial"/>
                <w:sz w:val="14"/>
                <w:szCs w:val="14"/>
                <w:b w:val="1"/>
                <w:bCs w:val="1"/>
                <w:color w:val="004FF9"/>
              </w:rPr>
              <w:t>Total</w:t>
            </w:r>
            <w:r>
              <w:rPr>
                <w:rFonts w:ascii="Arial" w:cs="Arial" w:eastAsia="Arial" w:hAnsi="Arial"/>
                <w:sz w:val="21"/>
                <w:szCs w:val="21"/>
                <w:b w:val="1"/>
                <w:bCs w:val="1"/>
                <w:color w:val="004FF9"/>
                <w:vertAlign w:val="superscript"/>
              </w:rPr>
              <w:t>(6)</w:t>
            </w:r>
          </w:p>
        </w:tc>
        <w:tc>
          <w:tcPr>
            <w:tcW w:w="0" w:type="dxa"/>
            <w:vAlign w:val="bottom"/>
          </w:tcPr>
          <w:p>
            <w:pPr>
              <w:spacing w:after="0"/>
              <w:rPr>
                <w:sz w:val="1"/>
                <w:szCs w:val="1"/>
                <w:color w:val="auto"/>
              </w:rPr>
            </w:pPr>
          </w:p>
        </w:tc>
      </w:tr>
      <w:tr>
        <w:trPr>
          <w:trHeight w:val="176"/>
        </w:trPr>
        <w:tc>
          <w:tcPr>
            <w:tcW w:w="1580" w:type="dxa"/>
            <w:vAlign w:val="bottom"/>
            <w:tcBorders>
              <w:left w:val="single" w:sz="8" w:color="auto"/>
              <w:right w:val="single" w:sz="8" w:color="auto"/>
            </w:tcBorders>
            <w:shd w:val="clear" w:color="auto" w:fill="B1C9FD"/>
          </w:tcPr>
          <w:p>
            <w:pPr>
              <w:ind w:left="180"/>
              <w:spacing w:after="0"/>
              <w:rPr>
                <w:sz w:val="20"/>
                <w:szCs w:val="20"/>
                <w:color w:val="auto"/>
              </w:rPr>
            </w:pPr>
            <w:r>
              <w:rPr>
                <w:rFonts w:ascii="Arial" w:cs="Arial" w:eastAsia="Arial" w:hAnsi="Arial"/>
                <w:sz w:val="14"/>
                <w:szCs w:val="14"/>
                <w:b w:val="1"/>
                <w:bCs w:val="1"/>
                <w:color w:val="004FF9"/>
              </w:rPr>
              <w:t>Named Executive</w:t>
            </w:r>
          </w:p>
        </w:tc>
        <w:tc>
          <w:tcPr>
            <w:tcW w:w="760" w:type="dxa"/>
            <w:vAlign w:val="bottom"/>
            <w:tcBorders>
              <w:right w:val="single" w:sz="8" w:color="auto"/>
            </w:tcBorders>
            <w:shd w:val="clear" w:color="auto" w:fill="B1C9FD"/>
          </w:tcPr>
          <w:p>
            <w:pPr>
              <w:jc w:val="right"/>
              <w:ind w:right="83"/>
              <w:spacing w:after="0" w:line="176" w:lineRule="exact"/>
              <w:rPr>
                <w:sz w:val="20"/>
                <w:szCs w:val="20"/>
                <w:color w:val="auto"/>
              </w:rPr>
            </w:pPr>
            <w:r>
              <w:rPr>
                <w:rFonts w:ascii="Arial" w:cs="Arial" w:eastAsia="Arial" w:hAnsi="Arial"/>
                <w:sz w:val="14"/>
                <w:szCs w:val="14"/>
                <w:b w:val="1"/>
                <w:bCs w:val="1"/>
                <w:color w:val="004FF9"/>
              </w:rPr>
              <w:t>2014</w:t>
            </w:r>
            <w:r>
              <w:rPr>
                <w:rFonts w:ascii="Arial" w:cs="Arial" w:eastAsia="Arial" w:hAnsi="Arial"/>
                <w:sz w:val="20"/>
                <w:szCs w:val="20"/>
                <w:b w:val="1"/>
                <w:bCs w:val="1"/>
                <w:color w:val="004FF9"/>
                <w:vertAlign w:val="superscript"/>
              </w:rPr>
              <w:t>(1)</w:t>
            </w:r>
          </w:p>
        </w:tc>
        <w:tc>
          <w:tcPr>
            <w:tcW w:w="124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rPr>
              <w:t>Compensation</w:t>
            </w:r>
            <w:r>
              <w:rPr>
                <w:rFonts w:ascii="Arial" w:cs="Arial" w:eastAsia="Arial" w:hAnsi="Arial"/>
                <w:sz w:val="20"/>
                <w:szCs w:val="20"/>
                <w:b w:val="1"/>
                <w:bCs w:val="1"/>
                <w:color w:val="004FF9"/>
                <w:vertAlign w:val="superscript"/>
              </w:rPr>
              <w:t>(2)</w:t>
            </w:r>
          </w:p>
        </w:tc>
        <w:tc>
          <w:tcPr>
            <w:tcW w:w="82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Benefits</w:t>
            </w:r>
            <w:r>
              <w:rPr>
                <w:rFonts w:ascii="Arial" w:cs="Arial" w:eastAsia="Arial" w:hAnsi="Arial"/>
                <w:sz w:val="20"/>
                <w:szCs w:val="20"/>
                <w:b w:val="1"/>
                <w:bCs w:val="1"/>
                <w:color w:val="004FF9"/>
                <w:w w:val="97"/>
                <w:vertAlign w:val="superscript"/>
              </w:rPr>
              <w:t>(3)</w:t>
            </w:r>
          </w:p>
        </w:tc>
        <w:tc>
          <w:tcPr>
            <w:tcW w:w="82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20"/>
                <w:szCs w:val="20"/>
                <w:b w:val="1"/>
                <w:bCs w:val="1"/>
                <w:color w:val="004FF9"/>
                <w:vertAlign w:val="subscript"/>
              </w:rPr>
              <w:t>CIC</w:t>
            </w:r>
            <w:r>
              <w:rPr>
                <w:rFonts w:ascii="Arial" w:cs="Arial" w:eastAsia="Arial" w:hAnsi="Arial"/>
                <w:sz w:val="9"/>
                <w:szCs w:val="9"/>
                <w:b w:val="1"/>
                <w:bCs w:val="1"/>
                <w:color w:val="004FF9"/>
              </w:rPr>
              <w:t>(4)</w:t>
            </w:r>
          </w:p>
        </w:tc>
        <w:tc>
          <w:tcPr>
            <w:tcW w:w="11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Balance</w:t>
            </w:r>
          </w:p>
        </w:tc>
        <w:tc>
          <w:tcPr>
            <w:tcW w:w="98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(5)</w:t>
            </w:r>
          </w:p>
        </w:tc>
        <w:tc>
          <w:tcPr>
            <w:tcW w:w="920" w:type="dxa"/>
            <w:vAlign w:val="bottom"/>
            <w:tcBorders>
              <w:right w:val="single" w:sz="8" w:color="auto"/>
            </w:tcBorders>
            <w:vMerge w:val="continue"/>
            <w:shd w:val="clear" w:color="auto" w:fill="B1C9FD"/>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80" w:type="dxa"/>
            <w:vAlign w:val="bottom"/>
            <w:tcBorders>
              <w:left w:val="single" w:sz="8" w:color="auto"/>
              <w:bottom w:val="single" w:sz="8" w:color="auto"/>
              <w:right w:val="single" w:sz="8" w:color="auto"/>
            </w:tcBorders>
            <w:shd w:val="clear" w:color="auto" w:fill="B1C9FD"/>
          </w:tcPr>
          <w:p>
            <w:pPr>
              <w:ind w:left="560"/>
              <w:spacing w:after="0"/>
              <w:rPr>
                <w:sz w:val="20"/>
                <w:szCs w:val="20"/>
                <w:color w:val="auto"/>
              </w:rPr>
            </w:pPr>
            <w:r>
              <w:rPr>
                <w:rFonts w:ascii="Arial" w:cs="Arial" w:eastAsia="Arial" w:hAnsi="Arial"/>
                <w:sz w:val="14"/>
                <w:szCs w:val="14"/>
                <w:b w:val="1"/>
                <w:bCs w:val="1"/>
                <w:color w:val="004FF9"/>
              </w:rPr>
              <w:t>Officer</w:t>
            </w:r>
          </w:p>
        </w:tc>
        <w:tc>
          <w:tcPr>
            <w:tcW w:w="760" w:type="dxa"/>
            <w:vAlign w:val="bottom"/>
            <w:tcBorders>
              <w:bottom w:val="single" w:sz="8" w:color="auto"/>
              <w:right w:val="single" w:sz="8" w:color="auto"/>
            </w:tcBorders>
            <w:shd w:val="clear" w:color="auto" w:fill="B1C9FD"/>
          </w:tcPr>
          <w:p>
            <w:pPr>
              <w:jc w:val="right"/>
              <w:ind w:right="223"/>
              <w:spacing w:after="0"/>
              <w:rPr>
                <w:sz w:val="20"/>
                <w:szCs w:val="20"/>
                <w:color w:val="auto"/>
              </w:rPr>
            </w:pPr>
            <w:r>
              <w:rPr>
                <w:rFonts w:ascii="Arial" w:cs="Arial" w:eastAsia="Arial" w:hAnsi="Arial"/>
                <w:sz w:val="14"/>
                <w:szCs w:val="14"/>
                <w:b w:val="1"/>
                <w:bCs w:val="1"/>
                <w:color w:val="004FF9"/>
              </w:rPr>
              <w:t>($)</w:t>
            </w:r>
          </w:p>
        </w:tc>
        <w:tc>
          <w:tcPr>
            <w:tcW w:w="12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8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8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1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9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920" w:type="dxa"/>
            <w:vAlign w:val="bottom"/>
            <w:tcBorders>
              <w:bottom w:val="single" w:sz="8" w:color="auto"/>
              <w:right w:val="single" w:sz="8" w:color="auto"/>
            </w:tcBorders>
            <w:shd w:val="clear" w:color="auto" w:fill="B1C9FD"/>
          </w:tcPr>
          <w:p>
            <w:pPr>
              <w:jc w:val="right"/>
              <w:ind w:right="302"/>
              <w:spacing w:after="0"/>
              <w:rPr>
                <w:sz w:val="20"/>
                <w:szCs w:val="20"/>
                <w:color w:val="auto"/>
              </w:rPr>
            </w:pPr>
            <w:r>
              <w:rPr>
                <w:rFonts w:ascii="Arial" w:cs="Arial" w:eastAsia="Arial" w:hAnsi="Arial"/>
                <w:sz w:val="14"/>
                <w:szCs w:val="14"/>
                <w:b w:val="1"/>
                <w:bCs w:val="1"/>
                <w:color w:val="004FF9"/>
              </w:rPr>
              <w:t>($)</w:t>
            </w:r>
          </w:p>
        </w:tc>
        <w:tc>
          <w:tcPr>
            <w:tcW w:w="0" w:type="dxa"/>
            <w:vAlign w:val="bottom"/>
          </w:tcPr>
          <w:p>
            <w:pPr>
              <w:spacing w:after="0"/>
              <w:rPr>
                <w:sz w:val="1"/>
                <w:szCs w:val="1"/>
                <w:color w:val="auto"/>
              </w:rPr>
            </w:pPr>
          </w:p>
        </w:tc>
      </w:tr>
      <w:tr>
        <w:trPr>
          <w:trHeight w:val="236"/>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Henrik C. Slipsager</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893,000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5,358,000</w:t>
            </w:r>
          </w:p>
        </w:tc>
        <w:tc>
          <w:tcPr>
            <w:tcW w:w="82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6"/>
                <w:szCs w:val="16"/>
                <w:color w:val="auto"/>
              </w:rPr>
              <w:t>100,000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9,625,644</w:t>
            </w:r>
          </w:p>
        </w:tc>
        <w:tc>
          <w:tcPr>
            <w:tcW w:w="110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5,236,397</w:t>
            </w:r>
          </w:p>
        </w:tc>
        <w:tc>
          <w:tcPr>
            <w:tcW w:w="98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705,387</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21,918,428</w:t>
            </w:r>
          </w:p>
        </w:tc>
        <w:tc>
          <w:tcPr>
            <w:tcW w:w="0" w:type="dxa"/>
            <w:vAlign w:val="bottom"/>
          </w:tcPr>
          <w:p>
            <w:pPr>
              <w:spacing w:after="0"/>
              <w:rPr>
                <w:sz w:val="1"/>
                <w:szCs w:val="1"/>
                <w:color w:val="auto"/>
              </w:rPr>
            </w:pPr>
          </w:p>
        </w:tc>
      </w:tr>
      <w:tr>
        <w:trPr>
          <w:trHeight w:val="237"/>
        </w:trPr>
        <w:tc>
          <w:tcPr>
            <w:tcW w:w="1580" w:type="dxa"/>
            <w:vAlign w:val="bottom"/>
            <w:tcBorders>
              <w:left w:val="single" w:sz="8" w:color="auto"/>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James S. Lusk</w:t>
            </w:r>
          </w:p>
        </w:tc>
        <w:tc>
          <w:tcPr>
            <w:tcW w:w="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393,449</w:t>
            </w:r>
          </w:p>
        </w:tc>
        <w:tc>
          <w:tcPr>
            <w:tcW w:w="124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1,911,041</w:t>
            </w:r>
          </w:p>
        </w:tc>
        <w:tc>
          <w:tcPr>
            <w:tcW w:w="820" w:type="dxa"/>
            <w:vAlign w:val="bottom"/>
            <w:tcBorders>
              <w:bottom w:val="single" w:sz="8" w:color="auto"/>
              <w:right w:val="single" w:sz="8" w:color="auto"/>
            </w:tcBorders>
            <w:shd w:val="clear" w:color="auto" w:fill="E5EDFE"/>
          </w:tcPr>
          <w:p>
            <w:pPr>
              <w:jc w:val="right"/>
              <w:ind w:right="44"/>
              <w:spacing w:after="0"/>
              <w:rPr>
                <w:sz w:val="20"/>
                <w:szCs w:val="20"/>
                <w:color w:val="auto"/>
              </w:rPr>
            </w:pPr>
            <w:r>
              <w:rPr>
                <w:rFonts w:ascii="Arial" w:cs="Arial" w:eastAsia="Arial" w:hAnsi="Arial"/>
                <w:sz w:val="16"/>
                <w:szCs w:val="16"/>
                <w:color w:val="auto"/>
              </w:rPr>
              <w:t>21,807</w:t>
            </w:r>
          </w:p>
        </w:tc>
        <w:tc>
          <w:tcPr>
            <w:tcW w:w="82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shd w:val="clear" w:color="auto" w:fill="E5EDFE"/>
              </w:rPr>
              <w:t>2,893,103</w:t>
            </w:r>
          </w:p>
        </w:tc>
        <w:tc>
          <w:tcPr>
            <w:tcW w:w="1100" w:type="dxa"/>
            <w:vAlign w:val="bottom"/>
            <w:tcBorders>
              <w:bottom w:val="single" w:sz="8" w:color="auto"/>
              <w:right w:val="single" w:sz="8" w:color="auto"/>
            </w:tcBorders>
            <w:shd w:val="clear" w:color="auto" w:fill="E5EDFE"/>
          </w:tcPr>
          <w:p>
            <w:pPr>
              <w:jc w:val="right"/>
              <w:ind w:right="124"/>
              <w:spacing w:after="0"/>
              <w:rPr>
                <w:sz w:val="20"/>
                <w:szCs w:val="20"/>
                <w:color w:val="auto"/>
              </w:rPr>
            </w:pPr>
            <w:r>
              <w:rPr>
                <w:rFonts w:ascii="Arial" w:cs="Arial" w:eastAsia="Arial" w:hAnsi="Arial"/>
                <w:sz w:val="16"/>
                <w:szCs w:val="16"/>
                <w:color w:val="auto"/>
              </w:rPr>
              <w:t>96,602</w:t>
            </w:r>
          </w:p>
        </w:tc>
        <w:tc>
          <w:tcPr>
            <w:tcW w:w="980" w:type="dxa"/>
            <w:vAlign w:val="bottom"/>
            <w:tcBorders>
              <w:bottom w:val="single" w:sz="8" w:color="auto"/>
              <w:right w:val="single" w:sz="8" w:color="auto"/>
            </w:tcBorders>
            <w:shd w:val="clear" w:color="auto" w:fill="E5EDFE"/>
          </w:tcPr>
          <w:p>
            <w:pPr>
              <w:jc w:val="right"/>
              <w:ind w:right="124"/>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right w:val="single" w:sz="8" w:color="auto"/>
            </w:tcBorders>
            <w:shd w:val="clear" w:color="auto" w:fill="E5EDFE"/>
          </w:tcPr>
          <w:p>
            <w:pPr>
              <w:jc w:val="right"/>
              <w:spacing w:after="0"/>
              <w:rPr>
                <w:sz w:val="20"/>
                <w:szCs w:val="20"/>
                <w:color w:val="auto"/>
              </w:rPr>
            </w:pPr>
            <w:r>
              <w:rPr>
                <w:rFonts w:ascii="Arial" w:cs="Arial" w:eastAsia="Arial" w:hAnsi="Arial"/>
                <w:sz w:val="16"/>
                <w:szCs w:val="16"/>
                <w:color w:val="auto"/>
              </w:rPr>
              <w:t>5,316,002</w:t>
            </w:r>
          </w:p>
        </w:tc>
        <w:tc>
          <w:tcPr>
            <w:tcW w:w="0" w:type="dxa"/>
            <w:vAlign w:val="bottom"/>
          </w:tcPr>
          <w:p>
            <w:pPr>
              <w:spacing w:after="0"/>
              <w:rPr>
                <w:sz w:val="1"/>
                <w:szCs w:val="1"/>
                <w:color w:val="auto"/>
              </w:rPr>
            </w:pPr>
          </w:p>
        </w:tc>
      </w:tr>
      <w:tr>
        <w:trPr>
          <w:trHeight w:val="237"/>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James P. McClure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508,227</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2,371,730</w:t>
            </w:r>
          </w:p>
        </w:tc>
        <w:tc>
          <w:tcPr>
            <w:tcW w:w="82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6"/>
                <w:szCs w:val="16"/>
                <w:color w:val="auto"/>
              </w:rPr>
              <w:t>21,807</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5,104,302</w:t>
            </w:r>
          </w:p>
        </w:tc>
        <w:tc>
          <w:tcPr>
            <w:tcW w:w="110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2,616,518</w:t>
            </w:r>
          </w:p>
        </w:tc>
        <w:tc>
          <w:tcPr>
            <w:tcW w:w="98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249,880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10,872,464</w:t>
            </w:r>
          </w:p>
        </w:tc>
        <w:tc>
          <w:tcPr>
            <w:tcW w:w="0" w:type="dxa"/>
            <w:vAlign w:val="bottom"/>
          </w:tcPr>
          <w:p>
            <w:pPr>
              <w:spacing w:after="0"/>
              <w:rPr>
                <w:sz w:val="1"/>
                <w:szCs w:val="1"/>
                <w:color w:val="auto"/>
              </w:rPr>
            </w:pPr>
          </w:p>
        </w:tc>
      </w:tr>
      <w:tr>
        <w:trPr>
          <w:trHeight w:val="237"/>
        </w:trPr>
        <w:tc>
          <w:tcPr>
            <w:tcW w:w="1580" w:type="dxa"/>
            <w:vAlign w:val="bottom"/>
            <w:tcBorders>
              <w:left w:val="single" w:sz="8" w:color="auto"/>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Tracy K. Price</w:t>
            </w:r>
          </w:p>
        </w:tc>
        <w:tc>
          <w:tcPr>
            <w:tcW w:w="76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508,227</w:t>
            </w:r>
          </w:p>
        </w:tc>
        <w:tc>
          <w:tcPr>
            <w:tcW w:w="124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2,371,730</w:t>
            </w:r>
          </w:p>
        </w:tc>
        <w:tc>
          <w:tcPr>
            <w:tcW w:w="820" w:type="dxa"/>
            <w:vAlign w:val="bottom"/>
            <w:tcBorders>
              <w:bottom w:val="single" w:sz="8" w:color="auto"/>
              <w:right w:val="single" w:sz="8" w:color="auto"/>
            </w:tcBorders>
            <w:shd w:val="clear" w:color="auto" w:fill="E5EDFE"/>
          </w:tcPr>
          <w:p>
            <w:pPr>
              <w:jc w:val="right"/>
              <w:ind w:right="44"/>
              <w:spacing w:after="0"/>
              <w:rPr>
                <w:sz w:val="20"/>
                <w:szCs w:val="20"/>
                <w:color w:val="auto"/>
              </w:rPr>
            </w:pPr>
            <w:r>
              <w:rPr>
                <w:rFonts w:ascii="Arial" w:cs="Arial" w:eastAsia="Arial" w:hAnsi="Arial"/>
                <w:sz w:val="16"/>
                <w:szCs w:val="16"/>
                <w:color w:val="auto"/>
              </w:rPr>
              <w:t>21,807</w:t>
            </w:r>
          </w:p>
        </w:tc>
        <w:tc>
          <w:tcPr>
            <w:tcW w:w="82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shd w:val="clear" w:color="auto" w:fill="E5EDFE"/>
              </w:rPr>
              <w:t>3,345,362</w:t>
            </w:r>
          </w:p>
        </w:tc>
        <w:tc>
          <w:tcPr>
            <w:tcW w:w="1100" w:type="dxa"/>
            <w:vAlign w:val="bottom"/>
            <w:tcBorders>
              <w:bottom w:val="single" w:sz="8" w:color="auto"/>
              <w:right w:val="single" w:sz="8" w:color="auto"/>
            </w:tcBorders>
            <w:shd w:val="clear" w:color="auto" w:fill="E5EDFE"/>
          </w:tcPr>
          <w:p>
            <w:pPr>
              <w:jc w:val="right"/>
              <w:ind w:right="124"/>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right w:val="single" w:sz="8" w:color="auto"/>
            </w:tcBorders>
            <w:shd w:val="clear" w:color="auto" w:fill="E5EDFE"/>
          </w:tcPr>
          <w:p>
            <w:pPr>
              <w:jc w:val="right"/>
              <w:ind w:right="124"/>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right w:val="single" w:sz="8" w:color="auto"/>
            </w:tcBorders>
            <w:shd w:val="clear" w:color="auto" w:fill="E5EDFE"/>
          </w:tcPr>
          <w:p>
            <w:pPr>
              <w:jc w:val="right"/>
              <w:spacing w:after="0"/>
              <w:rPr>
                <w:sz w:val="20"/>
                <w:szCs w:val="20"/>
                <w:color w:val="auto"/>
              </w:rPr>
            </w:pPr>
            <w:r>
              <w:rPr>
                <w:rFonts w:ascii="Arial" w:cs="Arial" w:eastAsia="Arial" w:hAnsi="Arial"/>
                <w:sz w:val="16"/>
                <w:szCs w:val="16"/>
                <w:color w:val="auto"/>
              </w:rPr>
              <w:t>6,247,126</w:t>
            </w:r>
          </w:p>
        </w:tc>
        <w:tc>
          <w:tcPr>
            <w:tcW w:w="0" w:type="dxa"/>
            <w:vAlign w:val="bottom"/>
          </w:tcPr>
          <w:p>
            <w:pPr>
              <w:spacing w:after="0"/>
              <w:rPr>
                <w:sz w:val="1"/>
                <w:szCs w:val="1"/>
                <w:color w:val="auto"/>
              </w:rPr>
            </w:pPr>
          </w:p>
        </w:tc>
      </w:tr>
      <w:tr>
        <w:trPr>
          <w:trHeight w:val="237"/>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Sarah H. McConnell</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283,662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1,512,864</w:t>
            </w:r>
          </w:p>
        </w:tc>
        <w:tc>
          <w:tcPr>
            <w:tcW w:w="82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6"/>
                <w:szCs w:val="16"/>
                <w:color w:val="auto"/>
              </w:rPr>
              <w:t>11,375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2,088,683</w:t>
            </w:r>
          </w:p>
        </w:tc>
        <w:tc>
          <w:tcPr>
            <w:tcW w:w="110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1,209,932</w:t>
            </w:r>
          </w:p>
        </w:tc>
        <w:tc>
          <w:tcPr>
            <w:tcW w:w="98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5,106,516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20" w:hanging="352"/>
        <w:spacing w:after="0"/>
        <w:tabs>
          <w:tab w:leader="none" w:pos="1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is target bonus for fiscal year 2014.</w:t>
      </w:r>
    </w:p>
    <w:p>
      <w:pPr>
        <w:spacing w:after="0" w:line="68" w:lineRule="exact"/>
        <w:rPr>
          <w:rFonts w:ascii="Arial" w:cs="Arial" w:eastAsia="Arial" w:hAnsi="Arial"/>
          <w:sz w:val="14"/>
          <w:szCs w:val="14"/>
          <w:color w:val="auto"/>
        </w:rPr>
      </w:pPr>
    </w:p>
    <w:p>
      <w:pPr>
        <w:ind w:left="1620" w:hanging="352"/>
        <w:spacing w:after="0"/>
        <w:tabs>
          <w:tab w:leader="none" w:pos="1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Multiple of the sum of base salary and target bonus for the year in which the change-in-control occurs.</w:t>
      </w:r>
    </w:p>
    <w:p>
      <w:pPr>
        <w:spacing w:after="0" w:line="68" w:lineRule="exact"/>
        <w:rPr>
          <w:rFonts w:ascii="Arial" w:cs="Arial" w:eastAsia="Arial" w:hAnsi="Arial"/>
          <w:sz w:val="14"/>
          <w:szCs w:val="14"/>
          <w:color w:val="auto"/>
        </w:rPr>
      </w:pPr>
    </w:p>
    <w:p>
      <w:pPr>
        <w:jc w:val="both"/>
        <w:ind w:left="1620" w:right="759" w:hanging="352"/>
        <w:spacing w:after="0" w:line="270" w:lineRule="auto"/>
        <w:tabs>
          <w:tab w:leader="none" w:pos="1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Mr. Slipsager, amount is based on the terms of his employment agreement, which provides that the Company will pay him $10,000 per year for ten years to be used towards the purchase of health insurance. For Messrs. Lusk, McClure and Price, and for Ms. McConnell, amount shown is estimated cost for health and welfare benefits for an 18-month period.</w:t>
      </w:r>
    </w:p>
    <w:p>
      <w:pPr>
        <w:spacing w:after="0" w:line="37"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Intrinsic value is based on $27.64 per share, the closing price of ABM common stock on October 31, 2014. Amounts include awards vested prior to October 31, 2014.</w:t>
      </w:r>
    </w:p>
    <w:p>
      <w:pPr>
        <w:spacing w:after="0" w:line="32" w:lineRule="exact"/>
        <w:rPr>
          <w:rFonts w:ascii="Arial" w:cs="Arial" w:eastAsia="Arial" w:hAnsi="Arial"/>
          <w:sz w:val="14"/>
          <w:szCs w:val="14"/>
          <w:color w:val="auto"/>
        </w:rPr>
      </w:pPr>
    </w:p>
    <w:p>
      <w:pPr>
        <w:ind w:left="1620" w:hanging="352"/>
        <w:spacing w:after="0"/>
        <w:tabs>
          <w:tab w:leader="none" w:pos="1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include present value of SERP and/or SAB balances for those NEOs who participate in the SERP and/or SAB.</w:t>
      </w:r>
    </w:p>
    <w:p>
      <w:pPr>
        <w:spacing w:after="0" w:line="68" w:lineRule="exact"/>
        <w:rPr>
          <w:rFonts w:ascii="Arial" w:cs="Arial" w:eastAsia="Arial" w:hAnsi="Arial"/>
          <w:sz w:val="14"/>
          <w:szCs w:val="14"/>
          <w:color w:val="auto"/>
        </w:rPr>
      </w:pPr>
    </w:p>
    <w:p>
      <w:pPr>
        <w:ind w:left="1620" w:right="739" w:hanging="352"/>
        <w:spacing w:after="0" w:line="278" w:lineRule="auto"/>
        <w:tabs>
          <w:tab w:leader="none" w:pos="1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do not include potential accrued but unused vacation and any unpaid base salary for employment through termination date. Amounts shown are subject to reduction, as described below.</w:t>
      </w:r>
    </w:p>
    <w:p>
      <w:pPr>
        <w:sectPr>
          <w:pgSz w:w="11900" w:h="16838" w:orient="portrait"/>
          <w:cols w:equalWidth="0" w:num="1">
            <w:col w:w="10219"/>
          </w:cols>
          <w:pgMar w:left="240" w:top="132" w:right="1440" w:bottom="1440" w:gutter="0" w:footer="0" w:header="0"/>
          <w:type w:val="continuous"/>
        </w:sectPr>
      </w:pPr>
    </w:p>
    <w:p>
      <w:pPr>
        <w:spacing w:after="0" w:line="340"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The change-in-control agreements with the NEOs provide that, if a change-in-control occurs during the term of the agreement, the executive will receive the stated benefits upon involuntary termination (other than for cause) or resignation for good reason prior to the second anniversary of the change-in-control.</w:t>
      </w:r>
    </w:p>
    <w:p>
      <w:pPr>
        <w:spacing w:after="0" w:line="97" w:lineRule="exact"/>
        <w:rPr>
          <w:sz w:val="20"/>
          <w:szCs w:val="20"/>
          <w:color w:val="auto"/>
        </w:rPr>
      </w:pPr>
    </w:p>
    <w:p>
      <w:pPr>
        <w:jc w:val="both"/>
        <w:ind w:left="1260"/>
        <w:spacing w:after="0" w:line="260" w:lineRule="auto"/>
        <w:rPr>
          <w:sz w:val="20"/>
          <w:szCs w:val="20"/>
          <w:color w:val="auto"/>
        </w:rPr>
      </w:pPr>
      <w:r>
        <w:rPr>
          <w:rFonts w:ascii="Arial" w:cs="Arial" w:eastAsia="Arial" w:hAnsi="Arial"/>
          <w:sz w:val="16"/>
          <w:szCs w:val="16"/>
          <w:color w:val="auto"/>
        </w:rPr>
        <w:t>The stated benefits for the NEO under the change-in-control agreements consist of:</w:t>
      </w:r>
    </w:p>
    <w:p>
      <w:pPr>
        <w:spacing w:after="0" w:line="7" w:lineRule="exact"/>
        <w:rPr>
          <w:sz w:val="20"/>
          <w:szCs w:val="20"/>
          <w:color w:val="auto"/>
        </w:rPr>
      </w:pPr>
    </w:p>
    <w:p>
      <w:pPr>
        <w:jc w:val="both"/>
        <w:ind w:left="1620" w:right="20" w:hanging="352"/>
        <w:spacing w:after="0" w:line="251" w:lineRule="auto"/>
        <w:tabs>
          <w:tab w:leader="none" w:pos="1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lump sum payment equal to three times the sum of base salary and target bonus for Mr. Slipsager, and two times the sum of base salary and target bonus for the other NEOs;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ind w:left="369" w:right="759" w:hanging="369"/>
        <w:spacing w:after="0" w:line="253" w:lineRule="auto"/>
        <w:tabs>
          <w:tab w:leader="none" w:pos="369"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continuation of all health benefits or reasonably equivalent benefits for 18 months following the date of termination; and</w:t>
      </w:r>
    </w:p>
    <w:p>
      <w:pPr>
        <w:spacing w:after="0" w:line="120" w:lineRule="exact"/>
        <w:rPr>
          <w:rFonts w:ascii="Arial" w:cs="Arial" w:eastAsia="Arial" w:hAnsi="Arial"/>
          <w:sz w:val="16"/>
          <w:szCs w:val="16"/>
          <w:color w:val="auto"/>
        </w:rPr>
      </w:pPr>
    </w:p>
    <w:p>
      <w:pPr>
        <w:jc w:val="both"/>
        <w:ind w:left="369" w:right="759" w:hanging="369"/>
        <w:spacing w:after="0" w:line="248" w:lineRule="auto"/>
        <w:tabs>
          <w:tab w:leader="none" w:pos="369" w:val="left"/>
        </w:tabs>
        <w:numPr>
          <w:ilvl w:val="0"/>
          <w:numId w:val="47"/>
        </w:numPr>
        <w:rPr>
          <w:rFonts w:ascii="Arial" w:cs="Arial" w:eastAsia="Arial" w:hAnsi="Arial"/>
          <w:sz w:val="16"/>
          <w:szCs w:val="16"/>
          <w:color w:val="auto"/>
        </w:rPr>
      </w:pPr>
      <w:r>
        <w:rPr>
          <w:rFonts w:ascii="Arial" w:cs="Arial" w:eastAsia="Arial" w:hAnsi="Arial"/>
          <w:sz w:val="16"/>
          <w:szCs w:val="16"/>
          <w:color w:val="auto"/>
        </w:rPr>
        <w:t>lump sum payment of any unpaid incentive compensation that was earned, accrued, allocated or awarded for a performance period that ended prior to the termination date, and lump sum payment of any pro rata portion of any target amount for any unpaid incentive compensation for the performance period in which the termination takes place.</w:t>
      </w:r>
    </w:p>
    <w:p>
      <w:pPr>
        <w:spacing w:after="0" w:line="434" w:lineRule="exact"/>
        <w:rPr>
          <w:sz w:val="20"/>
          <w:szCs w:val="20"/>
          <w:color w:val="auto"/>
        </w:rPr>
      </w:pPr>
    </w:p>
    <w:p>
      <w:pPr>
        <w:sectPr>
          <w:pgSz w:w="11900" w:h="16838" w:orient="portrait"/>
          <w:cols w:equalWidth="0" w:num="2">
            <w:col w:w="5080" w:space="591"/>
            <w:col w:w="4548"/>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260"/>
        <w:spacing w:after="0" w:line="260" w:lineRule="auto"/>
        <w:rPr>
          <w:sz w:val="20"/>
          <w:szCs w:val="20"/>
          <w:color w:val="auto"/>
        </w:rPr>
      </w:pPr>
      <w:r>
        <w:rPr>
          <w:rFonts w:ascii="Arial" w:cs="Arial" w:eastAsia="Arial" w:hAnsi="Arial"/>
          <w:sz w:val="16"/>
          <w:szCs w:val="16"/>
          <w:color w:val="auto"/>
        </w:rPr>
        <w:t>A “change-in-control” of the Company for the NEOs occurs in any of the following scenarios:</w:t>
      </w:r>
    </w:p>
    <w:p>
      <w:pPr>
        <w:spacing w:after="0" w:line="101" w:lineRule="exact"/>
        <w:rPr>
          <w:sz w:val="20"/>
          <w:szCs w:val="20"/>
          <w:color w:val="auto"/>
        </w:rPr>
      </w:pPr>
    </w:p>
    <w:p>
      <w:pPr>
        <w:jc w:val="both"/>
        <w:ind w:left="1620" w:right="20" w:hanging="352"/>
        <w:spacing w:after="0" w:line="246"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individual, entity or group (within the meaning of Section 13(d)(3) or 14(d)(2) of the Securities Exchange Act) (i) is or becomes the beneficial owner of more than 35% of the combined voting power of the stock of the Company or succeeds in having nominees as directors elected in an election contest and</w:t>
      </w:r>
    </w:p>
    <w:p>
      <w:pPr>
        <w:spacing w:after="0" w:line="3" w:lineRule="exact"/>
        <w:rPr>
          <w:rFonts w:ascii="Arial" w:cs="Arial" w:eastAsia="Arial" w:hAnsi="Arial"/>
          <w:sz w:val="16"/>
          <w:szCs w:val="16"/>
          <w:color w:val="auto"/>
        </w:rPr>
      </w:pPr>
    </w:p>
    <w:p>
      <w:pPr>
        <w:jc w:val="both"/>
        <w:ind w:left="1620" w:right="20" w:firstLine="8"/>
        <w:spacing w:after="0" w:line="250" w:lineRule="auto"/>
        <w:tabs>
          <w:tab w:leader="none" w:pos="1887" w:val="left"/>
        </w:tabs>
        <w:numPr>
          <w:ilvl w:val="1"/>
          <w:numId w:val="48"/>
        </w:numPr>
        <w:rPr>
          <w:rFonts w:ascii="Arial" w:cs="Arial" w:eastAsia="Arial" w:hAnsi="Arial"/>
          <w:sz w:val="16"/>
          <w:szCs w:val="16"/>
          <w:color w:val="auto"/>
        </w:rPr>
      </w:pPr>
      <w:r>
        <w:rPr>
          <w:rFonts w:ascii="Arial" w:cs="Arial" w:eastAsia="Arial" w:hAnsi="Arial"/>
          <w:sz w:val="16"/>
          <w:szCs w:val="16"/>
          <w:color w:val="auto"/>
        </w:rPr>
        <w:t>within 18 months after either such event, individuals who were members of the Board of Directors of the Company immediately prior to either such event cease to constitute a majority of the members of the Board of Directors;</w:t>
      </w:r>
    </w:p>
    <w:p>
      <w:pPr>
        <w:spacing w:after="0" w:line="108"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majority of the Board of Directors ceases to be comprised of incumbent directors;</w:t>
      </w:r>
    </w:p>
    <w:p>
      <w:pPr>
        <w:spacing w:after="0" w:line="114" w:lineRule="exact"/>
        <w:rPr>
          <w:rFonts w:ascii="Arial" w:cs="Arial" w:eastAsia="Arial" w:hAnsi="Arial"/>
          <w:sz w:val="16"/>
          <w:szCs w:val="16"/>
          <w:color w:val="auto"/>
        </w:rPr>
      </w:pPr>
    </w:p>
    <w:p>
      <w:pPr>
        <w:ind w:left="1620" w:hanging="352"/>
        <w:spacing w:after="0"/>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merger or similar business combination;</w:t>
      </w:r>
    </w:p>
    <w:p>
      <w:pPr>
        <w:spacing w:after="0" w:line="126" w:lineRule="exact"/>
        <w:rPr>
          <w:rFonts w:ascii="Arial" w:cs="Arial" w:eastAsia="Arial" w:hAnsi="Arial"/>
          <w:sz w:val="16"/>
          <w:szCs w:val="16"/>
          <w:color w:val="auto"/>
        </w:rPr>
      </w:pPr>
    </w:p>
    <w:p>
      <w:pPr>
        <w:ind w:left="1620" w:right="20" w:hanging="352"/>
        <w:spacing w:after="0" w:line="260"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sale of substantially all of the Company’s assets; and</w:t>
      </w:r>
    </w:p>
    <w:p>
      <w:pPr>
        <w:spacing w:after="0" w:line="101" w:lineRule="exact"/>
        <w:rPr>
          <w:rFonts w:ascii="Arial" w:cs="Arial" w:eastAsia="Arial" w:hAnsi="Arial"/>
          <w:sz w:val="16"/>
          <w:szCs w:val="16"/>
          <w:color w:val="auto"/>
        </w:rPr>
      </w:pPr>
    </w:p>
    <w:p>
      <w:pPr>
        <w:ind w:left="1620" w:hanging="352"/>
        <w:spacing w:after="0"/>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liquidation of the Company.</w:t>
      </w:r>
    </w:p>
    <w:p>
      <w:pPr>
        <w:spacing w:after="0" w:line="113"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color w:val="auto"/>
        </w:rPr>
        <w:t>Any payments under the change-in-control agreements will be reduced to the extent that the NEO receives payments under his or her employment agreement with ABM following a termination of employment.</w:t>
      </w:r>
    </w:p>
    <w:p>
      <w:pPr>
        <w:spacing w:after="0" w:line="95"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Equity grants prior to fiscal year 2006 held by the NEOs vest upon a change-in-control as defined in the applicable plan. Equity grants after fiscal year 2006 fully vest upon a change-in-control, except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left="9" w:right="759"/>
        <w:spacing w:after="0" w:line="251" w:lineRule="auto"/>
        <w:rPr>
          <w:sz w:val="20"/>
          <w:szCs w:val="20"/>
          <w:color w:val="auto"/>
        </w:rPr>
      </w:pPr>
      <w:r>
        <w:rPr>
          <w:rFonts w:ascii="Arial" w:cs="Arial" w:eastAsia="Arial" w:hAnsi="Arial"/>
          <w:sz w:val="16"/>
          <w:szCs w:val="16"/>
          <w:color w:val="auto"/>
        </w:rPr>
        <w:t>stock options vest monthly pro rata (based on the number of months of service over the vesting period) if the change-in-control occurs less than one year after the grant.</w:t>
      </w:r>
    </w:p>
    <w:p>
      <w:pPr>
        <w:spacing w:after="0" w:line="68" w:lineRule="exact"/>
        <w:rPr>
          <w:sz w:val="20"/>
          <w:szCs w:val="20"/>
          <w:color w:val="auto"/>
        </w:rPr>
      </w:pPr>
    </w:p>
    <w:p>
      <w:pPr>
        <w:jc w:val="both"/>
        <w:ind w:left="9" w:right="739"/>
        <w:spacing w:after="0" w:line="247" w:lineRule="auto"/>
        <w:rPr>
          <w:sz w:val="20"/>
          <w:szCs w:val="20"/>
          <w:color w:val="auto"/>
        </w:rPr>
      </w:pPr>
      <w:r>
        <w:rPr>
          <w:rFonts w:ascii="Arial" w:cs="Arial" w:eastAsia="Arial" w:hAnsi="Arial"/>
          <w:sz w:val="16"/>
          <w:szCs w:val="16"/>
          <w:color w:val="auto"/>
        </w:rPr>
        <w:t>Payments and benefits under the change-in-control agreements (as well as under all other agreements or plans covering the NEOs, including any option award, plan or agreement) are subject to reduction in order to avoid the application of the excise tax on “excess parachute payments,” but only if the reduction would increase the net after-tax amount received by the named executive officer (the modified cap) with one exception. The exception is that any reduction may be made to the extent the NEO would be entitled to receive, on a net after-tax basis, at least 90% of the severance payment he or she would otherwise be entitled to under the change-in-control agreement or under any other agreement. In consideration for the protection afforded by the change-in-control agreements, the NEOs agreed to certain noncompetition provisions. Mr. Price currently resides in the State of California where, generally, noncompetition agreements are not enforceable.</w:t>
      </w:r>
    </w:p>
    <w:p>
      <w:pPr>
        <w:spacing w:after="0" w:line="89" w:lineRule="exact"/>
        <w:rPr>
          <w:sz w:val="20"/>
          <w:szCs w:val="20"/>
          <w:color w:val="auto"/>
        </w:rPr>
      </w:pPr>
    </w:p>
    <w:p>
      <w:pPr>
        <w:jc w:val="both"/>
        <w:ind w:left="9" w:right="739"/>
        <w:spacing w:after="0" w:line="246" w:lineRule="auto"/>
        <w:rPr>
          <w:sz w:val="20"/>
          <w:szCs w:val="20"/>
          <w:color w:val="auto"/>
        </w:rPr>
      </w:pPr>
      <w:r>
        <w:rPr>
          <w:rFonts w:ascii="Arial" w:cs="Arial" w:eastAsia="Arial" w:hAnsi="Arial"/>
          <w:sz w:val="16"/>
          <w:szCs w:val="16"/>
          <w:color w:val="auto"/>
        </w:rPr>
        <w:t>An NEO who participates in the SERP and/or SAB whose employment is terminated or who resigns following a change-in-control is entitled to receive SERP payments (with payments beginning at age</w:t>
      </w:r>
    </w:p>
    <w:p>
      <w:pPr>
        <w:spacing w:after="0" w:line="2" w:lineRule="exact"/>
        <w:rPr>
          <w:sz w:val="20"/>
          <w:szCs w:val="20"/>
          <w:color w:val="auto"/>
        </w:rPr>
      </w:pPr>
    </w:p>
    <w:p>
      <w:pPr>
        <w:jc w:val="both"/>
        <w:ind w:left="9" w:right="739" w:hanging="9"/>
        <w:spacing w:after="0" w:line="250" w:lineRule="auto"/>
        <w:tabs>
          <w:tab w:leader="none" w:pos="2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and a lump sum SAB payment. An NEO who has elected to defer compensation receives the aggregate balance in the NEO’s deferred compensation account. See “Pension and Deferred Compensation Benefits,” above.</w:t>
      </w:r>
    </w:p>
    <w:p>
      <w:pPr>
        <w:spacing w:after="0" w:line="295" w:lineRule="exact"/>
        <w:rPr>
          <w:sz w:val="20"/>
          <w:szCs w:val="20"/>
          <w:color w:val="auto"/>
        </w:rPr>
      </w:pPr>
    </w:p>
    <w:p>
      <w:pPr>
        <w:sectPr>
          <w:pgSz w:w="11900" w:h="16838" w:orient="portrait"/>
          <w:cols w:equalWidth="0" w:num="2">
            <w:col w:w="5080" w:space="591"/>
            <w:col w:w="4548"/>
          </w:cols>
          <w:pgMar w:left="240" w:top="132" w:right="1440" w:bottom="1440" w:gutter="0" w:footer="0" w:header="0"/>
          <w:type w:val="continuous"/>
        </w:sectPr>
      </w:pP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Potential Payments upon Resignation or Retirement on October 31, 2014</w:t>
      </w:r>
    </w:p>
    <w:p>
      <w:pPr>
        <w:spacing w:after="0" w:line="133" w:lineRule="exact"/>
        <w:rPr>
          <w:sz w:val="20"/>
          <w:szCs w:val="20"/>
          <w:color w:val="auto"/>
        </w:rPr>
      </w:pPr>
    </w:p>
    <w:p>
      <w:pPr>
        <w:ind w:left="1260" w:right="739"/>
        <w:spacing w:after="0" w:line="260" w:lineRule="auto"/>
        <w:rPr>
          <w:sz w:val="20"/>
          <w:szCs w:val="20"/>
          <w:color w:val="auto"/>
        </w:rPr>
      </w:pPr>
      <w:r>
        <w:rPr>
          <w:rFonts w:ascii="Arial" w:cs="Arial" w:eastAsia="Arial" w:hAnsi="Arial"/>
          <w:sz w:val="16"/>
          <w:szCs w:val="16"/>
          <w:color w:val="auto"/>
        </w:rPr>
        <w:t>The following table estimates potential payments for each NEO if the NEO had retired or, if applicable, resigned from employment with ABM effective October 31, 2014.</w:t>
      </w:r>
    </w:p>
    <w:p>
      <w:pPr>
        <w:spacing w:after="0" w:line="106" w:lineRule="exact"/>
        <w:rPr>
          <w:sz w:val="20"/>
          <w:szCs w:val="20"/>
          <w:color w:val="auto"/>
        </w:rPr>
      </w:pPr>
    </w:p>
    <w:tbl>
      <w:tblPr>
        <w:tblLayout w:type="fixed"/>
        <w:tblInd w:w="1270" w:type="dxa"/>
        <w:tblCellMar>
          <w:top w:w="0" w:type="dxa"/>
          <w:left w:w="0" w:type="dxa"/>
          <w:bottom w:w="0" w:type="dxa"/>
          <w:right w:w="0" w:type="dxa"/>
        </w:tblCellMar>
      </w:tblPr>
      <w:tr>
        <w:trPr>
          <w:trHeight w:val="311"/>
        </w:trPr>
        <w:tc>
          <w:tcPr>
            <w:tcW w:w="204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880" w:type="dxa"/>
            <w:vAlign w:val="bottom"/>
            <w:tcBorders>
              <w:top w:val="single" w:sz="8" w:color="auto"/>
              <w:right w:val="single" w:sz="8" w:color="auto"/>
            </w:tcBorders>
            <w:shd w:val="clear" w:color="auto" w:fill="B1C9FD"/>
          </w:tcPr>
          <w:p>
            <w:pPr>
              <w:spacing w:after="0"/>
              <w:rPr>
                <w:sz w:val="24"/>
                <w:szCs w:val="24"/>
                <w:color w:val="auto"/>
              </w:rPr>
            </w:pPr>
          </w:p>
        </w:tc>
        <w:tc>
          <w:tcPr>
            <w:tcW w:w="900" w:type="dxa"/>
            <w:vAlign w:val="bottom"/>
            <w:tcBorders>
              <w:top w:val="single" w:sz="8" w:color="auto"/>
              <w:right w:val="single" w:sz="8" w:color="auto"/>
            </w:tcBorders>
            <w:shd w:val="clear" w:color="auto" w:fill="B1C9FD"/>
          </w:tcPr>
          <w:p>
            <w:pPr>
              <w:spacing w:after="0"/>
              <w:rPr>
                <w:sz w:val="24"/>
                <w:szCs w:val="24"/>
                <w:color w:val="auto"/>
              </w:rPr>
            </w:pPr>
          </w:p>
        </w:tc>
        <w:tc>
          <w:tcPr>
            <w:tcW w:w="1140" w:type="dxa"/>
            <w:vAlign w:val="bottom"/>
            <w:tcBorders>
              <w:top w:val="single" w:sz="8" w:color="auto"/>
              <w:right w:val="single" w:sz="8" w:color="auto"/>
            </w:tcBorders>
            <w:shd w:val="clear" w:color="auto" w:fill="B1C9FD"/>
          </w:tcPr>
          <w:p>
            <w:pPr>
              <w:spacing w:after="0"/>
              <w:rPr>
                <w:sz w:val="24"/>
                <w:szCs w:val="24"/>
                <w:color w:val="auto"/>
              </w:rPr>
            </w:pPr>
          </w:p>
        </w:tc>
        <w:tc>
          <w:tcPr>
            <w:tcW w:w="124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Nonqualified</w:t>
            </w:r>
          </w:p>
        </w:tc>
        <w:tc>
          <w:tcPr>
            <w:tcW w:w="112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Present</w:t>
            </w:r>
          </w:p>
        </w:tc>
        <w:tc>
          <w:tcPr>
            <w:tcW w:w="900" w:type="dxa"/>
            <w:vAlign w:val="bottom"/>
            <w:tcBorders>
              <w:top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auto"/>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Unpaid</w:t>
            </w:r>
          </w:p>
        </w:tc>
        <w:tc>
          <w:tcPr>
            <w:tcW w:w="9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Company</w:t>
            </w:r>
          </w:p>
        </w:tc>
        <w:tc>
          <w:tcPr>
            <w:tcW w:w="11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Equity-Based</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Deferred</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9"/>
              </w:rPr>
              <w:t>Value of</w:t>
            </w:r>
          </w:p>
        </w:tc>
        <w:tc>
          <w:tcPr>
            <w:tcW w:w="90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auto"/>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Annual</w:t>
            </w:r>
          </w:p>
        </w:tc>
        <w:tc>
          <w:tcPr>
            <w:tcW w:w="9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Portion of</w:t>
            </w:r>
          </w:p>
        </w:tc>
        <w:tc>
          <w:tcPr>
            <w:tcW w:w="11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Grants that</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Compensation</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Accumulated</w:t>
            </w:r>
          </w:p>
        </w:tc>
        <w:tc>
          <w:tcPr>
            <w:tcW w:w="90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auto"/>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Bonus for</w:t>
            </w:r>
          </w:p>
        </w:tc>
        <w:tc>
          <w:tcPr>
            <w:tcW w:w="9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Medical</w:t>
            </w:r>
          </w:p>
        </w:tc>
        <w:tc>
          <w:tcPr>
            <w:tcW w:w="11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 upon</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Aggregate</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Pension</w:t>
            </w:r>
          </w:p>
        </w:tc>
        <w:tc>
          <w:tcPr>
            <w:tcW w:w="900" w:type="dxa"/>
            <w:vAlign w:val="bottom"/>
            <w:tcBorders>
              <w:right w:val="single" w:sz="8" w:color="auto"/>
            </w:tcBorders>
            <w:vMerge w:val="restart"/>
            <w:shd w:val="clear" w:color="auto" w:fill="B1C9FD"/>
          </w:tcPr>
          <w:p>
            <w:pPr>
              <w:jc w:val="center"/>
              <w:spacing w:after="0"/>
              <w:rPr>
                <w:sz w:val="20"/>
                <w:szCs w:val="20"/>
                <w:color w:val="auto"/>
              </w:rPr>
            </w:pPr>
            <w:r>
              <w:rPr>
                <w:rFonts w:ascii="Arial" w:cs="Arial" w:eastAsia="Arial" w:hAnsi="Arial"/>
                <w:sz w:val="14"/>
                <w:szCs w:val="14"/>
                <w:b w:val="1"/>
                <w:bCs w:val="1"/>
                <w:color w:val="004FF9"/>
                <w:w w:val="94"/>
              </w:rPr>
              <w:t>Total</w:t>
            </w:r>
            <w:r>
              <w:rPr>
                <w:rFonts w:ascii="Arial" w:cs="Arial" w:eastAsia="Arial" w:hAnsi="Arial"/>
                <w:sz w:val="21"/>
                <w:szCs w:val="21"/>
                <w:b w:val="1"/>
                <w:bCs w:val="1"/>
                <w:color w:val="004FF9"/>
                <w:w w:val="94"/>
                <w:vertAlign w:val="superscript"/>
              </w:rPr>
              <w:t>(5)</w:t>
            </w:r>
          </w:p>
        </w:tc>
        <w:tc>
          <w:tcPr>
            <w:tcW w:w="0" w:type="dxa"/>
            <w:vAlign w:val="bottom"/>
          </w:tcPr>
          <w:p>
            <w:pPr>
              <w:spacing w:after="0"/>
              <w:rPr>
                <w:sz w:val="1"/>
                <w:szCs w:val="1"/>
                <w:color w:val="auto"/>
              </w:rPr>
            </w:pPr>
          </w:p>
        </w:tc>
      </w:tr>
      <w:tr>
        <w:trPr>
          <w:trHeight w:val="176"/>
        </w:trPr>
        <w:tc>
          <w:tcPr>
            <w:tcW w:w="2040" w:type="dxa"/>
            <w:vAlign w:val="bottom"/>
            <w:tcBorders>
              <w:left w:val="single" w:sz="8" w:color="auto"/>
              <w:right w:val="single" w:sz="8" w:color="auto"/>
            </w:tcBorders>
            <w:shd w:val="clear" w:color="auto" w:fill="B1C9FD"/>
          </w:tcPr>
          <w:p>
            <w:pPr>
              <w:spacing w:after="0"/>
              <w:rPr>
                <w:sz w:val="15"/>
                <w:szCs w:val="15"/>
                <w:color w:val="auto"/>
              </w:rPr>
            </w:pPr>
          </w:p>
        </w:tc>
        <w:tc>
          <w:tcPr>
            <w:tcW w:w="880" w:type="dxa"/>
            <w:vAlign w:val="bottom"/>
            <w:tcBorders>
              <w:right w:val="single" w:sz="8" w:color="auto"/>
            </w:tcBorders>
            <w:shd w:val="clear" w:color="auto" w:fill="B1C9FD"/>
          </w:tcPr>
          <w:p>
            <w:pPr>
              <w:jc w:val="right"/>
              <w:ind w:right="144"/>
              <w:spacing w:after="0" w:line="176" w:lineRule="exact"/>
              <w:rPr>
                <w:sz w:val="20"/>
                <w:szCs w:val="20"/>
                <w:color w:val="auto"/>
              </w:rPr>
            </w:pPr>
            <w:r>
              <w:rPr>
                <w:rFonts w:ascii="Arial" w:cs="Arial" w:eastAsia="Arial" w:hAnsi="Arial"/>
                <w:sz w:val="14"/>
                <w:szCs w:val="14"/>
                <w:b w:val="1"/>
                <w:bCs w:val="1"/>
                <w:color w:val="004FF9"/>
              </w:rPr>
              <w:t>2014</w:t>
            </w:r>
            <w:r>
              <w:rPr>
                <w:rFonts w:ascii="Arial" w:cs="Arial" w:eastAsia="Arial" w:hAnsi="Arial"/>
                <w:sz w:val="20"/>
                <w:szCs w:val="20"/>
                <w:b w:val="1"/>
                <w:bCs w:val="1"/>
                <w:color w:val="004FF9"/>
                <w:vertAlign w:val="superscript"/>
              </w:rPr>
              <w:t>(1)</w:t>
            </w:r>
          </w:p>
        </w:tc>
        <w:tc>
          <w:tcPr>
            <w:tcW w:w="90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(2)</w:t>
            </w:r>
          </w:p>
        </w:tc>
        <w:tc>
          <w:tcPr>
            <w:tcW w:w="114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8"/>
              </w:rPr>
              <w:t>Retirement</w:t>
            </w:r>
            <w:r>
              <w:rPr>
                <w:rFonts w:ascii="Arial" w:cs="Arial" w:eastAsia="Arial" w:hAnsi="Arial"/>
                <w:sz w:val="20"/>
                <w:szCs w:val="20"/>
                <w:b w:val="1"/>
                <w:bCs w:val="1"/>
                <w:color w:val="004FF9"/>
                <w:w w:val="98"/>
                <w:vertAlign w:val="superscript"/>
              </w:rPr>
              <w:t>(3)</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Balance</w:t>
            </w:r>
          </w:p>
        </w:tc>
        <w:tc>
          <w:tcPr>
            <w:tcW w:w="112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(4)</w:t>
            </w:r>
          </w:p>
        </w:tc>
        <w:tc>
          <w:tcPr>
            <w:tcW w:w="900" w:type="dxa"/>
            <w:vAlign w:val="bottom"/>
            <w:tcBorders>
              <w:right w:val="single" w:sz="8" w:color="auto"/>
            </w:tcBorders>
            <w:vMerge w:val="continue"/>
            <w:shd w:val="clear" w:color="auto" w:fill="B1C9FD"/>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bottom w:val="single" w:sz="8" w:color="auto"/>
              <w:right w:val="single" w:sz="8" w:color="auto"/>
            </w:tcBorders>
            <w:shd w:val="clear" w:color="auto" w:fill="B1C9FD"/>
          </w:tcPr>
          <w:p>
            <w:pPr>
              <w:ind w:left="160"/>
              <w:spacing w:after="0"/>
              <w:rPr>
                <w:sz w:val="20"/>
                <w:szCs w:val="20"/>
                <w:color w:val="auto"/>
              </w:rPr>
            </w:pPr>
            <w:r>
              <w:rPr>
                <w:rFonts w:ascii="Arial" w:cs="Arial" w:eastAsia="Arial" w:hAnsi="Arial"/>
                <w:sz w:val="14"/>
                <w:szCs w:val="14"/>
                <w:b w:val="1"/>
                <w:bCs w:val="1"/>
                <w:color w:val="004FF9"/>
              </w:rPr>
              <w:t>Named Executive Officer</w:t>
            </w:r>
          </w:p>
        </w:tc>
        <w:tc>
          <w:tcPr>
            <w:tcW w:w="880" w:type="dxa"/>
            <w:vAlign w:val="bottom"/>
            <w:tcBorders>
              <w:bottom w:val="single" w:sz="8" w:color="auto"/>
              <w:right w:val="single" w:sz="8" w:color="auto"/>
            </w:tcBorders>
            <w:shd w:val="clear" w:color="auto" w:fill="B1C9FD"/>
          </w:tcPr>
          <w:p>
            <w:pPr>
              <w:jc w:val="right"/>
              <w:ind w:right="284"/>
              <w:spacing w:after="0"/>
              <w:rPr>
                <w:sz w:val="20"/>
                <w:szCs w:val="20"/>
                <w:color w:val="auto"/>
              </w:rPr>
            </w:pPr>
            <w:r>
              <w:rPr>
                <w:rFonts w:ascii="Arial" w:cs="Arial" w:eastAsia="Arial" w:hAnsi="Arial"/>
                <w:sz w:val="14"/>
                <w:szCs w:val="14"/>
                <w:b w:val="1"/>
                <w:bCs w:val="1"/>
                <w:color w:val="004FF9"/>
              </w:rPr>
              <w:t>($)</w:t>
            </w:r>
          </w:p>
        </w:tc>
        <w:tc>
          <w:tcPr>
            <w:tcW w:w="9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1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2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1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9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0" w:type="dxa"/>
            <w:vAlign w:val="bottom"/>
          </w:tcPr>
          <w:p>
            <w:pPr>
              <w:spacing w:after="0"/>
              <w:rPr>
                <w:sz w:val="1"/>
                <w:szCs w:val="1"/>
                <w:color w:val="auto"/>
              </w:rPr>
            </w:pPr>
          </w:p>
        </w:tc>
      </w:tr>
      <w:tr>
        <w:trPr>
          <w:trHeight w:val="236"/>
        </w:trPr>
        <w:tc>
          <w:tcPr>
            <w:tcW w:w="2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Henrik C. Slipsager</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893,000</w:t>
            </w:r>
          </w:p>
        </w:tc>
        <w:tc>
          <w:tcPr>
            <w:tcW w:w="90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100,000</w:t>
            </w:r>
          </w:p>
        </w:tc>
        <w:tc>
          <w:tcPr>
            <w:tcW w:w="114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6"/>
                <w:szCs w:val="16"/>
                <w:color w:val="auto"/>
              </w:rPr>
              <w:t>1,982,347</w:t>
            </w:r>
          </w:p>
        </w:tc>
        <w:tc>
          <w:tcPr>
            <w:tcW w:w="124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16"/>
                <w:szCs w:val="16"/>
                <w:color w:val="auto"/>
              </w:rPr>
              <w:t>5,236,397</w:t>
            </w:r>
          </w:p>
        </w:tc>
        <w:tc>
          <w:tcPr>
            <w:tcW w:w="112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705,387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8,917,131</w:t>
            </w: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James S. Lusk</w:t>
            </w:r>
          </w:p>
        </w:tc>
        <w:tc>
          <w:tcPr>
            <w:tcW w:w="8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393,449</w:t>
            </w:r>
          </w:p>
        </w:tc>
        <w:tc>
          <w:tcPr>
            <w:tcW w:w="900" w:type="dxa"/>
            <w:vAlign w:val="bottom"/>
            <w:tcBorders>
              <w:bottom w:val="single" w:sz="8" w:color="auto"/>
              <w:right w:val="single" w:sz="8" w:color="auto"/>
            </w:tcBorders>
            <w:shd w:val="clear" w:color="auto" w:fill="E5EDFE"/>
          </w:tcPr>
          <w:p>
            <w:pPr>
              <w:jc w:val="right"/>
              <w:ind w:right="84"/>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right w:val="single" w:sz="8" w:color="auto"/>
            </w:tcBorders>
            <w:shd w:val="clear" w:color="auto" w:fill="E5EDFE"/>
          </w:tcPr>
          <w:p>
            <w:pPr>
              <w:jc w:val="right"/>
              <w:ind w:right="144"/>
              <w:spacing w:after="0"/>
              <w:rPr>
                <w:sz w:val="20"/>
                <w:szCs w:val="20"/>
                <w:color w:val="auto"/>
              </w:rPr>
            </w:pPr>
            <w:r>
              <w:rPr>
                <w:rFonts w:ascii="Arial" w:cs="Arial" w:eastAsia="Arial" w:hAnsi="Arial"/>
                <w:sz w:val="16"/>
                <w:szCs w:val="16"/>
                <w:color w:val="auto"/>
              </w:rPr>
              <w:t>585,261</w:t>
            </w:r>
          </w:p>
        </w:tc>
        <w:tc>
          <w:tcPr>
            <w:tcW w:w="1240" w:type="dxa"/>
            <w:vAlign w:val="bottom"/>
            <w:tcBorders>
              <w:bottom w:val="single" w:sz="8" w:color="auto"/>
              <w:right w:val="single" w:sz="8" w:color="auto"/>
            </w:tcBorders>
            <w:shd w:val="clear" w:color="auto" w:fill="E5EDFE"/>
          </w:tcPr>
          <w:p>
            <w:pPr>
              <w:jc w:val="right"/>
              <w:ind w:right="184"/>
              <w:spacing w:after="0"/>
              <w:rPr>
                <w:sz w:val="20"/>
                <w:szCs w:val="20"/>
                <w:color w:val="auto"/>
              </w:rPr>
            </w:pPr>
            <w:r>
              <w:rPr>
                <w:rFonts w:ascii="Arial" w:cs="Arial" w:eastAsia="Arial" w:hAnsi="Arial"/>
                <w:sz w:val="16"/>
                <w:szCs w:val="16"/>
                <w:color w:val="auto"/>
              </w:rPr>
              <w:t>96,602</w:t>
            </w:r>
          </w:p>
        </w:tc>
        <w:tc>
          <w:tcPr>
            <w:tcW w:w="1120" w:type="dxa"/>
            <w:vAlign w:val="bottom"/>
            <w:tcBorders>
              <w:bottom w:val="single" w:sz="8" w:color="auto"/>
              <w:right w:val="single" w:sz="8" w:color="auto"/>
            </w:tcBorders>
            <w:shd w:val="clear" w:color="auto" w:fill="E5EDFE"/>
          </w:tcPr>
          <w:p>
            <w:pPr>
              <w:jc w:val="right"/>
              <w:ind w:right="204"/>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1,075,312</w:t>
            </w: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P. McClure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508,227</w:t>
            </w:r>
          </w:p>
        </w:tc>
        <w:tc>
          <w:tcPr>
            <w:tcW w:w="90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6"/>
                <w:szCs w:val="16"/>
                <w:color w:val="auto"/>
              </w:rPr>
              <w:t>778,182</w:t>
            </w:r>
          </w:p>
        </w:tc>
        <w:tc>
          <w:tcPr>
            <w:tcW w:w="124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16"/>
                <w:szCs w:val="16"/>
                <w:color w:val="auto"/>
              </w:rPr>
              <w:t>2,616,518</w:t>
            </w:r>
          </w:p>
        </w:tc>
        <w:tc>
          <w:tcPr>
            <w:tcW w:w="112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249,880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4,152,807</w:t>
            </w:r>
          </w:p>
        </w:tc>
        <w:tc>
          <w:tcPr>
            <w:tcW w:w="0" w:type="dxa"/>
            <w:vAlign w:val="bottom"/>
          </w:tcPr>
          <w:p>
            <w:pPr>
              <w:spacing w:after="0"/>
              <w:rPr>
                <w:sz w:val="1"/>
                <w:szCs w:val="1"/>
                <w:color w:val="auto"/>
              </w:rPr>
            </w:pPr>
          </w:p>
        </w:tc>
      </w:tr>
      <w:tr>
        <w:trPr>
          <w:trHeight w:val="237"/>
        </w:trPr>
        <w:tc>
          <w:tcPr>
            <w:tcW w:w="20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Tracy K. Price</w:t>
            </w:r>
          </w:p>
        </w:tc>
        <w:tc>
          <w:tcPr>
            <w:tcW w:w="8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508,227</w:t>
            </w:r>
          </w:p>
        </w:tc>
        <w:tc>
          <w:tcPr>
            <w:tcW w:w="900" w:type="dxa"/>
            <w:vAlign w:val="bottom"/>
            <w:tcBorders>
              <w:bottom w:val="single" w:sz="8" w:color="auto"/>
              <w:right w:val="single" w:sz="8" w:color="auto"/>
            </w:tcBorders>
            <w:shd w:val="clear" w:color="auto" w:fill="E5EDFE"/>
          </w:tcPr>
          <w:p>
            <w:pPr>
              <w:jc w:val="right"/>
              <w:ind w:right="84"/>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right w:val="single" w:sz="8" w:color="auto"/>
            </w:tcBorders>
            <w:shd w:val="clear" w:color="auto" w:fill="E5EDFE"/>
          </w:tcPr>
          <w:p>
            <w:pPr>
              <w:jc w:val="right"/>
              <w:ind w:right="144"/>
              <w:spacing w:after="0"/>
              <w:rPr>
                <w:sz w:val="20"/>
                <w:szCs w:val="20"/>
                <w:color w:val="auto"/>
              </w:rPr>
            </w:pPr>
            <w:r>
              <w:rPr>
                <w:rFonts w:ascii="Arial" w:cs="Arial" w:eastAsia="Arial" w:hAnsi="Arial"/>
                <w:sz w:val="16"/>
                <w:szCs w:val="16"/>
                <w:color w:val="auto"/>
              </w:rPr>
              <w:t>784,813</w:t>
            </w:r>
          </w:p>
        </w:tc>
        <w:tc>
          <w:tcPr>
            <w:tcW w:w="1240" w:type="dxa"/>
            <w:vAlign w:val="bottom"/>
            <w:tcBorders>
              <w:bottom w:val="single" w:sz="8" w:color="auto"/>
              <w:right w:val="single" w:sz="8" w:color="auto"/>
            </w:tcBorders>
            <w:shd w:val="clear" w:color="auto" w:fill="E5EDFE"/>
          </w:tcPr>
          <w:p>
            <w:pPr>
              <w:jc w:val="right"/>
              <w:ind w:right="184"/>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auto"/>
              <w:right w:val="single" w:sz="8" w:color="auto"/>
            </w:tcBorders>
            <w:shd w:val="clear" w:color="auto" w:fill="E5EDFE"/>
          </w:tcPr>
          <w:p>
            <w:pPr>
              <w:jc w:val="right"/>
              <w:ind w:right="204"/>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1,293,040</w:t>
            </w:r>
          </w:p>
        </w:tc>
        <w:tc>
          <w:tcPr>
            <w:tcW w:w="0" w:type="dxa"/>
            <w:vAlign w:val="bottom"/>
          </w:tcPr>
          <w:p>
            <w:pPr>
              <w:spacing w:after="0"/>
              <w:rPr>
                <w:sz w:val="1"/>
                <w:szCs w:val="1"/>
                <w:color w:val="auto"/>
              </w:rPr>
            </w:pPr>
          </w:p>
        </w:tc>
      </w:tr>
      <w:tr>
        <w:trPr>
          <w:trHeight w:val="257"/>
        </w:trPr>
        <w:tc>
          <w:tcPr>
            <w:tcW w:w="2040" w:type="dxa"/>
            <w:vAlign w:val="bottom"/>
            <w:tcBorders>
              <w:left w:val="single" w:sz="8" w:color="auto"/>
              <w:bottom w:val="single" w:sz="8" w:color="auto"/>
              <w:right w:val="single" w:sz="8" w:color="auto"/>
            </w:tcBorders>
          </w:tcPr>
          <w:p>
            <w:pPr>
              <w:ind w:left="60"/>
              <w:spacing w:after="0" w:line="257" w:lineRule="exact"/>
              <w:rPr>
                <w:sz w:val="20"/>
                <w:szCs w:val="20"/>
                <w:color w:val="auto"/>
              </w:rPr>
            </w:pPr>
            <w:r>
              <w:rPr>
                <w:rFonts w:ascii="Arial" w:cs="Arial" w:eastAsia="Arial" w:hAnsi="Arial"/>
                <w:sz w:val="16"/>
                <w:szCs w:val="16"/>
                <w:color w:val="auto"/>
              </w:rPr>
              <w:t>Sarah H. McConnell</w:t>
            </w:r>
            <w:r>
              <w:rPr>
                <w:rFonts w:ascii="Arial" w:cs="Arial" w:eastAsia="Arial" w:hAnsi="Arial"/>
                <w:sz w:val="25"/>
                <w:szCs w:val="25"/>
                <w:color w:val="auto"/>
                <w:vertAlign w:val="superscript"/>
              </w:rPr>
              <w:t>(6)</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283,662</w:t>
            </w:r>
          </w:p>
        </w:tc>
        <w:tc>
          <w:tcPr>
            <w:tcW w:w="90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0</w:t>
            </w:r>
          </w:p>
        </w:tc>
        <w:tc>
          <w:tcPr>
            <w:tcW w:w="114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6"/>
                <w:szCs w:val="16"/>
                <w:color w:val="auto"/>
              </w:rPr>
              <w:t>0</w:t>
            </w:r>
          </w:p>
        </w:tc>
        <w:tc>
          <w:tcPr>
            <w:tcW w:w="124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16"/>
                <w:szCs w:val="16"/>
                <w:color w:val="auto"/>
              </w:rPr>
              <w:t>1,209,932</w:t>
            </w:r>
          </w:p>
        </w:tc>
        <w:tc>
          <w:tcPr>
            <w:tcW w:w="112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1,493,594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20" w:hanging="352"/>
        <w:spacing w:after="0"/>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 is target bonus for fiscal year 2014. No bonus is payable in the event of resignation of employment.</w:t>
      </w:r>
    </w:p>
    <w:p>
      <w:pPr>
        <w:spacing w:after="0" w:line="95"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 is based upon the terms of Mr. Slipsager’s employment agreement, which provides that the Company will pay him $10,000 per year for ten years to be used towards the purchase of health insurance.</w:t>
      </w:r>
    </w:p>
    <w:p>
      <w:pPr>
        <w:spacing w:after="0" w:line="59"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Intrinsic value is based on $27.64 per share, the closing price of ABM common stock on October 31, 2014. Amounts shown only reflect vesting upon retirement, as unvested equity does not vest upon resignation of employment.</w:t>
      </w:r>
    </w:p>
    <w:p>
      <w:pPr>
        <w:spacing w:after="0" w:line="59" w:lineRule="exact"/>
        <w:rPr>
          <w:rFonts w:ascii="Arial" w:cs="Arial" w:eastAsia="Arial" w:hAnsi="Arial"/>
          <w:sz w:val="14"/>
          <w:szCs w:val="14"/>
          <w:color w:val="auto"/>
        </w:rPr>
      </w:pPr>
    </w:p>
    <w:p>
      <w:pPr>
        <w:ind w:left="1620" w:hanging="352"/>
        <w:spacing w:after="0"/>
        <w:tabs>
          <w:tab w:leader="none" w:pos="16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include present value of SERP and/or SAB balances for those NEOs who participate in the SERP and/or SAB.</w:t>
      </w:r>
    </w:p>
    <w:p>
      <w:pPr>
        <w:spacing w:after="0" w:line="28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620" w:right="759" w:hanging="352"/>
        <w:spacing w:after="0" w:line="278" w:lineRule="auto"/>
        <w:tabs>
          <w:tab w:leader="none" w:pos="1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do not include accrued but unused vacation pay and any unpaid base salary for employment through the termination date.</w:t>
      </w:r>
    </w:p>
    <w:p>
      <w:pPr>
        <w:spacing w:after="0" w:line="32" w:lineRule="exact"/>
        <w:rPr>
          <w:rFonts w:ascii="Arial" w:cs="Arial" w:eastAsia="Arial" w:hAnsi="Arial"/>
          <w:sz w:val="14"/>
          <w:szCs w:val="14"/>
          <w:color w:val="auto"/>
        </w:rPr>
      </w:pPr>
    </w:p>
    <w:p>
      <w:pPr>
        <w:ind w:left="1620" w:hanging="352"/>
        <w:spacing w:after="0"/>
        <w:tabs>
          <w:tab w:leader="none" w:pos="16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Ms. McConnell is not retirement eligible.</w:t>
      </w:r>
    </w:p>
    <w:p>
      <w:pPr>
        <w:sectPr>
          <w:pgSz w:w="11900" w:h="16838" w:orient="portrait"/>
          <w:cols w:equalWidth="0" w:num="1">
            <w:col w:w="10219"/>
          </w:cols>
          <w:pgMar w:left="240" w:top="132" w:right="1440" w:bottom="1440" w:gutter="0" w:footer="0" w:header="0"/>
        </w:sectPr>
      </w:pPr>
    </w:p>
    <w:p>
      <w:pPr>
        <w:spacing w:after="0" w:line="376"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An NEO who participates in the SERP and/or SAB who retires or resigns is entitled to receive SERP payments (with payments beginning at age 65), and a lump sum SAB payment. An NEO who has elected to defer compensation receives the aggregate balance in the NEO’s deferred compensation account. See “Pension and Deferred Compensation Benefits,” above. RSUs and stock option grants under the 2006 Equity Incentive Plan do not vest upon voluntary termination of employment other than retirement and vest monthly pro rata (based on number of months of service over the vesting period)</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in the event of retirement. Stock Option grants prior to the 2006 Equity Incentive Plan are cancelled to the extent not vested upon such a termination of employment. An individual who retires during a performance period that has not been completed prior to retirement will receive a pro rata number of performance shares (based on the number of months of service over the performance period) on the vesting date for such performance shares, to the extent such performance shares have been achieved under applicable performance objectives.</w:t>
      </w:r>
    </w:p>
    <w:p>
      <w:pPr>
        <w:spacing w:after="0" w:line="38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Potential Payments upon Termination Without Cause on October 31, 2014</w:t>
      </w:r>
    </w:p>
    <w:p>
      <w:pPr>
        <w:spacing w:after="0" w:line="133" w:lineRule="exact"/>
        <w:rPr>
          <w:sz w:val="20"/>
          <w:szCs w:val="20"/>
          <w:color w:val="auto"/>
        </w:rPr>
      </w:pPr>
    </w:p>
    <w:p>
      <w:pPr>
        <w:ind w:left="1260" w:right="759"/>
        <w:spacing w:after="0" w:line="260" w:lineRule="auto"/>
        <w:rPr>
          <w:sz w:val="20"/>
          <w:szCs w:val="20"/>
          <w:color w:val="auto"/>
        </w:rPr>
      </w:pPr>
      <w:r>
        <w:rPr>
          <w:rFonts w:ascii="Arial" w:cs="Arial" w:eastAsia="Arial" w:hAnsi="Arial"/>
          <w:sz w:val="16"/>
          <w:szCs w:val="16"/>
          <w:color w:val="auto"/>
        </w:rPr>
        <w:t>The following table estimates potential payments for each NEO if the NEO’s employment with ABM had been terminated without cause (outside of a change-in-control) effective October 31, 2014.</w:t>
      </w:r>
    </w:p>
    <w:p>
      <w:pPr>
        <w:spacing w:after="0" w:line="106" w:lineRule="exact"/>
        <w:rPr>
          <w:sz w:val="20"/>
          <w:szCs w:val="20"/>
          <w:color w:val="auto"/>
        </w:rPr>
      </w:pPr>
    </w:p>
    <w:tbl>
      <w:tblPr>
        <w:tblLayout w:type="fixed"/>
        <w:tblInd w:w="1270" w:type="dxa"/>
        <w:tblCellMar>
          <w:top w:w="0" w:type="dxa"/>
          <w:left w:w="0" w:type="dxa"/>
          <w:bottom w:w="0" w:type="dxa"/>
          <w:right w:w="0" w:type="dxa"/>
        </w:tblCellMar>
      </w:tblPr>
      <w:tr>
        <w:trPr>
          <w:trHeight w:val="311"/>
        </w:trPr>
        <w:tc>
          <w:tcPr>
            <w:tcW w:w="182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780" w:type="dxa"/>
            <w:vAlign w:val="bottom"/>
            <w:tcBorders>
              <w:top w:val="single" w:sz="8" w:color="auto"/>
              <w:right w:val="single" w:sz="8" w:color="auto"/>
            </w:tcBorders>
            <w:shd w:val="clear" w:color="auto" w:fill="B1C9FD"/>
          </w:tcPr>
          <w:p>
            <w:pPr>
              <w:spacing w:after="0"/>
              <w:rPr>
                <w:sz w:val="24"/>
                <w:szCs w:val="24"/>
                <w:color w:val="auto"/>
              </w:rPr>
            </w:pPr>
          </w:p>
        </w:tc>
        <w:tc>
          <w:tcPr>
            <w:tcW w:w="800" w:type="dxa"/>
            <w:vAlign w:val="bottom"/>
            <w:tcBorders>
              <w:top w:val="single" w:sz="8" w:color="auto"/>
              <w:right w:val="single" w:sz="8" w:color="auto"/>
            </w:tcBorders>
            <w:shd w:val="clear" w:color="auto" w:fill="B1C9FD"/>
          </w:tcPr>
          <w:p>
            <w:pPr>
              <w:spacing w:after="0"/>
              <w:rPr>
                <w:sz w:val="24"/>
                <w:szCs w:val="24"/>
                <w:color w:val="auto"/>
              </w:rPr>
            </w:pPr>
          </w:p>
        </w:tc>
        <w:tc>
          <w:tcPr>
            <w:tcW w:w="780" w:type="dxa"/>
            <w:vAlign w:val="bottom"/>
            <w:tcBorders>
              <w:top w:val="single" w:sz="8" w:color="auto"/>
              <w:right w:val="single" w:sz="8" w:color="auto"/>
            </w:tcBorders>
            <w:shd w:val="clear" w:color="auto" w:fill="B1C9FD"/>
          </w:tcPr>
          <w:p>
            <w:pPr>
              <w:spacing w:after="0"/>
              <w:rPr>
                <w:sz w:val="24"/>
                <w:szCs w:val="24"/>
                <w:color w:val="auto"/>
              </w:rPr>
            </w:pPr>
          </w:p>
        </w:tc>
        <w:tc>
          <w:tcPr>
            <w:tcW w:w="1040" w:type="dxa"/>
            <w:vAlign w:val="bottom"/>
            <w:tcBorders>
              <w:top w:val="single" w:sz="8" w:color="auto"/>
              <w:right w:val="single" w:sz="8" w:color="auto"/>
            </w:tcBorders>
            <w:shd w:val="clear" w:color="auto" w:fill="B1C9FD"/>
          </w:tcPr>
          <w:p>
            <w:pPr>
              <w:spacing w:after="0"/>
              <w:rPr>
                <w:sz w:val="24"/>
                <w:szCs w:val="24"/>
                <w:color w:val="auto"/>
              </w:rPr>
            </w:pPr>
          </w:p>
        </w:tc>
        <w:tc>
          <w:tcPr>
            <w:tcW w:w="108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Nonqualified</w:t>
            </w:r>
          </w:p>
        </w:tc>
        <w:tc>
          <w:tcPr>
            <w:tcW w:w="98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Present</w:t>
            </w:r>
          </w:p>
        </w:tc>
        <w:tc>
          <w:tcPr>
            <w:tcW w:w="940" w:type="dxa"/>
            <w:vAlign w:val="bottom"/>
            <w:tcBorders>
              <w:top w:val="single" w:sz="8" w:color="auto"/>
              <w:right w:val="single" w:sz="8" w:color="auto"/>
            </w:tcBorders>
            <w:shd w:val="clear" w:color="auto" w:fill="B1C9F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spacing w:after="0"/>
              <w:rPr>
                <w:sz w:val="14"/>
                <w:szCs w:val="14"/>
                <w:color w:val="auto"/>
              </w:rPr>
            </w:pPr>
          </w:p>
        </w:tc>
        <w:tc>
          <w:tcPr>
            <w:tcW w:w="800" w:type="dxa"/>
            <w:vAlign w:val="bottom"/>
            <w:tcBorders>
              <w:right w:val="single" w:sz="8" w:color="auto"/>
            </w:tcBorders>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Company</w:t>
            </w:r>
          </w:p>
        </w:tc>
        <w:tc>
          <w:tcPr>
            <w:tcW w:w="10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Equity Grants</w:t>
            </w:r>
          </w:p>
        </w:tc>
        <w:tc>
          <w:tcPr>
            <w:tcW w:w="10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Deferred</w:t>
            </w:r>
          </w:p>
        </w:tc>
        <w:tc>
          <w:tcPr>
            <w:tcW w:w="9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9"/>
              </w:rPr>
              <w:t>Value of</w:t>
            </w:r>
          </w:p>
        </w:tc>
        <w:tc>
          <w:tcPr>
            <w:tcW w:w="94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Unpaid</w:t>
            </w:r>
          </w:p>
        </w:tc>
        <w:tc>
          <w:tcPr>
            <w:tcW w:w="800" w:type="dxa"/>
            <w:vAlign w:val="bottom"/>
            <w:tcBorders>
              <w:right w:val="single" w:sz="8" w:color="auto"/>
            </w:tcBorders>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Portion of</w:t>
            </w:r>
          </w:p>
        </w:tc>
        <w:tc>
          <w:tcPr>
            <w:tcW w:w="10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Vesting as a</w:t>
            </w:r>
          </w:p>
        </w:tc>
        <w:tc>
          <w:tcPr>
            <w:tcW w:w="10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Compensation</w:t>
            </w:r>
          </w:p>
        </w:tc>
        <w:tc>
          <w:tcPr>
            <w:tcW w:w="9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Accumulated</w:t>
            </w:r>
          </w:p>
        </w:tc>
        <w:tc>
          <w:tcPr>
            <w:tcW w:w="940" w:type="dxa"/>
            <w:vAlign w:val="bottom"/>
            <w:tcBorders>
              <w:right w:val="single" w:sz="8" w:color="auto"/>
            </w:tcBorders>
            <w:shd w:val="clear" w:color="auto" w:fill="B1C9F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Borders>
              <w:left w:val="single" w:sz="8" w:color="auto"/>
              <w:right w:val="single" w:sz="8" w:color="auto"/>
            </w:tcBorders>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Bonus for</w:t>
            </w:r>
          </w:p>
        </w:tc>
        <w:tc>
          <w:tcPr>
            <w:tcW w:w="8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Severance</w:t>
            </w:r>
          </w:p>
        </w:tc>
        <w:tc>
          <w:tcPr>
            <w:tcW w:w="7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Medical</w:t>
            </w:r>
          </w:p>
        </w:tc>
        <w:tc>
          <w:tcPr>
            <w:tcW w:w="10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Result of</w:t>
            </w:r>
          </w:p>
        </w:tc>
        <w:tc>
          <w:tcPr>
            <w:tcW w:w="10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Aggregate</w:t>
            </w:r>
          </w:p>
        </w:tc>
        <w:tc>
          <w:tcPr>
            <w:tcW w:w="9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Pension</w:t>
            </w:r>
          </w:p>
        </w:tc>
        <w:tc>
          <w:tcPr>
            <w:tcW w:w="940" w:type="dxa"/>
            <w:vAlign w:val="bottom"/>
            <w:tcBorders>
              <w:right w:val="single" w:sz="8" w:color="auto"/>
            </w:tcBorders>
            <w:vMerge w:val="restart"/>
            <w:shd w:val="clear" w:color="auto" w:fill="B1C9FD"/>
          </w:tcPr>
          <w:p>
            <w:pPr>
              <w:jc w:val="right"/>
              <w:ind w:right="162"/>
              <w:spacing w:after="0"/>
              <w:rPr>
                <w:sz w:val="20"/>
                <w:szCs w:val="20"/>
                <w:color w:val="auto"/>
              </w:rPr>
            </w:pPr>
            <w:r>
              <w:rPr>
                <w:rFonts w:ascii="Arial" w:cs="Arial" w:eastAsia="Arial" w:hAnsi="Arial"/>
                <w:sz w:val="14"/>
                <w:szCs w:val="14"/>
                <w:b w:val="1"/>
                <w:bCs w:val="1"/>
                <w:color w:val="004FF9"/>
              </w:rPr>
              <w:t>Total</w:t>
            </w:r>
            <w:r>
              <w:rPr>
                <w:rFonts w:ascii="Arial" w:cs="Arial" w:eastAsia="Arial" w:hAnsi="Arial"/>
                <w:sz w:val="21"/>
                <w:szCs w:val="21"/>
                <w:b w:val="1"/>
                <w:bCs w:val="1"/>
                <w:color w:val="004FF9"/>
                <w:vertAlign w:val="superscript"/>
              </w:rPr>
              <w:t>(5)</w:t>
            </w: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shd w:val="clear" w:color="auto" w:fill="B1C9FD"/>
          </w:tcPr>
          <w:p>
            <w:pPr>
              <w:spacing w:after="0"/>
              <w:rPr>
                <w:sz w:val="15"/>
                <w:szCs w:val="15"/>
                <w:color w:val="auto"/>
              </w:rPr>
            </w:pPr>
          </w:p>
        </w:tc>
        <w:tc>
          <w:tcPr>
            <w:tcW w:w="780" w:type="dxa"/>
            <w:vAlign w:val="bottom"/>
            <w:tcBorders>
              <w:right w:val="single" w:sz="8" w:color="auto"/>
            </w:tcBorders>
            <w:shd w:val="clear" w:color="auto" w:fill="B1C9FD"/>
          </w:tcPr>
          <w:p>
            <w:pPr>
              <w:jc w:val="right"/>
              <w:ind w:right="103"/>
              <w:spacing w:after="0" w:line="176" w:lineRule="exact"/>
              <w:rPr>
                <w:sz w:val="20"/>
                <w:szCs w:val="20"/>
                <w:color w:val="auto"/>
              </w:rPr>
            </w:pPr>
            <w:r>
              <w:rPr>
                <w:rFonts w:ascii="Arial" w:cs="Arial" w:eastAsia="Arial" w:hAnsi="Arial"/>
                <w:sz w:val="14"/>
                <w:szCs w:val="14"/>
                <w:b w:val="1"/>
                <w:bCs w:val="1"/>
                <w:color w:val="004FF9"/>
              </w:rPr>
              <w:t>2014</w:t>
            </w:r>
            <w:r>
              <w:rPr>
                <w:rFonts w:ascii="Arial" w:cs="Arial" w:eastAsia="Arial" w:hAnsi="Arial"/>
                <w:sz w:val="20"/>
                <w:szCs w:val="20"/>
                <w:b w:val="1"/>
                <w:bCs w:val="1"/>
                <w:color w:val="004FF9"/>
                <w:vertAlign w:val="superscript"/>
              </w:rPr>
              <w:t>(1)</w:t>
            </w:r>
          </w:p>
        </w:tc>
        <w:tc>
          <w:tcPr>
            <w:tcW w:w="8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Payment</w:t>
            </w:r>
          </w:p>
        </w:tc>
        <w:tc>
          <w:tcPr>
            <w:tcW w:w="78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(2)</w:t>
            </w:r>
          </w:p>
        </w:tc>
        <w:tc>
          <w:tcPr>
            <w:tcW w:w="104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9"/>
              </w:rPr>
              <w:t>Termination</w:t>
            </w:r>
            <w:r>
              <w:rPr>
                <w:rFonts w:ascii="Arial" w:cs="Arial" w:eastAsia="Arial" w:hAnsi="Arial"/>
                <w:sz w:val="20"/>
                <w:szCs w:val="20"/>
                <w:b w:val="1"/>
                <w:bCs w:val="1"/>
                <w:color w:val="004FF9"/>
                <w:w w:val="99"/>
                <w:vertAlign w:val="superscript"/>
              </w:rPr>
              <w:t>(3)</w:t>
            </w:r>
          </w:p>
        </w:tc>
        <w:tc>
          <w:tcPr>
            <w:tcW w:w="10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Balance</w:t>
            </w:r>
          </w:p>
        </w:tc>
        <w:tc>
          <w:tcPr>
            <w:tcW w:w="98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(4)</w:t>
            </w:r>
          </w:p>
        </w:tc>
        <w:tc>
          <w:tcPr>
            <w:tcW w:w="940" w:type="dxa"/>
            <w:vAlign w:val="bottom"/>
            <w:tcBorders>
              <w:right w:val="single" w:sz="8" w:color="auto"/>
            </w:tcBorders>
            <w:vMerge w:val="continue"/>
            <w:shd w:val="clear" w:color="auto" w:fill="B1C9FD"/>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left w:val="single" w:sz="8" w:color="auto"/>
              <w:bottom w:val="single" w:sz="8" w:color="auto"/>
              <w:right w:val="single" w:sz="8" w:color="auto"/>
            </w:tcBorders>
            <w:shd w:val="clear" w:color="auto" w:fill="B1C9FD"/>
          </w:tcPr>
          <w:p>
            <w:pPr>
              <w:ind w:left="60"/>
              <w:spacing w:after="0"/>
              <w:rPr>
                <w:sz w:val="20"/>
                <w:szCs w:val="20"/>
                <w:color w:val="auto"/>
              </w:rPr>
            </w:pPr>
            <w:r>
              <w:rPr>
                <w:rFonts w:ascii="Arial" w:cs="Arial" w:eastAsia="Arial" w:hAnsi="Arial"/>
                <w:sz w:val="14"/>
                <w:szCs w:val="14"/>
                <w:b w:val="1"/>
                <w:bCs w:val="1"/>
                <w:color w:val="004FF9"/>
              </w:rPr>
              <w:t>Named Executive Officer</w:t>
            </w:r>
          </w:p>
        </w:tc>
        <w:tc>
          <w:tcPr>
            <w:tcW w:w="780" w:type="dxa"/>
            <w:vAlign w:val="bottom"/>
            <w:tcBorders>
              <w:bottom w:val="single" w:sz="8" w:color="auto"/>
              <w:right w:val="single" w:sz="8" w:color="auto"/>
            </w:tcBorders>
            <w:shd w:val="clear" w:color="auto" w:fill="B1C9FD"/>
          </w:tcPr>
          <w:p>
            <w:pPr>
              <w:jc w:val="right"/>
              <w:ind w:right="243"/>
              <w:spacing w:after="0"/>
              <w:rPr>
                <w:sz w:val="20"/>
                <w:szCs w:val="20"/>
                <w:color w:val="auto"/>
              </w:rPr>
            </w:pPr>
            <w:r>
              <w:rPr>
                <w:rFonts w:ascii="Arial" w:cs="Arial" w:eastAsia="Arial" w:hAnsi="Arial"/>
                <w:sz w:val="14"/>
                <w:szCs w:val="14"/>
                <w:b w:val="1"/>
                <w:bCs w:val="1"/>
                <w:color w:val="004FF9"/>
              </w:rPr>
              <w:t>($)</w:t>
            </w:r>
          </w:p>
        </w:tc>
        <w:tc>
          <w:tcPr>
            <w:tcW w:w="8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7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0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c>
          <w:tcPr>
            <w:tcW w:w="10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9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940" w:type="dxa"/>
            <w:vAlign w:val="bottom"/>
            <w:tcBorders>
              <w:bottom w:val="single" w:sz="8" w:color="auto"/>
              <w:right w:val="single" w:sz="8" w:color="auto"/>
            </w:tcBorders>
            <w:shd w:val="clear" w:color="auto" w:fill="B1C9FD"/>
          </w:tcPr>
          <w:p>
            <w:pPr>
              <w:jc w:val="right"/>
              <w:ind w:right="302"/>
              <w:spacing w:after="0"/>
              <w:rPr>
                <w:sz w:val="20"/>
                <w:szCs w:val="20"/>
                <w:color w:val="auto"/>
              </w:rPr>
            </w:pPr>
            <w:r>
              <w:rPr>
                <w:rFonts w:ascii="Arial" w:cs="Arial" w:eastAsia="Arial" w:hAnsi="Arial"/>
                <w:sz w:val="14"/>
                <w:szCs w:val="14"/>
                <w:b w:val="1"/>
                <w:bCs w:val="1"/>
                <w:color w:val="004FF9"/>
              </w:rPr>
              <w:t>($)</w:t>
            </w:r>
          </w:p>
        </w:tc>
        <w:tc>
          <w:tcPr>
            <w:tcW w:w="0" w:type="dxa"/>
            <w:vAlign w:val="bottom"/>
          </w:tcPr>
          <w:p>
            <w:pPr>
              <w:spacing w:after="0"/>
              <w:rPr>
                <w:sz w:val="1"/>
                <w:szCs w:val="1"/>
                <w:color w:val="auto"/>
              </w:rPr>
            </w:pPr>
          </w:p>
        </w:tc>
      </w:tr>
      <w:tr>
        <w:trPr>
          <w:trHeight w:val="236"/>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Henrik C. Slipsager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893,000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3,572,000</w:t>
            </w:r>
          </w:p>
        </w:tc>
        <w:tc>
          <w:tcPr>
            <w:tcW w:w="7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6"/>
                <w:szCs w:val="16"/>
                <w:color w:val="auto"/>
              </w:rPr>
              <w:t>100,000</w:t>
            </w:r>
          </w:p>
        </w:tc>
        <w:tc>
          <w:tcPr>
            <w:tcW w:w="1040" w:type="dxa"/>
            <w:vAlign w:val="bottom"/>
            <w:tcBorders>
              <w:bottom w:val="single" w:sz="8" w:color="auto"/>
              <w:right w:val="single" w:sz="8" w:color="auto"/>
            </w:tcBorders>
          </w:tcPr>
          <w:p>
            <w:pPr>
              <w:jc w:val="right"/>
              <w:ind w:right="164"/>
              <w:spacing w:after="0"/>
              <w:rPr>
                <w:sz w:val="20"/>
                <w:szCs w:val="20"/>
                <w:color w:val="auto"/>
              </w:rPr>
            </w:pPr>
            <w:r>
              <w:rPr>
                <w:rFonts w:ascii="Arial" w:cs="Arial" w:eastAsia="Arial" w:hAnsi="Arial"/>
                <w:sz w:val="16"/>
                <w:szCs w:val="16"/>
                <w:color w:val="auto"/>
              </w:rPr>
              <w:t>222,589</w:t>
            </w:r>
          </w:p>
        </w:tc>
        <w:tc>
          <w:tcPr>
            <w:tcW w:w="108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5,236,397</w:t>
            </w:r>
          </w:p>
        </w:tc>
        <w:tc>
          <w:tcPr>
            <w:tcW w:w="98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705,387</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10,729,373</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James S. Lusk</w:t>
            </w:r>
          </w:p>
        </w:tc>
        <w:tc>
          <w:tcPr>
            <w:tcW w:w="7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393,449</w:t>
            </w:r>
          </w:p>
        </w:tc>
        <w:tc>
          <w:tcPr>
            <w:tcW w:w="8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shd w:val="clear" w:color="auto" w:fill="E5EDFE"/>
              </w:rPr>
              <w:t>1,433,281</w:t>
            </w:r>
          </w:p>
        </w:tc>
        <w:tc>
          <w:tcPr>
            <w:tcW w:w="780" w:type="dxa"/>
            <w:vAlign w:val="bottom"/>
            <w:tcBorders>
              <w:bottom w:val="single" w:sz="8" w:color="auto"/>
              <w:right w:val="single" w:sz="8" w:color="auto"/>
            </w:tcBorders>
            <w:shd w:val="clear" w:color="auto" w:fill="E5EDFE"/>
          </w:tcPr>
          <w:p>
            <w:pPr>
              <w:jc w:val="right"/>
              <w:ind w:right="24"/>
              <w:spacing w:after="0"/>
              <w:rPr>
                <w:sz w:val="20"/>
                <w:szCs w:val="20"/>
                <w:color w:val="auto"/>
              </w:rPr>
            </w:pPr>
            <w:r>
              <w:rPr>
                <w:rFonts w:ascii="Arial" w:cs="Arial" w:eastAsia="Arial" w:hAnsi="Arial"/>
                <w:sz w:val="16"/>
                <w:szCs w:val="16"/>
                <w:color w:val="auto"/>
              </w:rPr>
              <w:t>21,807</w:t>
            </w:r>
          </w:p>
        </w:tc>
        <w:tc>
          <w:tcPr>
            <w:tcW w:w="1040" w:type="dxa"/>
            <w:vAlign w:val="bottom"/>
            <w:tcBorders>
              <w:bottom w:val="single" w:sz="8" w:color="auto"/>
              <w:right w:val="single" w:sz="8" w:color="auto"/>
            </w:tcBorders>
            <w:shd w:val="clear" w:color="auto" w:fill="E5EDFE"/>
          </w:tcPr>
          <w:p>
            <w:pPr>
              <w:jc w:val="right"/>
              <w:ind w:right="164"/>
              <w:spacing w:after="0"/>
              <w:rPr>
                <w:sz w:val="20"/>
                <w:szCs w:val="20"/>
                <w:color w:val="auto"/>
              </w:rPr>
            </w:pPr>
            <w:r>
              <w:rPr>
                <w:rFonts w:ascii="Arial" w:cs="Arial" w:eastAsia="Arial" w:hAnsi="Arial"/>
                <w:sz w:val="16"/>
                <w:szCs w:val="16"/>
                <w:color w:val="auto"/>
              </w:rPr>
              <w:t>70,035</w:t>
            </w:r>
          </w:p>
        </w:tc>
        <w:tc>
          <w:tcPr>
            <w:tcW w:w="1080" w:type="dxa"/>
            <w:vAlign w:val="bottom"/>
            <w:tcBorders>
              <w:bottom w:val="single" w:sz="8" w:color="auto"/>
              <w:right w:val="single" w:sz="8" w:color="auto"/>
            </w:tcBorders>
            <w:shd w:val="clear" w:color="auto" w:fill="E5EDFE"/>
          </w:tcPr>
          <w:p>
            <w:pPr>
              <w:jc w:val="right"/>
              <w:ind w:right="104"/>
              <w:spacing w:after="0"/>
              <w:rPr>
                <w:sz w:val="20"/>
                <w:szCs w:val="20"/>
                <w:color w:val="auto"/>
              </w:rPr>
            </w:pPr>
            <w:r>
              <w:rPr>
                <w:rFonts w:ascii="Arial" w:cs="Arial" w:eastAsia="Arial" w:hAnsi="Arial"/>
                <w:sz w:val="16"/>
                <w:szCs w:val="16"/>
                <w:color w:val="auto"/>
              </w:rPr>
              <w:t>96,602</w:t>
            </w:r>
          </w:p>
        </w:tc>
        <w:tc>
          <w:tcPr>
            <w:tcW w:w="980" w:type="dxa"/>
            <w:vAlign w:val="bottom"/>
            <w:tcBorders>
              <w:bottom w:val="single" w:sz="8" w:color="auto"/>
              <w:right w:val="single" w:sz="8" w:color="auto"/>
            </w:tcBorders>
            <w:shd w:val="clear" w:color="auto" w:fill="E5EDFE"/>
          </w:tcPr>
          <w:p>
            <w:pPr>
              <w:jc w:val="right"/>
              <w:ind w:right="124"/>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right w:val="single" w:sz="8" w:color="auto"/>
            </w:tcBorders>
            <w:shd w:val="clear" w:color="auto" w:fill="E5EDFE"/>
          </w:tcPr>
          <w:p>
            <w:pPr>
              <w:jc w:val="right"/>
              <w:spacing w:after="0"/>
              <w:rPr>
                <w:sz w:val="20"/>
                <w:szCs w:val="20"/>
                <w:color w:val="auto"/>
              </w:rPr>
            </w:pPr>
            <w:r>
              <w:rPr>
                <w:rFonts w:ascii="Arial" w:cs="Arial" w:eastAsia="Arial" w:hAnsi="Arial"/>
                <w:sz w:val="16"/>
                <w:szCs w:val="16"/>
                <w:color w:val="auto"/>
              </w:rPr>
              <w:t>2,015,174</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James P. McClure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508,227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1,778,797</w:t>
            </w:r>
          </w:p>
        </w:tc>
        <w:tc>
          <w:tcPr>
            <w:tcW w:w="7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6"/>
                <w:szCs w:val="16"/>
                <w:color w:val="auto"/>
              </w:rPr>
              <w:t>21,807</w:t>
            </w:r>
          </w:p>
        </w:tc>
        <w:tc>
          <w:tcPr>
            <w:tcW w:w="1040" w:type="dxa"/>
            <w:vAlign w:val="bottom"/>
            <w:tcBorders>
              <w:bottom w:val="single" w:sz="8" w:color="auto"/>
              <w:right w:val="single" w:sz="8" w:color="auto"/>
            </w:tcBorders>
          </w:tcPr>
          <w:p>
            <w:pPr>
              <w:jc w:val="right"/>
              <w:ind w:right="164"/>
              <w:spacing w:after="0"/>
              <w:rPr>
                <w:sz w:val="20"/>
                <w:szCs w:val="20"/>
                <w:color w:val="auto"/>
              </w:rPr>
            </w:pPr>
            <w:r>
              <w:rPr>
                <w:rFonts w:ascii="Arial" w:cs="Arial" w:eastAsia="Arial" w:hAnsi="Arial"/>
                <w:sz w:val="16"/>
                <w:szCs w:val="16"/>
                <w:color w:val="auto"/>
              </w:rPr>
              <w:t>92,889</w:t>
            </w:r>
          </w:p>
        </w:tc>
        <w:tc>
          <w:tcPr>
            <w:tcW w:w="108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2,616,518</w:t>
            </w:r>
          </w:p>
        </w:tc>
        <w:tc>
          <w:tcPr>
            <w:tcW w:w="98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249,880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5,268,118</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Tracy K. Price</w:t>
            </w:r>
          </w:p>
        </w:tc>
        <w:tc>
          <w:tcPr>
            <w:tcW w:w="7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508,227</w:t>
            </w:r>
          </w:p>
        </w:tc>
        <w:tc>
          <w:tcPr>
            <w:tcW w:w="8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shd w:val="clear" w:color="auto" w:fill="E5EDFE"/>
              </w:rPr>
              <w:t>1,778,797</w:t>
            </w:r>
          </w:p>
        </w:tc>
        <w:tc>
          <w:tcPr>
            <w:tcW w:w="780" w:type="dxa"/>
            <w:vAlign w:val="bottom"/>
            <w:tcBorders>
              <w:bottom w:val="single" w:sz="8" w:color="auto"/>
              <w:right w:val="single" w:sz="8" w:color="auto"/>
            </w:tcBorders>
            <w:shd w:val="clear" w:color="auto" w:fill="E5EDFE"/>
          </w:tcPr>
          <w:p>
            <w:pPr>
              <w:jc w:val="right"/>
              <w:ind w:right="24"/>
              <w:spacing w:after="0"/>
              <w:rPr>
                <w:sz w:val="20"/>
                <w:szCs w:val="20"/>
                <w:color w:val="auto"/>
              </w:rPr>
            </w:pPr>
            <w:r>
              <w:rPr>
                <w:rFonts w:ascii="Arial" w:cs="Arial" w:eastAsia="Arial" w:hAnsi="Arial"/>
                <w:sz w:val="16"/>
                <w:szCs w:val="16"/>
                <w:color w:val="auto"/>
              </w:rPr>
              <w:t>21,807</w:t>
            </w:r>
          </w:p>
        </w:tc>
        <w:tc>
          <w:tcPr>
            <w:tcW w:w="1040" w:type="dxa"/>
            <w:vAlign w:val="bottom"/>
            <w:tcBorders>
              <w:bottom w:val="single" w:sz="8" w:color="auto"/>
              <w:right w:val="single" w:sz="8" w:color="auto"/>
            </w:tcBorders>
            <w:shd w:val="clear" w:color="auto" w:fill="E5EDFE"/>
          </w:tcPr>
          <w:p>
            <w:pPr>
              <w:jc w:val="right"/>
              <w:ind w:right="164"/>
              <w:spacing w:after="0"/>
              <w:rPr>
                <w:sz w:val="20"/>
                <w:szCs w:val="20"/>
                <w:color w:val="auto"/>
              </w:rPr>
            </w:pPr>
            <w:r>
              <w:rPr>
                <w:rFonts w:ascii="Arial" w:cs="Arial" w:eastAsia="Arial" w:hAnsi="Arial"/>
                <w:sz w:val="16"/>
                <w:szCs w:val="16"/>
                <w:color w:val="auto"/>
              </w:rPr>
              <w:t>92,889</w:t>
            </w:r>
          </w:p>
        </w:tc>
        <w:tc>
          <w:tcPr>
            <w:tcW w:w="1080" w:type="dxa"/>
            <w:vAlign w:val="bottom"/>
            <w:tcBorders>
              <w:bottom w:val="single" w:sz="8" w:color="auto"/>
              <w:right w:val="single" w:sz="8" w:color="auto"/>
            </w:tcBorders>
            <w:shd w:val="clear" w:color="auto" w:fill="E5EDFE"/>
          </w:tcPr>
          <w:p>
            <w:pPr>
              <w:jc w:val="right"/>
              <w:ind w:right="104"/>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auto"/>
              <w:right w:val="single" w:sz="8" w:color="auto"/>
            </w:tcBorders>
            <w:shd w:val="clear" w:color="auto" w:fill="E5EDFE"/>
          </w:tcPr>
          <w:p>
            <w:pPr>
              <w:jc w:val="right"/>
              <w:ind w:right="124"/>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right w:val="single" w:sz="8" w:color="auto"/>
            </w:tcBorders>
            <w:shd w:val="clear" w:color="auto" w:fill="E5EDFE"/>
          </w:tcPr>
          <w:p>
            <w:pPr>
              <w:jc w:val="right"/>
              <w:spacing w:after="0"/>
              <w:rPr>
                <w:sz w:val="20"/>
                <w:szCs w:val="20"/>
                <w:color w:val="auto"/>
              </w:rPr>
            </w:pPr>
            <w:r>
              <w:rPr>
                <w:rFonts w:ascii="Arial" w:cs="Arial" w:eastAsia="Arial" w:hAnsi="Arial"/>
                <w:sz w:val="16"/>
                <w:szCs w:val="16"/>
                <w:color w:val="auto"/>
              </w:rPr>
              <w:t>2,401,720</w:t>
            </w:r>
          </w:p>
        </w:tc>
        <w:tc>
          <w:tcPr>
            <w:tcW w:w="0" w:type="dxa"/>
            <w:vAlign w:val="bottom"/>
          </w:tcPr>
          <w:p>
            <w:pPr>
              <w:spacing w:after="0"/>
              <w:rPr>
                <w:sz w:val="1"/>
                <w:szCs w:val="1"/>
                <w:color w:val="auto"/>
              </w:rPr>
            </w:pPr>
          </w:p>
        </w:tc>
      </w:tr>
      <w:tr>
        <w:trPr>
          <w:trHeight w:val="237"/>
        </w:trPr>
        <w:tc>
          <w:tcPr>
            <w:tcW w:w="1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Sarah H. McConnell</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283,662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1,134,648</w:t>
            </w:r>
          </w:p>
        </w:tc>
        <w:tc>
          <w:tcPr>
            <w:tcW w:w="780" w:type="dxa"/>
            <w:vAlign w:val="bottom"/>
            <w:tcBorders>
              <w:bottom w:val="single" w:sz="8" w:color="auto"/>
              <w:right w:val="single" w:sz="8" w:color="auto"/>
            </w:tcBorders>
          </w:tcPr>
          <w:p>
            <w:pPr>
              <w:jc w:val="right"/>
              <w:ind w:right="24"/>
              <w:spacing w:after="0"/>
              <w:rPr>
                <w:sz w:val="20"/>
                <w:szCs w:val="20"/>
                <w:color w:val="auto"/>
              </w:rPr>
            </w:pPr>
            <w:r>
              <w:rPr>
                <w:rFonts w:ascii="Arial" w:cs="Arial" w:eastAsia="Arial" w:hAnsi="Arial"/>
                <w:sz w:val="16"/>
                <w:szCs w:val="16"/>
                <w:color w:val="auto"/>
              </w:rPr>
              <w:t>11,375</w:t>
            </w:r>
          </w:p>
        </w:tc>
        <w:tc>
          <w:tcPr>
            <w:tcW w:w="1040" w:type="dxa"/>
            <w:vAlign w:val="bottom"/>
            <w:tcBorders>
              <w:bottom w:val="single" w:sz="8" w:color="auto"/>
              <w:right w:val="single" w:sz="8" w:color="auto"/>
            </w:tcBorders>
          </w:tcPr>
          <w:p>
            <w:pPr>
              <w:jc w:val="right"/>
              <w:ind w:right="164"/>
              <w:spacing w:after="0"/>
              <w:rPr>
                <w:sz w:val="20"/>
                <w:szCs w:val="20"/>
                <w:color w:val="auto"/>
              </w:rPr>
            </w:pPr>
            <w:r>
              <w:rPr>
                <w:rFonts w:ascii="Arial" w:cs="Arial" w:eastAsia="Arial" w:hAnsi="Arial"/>
                <w:sz w:val="16"/>
                <w:szCs w:val="16"/>
                <w:color w:val="auto"/>
              </w:rPr>
              <w:t>61,939</w:t>
            </w:r>
          </w:p>
        </w:tc>
        <w:tc>
          <w:tcPr>
            <w:tcW w:w="108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1,209,932</w:t>
            </w:r>
          </w:p>
        </w:tc>
        <w:tc>
          <w:tcPr>
            <w:tcW w:w="98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2,701,556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20" w:hanging="352"/>
        <w:spacing w:after="0"/>
        <w:tabs>
          <w:tab w:leader="none" w:pos="1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 is target bonus for fiscal year 2014.</w:t>
      </w:r>
    </w:p>
    <w:p>
      <w:pPr>
        <w:spacing w:after="0" w:line="68" w:lineRule="exact"/>
        <w:rPr>
          <w:rFonts w:ascii="Arial" w:cs="Arial" w:eastAsia="Arial" w:hAnsi="Arial"/>
          <w:sz w:val="14"/>
          <w:szCs w:val="14"/>
          <w:color w:val="auto"/>
        </w:rPr>
      </w:pPr>
    </w:p>
    <w:p>
      <w:pPr>
        <w:jc w:val="both"/>
        <w:ind w:left="1620" w:right="759" w:hanging="352"/>
        <w:spacing w:after="0" w:line="270" w:lineRule="auto"/>
        <w:tabs>
          <w:tab w:leader="none" w:pos="1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Mr. Slipsager, amount is based on the terms of his employment agreement, which provides that the Company will pay him $10,000 per year for ten years to be used towards the purchase of health insurance. For Messrs. Lusk, McClure and Price and Ms. McConnell, amount shown is estimated cost for health and welfare benefits for an 18-month period.</w:t>
      </w:r>
    </w:p>
    <w:p>
      <w:pPr>
        <w:spacing w:after="0" w:line="37" w:lineRule="exact"/>
        <w:rPr>
          <w:rFonts w:ascii="Arial" w:cs="Arial" w:eastAsia="Arial" w:hAnsi="Arial"/>
          <w:sz w:val="14"/>
          <w:szCs w:val="14"/>
          <w:color w:val="auto"/>
        </w:rPr>
      </w:pPr>
    </w:p>
    <w:p>
      <w:pPr>
        <w:jc w:val="both"/>
        <w:ind w:left="1620" w:right="759" w:hanging="352"/>
        <w:spacing w:after="0" w:line="267" w:lineRule="auto"/>
        <w:tabs>
          <w:tab w:leader="none" w:pos="1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None of the equity awards outstanding at October 31, 2014 provides for vesting upon termination without cause other than in connection with a change-in-control and pro rata vesting (to the extent performance is achieved), in connection with performance share awards granted after December 2013, a pro rata vesting to date of termination. (See table “Potential Payments upon Certain Terminations of Employment Following a Change-in-Control on October 31, 2014.”)</w:t>
      </w:r>
    </w:p>
    <w:p>
      <w:pPr>
        <w:spacing w:after="0" w:line="39" w:lineRule="exact"/>
        <w:rPr>
          <w:rFonts w:ascii="Arial" w:cs="Arial" w:eastAsia="Arial" w:hAnsi="Arial"/>
          <w:sz w:val="14"/>
          <w:szCs w:val="14"/>
          <w:color w:val="auto"/>
        </w:rPr>
      </w:pPr>
    </w:p>
    <w:p>
      <w:pPr>
        <w:ind w:left="1620" w:hanging="352"/>
        <w:spacing w:after="0"/>
        <w:tabs>
          <w:tab w:leader="none" w:pos="1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include present value of SERP and/or SAB balances for those NEOs who participate in the SERP and/or SAB.</w:t>
      </w:r>
    </w:p>
    <w:p>
      <w:pPr>
        <w:spacing w:after="0" w:line="68"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 does not include accrued but unused vacation pay and any unpaid base salary for employment through termination date.</w:t>
      </w:r>
    </w:p>
    <w:p>
      <w:pPr>
        <w:sectPr>
          <w:pgSz w:w="11900" w:h="16838" w:orient="portrait"/>
          <w:cols w:equalWidth="0" w:num="1">
            <w:col w:w="10219"/>
          </w:cols>
          <w:pgMar w:left="240" w:top="132" w:right="1440" w:bottom="1440" w:gutter="0" w:footer="0" w:header="0"/>
          <w:type w:val="continuous"/>
        </w:sectPr>
      </w:pPr>
    </w:p>
    <w:p>
      <w:pPr>
        <w:spacing w:after="0" w:line="340"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An NEO who participates in the SERP and/or SAB whose employment is terminated without cause is entitled to receive SERP payments (with payments beginning at age 65) and a lump sum SAB payment. An NEO who has elected to defer compensation receives the aggregate balance in the NEO’s deferred compensation account. See “Pension and Deferred Compensation Benefits,” above.</w:t>
      </w:r>
    </w:p>
    <w:p>
      <w:pPr>
        <w:spacing w:after="0" w:line="100" w:lineRule="exact"/>
        <w:rPr>
          <w:sz w:val="20"/>
          <w:szCs w:val="20"/>
          <w:color w:val="auto"/>
        </w:rPr>
      </w:pPr>
    </w:p>
    <w:p>
      <w:pPr>
        <w:jc w:val="both"/>
        <w:ind w:left="1260" w:right="20"/>
        <w:spacing w:after="0" w:line="260" w:lineRule="auto"/>
        <w:rPr>
          <w:sz w:val="20"/>
          <w:szCs w:val="20"/>
          <w:color w:val="auto"/>
        </w:rPr>
      </w:pPr>
      <w:r>
        <w:rPr>
          <w:rFonts w:ascii="Arial" w:cs="Arial" w:eastAsia="Arial" w:hAnsi="Arial"/>
          <w:sz w:val="16"/>
          <w:szCs w:val="16"/>
          <w:color w:val="auto"/>
        </w:rPr>
        <w:t>Under his employment agreement, Mr. Slipsager would receive two times the sum of his base salary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both"/>
        <w:ind w:left="400" w:right="739"/>
        <w:spacing w:after="0" w:line="248" w:lineRule="auto"/>
        <w:rPr>
          <w:sz w:val="20"/>
          <w:szCs w:val="20"/>
          <w:color w:val="auto"/>
        </w:rPr>
      </w:pPr>
      <w:r>
        <w:rPr>
          <w:rFonts w:ascii="Arial" w:cs="Arial" w:eastAsia="Arial" w:hAnsi="Arial"/>
          <w:sz w:val="16"/>
          <w:szCs w:val="16"/>
          <w:color w:val="auto"/>
        </w:rPr>
        <w:t>and target bonus and $10,000 per year for a ten-year period for health insurance if he is terminated without Just Cause prior to the expiration of the term of his employment agreement. Under employment agreements with Messrs. Lusk, McClure and Price and Ms. McConnell that were in effect on October 31, 2014, if the Company terminates the executive’s employment without “Cause” (as defined in the employment agreement), he or she will receive severance in an amount equal to 18 months base</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238125</wp:posOffset>
            </wp:positionV>
            <wp:extent cx="683450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2">
            <w:col w:w="5080" w:space="200"/>
            <w:col w:w="4939"/>
          </w:cols>
          <w:pgMar w:left="24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pay plus an amount equal to the executive’s target bonus amount, pro-rated on the basis of the fraction of the fiscal year that had been completed prior to the date of termination, based on the Company’s actual performance for the entire fiscal year. In addition, under the terms of the employment agreements in effect on such date,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would pay the executive an amount equal to the Company’s portion of medical insurance for the length of the severance period, not to exceed 18 months. See discussion above under “CEO Succession, Employment Agreements and Management Retention” for description of arrangements entered into after October 31, 2014.</w:t>
      </w:r>
    </w:p>
    <w:p>
      <w:pPr>
        <w:spacing w:after="0" w:line="200"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9"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Potential Payments upon Death on October 31, 2014</w:t>
      </w:r>
    </w:p>
    <w:p>
      <w:pPr>
        <w:spacing w:after="0" w:line="133" w:lineRule="exact"/>
        <w:rPr>
          <w:sz w:val="20"/>
          <w:szCs w:val="20"/>
          <w:color w:val="auto"/>
        </w:rPr>
      </w:pPr>
    </w:p>
    <w:p>
      <w:pPr>
        <w:ind w:left="1260" w:right="739"/>
        <w:spacing w:after="0" w:line="260" w:lineRule="auto"/>
        <w:rPr>
          <w:sz w:val="20"/>
          <w:szCs w:val="20"/>
          <w:color w:val="auto"/>
        </w:rPr>
      </w:pPr>
      <w:r>
        <w:rPr>
          <w:rFonts w:ascii="Arial" w:cs="Arial" w:eastAsia="Arial" w:hAnsi="Arial"/>
          <w:sz w:val="16"/>
          <w:szCs w:val="16"/>
          <w:color w:val="auto"/>
        </w:rPr>
        <w:t>The following table estimates potential payments for each NEO if the NEO had been terminated due to death on October 31, 2014.</w:t>
      </w:r>
    </w:p>
    <w:p>
      <w:pPr>
        <w:spacing w:after="0" w:line="93" w:lineRule="exact"/>
        <w:rPr>
          <w:sz w:val="20"/>
          <w:szCs w:val="20"/>
          <w:color w:val="auto"/>
        </w:rPr>
      </w:pPr>
    </w:p>
    <w:tbl>
      <w:tblPr>
        <w:tblLayout w:type="fixed"/>
        <w:tblInd w:w="1270" w:type="dxa"/>
        <w:tblCellMar>
          <w:top w:w="0" w:type="dxa"/>
          <w:left w:w="0" w:type="dxa"/>
          <w:bottom w:w="0" w:type="dxa"/>
          <w:right w:w="0" w:type="dxa"/>
        </w:tblCellMar>
      </w:tblPr>
      <w:tr>
        <w:trPr>
          <w:trHeight w:val="311"/>
        </w:trPr>
        <w:tc>
          <w:tcPr>
            <w:tcW w:w="196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780" w:type="dxa"/>
            <w:vAlign w:val="bottom"/>
            <w:tcBorders>
              <w:top w:val="single" w:sz="8" w:color="auto"/>
              <w:right w:val="single" w:sz="8" w:color="auto"/>
            </w:tcBorders>
            <w:shd w:val="clear" w:color="auto" w:fill="B1C9FD"/>
          </w:tcPr>
          <w:p>
            <w:pPr>
              <w:spacing w:after="0"/>
              <w:rPr>
                <w:sz w:val="24"/>
                <w:szCs w:val="24"/>
                <w:color w:val="auto"/>
              </w:rPr>
            </w:pPr>
          </w:p>
        </w:tc>
        <w:tc>
          <w:tcPr>
            <w:tcW w:w="900" w:type="dxa"/>
            <w:vAlign w:val="bottom"/>
            <w:tcBorders>
              <w:top w:val="single" w:sz="8" w:color="auto"/>
              <w:right w:val="single" w:sz="8" w:color="auto"/>
            </w:tcBorders>
            <w:shd w:val="clear" w:color="auto" w:fill="B1C9FD"/>
          </w:tcPr>
          <w:p>
            <w:pPr>
              <w:spacing w:after="0"/>
              <w:rPr>
                <w:sz w:val="24"/>
                <w:szCs w:val="24"/>
                <w:color w:val="auto"/>
              </w:rPr>
            </w:pPr>
          </w:p>
        </w:tc>
        <w:tc>
          <w:tcPr>
            <w:tcW w:w="760" w:type="dxa"/>
            <w:vAlign w:val="bottom"/>
            <w:tcBorders>
              <w:top w:val="single" w:sz="8" w:color="auto"/>
              <w:right w:val="single" w:sz="8" w:color="auto"/>
            </w:tcBorders>
            <w:shd w:val="clear" w:color="auto" w:fill="B1C9FD"/>
          </w:tcPr>
          <w:p>
            <w:pPr>
              <w:spacing w:after="0"/>
              <w:rPr>
                <w:sz w:val="24"/>
                <w:szCs w:val="24"/>
                <w:color w:val="auto"/>
              </w:rPr>
            </w:pPr>
          </w:p>
        </w:tc>
        <w:tc>
          <w:tcPr>
            <w:tcW w:w="84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Equity</w:t>
            </w:r>
          </w:p>
        </w:tc>
        <w:tc>
          <w:tcPr>
            <w:tcW w:w="112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Nonqualified</w:t>
            </w:r>
          </w:p>
        </w:tc>
        <w:tc>
          <w:tcPr>
            <w:tcW w:w="102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Present</w:t>
            </w:r>
          </w:p>
        </w:tc>
        <w:tc>
          <w:tcPr>
            <w:tcW w:w="840" w:type="dxa"/>
            <w:vAlign w:val="bottom"/>
            <w:tcBorders>
              <w:top w:val="single" w:sz="8" w:color="auto"/>
              <w:right w:val="single" w:sz="8" w:color="auto"/>
            </w:tcBorders>
            <w:shd w:val="clear" w:color="auto" w:fill="B1C9FD"/>
          </w:tcPr>
          <w:p>
            <w:pPr>
              <w:spacing w:after="0"/>
              <w:rPr>
                <w:sz w:val="24"/>
                <w:szCs w:val="24"/>
                <w:color w:val="auto"/>
              </w:rPr>
            </w:pPr>
          </w:p>
        </w:tc>
      </w:tr>
      <w:tr>
        <w:trPr>
          <w:trHeight w:val="162"/>
        </w:trPr>
        <w:tc>
          <w:tcPr>
            <w:tcW w:w="1960" w:type="dxa"/>
            <w:vAlign w:val="bottom"/>
            <w:tcBorders>
              <w:left w:val="single" w:sz="8" w:color="auto"/>
              <w:right w:val="single" w:sz="8" w:color="auto"/>
            </w:tcBorders>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spacing w:after="0"/>
              <w:rPr>
                <w:sz w:val="14"/>
                <w:szCs w:val="14"/>
                <w:color w:val="auto"/>
              </w:rPr>
            </w:pPr>
          </w:p>
        </w:tc>
        <w:tc>
          <w:tcPr>
            <w:tcW w:w="900" w:type="dxa"/>
            <w:vAlign w:val="bottom"/>
            <w:tcBorders>
              <w:right w:val="single" w:sz="8" w:color="auto"/>
            </w:tcBorders>
            <w:shd w:val="clear" w:color="auto" w:fill="B1C9FD"/>
          </w:tcPr>
          <w:p>
            <w:pPr>
              <w:spacing w:after="0"/>
              <w:rPr>
                <w:sz w:val="14"/>
                <w:szCs w:val="14"/>
                <w:color w:val="auto"/>
              </w:rPr>
            </w:pPr>
          </w:p>
        </w:tc>
        <w:tc>
          <w:tcPr>
            <w:tcW w:w="7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Company</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Grants</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Deferred</w:t>
            </w:r>
          </w:p>
        </w:tc>
        <w:tc>
          <w:tcPr>
            <w:tcW w:w="10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Value of</w:t>
            </w:r>
          </w:p>
        </w:tc>
        <w:tc>
          <w:tcPr>
            <w:tcW w:w="840" w:type="dxa"/>
            <w:vAlign w:val="bottom"/>
            <w:tcBorders>
              <w:right w:val="single" w:sz="8" w:color="auto"/>
            </w:tcBorders>
            <w:shd w:val="clear" w:color="auto" w:fill="B1C9FD"/>
          </w:tcPr>
          <w:p>
            <w:pPr>
              <w:spacing w:after="0"/>
              <w:rPr>
                <w:sz w:val="14"/>
                <w:szCs w:val="14"/>
                <w:color w:val="auto"/>
              </w:rPr>
            </w:pPr>
          </w:p>
        </w:tc>
      </w:tr>
      <w:tr>
        <w:trPr>
          <w:trHeight w:val="162"/>
        </w:trPr>
        <w:tc>
          <w:tcPr>
            <w:tcW w:w="1960" w:type="dxa"/>
            <w:vAlign w:val="bottom"/>
            <w:tcBorders>
              <w:left w:val="single" w:sz="8" w:color="auto"/>
              <w:right w:val="single" w:sz="8" w:color="auto"/>
            </w:tcBorders>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Unpaid</w:t>
            </w:r>
          </w:p>
        </w:tc>
        <w:tc>
          <w:tcPr>
            <w:tcW w:w="900" w:type="dxa"/>
            <w:vAlign w:val="bottom"/>
            <w:tcBorders>
              <w:right w:val="single" w:sz="8" w:color="auto"/>
            </w:tcBorders>
            <w:shd w:val="clear" w:color="auto" w:fill="B1C9FD"/>
          </w:tcPr>
          <w:p>
            <w:pPr>
              <w:spacing w:after="0"/>
              <w:rPr>
                <w:sz w:val="14"/>
                <w:szCs w:val="14"/>
                <w:color w:val="auto"/>
              </w:rPr>
            </w:pPr>
          </w:p>
        </w:tc>
        <w:tc>
          <w:tcPr>
            <w:tcW w:w="7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Portion of</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Vesting as</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Compensation</w:t>
            </w:r>
          </w:p>
        </w:tc>
        <w:tc>
          <w:tcPr>
            <w:tcW w:w="10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Accumulated</w:t>
            </w:r>
          </w:p>
        </w:tc>
        <w:tc>
          <w:tcPr>
            <w:tcW w:w="840" w:type="dxa"/>
            <w:vAlign w:val="bottom"/>
            <w:tcBorders>
              <w:right w:val="single" w:sz="8" w:color="auto"/>
            </w:tcBorders>
            <w:shd w:val="clear" w:color="auto" w:fill="B1C9FD"/>
          </w:tcPr>
          <w:p>
            <w:pPr>
              <w:spacing w:after="0"/>
              <w:rPr>
                <w:sz w:val="14"/>
                <w:szCs w:val="14"/>
                <w:color w:val="auto"/>
              </w:rPr>
            </w:pPr>
          </w:p>
        </w:tc>
      </w:tr>
      <w:tr>
        <w:trPr>
          <w:trHeight w:val="162"/>
        </w:trPr>
        <w:tc>
          <w:tcPr>
            <w:tcW w:w="1960" w:type="dxa"/>
            <w:vAlign w:val="bottom"/>
            <w:tcBorders>
              <w:left w:val="single" w:sz="8" w:color="auto"/>
              <w:right w:val="single" w:sz="8" w:color="auto"/>
            </w:tcBorders>
            <w:shd w:val="clear" w:color="auto" w:fill="B1C9FD"/>
          </w:tcPr>
          <w:p>
            <w:pPr>
              <w:spacing w:after="0"/>
              <w:rPr>
                <w:sz w:val="14"/>
                <w:szCs w:val="14"/>
                <w:color w:val="auto"/>
              </w:rPr>
            </w:pPr>
          </w:p>
        </w:tc>
        <w:tc>
          <w:tcPr>
            <w:tcW w:w="7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Bonus for</w:t>
            </w:r>
          </w:p>
        </w:tc>
        <w:tc>
          <w:tcPr>
            <w:tcW w:w="9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Life</w:t>
            </w:r>
          </w:p>
        </w:tc>
        <w:tc>
          <w:tcPr>
            <w:tcW w:w="7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Medical</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 Result of</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Aggregate</w:t>
            </w:r>
          </w:p>
        </w:tc>
        <w:tc>
          <w:tcPr>
            <w:tcW w:w="10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Pension</w:t>
            </w:r>
          </w:p>
        </w:tc>
        <w:tc>
          <w:tcPr>
            <w:tcW w:w="840" w:type="dxa"/>
            <w:vAlign w:val="bottom"/>
            <w:tcBorders>
              <w:right w:val="single" w:sz="8" w:color="auto"/>
            </w:tcBorders>
            <w:shd w:val="clear" w:color="auto" w:fill="B1C9FD"/>
          </w:tcPr>
          <w:p>
            <w:pPr>
              <w:spacing w:after="0"/>
              <w:rPr>
                <w:sz w:val="14"/>
                <w:szCs w:val="14"/>
                <w:color w:val="auto"/>
              </w:rPr>
            </w:pPr>
          </w:p>
        </w:tc>
      </w:tr>
      <w:tr>
        <w:trPr>
          <w:trHeight w:val="176"/>
        </w:trPr>
        <w:tc>
          <w:tcPr>
            <w:tcW w:w="1960" w:type="dxa"/>
            <w:vAlign w:val="bottom"/>
            <w:tcBorders>
              <w:left w:val="single" w:sz="8" w:color="auto"/>
              <w:right w:val="single" w:sz="8" w:color="auto"/>
            </w:tcBorders>
            <w:shd w:val="clear" w:color="auto" w:fill="B1C9FD"/>
          </w:tcPr>
          <w:p>
            <w:pPr>
              <w:spacing w:after="0"/>
              <w:rPr>
                <w:sz w:val="15"/>
                <w:szCs w:val="15"/>
                <w:color w:val="auto"/>
              </w:rPr>
            </w:pPr>
          </w:p>
        </w:tc>
        <w:tc>
          <w:tcPr>
            <w:tcW w:w="780" w:type="dxa"/>
            <w:vAlign w:val="bottom"/>
            <w:tcBorders>
              <w:right w:val="single" w:sz="8" w:color="auto"/>
            </w:tcBorders>
            <w:shd w:val="clear" w:color="auto" w:fill="B1C9FD"/>
          </w:tcPr>
          <w:p>
            <w:pPr>
              <w:jc w:val="right"/>
              <w:ind w:right="83"/>
              <w:spacing w:after="0" w:line="176" w:lineRule="exact"/>
              <w:rPr>
                <w:sz w:val="20"/>
                <w:szCs w:val="20"/>
                <w:color w:val="auto"/>
              </w:rPr>
            </w:pPr>
            <w:r>
              <w:rPr>
                <w:rFonts w:ascii="Arial" w:cs="Arial" w:eastAsia="Arial" w:hAnsi="Arial"/>
                <w:sz w:val="14"/>
                <w:szCs w:val="14"/>
                <w:b w:val="1"/>
                <w:bCs w:val="1"/>
                <w:color w:val="004FF9"/>
              </w:rPr>
              <w:t>2014</w:t>
            </w:r>
            <w:r>
              <w:rPr>
                <w:rFonts w:ascii="Arial" w:cs="Arial" w:eastAsia="Arial" w:hAnsi="Arial"/>
                <w:sz w:val="20"/>
                <w:szCs w:val="20"/>
                <w:b w:val="1"/>
                <w:bCs w:val="1"/>
                <w:color w:val="004FF9"/>
                <w:vertAlign w:val="superscript"/>
              </w:rPr>
              <w:t>(1)</w:t>
            </w:r>
          </w:p>
        </w:tc>
        <w:tc>
          <w:tcPr>
            <w:tcW w:w="90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6"/>
              </w:rPr>
              <w:t>Insurance</w:t>
            </w:r>
            <w:r>
              <w:rPr>
                <w:rFonts w:ascii="Arial" w:cs="Arial" w:eastAsia="Arial" w:hAnsi="Arial"/>
                <w:sz w:val="20"/>
                <w:szCs w:val="20"/>
                <w:b w:val="1"/>
                <w:bCs w:val="1"/>
                <w:color w:val="004FF9"/>
                <w:w w:val="96"/>
                <w:vertAlign w:val="superscript"/>
              </w:rPr>
              <w:t>(2)</w:t>
            </w:r>
          </w:p>
        </w:tc>
        <w:tc>
          <w:tcPr>
            <w:tcW w:w="76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(3)</w:t>
            </w:r>
          </w:p>
        </w:tc>
        <w:tc>
          <w:tcPr>
            <w:tcW w:w="84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4"/>
              </w:rPr>
              <w:t>Death</w:t>
            </w:r>
            <w:r>
              <w:rPr>
                <w:rFonts w:ascii="Arial" w:cs="Arial" w:eastAsia="Arial" w:hAnsi="Arial"/>
                <w:sz w:val="20"/>
                <w:szCs w:val="20"/>
                <w:b w:val="1"/>
                <w:bCs w:val="1"/>
                <w:color w:val="004FF9"/>
                <w:w w:val="94"/>
                <w:vertAlign w:val="superscript"/>
              </w:rPr>
              <w:t>(4)</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Balance</w:t>
            </w:r>
          </w:p>
        </w:tc>
        <w:tc>
          <w:tcPr>
            <w:tcW w:w="102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(5)</w:t>
            </w:r>
          </w:p>
        </w:tc>
        <w:tc>
          <w:tcPr>
            <w:tcW w:w="8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5"/>
              </w:rPr>
              <w:t>Total</w:t>
            </w:r>
          </w:p>
        </w:tc>
      </w:tr>
      <w:tr>
        <w:trPr>
          <w:trHeight w:val="196"/>
        </w:trPr>
        <w:tc>
          <w:tcPr>
            <w:tcW w:w="1960" w:type="dxa"/>
            <w:vAlign w:val="bottom"/>
            <w:tcBorders>
              <w:left w:val="single" w:sz="8" w:color="auto"/>
              <w:bottom w:val="single" w:sz="8" w:color="auto"/>
              <w:right w:val="single" w:sz="8" w:color="auto"/>
            </w:tcBorders>
            <w:shd w:val="clear" w:color="auto" w:fill="B1C9FD"/>
          </w:tcPr>
          <w:p>
            <w:pPr>
              <w:ind w:left="140"/>
              <w:spacing w:after="0"/>
              <w:rPr>
                <w:sz w:val="20"/>
                <w:szCs w:val="20"/>
                <w:color w:val="auto"/>
              </w:rPr>
            </w:pPr>
            <w:r>
              <w:rPr>
                <w:rFonts w:ascii="Arial" w:cs="Arial" w:eastAsia="Arial" w:hAnsi="Arial"/>
                <w:sz w:val="14"/>
                <w:szCs w:val="14"/>
                <w:b w:val="1"/>
                <w:bCs w:val="1"/>
                <w:color w:val="004FF9"/>
              </w:rPr>
              <w:t>Named Executive Officer</w:t>
            </w:r>
          </w:p>
        </w:tc>
        <w:tc>
          <w:tcPr>
            <w:tcW w:w="780" w:type="dxa"/>
            <w:vAlign w:val="bottom"/>
            <w:tcBorders>
              <w:bottom w:val="single" w:sz="8" w:color="auto"/>
              <w:right w:val="single" w:sz="8" w:color="auto"/>
            </w:tcBorders>
            <w:shd w:val="clear" w:color="auto" w:fill="B1C9FD"/>
          </w:tcPr>
          <w:p>
            <w:pPr>
              <w:jc w:val="right"/>
              <w:ind w:right="223"/>
              <w:spacing w:after="0"/>
              <w:rPr>
                <w:sz w:val="20"/>
                <w:szCs w:val="20"/>
                <w:color w:val="auto"/>
              </w:rPr>
            </w:pPr>
            <w:r>
              <w:rPr>
                <w:rFonts w:ascii="Arial" w:cs="Arial" w:eastAsia="Arial" w:hAnsi="Arial"/>
                <w:sz w:val="14"/>
                <w:szCs w:val="14"/>
                <w:b w:val="1"/>
                <w:bCs w:val="1"/>
                <w:color w:val="004FF9"/>
              </w:rPr>
              <w:t>($)</w:t>
            </w:r>
          </w:p>
        </w:tc>
        <w:tc>
          <w:tcPr>
            <w:tcW w:w="9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7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8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1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0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8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r>
      <w:tr>
        <w:trPr>
          <w:trHeight w:val="236"/>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Henrik C. Slipsager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893,000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750,000</w:t>
            </w:r>
          </w:p>
        </w:tc>
        <w:tc>
          <w:tcPr>
            <w:tcW w:w="760" w:type="dxa"/>
            <w:vAlign w:val="bottom"/>
            <w:tcBorders>
              <w:bottom w:val="single" w:sz="8" w:color="auto"/>
              <w:right w:val="single" w:sz="8" w:color="auto"/>
            </w:tcBorders>
          </w:tcPr>
          <w:p>
            <w:pPr>
              <w:jc w:val="right"/>
              <w:ind w:right="64"/>
              <w:spacing w:after="0"/>
              <w:rPr>
                <w:sz w:val="20"/>
                <w:szCs w:val="20"/>
                <w:color w:val="auto"/>
              </w:rPr>
            </w:pPr>
            <w:r>
              <w:rPr>
                <w:rFonts w:ascii="Arial" w:cs="Arial" w:eastAsia="Arial" w:hAnsi="Arial"/>
                <w:sz w:val="16"/>
                <w:szCs w:val="16"/>
                <w:color w:val="auto"/>
              </w:rPr>
              <w:t>50,000</w:t>
            </w:r>
          </w:p>
        </w:tc>
        <w:tc>
          <w:tcPr>
            <w:tcW w:w="84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6"/>
                <w:szCs w:val="16"/>
                <w:color w:val="auto"/>
              </w:rPr>
              <w:t>1,982,347</w:t>
            </w:r>
          </w:p>
        </w:tc>
        <w:tc>
          <w:tcPr>
            <w:tcW w:w="112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5,236,397</w:t>
            </w:r>
          </w:p>
        </w:tc>
        <w:tc>
          <w:tcPr>
            <w:tcW w:w="102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6"/>
                <w:szCs w:val="16"/>
                <w:color w:val="auto"/>
              </w:rPr>
              <w:t>705,387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9,617,131</w:t>
            </w:r>
          </w:p>
        </w:tc>
      </w:tr>
      <w:tr>
        <w:trPr>
          <w:trHeight w:val="237"/>
        </w:trPr>
        <w:tc>
          <w:tcPr>
            <w:tcW w:w="1960" w:type="dxa"/>
            <w:vAlign w:val="bottom"/>
            <w:tcBorders>
              <w:left w:val="single" w:sz="8" w:color="auto"/>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James S. Lusk</w:t>
            </w:r>
          </w:p>
        </w:tc>
        <w:tc>
          <w:tcPr>
            <w:tcW w:w="7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393,449</w:t>
            </w:r>
          </w:p>
        </w:tc>
        <w:tc>
          <w:tcPr>
            <w:tcW w:w="9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750,000</w:t>
            </w:r>
          </w:p>
        </w:tc>
        <w:tc>
          <w:tcPr>
            <w:tcW w:w="760" w:type="dxa"/>
            <w:vAlign w:val="bottom"/>
            <w:tcBorders>
              <w:bottom w:val="single" w:sz="8" w:color="auto"/>
              <w:right w:val="single" w:sz="8" w:color="auto"/>
            </w:tcBorders>
            <w:shd w:val="clear" w:color="auto" w:fill="E5EDFE"/>
          </w:tcPr>
          <w:p>
            <w:pPr>
              <w:jc w:val="right"/>
              <w:ind w:right="64"/>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right w:val="single" w:sz="8" w:color="auto"/>
            </w:tcBorders>
            <w:shd w:val="clear" w:color="auto" w:fill="E5EDFE"/>
          </w:tcPr>
          <w:p>
            <w:pPr>
              <w:jc w:val="right"/>
              <w:ind w:right="4"/>
              <w:spacing w:after="0"/>
              <w:rPr>
                <w:sz w:val="20"/>
                <w:szCs w:val="20"/>
                <w:color w:val="auto"/>
              </w:rPr>
            </w:pPr>
            <w:r>
              <w:rPr>
                <w:rFonts w:ascii="Arial" w:cs="Arial" w:eastAsia="Arial" w:hAnsi="Arial"/>
                <w:sz w:val="16"/>
                <w:szCs w:val="16"/>
                <w:color w:val="auto"/>
                <w:shd w:val="clear" w:color="auto" w:fill="E5EDFE"/>
              </w:rPr>
              <w:t>1,470,452</w:t>
            </w:r>
          </w:p>
        </w:tc>
        <w:tc>
          <w:tcPr>
            <w:tcW w:w="1120" w:type="dxa"/>
            <w:vAlign w:val="bottom"/>
            <w:tcBorders>
              <w:bottom w:val="single" w:sz="8" w:color="auto"/>
              <w:right w:val="single" w:sz="8" w:color="auto"/>
            </w:tcBorders>
            <w:shd w:val="clear" w:color="auto" w:fill="E5EDFE"/>
          </w:tcPr>
          <w:p>
            <w:pPr>
              <w:jc w:val="right"/>
              <w:ind w:right="124"/>
              <w:spacing w:after="0"/>
              <w:rPr>
                <w:sz w:val="20"/>
                <w:szCs w:val="20"/>
                <w:color w:val="auto"/>
              </w:rPr>
            </w:pPr>
            <w:r>
              <w:rPr>
                <w:rFonts w:ascii="Arial" w:cs="Arial" w:eastAsia="Arial" w:hAnsi="Arial"/>
                <w:sz w:val="16"/>
                <w:szCs w:val="16"/>
                <w:color w:val="auto"/>
              </w:rPr>
              <w:t>96,602</w:t>
            </w:r>
          </w:p>
        </w:tc>
        <w:tc>
          <w:tcPr>
            <w:tcW w:w="1020" w:type="dxa"/>
            <w:vAlign w:val="bottom"/>
            <w:tcBorders>
              <w:bottom w:val="single" w:sz="8" w:color="auto"/>
              <w:right w:val="single" w:sz="8" w:color="auto"/>
            </w:tcBorders>
            <w:shd w:val="clear" w:color="auto" w:fill="E5EDFE"/>
          </w:tcPr>
          <w:p>
            <w:pPr>
              <w:jc w:val="right"/>
              <w:ind w:right="144"/>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shd w:val="clear" w:color="auto" w:fill="E5EDFE"/>
              </w:rPr>
              <w:t>2,710,503</w:t>
            </w:r>
          </w:p>
        </w:tc>
      </w:tr>
      <w:tr>
        <w:trPr>
          <w:trHeight w:val="237"/>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James P. McClure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508,227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750,000</w:t>
            </w:r>
          </w:p>
        </w:tc>
        <w:tc>
          <w:tcPr>
            <w:tcW w:w="760" w:type="dxa"/>
            <w:vAlign w:val="bottom"/>
            <w:tcBorders>
              <w:bottom w:val="single" w:sz="8" w:color="auto"/>
              <w:right w:val="single" w:sz="8" w:color="auto"/>
            </w:tcBorders>
          </w:tcPr>
          <w:p>
            <w:pPr>
              <w:jc w:val="right"/>
              <w:ind w:right="64"/>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6"/>
                <w:szCs w:val="16"/>
                <w:color w:val="auto"/>
              </w:rPr>
              <w:t>2,437,980</w:t>
            </w:r>
          </w:p>
        </w:tc>
        <w:tc>
          <w:tcPr>
            <w:tcW w:w="112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2,616,518</w:t>
            </w:r>
          </w:p>
        </w:tc>
        <w:tc>
          <w:tcPr>
            <w:tcW w:w="102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6"/>
                <w:szCs w:val="16"/>
                <w:color w:val="auto"/>
              </w:rPr>
              <w:t>249,880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6,562,605</w:t>
            </w:r>
          </w:p>
        </w:tc>
      </w:tr>
      <w:tr>
        <w:trPr>
          <w:trHeight w:val="237"/>
        </w:trPr>
        <w:tc>
          <w:tcPr>
            <w:tcW w:w="1960" w:type="dxa"/>
            <w:vAlign w:val="bottom"/>
            <w:tcBorders>
              <w:left w:val="single" w:sz="8" w:color="auto"/>
              <w:bottom w:val="single" w:sz="8" w:color="auto"/>
              <w:right w:val="single" w:sz="8" w:color="auto"/>
            </w:tcBorders>
            <w:shd w:val="clear" w:color="auto" w:fill="E5EDFE"/>
          </w:tcPr>
          <w:p>
            <w:pPr>
              <w:ind w:left="40"/>
              <w:spacing w:after="0"/>
              <w:rPr>
                <w:sz w:val="20"/>
                <w:szCs w:val="20"/>
                <w:color w:val="auto"/>
              </w:rPr>
            </w:pPr>
            <w:r>
              <w:rPr>
                <w:rFonts w:ascii="Arial" w:cs="Arial" w:eastAsia="Arial" w:hAnsi="Arial"/>
                <w:sz w:val="16"/>
                <w:szCs w:val="16"/>
                <w:color w:val="auto"/>
              </w:rPr>
              <w:t>Tracy K. Price</w:t>
            </w:r>
          </w:p>
        </w:tc>
        <w:tc>
          <w:tcPr>
            <w:tcW w:w="7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508,227</w:t>
            </w:r>
          </w:p>
        </w:tc>
        <w:tc>
          <w:tcPr>
            <w:tcW w:w="9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750,000</w:t>
            </w:r>
          </w:p>
        </w:tc>
        <w:tc>
          <w:tcPr>
            <w:tcW w:w="760" w:type="dxa"/>
            <w:vAlign w:val="bottom"/>
            <w:tcBorders>
              <w:bottom w:val="single" w:sz="8" w:color="auto"/>
              <w:right w:val="single" w:sz="8" w:color="auto"/>
            </w:tcBorders>
            <w:shd w:val="clear" w:color="auto" w:fill="E5EDFE"/>
          </w:tcPr>
          <w:p>
            <w:pPr>
              <w:jc w:val="right"/>
              <w:ind w:right="64"/>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right w:val="single" w:sz="8" w:color="auto"/>
            </w:tcBorders>
            <w:shd w:val="clear" w:color="auto" w:fill="E5EDFE"/>
          </w:tcPr>
          <w:p>
            <w:pPr>
              <w:jc w:val="right"/>
              <w:ind w:right="4"/>
              <w:spacing w:after="0"/>
              <w:rPr>
                <w:sz w:val="20"/>
                <w:szCs w:val="20"/>
                <w:color w:val="auto"/>
              </w:rPr>
            </w:pPr>
            <w:r>
              <w:rPr>
                <w:rFonts w:ascii="Arial" w:cs="Arial" w:eastAsia="Arial" w:hAnsi="Arial"/>
                <w:sz w:val="16"/>
                <w:szCs w:val="16"/>
                <w:color w:val="auto"/>
              </w:rPr>
              <w:t>897,740</w:t>
            </w:r>
          </w:p>
        </w:tc>
        <w:tc>
          <w:tcPr>
            <w:tcW w:w="1120" w:type="dxa"/>
            <w:vAlign w:val="bottom"/>
            <w:tcBorders>
              <w:bottom w:val="single" w:sz="8" w:color="auto"/>
              <w:right w:val="single" w:sz="8" w:color="auto"/>
            </w:tcBorders>
            <w:shd w:val="clear" w:color="auto" w:fill="E5EDFE"/>
          </w:tcPr>
          <w:p>
            <w:pPr>
              <w:jc w:val="right"/>
              <w:ind w:right="124"/>
              <w:spacing w:after="0"/>
              <w:rPr>
                <w:sz w:val="20"/>
                <w:szCs w:val="20"/>
                <w:color w:val="auto"/>
              </w:rPr>
            </w:pPr>
            <w:r>
              <w:rPr>
                <w:rFonts w:ascii="Arial" w:cs="Arial" w:eastAsia="Arial" w:hAnsi="Arial"/>
                <w:sz w:val="16"/>
                <w:szCs w:val="16"/>
                <w:color w:val="auto"/>
              </w:rPr>
              <w:t>0</w:t>
            </w:r>
          </w:p>
        </w:tc>
        <w:tc>
          <w:tcPr>
            <w:tcW w:w="1020" w:type="dxa"/>
            <w:vAlign w:val="bottom"/>
            <w:tcBorders>
              <w:bottom w:val="single" w:sz="8" w:color="auto"/>
              <w:right w:val="single" w:sz="8" w:color="auto"/>
            </w:tcBorders>
            <w:shd w:val="clear" w:color="auto" w:fill="E5EDFE"/>
          </w:tcPr>
          <w:p>
            <w:pPr>
              <w:jc w:val="right"/>
              <w:ind w:right="144"/>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shd w:val="clear" w:color="auto" w:fill="E5EDFE"/>
              </w:rPr>
              <w:t>2,155,967</w:t>
            </w:r>
          </w:p>
        </w:tc>
      </w:tr>
      <w:tr>
        <w:trPr>
          <w:trHeight w:val="237"/>
        </w:trPr>
        <w:tc>
          <w:tcPr>
            <w:tcW w:w="1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Sarah H. McConnell</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283,662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750,000</w:t>
            </w:r>
          </w:p>
        </w:tc>
        <w:tc>
          <w:tcPr>
            <w:tcW w:w="760" w:type="dxa"/>
            <w:vAlign w:val="bottom"/>
            <w:tcBorders>
              <w:bottom w:val="single" w:sz="8" w:color="auto"/>
              <w:right w:val="single" w:sz="8" w:color="auto"/>
            </w:tcBorders>
          </w:tcPr>
          <w:p>
            <w:pPr>
              <w:jc w:val="right"/>
              <w:ind w:right="64"/>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6"/>
                <w:szCs w:val="16"/>
                <w:color w:val="auto"/>
              </w:rPr>
              <w:t>498,765</w:t>
            </w:r>
          </w:p>
        </w:tc>
        <w:tc>
          <w:tcPr>
            <w:tcW w:w="112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6"/>
                <w:szCs w:val="16"/>
                <w:color w:val="auto"/>
              </w:rPr>
              <w:t>1,209,932</w:t>
            </w:r>
          </w:p>
        </w:tc>
        <w:tc>
          <w:tcPr>
            <w:tcW w:w="1020" w:type="dxa"/>
            <w:vAlign w:val="bottom"/>
            <w:tcBorders>
              <w:bottom w:val="single" w:sz="8" w:color="auto"/>
              <w:right w:val="single" w:sz="8" w:color="auto"/>
            </w:tcBorders>
          </w:tcPr>
          <w:p>
            <w:pPr>
              <w:jc w:val="right"/>
              <w:ind w:right="144"/>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2,742,359</w:t>
            </w:r>
          </w:p>
        </w:tc>
      </w:tr>
    </w:tbl>
    <w:p>
      <w:pPr>
        <w:spacing w:after="0" w:line="126" w:lineRule="exact"/>
        <w:rPr>
          <w:sz w:val="20"/>
          <w:szCs w:val="20"/>
          <w:color w:val="auto"/>
        </w:rPr>
      </w:pPr>
    </w:p>
    <w:p>
      <w:pPr>
        <w:ind w:left="1620" w:hanging="352"/>
        <w:spacing w:after="0"/>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 is target bonus for fiscal year 2014.</w:t>
      </w:r>
    </w:p>
    <w:p>
      <w:pPr>
        <w:spacing w:after="0" w:line="68" w:lineRule="exact"/>
        <w:rPr>
          <w:rFonts w:ascii="Arial" w:cs="Arial" w:eastAsia="Arial" w:hAnsi="Arial"/>
          <w:sz w:val="14"/>
          <w:szCs w:val="14"/>
          <w:color w:val="auto"/>
        </w:rPr>
      </w:pPr>
    </w:p>
    <w:p>
      <w:pPr>
        <w:ind w:left="1620" w:hanging="352"/>
        <w:spacing w:after="0"/>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 of life insurance is two times annual salary, up to a maximum of $750,000.</w:t>
      </w:r>
    </w:p>
    <w:p>
      <w:pPr>
        <w:spacing w:after="0" w:line="68" w:lineRule="exact"/>
        <w:rPr>
          <w:rFonts w:ascii="Arial" w:cs="Arial" w:eastAsia="Arial" w:hAnsi="Arial"/>
          <w:sz w:val="14"/>
          <w:szCs w:val="14"/>
          <w:color w:val="auto"/>
        </w:rPr>
      </w:pPr>
    </w:p>
    <w:p>
      <w:pPr>
        <w:jc w:val="both"/>
        <w:ind w:left="1620" w:right="759" w:hanging="352"/>
        <w:spacing w:after="0" w:line="267"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 is based on the terms of Mr. Slipsager’s employment agreement which provides that the Company will pay him $10,000 per year for ten years to be used towards the purchase of health insurance and that in the event he dies prior to the end of the ten-year term, the Company will pay his spouse $5,000 per year until the earlier of her death or the end of the ten-year term.</w:t>
      </w:r>
    </w:p>
    <w:p>
      <w:pPr>
        <w:spacing w:after="0" w:line="39"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Intrinsic value is based on $27.64 per share, the closing price of ABM common stock on October 31, 2014. Amount reflects the vesting of equity grants, as a result of death on October 31, 2014, and includes exercisable stock options on that date.</w:t>
      </w:r>
    </w:p>
    <w:p>
      <w:pPr>
        <w:spacing w:after="0" w:line="32" w:lineRule="exact"/>
        <w:rPr>
          <w:rFonts w:ascii="Arial" w:cs="Arial" w:eastAsia="Arial" w:hAnsi="Arial"/>
          <w:sz w:val="14"/>
          <w:szCs w:val="14"/>
          <w:color w:val="auto"/>
        </w:rPr>
      </w:pPr>
    </w:p>
    <w:p>
      <w:pPr>
        <w:ind w:left="1620" w:hanging="352"/>
        <w:spacing w:after="0"/>
        <w:tabs>
          <w:tab w:leader="none" w:pos="1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include present value of SERP and/or SAB balances for those NEOs who participate in the SERP and/or SAB.</w:t>
      </w:r>
    </w:p>
    <w:p>
      <w:pPr>
        <w:sectPr>
          <w:pgSz w:w="11900" w:h="16838" w:orient="portrait"/>
          <w:cols w:equalWidth="0" w:num="1">
            <w:col w:w="10219"/>
          </w:cols>
          <w:pgMar w:left="240" w:top="132" w:right="1440" w:bottom="1440" w:gutter="0" w:footer="0" w:header="0"/>
          <w:type w:val="continuous"/>
        </w:sectPr>
      </w:pPr>
    </w:p>
    <w:p>
      <w:pPr>
        <w:spacing w:after="0" w:line="390"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estate of a participating NEO is entitled to receive SERP payments (with payments beginning at the date the NEO would have become 65), a lump sum SAB payment and the aggregate balance in the NEO’s deferred compensation account payable in a lump sum. See “Pension and Deferred Compensation Benefits,” above.</w:t>
      </w:r>
    </w:p>
    <w:p>
      <w:pPr>
        <w:spacing w:after="0" w:line="101"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ABM also provides accidental death and dismemberment insurance for each of the NEOs (with coverage of $750,000 for each of Messrs. Slipsager, Lusk, McClure and Price and</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right="759"/>
        <w:spacing w:after="0" w:line="260" w:lineRule="auto"/>
        <w:rPr>
          <w:sz w:val="20"/>
          <w:szCs w:val="20"/>
          <w:color w:val="auto"/>
        </w:rPr>
      </w:pPr>
      <w:r>
        <w:rPr>
          <w:rFonts w:ascii="Arial" w:cs="Arial" w:eastAsia="Arial" w:hAnsi="Arial"/>
          <w:sz w:val="16"/>
          <w:szCs w:val="16"/>
          <w:color w:val="auto"/>
        </w:rPr>
        <w:t>Ms. McConnell) as well as $150,000 business travel accident insurance coverage.</w:t>
      </w:r>
    </w:p>
    <w:p>
      <w:pPr>
        <w:spacing w:after="0" w:line="88"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Equity grants under the 2006 Equity Incentive Plan vest monthly pro rata (based on the number of months of service over the vesting period) in the event of death. Stock option grants prior to the 2006 Equity Incentive Plan do not provide for vesting in the event of death, except under certain plans that provide for vesting of options granted after April 19, 1999, if the optionee is at least age 64 and dies while in the service of ABM.</w:t>
      </w:r>
    </w:p>
    <w:p>
      <w:pPr>
        <w:spacing w:after="0" w:line="203"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Potential Payments upon Disability on October 31, 2014</w:t>
      </w:r>
    </w:p>
    <w:p>
      <w:pPr>
        <w:spacing w:after="0" w:line="133" w:lineRule="exact"/>
        <w:rPr>
          <w:sz w:val="20"/>
          <w:szCs w:val="20"/>
          <w:color w:val="auto"/>
        </w:rPr>
      </w:pPr>
    </w:p>
    <w:p>
      <w:pPr>
        <w:ind w:left="1260" w:right="739"/>
        <w:spacing w:after="0" w:line="260" w:lineRule="auto"/>
        <w:rPr>
          <w:sz w:val="20"/>
          <w:szCs w:val="20"/>
          <w:color w:val="auto"/>
        </w:rPr>
      </w:pPr>
      <w:r>
        <w:rPr>
          <w:rFonts w:ascii="Arial" w:cs="Arial" w:eastAsia="Arial" w:hAnsi="Arial"/>
          <w:sz w:val="16"/>
          <w:szCs w:val="16"/>
          <w:color w:val="auto"/>
        </w:rPr>
        <w:t>The following table estimates potential payments for each NEO if the NEO had been terminated due to disability on October 31, 2014.</w:t>
      </w:r>
    </w:p>
    <w:p>
      <w:pPr>
        <w:spacing w:after="0" w:line="93" w:lineRule="exact"/>
        <w:rPr>
          <w:sz w:val="20"/>
          <w:szCs w:val="20"/>
          <w:color w:val="auto"/>
        </w:rPr>
      </w:pPr>
    </w:p>
    <w:tbl>
      <w:tblPr>
        <w:tblLayout w:type="fixed"/>
        <w:tblInd w:w="1270" w:type="dxa"/>
        <w:tblCellMar>
          <w:top w:w="0" w:type="dxa"/>
          <w:left w:w="0" w:type="dxa"/>
          <w:bottom w:w="0" w:type="dxa"/>
          <w:right w:w="0" w:type="dxa"/>
        </w:tblCellMar>
      </w:tblPr>
      <w:tr>
        <w:trPr>
          <w:trHeight w:val="311"/>
        </w:trPr>
        <w:tc>
          <w:tcPr>
            <w:tcW w:w="214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880" w:type="dxa"/>
            <w:vAlign w:val="bottom"/>
            <w:tcBorders>
              <w:top w:val="single" w:sz="8" w:color="auto"/>
              <w:right w:val="single" w:sz="8" w:color="auto"/>
            </w:tcBorders>
            <w:shd w:val="clear" w:color="auto" w:fill="B1C9FD"/>
          </w:tcPr>
          <w:p>
            <w:pPr>
              <w:spacing w:after="0"/>
              <w:rPr>
                <w:sz w:val="24"/>
                <w:szCs w:val="24"/>
                <w:color w:val="auto"/>
              </w:rPr>
            </w:pPr>
          </w:p>
        </w:tc>
        <w:tc>
          <w:tcPr>
            <w:tcW w:w="88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Company</w:t>
            </w:r>
          </w:p>
        </w:tc>
        <w:tc>
          <w:tcPr>
            <w:tcW w:w="106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Equity</w:t>
            </w:r>
          </w:p>
        </w:tc>
        <w:tc>
          <w:tcPr>
            <w:tcW w:w="124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Nonqualified</w:t>
            </w:r>
          </w:p>
        </w:tc>
        <w:tc>
          <w:tcPr>
            <w:tcW w:w="112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Present</w:t>
            </w:r>
          </w:p>
        </w:tc>
        <w:tc>
          <w:tcPr>
            <w:tcW w:w="900" w:type="dxa"/>
            <w:vAlign w:val="bottom"/>
            <w:tcBorders>
              <w:top w:val="single" w:sz="8" w:color="auto"/>
              <w:right w:val="single" w:sz="8" w:color="auto"/>
            </w:tcBorders>
            <w:shd w:val="clear" w:color="auto" w:fill="B1C9FD"/>
          </w:tcPr>
          <w:p>
            <w:pPr>
              <w:spacing w:after="0"/>
              <w:rPr>
                <w:sz w:val="24"/>
                <w:szCs w:val="24"/>
                <w:color w:val="auto"/>
              </w:rPr>
            </w:pPr>
          </w:p>
        </w:tc>
      </w:tr>
      <w:tr>
        <w:trPr>
          <w:trHeight w:val="162"/>
        </w:trPr>
        <w:tc>
          <w:tcPr>
            <w:tcW w:w="2140" w:type="dxa"/>
            <w:vAlign w:val="bottom"/>
            <w:tcBorders>
              <w:left w:val="single" w:sz="8" w:color="auto"/>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Portion</w:t>
            </w:r>
          </w:p>
        </w:tc>
        <w:tc>
          <w:tcPr>
            <w:tcW w:w="10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Grants</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Deferred</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9"/>
              </w:rPr>
              <w:t>Value of</w:t>
            </w:r>
          </w:p>
        </w:tc>
        <w:tc>
          <w:tcPr>
            <w:tcW w:w="900" w:type="dxa"/>
            <w:vAlign w:val="bottom"/>
            <w:tcBorders>
              <w:right w:val="single" w:sz="8" w:color="auto"/>
            </w:tcBorders>
            <w:shd w:val="clear" w:color="auto" w:fill="B1C9FD"/>
          </w:tcPr>
          <w:p>
            <w:pPr>
              <w:spacing w:after="0"/>
              <w:rPr>
                <w:sz w:val="14"/>
                <w:szCs w:val="14"/>
                <w:color w:val="auto"/>
              </w:rPr>
            </w:pPr>
          </w:p>
        </w:tc>
      </w:tr>
      <w:tr>
        <w:trPr>
          <w:trHeight w:val="162"/>
        </w:trPr>
        <w:tc>
          <w:tcPr>
            <w:tcW w:w="2140" w:type="dxa"/>
            <w:vAlign w:val="bottom"/>
            <w:tcBorders>
              <w:left w:val="single" w:sz="8" w:color="auto"/>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Unpaid</w:t>
            </w: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of</w:t>
            </w:r>
          </w:p>
        </w:tc>
        <w:tc>
          <w:tcPr>
            <w:tcW w:w="10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Vesting as a</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Compensation</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Accumulated</w:t>
            </w:r>
          </w:p>
        </w:tc>
        <w:tc>
          <w:tcPr>
            <w:tcW w:w="900" w:type="dxa"/>
            <w:vAlign w:val="bottom"/>
            <w:tcBorders>
              <w:right w:val="single" w:sz="8" w:color="auto"/>
            </w:tcBorders>
            <w:shd w:val="clear" w:color="auto" w:fill="B1C9FD"/>
          </w:tcPr>
          <w:p>
            <w:pPr>
              <w:spacing w:after="0"/>
              <w:rPr>
                <w:sz w:val="14"/>
                <w:szCs w:val="14"/>
                <w:color w:val="auto"/>
              </w:rPr>
            </w:pPr>
          </w:p>
        </w:tc>
      </w:tr>
      <w:tr>
        <w:trPr>
          <w:trHeight w:val="162"/>
        </w:trPr>
        <w:tc>
          <w:tcPr>
            <w:tcW w:w="2140" w:type="dxa"/>
            <w:vAlign w:val="bottom"/>
            <w:tcBorders>
              <w:left w:val="single" w:sz="8" w:color="auto"/>
              <w:right w:val="single" w:sz="8" w:color="auto"/>
            </w:tcBorders>
            <w:shd w:val="clear" w:color="auto" w:fill="B1C9FD"/>
          </w:tcPr>
          <w:p>
            <w:pPr>
              <w:spacing w:after="0"/>
              <w:rPr>
                <w:sz w:val="14"/>
                <w:szCs w:val="14"/>
                <w:color w:val="auto"/>
              </w:rPr>
            </w:pP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Bonus for</w:t>
            </w:r>
          </w:p>
        </w:tc>
        <w:tc>
          <w:tcPr>
            <w:tcW w:w="8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Medical</w:t>
            </w:r>
          </w:p>
        </w:tc>
        <w:tc>
          <w:tcPr>
            <w:tcW w:w="106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Result of</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Aggregate</w:t>
            </w:r>
          </w:p>
        </w:tc>
        <w:tc>
          <w:tcPr>
            <w:tcW w:w="112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Pension</w:t>
            </w:r>
          </w:p>
        </w:tc>
        <w:tc>
          <w:tcPr>
            <w:tcW w:w="900" w:type="dxa"/>
            <w:vAlign w:val="bottom"/>
            <w:tcBorders>
              <w:right w:val="single" w:sz="8" w:color="auto"/>
            </w:tcBorders>
            <w:shd w:val="clear" w:color="auto" w:fill="B1C9FD"/>
          </w:tcPr>
          <w:p>
            <w:pPr>
              <w:spacing w:after="0"/>
              <w:rPr>
                <w:sz w:val="14"/>
                <w:szCs w:val="14"/>
                <w:color w:val="auto"/>
              </w:rPr>
            </w:pPr>
          </w:p>
        </w:tc>
      </w:tr>
      <w:tr>
        <w:trPr>
          <w:trHeight w:val="176"/>
        </w:trPr>
        <w:tc>
          <w:tcPr>
            <w:tcW w:w="2140" w:type="dxa"/>
            <w:vAlign w:val="bottom"/>
            <w:tcBorders>
              <w:left w:val="single" w:sz="8" w:color="auto"/>
              <w:right w:val="single" w:sz="8" w:color="auto"/>
            </w:tcBorders>
            <w:shd w:val="clear" w:color="auto" w:fill="B1C9FD"/>
          </w:tcPr>
          <w:p>
            <w:pPr>
              <w:spacing w:after="0"/>
              <w:rPr>
                <w:sz w:val="15"/>
                <w:szCs w:val="15"/>
                <w:color w:val="auto"/>
              </w:rPr>
            </w:pPr>
          </w:p>
        </w:tc>
        <w:tc>
          <w:tcPr>
            <w:tcW w:w="880" w:type="dxa"/>
            <w:vAlign w:val="bottom"/>
            <w:tcBorders>
              <w:right w:val="single" w:sz="8" w:color="auto"/>
            </w:tcBorders>
            <w:shd w:val="clear" w:color="auto" w:fill="B1C9FD"/>
          </w:tcPr>
          <w:p>
            <w:pPr>
              <w:jc w:val="right"/>
              <w:ind w:right="163"/>
              <w:spacing w:after="0" w:line="176" w:lineRule="exact"/>
              <w:rPr>
                <w:sz w:val="20"/>
                <w:szCs w:val="20"/>
                <w:color w:val="auto"/>
              </w:rPr>
            </w:pPr>
            <w:r>
              <w:rPr>
                <w:rFonts w:ascii="Arial" w:cs="Arial" w:eastAsia="Arial" w:hAnsi="Arial"/>
                <w:sz w:val="14"/>
                <w:szCs w:val="14"/>
                <w:b w:val="1"/>
                <w:bCs w:val="1"/>
                <w:color w:val="004FF9"/>
              </w:rPr>
              <w:t>2014</w:t>
            </w:r>
            <w:r>
              <w:rPr>
                <w:rFonts w:ascii="Arial" w:cs="Arial" w:eastAsia="Arial" w:hAnsi="Arial"/>
                <w:sz w:val="20"/>
                <w:szCs w:val="20"/>
                <w:b w:val="1"/>
                <w:bCs w:val="1"/>
                <w:color w:val="004FF9"/>
                <w:vertAlign w:val="superscript"/>
              </w:rPr>
              <w:t>(1)</w:t>
            </w:r>
          </w:p>
        </w:tc>
        <w:tc>
          <w:tcPr>
            <w:tcW w:w="88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(2)</w:t>
            </w:r>
          </w:p>
        </w:tc>
        <w:tc>
          <w:tcPr>
            <w:tcW w:w="106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9"/>
              </w:rPr>
              <w:t>Disability</w:t>
            </w:r>
            <w:r>
              <w:rPr>
                <w:rFonts w:ascii="Arial" w:cs="Arial" w:eastAsia="Arial" w:hAnsi="Arial"/>
                <w:sz w:val="20"/>
                <w:szCs w:val="20"/>
                <w:b w:val="1"/>
                <w:bCs w:val="1"/>
                <w:color w:val="004FF9"/>
                <w:w w:val="99"/>
                <w:vertAlign w:val="superscript"/>
              </w:rPr>
              <w:t>(3)</w:t>
            </w:r>
          </w:p>
        </w:tc>
        <w:tc>
          <w:tcPr>
            <w:tcW w:w="12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Balance</w:t>
            </w:r>
          </w:p>
        </w:tc>
        <w:tc>
          <w:tcPr>
            <w:tcW w:w="1120" w:type="dxa"/>
            <w:vAlign w:val="bottom"/>
            <w:tcBorders>
              <w:right w:val="single" w:sz="8" w:color="auto"/>
            </w:tcBorders>
            <w:shd w:val="clear" w:color="auto" w:fill="B1C9FD"/>
          </w:tcPr>
          <w:p>
            <w:pPr>
              <w:jc w:val="center"/>
              <w:spacing w:after="0" w:line="176" w:lineRule="exact"/>
              <w:rPr>
                <w:sz w:val="20"/>
                <w:szCs w:val="20"/>
                <w:color w:val="auto"/>
              </w:rPr>
            </w:pPr>
            <w:r>
              <w:rPr>
                <w:rFonts w:ascii="Arial" w:cs="Arial" w:eastAsia="Arial" w:hAnsi="Arial"/>
                <w:sz w:val="14"/>
                <w:szCs w:val="14"/>
                <w:b w:val="1"/>
                <w:bCs w:val="1"/>
                <w:color w:val="004FF9"/>
                <w:w w:val="97"/>
              </w:rPr>
              <w:t>Benefit</w:t>
            </w:r>
            <w:r>
              <w:rPr>
                <w:rFonts w:ascii="Arial" w:cs="Arial" w:eastAsia="Arial" w:hAnsi="Arial"/>
                <w:sz w:val="20"/>
                <w:szCs w:val="20"/>
                <w:b w:val="1"/>
                <w:bCs w:val="1"/>
                <w:color w:val="004FF9"/>
                <w:w w:val="97"/>
                <w:vertAlign w:val="superscript"/>
              </w:rPr>
              <w:t>(4)</w:t>
            </w:r>
          </w:p>
        </w:tc>
        <w:tc>
          <w:tcPr>
            <w:tcW w:w="9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5"/>
              </w:rPr>
              <w:t>Total</w:t>
            </w:r>
          </w:p>
        </w:tc>
      </w:tr>
      <w:tr>
        <w:trPr>
          <w:trHeight w:val="196"/>
        </w:trPr>
        <w:tc>
          <w:tcPr>
            <w:tcW w:w="2140" w:type="dxa"/>
            <w:vAlign w:val="bottom"/>
            <w:tcBorders>
              <w:left w:val="single" w:sz="8" w:color="auto"/>
              <w:bottom w:val="single" w:sz="8" w:color="auto"/>
              <w:right w:val="single" w:sz="8" w:color="auto"/>
            </w:tcBorders>
            <w:shd w:val="clear" w:color="auto" w:fill="B1C9FD"/>
          </w:tcPr>
          <w:p>
            <w:pPr>
              <w:ind w:left="200"/>
              <w:spacing w:after="0"/>
              <w:rPr>
                <w:sz w:val="20"/>
                <w:szCs w:val="20"/>
                <w:color w:val="auto"/>
              </w:rPr>
            </w:pPr>
            <w:r>
              <w:rPr>
                <w:rFonts w:ascii="Arial" w:cs="Arial" w:eastAsia="Arial" w:hAnsi="Arial"/>
                <w:sz w:val="14"/>
                <w:szCs w:val="14"/>
                <w:b w:val="1"/>
                <w:bCs w:val="1"/>
                <w:color w:val="004FF9"/>
              </w:rPr>
              <w:t>Named Executive Officer</w:t>
            </w:r>
          </w:p>
        </w:tc>
        <w:tc>
          <w:tcPr>
            <w:tcW w:w="880" w:type="dxa"/>
            <w:vAlign w:val="bottom"/>
            <w:tcBorders>
              <w:bottom w:val="single" w:sz="8" w:color="auto"/>
              <w:right w:val="single" w:sz="8" w:color="auto"/>
            </w:tcBorders>
            <w:shd w:val="clear" w:color="auto" w:fill="B1C9FD"/>
          </w:tcPr>
          <w:p>
            <w:pPr>
              <w:jc w:val="right"/>
              <w:ind w:right="303"/>
              <w:spacing w:after="0"/>
              <w:rPr>
                <w:sz w:val="20"/>
                <w:szCs w:val="20"/>
                <w:color w:val="auto"/>
              </w:rPr>
            </w:pPr>
            <w:r>
              <w:rPr>
                <w:rFonts w:ascii="Arial" w:cs="Arial" w:eastAsia="Arial" w:hAnsi="Arial"/>
                <w:sz w:val="14"/>
                <w:szCs w:val="14"/>
                <w:b w:val="1"/>
                <w:bCs w:val="1"/>
                <w:color w:val="004FF9"/>
              </w:rPr>
              <w:t>($)</w:t>
            </w:r>
          </w:p>
        </w:tc>
        <w:tc>
          <w:tcPr>
            <w:tcW w:w="8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06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2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112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t>
            </w:r>
          </w:p>
        </w:tc>
        <w:tc>
          <w:tcPr>
            <w:tcW w:w="9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w w:val="93"/>
              </w:rPr>
              <w:t>($)</w:t>
            </w:r>
          </w:p>
        </w:tc>
      </w:tr>
      <w:tr>
        <w:trPr>
          <w:trHeight w:val="236"/>
        </w:trPr>
        <w:tc>
          <w:tcPr>
            <w:tcW w:w="21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Henrik C. Slipsager</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893,000</w:t>
            </w:r>
          </w:p>
        </w:tc>
        <w:tc>
          <w:tcPr>
            <w:tcW w:w="88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100,000</w:t>
            </w:r>
          </w:p>
        </w:tc>
        <w:tc>
          <w:tcPr>
            <w:tcW w:w="106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1,982,347</w:t>
            </w:r>
          </w:p>
        </w:tc>
        <w:tc>
          <w:tcPr>
            <w:tcW w:w="124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16"/>
                <w:szCs w:val="16"/>
                <w:color w:val="auto"/>
              </w:rPr>
              <w:t>5,236,397</w:t>
            </w:r>
          </w:p>
        </w:tc>
        <w:tc>
          <w:tcPr>
            <w:tcW w:w="112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705,387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8,917,131</w:t>
            </w:r>
          </w:p>
        </w:tc>
      </w:tr>
      <w:tr>
        <w:trPr>
          <w:trHeight w:val="237"/>
        </w:trPr>
        <w:tc>
          <w:tcPr>
            <w:tcW w:w="21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James S. Lusk</w:t>
            </w:r>
          </w:p>
        </w:tc>
        <w:tc>
          <w:tcPr>
            <w:tcW w:w="8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393,449</w:t>
            </w:r>
          </w:p>
        </w:tc>
        <w:tc>
          <w:tcPr>
            <w:tcW w:w="880" w:type="dxa"/>
            <w:vAlign w:val="bottom"/>
            <w:tcBorders>
              <w:bottom w:val="single" w:sz="8" w:color="auto"/>
              <w:right w:val="single" w:sz="8" w:color="auto"/>
            </w:tcBorders>
            <w:shd w:val="clear" w:color="auto" w:fill="E5EDFE"/>
          </w:tcPr>
          <w:p>
            <w:pPr>
              <w:jc w:val="right"/>
              <w:ind w:right="84"/>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right w:val="single" w:sz="8" w:color="auto"/>
            </w:tcBorders>
            <w:shd w:val="clear" w:color="auto" w:fill="E5EDFE"/>
          </w:tcPr>
          <w:p>
            <w:pPr>
              <w:jc w:val="right"/>
              <w:ind w:right="104"/>
              <w:spacing w:after="0"/>
              <w:rPr>
                <w:sz w:val="20"/>
                <w:szCs w:val="20"/>
                <w:color w:val="auto"/>
              </w:rPr>
            </w:pPr>
            <w:r>
              <w:rPr>
                <w:rFonts w:ascii="Arial" w:cs="Arial" w:eastAsia="Arial" w:hAnsi="Arial"/>
                <w:sz w:val="16"/>
                <w:szCs w:val="16"/>
                <w:color w:val="auto"/>
              </w:rPr>
              <w:t>1,470,452</w:t>
            </w:r>
          </w:p>
        </w:tc>
        <w:tc>
          <w:tcPr>
            <w:tcW w:w="1240" w:type="dxa"/>
            <w:vAlign w:val="bottom"/>
            <w:tcBorders>
              <w:bottom w:val="single" w:sz="8" w:color="auto"/>
              <w:right w:val="single" w:sz="8" w:color="auto"/>
            </w:tcBorders>
            <w:shd w:val="clear" w:color="auto" w:fill="E5EDFE"/>
          </w:tcPr>
          <w:p>
            <w:pPr>
              <w:jc w:val="right"/>
              <w:ind w:right="184"/>
              <w:spacing w:after="0"/>
              <w:rPr>
                <w:sz w:val="20"/>
                <w:szCs w:val="20"/>
                <w:color w:val="auto"/>
              </w:rPr>
            </w:pPr>
            <w:r>
              <w:rPr>
                <w:rFonts w:ascii="Arial" w:cs="Arial" w:eastAsia="Arial" w:hAnsi="Arial"/>
                <w:sz w:val="16"/>
                <w:szCs w:val="16"/>
                <w:color w:val="auto"/>
              </w:rPr>
              <w:t>96,602</w:t>
            </w:r>
          </w:p>
        </w:tc>
        <w:tc>
          <w:tcPr>
            <w:tcW w:w="1120" w:type="dxa"/>
            <w:vAlign w:val="bottom"/>
            <w:tcBorders>
              <w:bottom w:val="single" w:sz="8" w:color="auto"/>
              <w:right w:val="single" w:sz="8" w:color="auto"/>
            </w:tcBorders>
            <w:shd w:val="clear" w:color="auto" w:fill="E5EDFE"/>
          </w:tcPr>
          <w:p>
            <w:pPr>
              <w:jc w:val="right"/>
              <w:ind w:right="204"/>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1,960,503</w:t>
            </w:r>
          </w:p>
        </w:tc>
      </w:tr>
      <w:tr>
        <w:trPr>
          <w:trHeight w:val="237"/>
        </w:trPr>
        <w:tc>
          <w:tcPr>
            <w:tcW w:w="21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P. McClure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508,227</w:t>
            </w:r>
          </w:p>
        </w:tc>
        <w:tc>
          <w:tcPr>
            <w:tcW w:w="88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2,437,980</w:t>
            </w:r>
          </w:p>
        </w:tc>
        <w:tc>
          <w:tcPr>
            <w:tcW w:w="124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16"/>
                <w:szCs w:val="16"/>
                <w:color w:val="auto"/>
              </w:rPr>
              <w:t>2,616,518</w:t>
            </w:r>
          </w:p>
        </w:tc>
        <w:tc>
          <w:tcPr>
            <w:tcW w:w="112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249,880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5,812,605</w:t>
            </w:r>
          </w:p>
        </w:tc>
      </w:tr>
      <w:tr>
        <w:trPr>
          <w:trHeight w:val="237"/>
        </w:trPr>
        <w:tc>
          <w:tcPr>
            <w:tcW w:w="214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Tracy K. Price</w:t>
            </w:r>
          </w:p>
        </w:tc>
        <w:tc>
          <w:tcPr>
            <w:tcW w:w="88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508,227</w:t>
            </w:r>
          </w:p>
        </w:tc>
        <w:tc>
          <w:tcPr>
            <w:tcW w:w="880" w:type="dxa"/>
            <w:vAlign w:val="bottom"/>
            <w:tcBorders>
              <w:bottom w:val="single" w:sz="8" w:color="auto"/>
              <w:right w:val="single" w:sz="8" w:color="auto"/>
            </w:tcBorders>
            <w:shd w:val="clear" w:color="auto" w:fill="E5EDFE"/>
          </w:tcPr>
          <w:p>
            <w:pPr>
              <w:jc w:val="right"/>
              <w:ind w:right="84"/>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right w:val="single" w:sz="8" w:color="auto"/>
            </w:tcBorders>
            <w:shd w:val="clear" w:color="auto" w:fill="E5EDFE"/>
          </w:tcPr>
          <w:p>
            <w:pPr>
              <w:jc w:val="right"/>
              <w:ind w:right="104"/>
              <w:spacing w:after="0"/>
              <w:rPr>
                <w:sz w:val="20"/>
                <w:szCs w:val="20"/>
                <w:color w:val="auto"/>
              </w:rPr>
            </w:pPr>
            <w:r>
              <w:rPr>
                <w:rFonts w:ascii="Arial" w:cs="Arial" w:eastAsia="Arial" w:hAnsi="Arial"/>
                <w:sz w:val="16"/>
                <w:szCs w:val="16"/>
                <w:color w:val="auto"/>
              </w:rPr>
              <w:t>897,740</w:t>
            </w:r>
          </w:p>
        </w:tc>
        <w:tc>
          <w:tcPr>
            <w:tcW w:w="1240" w:type="dxa"/>
            <w:vAlign w:val="bottom"/>
            <w:tcBorders>
              <w:bottom w:val="single" w:sz="8" w:color="auto"/>
              <w:right w:val="single" w:sz="8" w:color="auto"/>
            </w:tcBorders>
            <w:shd w:val="clear" w:color="auto" w:fill="E5EDFE"/>
          </w:tcPr>
          <w:p>
            <w:pPr>
              <w:jc w:val="right"/>
              <w:ind w:right="184"/>
              <w:spacing w:after="0"/>
              <w:rPr>
                <w:sz w:val="20"/>
                <w:szCs w:val="20"/>
                <w:color w:val="auto"/>
              </w:rPr>
            </w:pPr>
            <w:r>
              <w:rPr>
                <w:rFonts w:ascii="Arial" w:cs="Arial" w:eastAsia="Arial" w:hAnsi="Arial"/>
                <w:sz w:val="16"/>
                <w:szCs w:val="16"/>
                <w:color w:val="auto"/>
              </w:rPr>
              <w:t>0</w:t>
            </w:r>
          </w:p>
        </w:tc>
        <w:tc>
          <w:tcPr>
            <w:tcW w:w="1120" w:type="dxa"/>
            <w:vAlign w:val="bottom"/>
            <w:tcBorders>
              <w:bottom w:val="single" w:sz="8" w:color="auto"/>
              <w:right w:val="single" w:sz="8" w:color="auto"/>
            </w:tcBorders>
            <w:shd w:val="clear" w:color="auto" w:fill="E5EDFE"/>
          </w:tcPr>
          <w:p>
            <w:pPr>
              <w:jc w:val="right"/>
              <w:ind w:right="204"/>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auto"/>
              <w:right w:val="single" w:sz="8" w:color="auto"/>
            </w:tcBorders>
            <w:shd w:val="clear" w:color="auto" w:fill="E5EDFE"/>
          </w:tcPr>
          <w:p>
            <w:pPr>
              <w:jc w:val="center"/>
              <w:spacing w:after="0"/>
              <w:rPr>
                <w:sz w:val="20"/>
                <w:szCs w:val="20"/>
                <w:color w:val="auto"/>
              </w:rPr>
            </w:pPr>
            <w:r>
              <w:rPr>
                <w:rFonts w:ascii="Arial" w:cs="Arial" w:eastAsia="Arial" w:hAnsi="Arial"/>
                <w:sz w:val="16"/>
                <w:szCs w:val="16"/>
                <w:color w:val="auto"/>
              </w:rPr>
              <w:t>1,405,967</w:t>
            </w:r>
          </w:p>
        </w:tc>
      </w:tr>
      <w:tr>
        <w:trPr>
          <w:trHeight w:val="237"/>
        </w:trPr>
        <w:tc>
          <w:tcPr>
            <w:tcW w:w="21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Sarah H. McConnell</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283,662</w:t>
            </w:r>
          </w:p>
        </w:tc>
        <w:tc>
          <w:tcPr>
            <w:tcW w:w="88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498,765</w:t>
            </w:r>
          </w:p>
        </w:tc>
        <w:tc>
          <w:tcPr>
            <w:tcW w:w="1240" w:type="dxa"/>
            <w:vAlign w:val="bottom"/>
            <w:tcBorders>
              <w:bottom w:val="single" w:sz="8" w:color="auto"/>
              <w:right w:val="single" w:sz="8" w:color="auto"/>
            </w:tcBorders>
          </w:tcPr>
          <w:p>
            <w:pPr>
              <w:jc w:val="right"/>
              <w:ind w:right="184"/>
              <w:spacing w:after="0"/>
              <w:rPr>
                <w:sz w:val="20"/>
                <w:szCs w:val="20"/>
                <w:color w:val="auto"/>
              </w:rPr>
            </w:pPr>
            <w:r>
              <w:rPr>
                <w:rFonts w:ascii="Arial" w:cs="Arial" w:eastAsia="Arial" w:hAnsi="Arial"/>
                <w:sz w:val="16"/>
                <w:szCs w:val="16"/>
                <w:color w:val="auto"/>
              </w:rPr>
              <w:t>1,209,932</w:t>
            </w:r>
          </w:p>
        </w:tc>
        <w:tc>
          <w:tcPr>
            <w:tcW w:w="112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6"/>
                <w:szCs w:val="16"/>
                <w:color w:val="auto"/>
              </w:rPr>
              <w:t>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1,992,359</w:t>
            </w:r>
          </w:p>
        </w:tc>
      </w:tr>
    </w:tbl>
    <w:p>
      <w:pPr>
        <w:spacing w:after="0" w:line="126" w:lineRule="exact"/>
        <w:rPr>
          <w:sz w:val="20"/>
          <w:szCs w:val="20"/>
          <w:color w:val="auto"/>
        </w:rPr>
      </w:pPr>
    </w:p>
    <w:p>
      <w:pPr>
        <w:ind w:left="1620" w:hanging="352"/>
        <w:spacing w:after="0"/>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is target bonus for fiscal year 2014.</w:t>
      </w:r>
    </w:p>
    <w:p>
      <w:pPr>
        <w:spacing w:after="0" w:line="68"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is based upon the terms of Mr. Slipsager’s employment agreement, which provides that the Company will pay him $10,000 per year for ten years to be used towards the purchase of health insurance.</w:t>
      </w:r>
    </w:p>
    <w:p>
      <w:pPr>
        <w:spacing w:after="0" w:line="32"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Intrinsic value is based on $27.64 per share, the closing price of ABM common stock on October 31, 2014. Amount reflects the vesting of equity grants related to disability on October 31, 2014, and includes exercisable stock options on that date.</w:t>
      </w:r>
    </w:p>
    <w:p>
      <w:pPr>
        <w:spacing w:after="0" w:line="32" w:lineRule="exact"/>
        <w:rPr>
          <w:rFonts w:ascii="Arial" w:cs="Arial" w:eastAsia="Arial" w:hAnsi="Arial"/>
          <w:sz w:val="14"/>
          <w:szCs w:val="14"/>
          <w:color w:val="auto"/>
        </w:rPr>
      </w:pPr>
    </w:p>
    <w:p>
      <w:pPr>
        <w:ind w:left="1620" w:hanging="352"/>
        <w:spacing w:after="0"/>
        <w:tabs>
          <w:tab w:leader="none" w:pos="1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include present value of SERP and/or SAB balances for those NEOs who participate in the SERP and/or SAB.</w:t>
      </w:r>
    </w:p>
    <w:p>
      <w:pPr>
        <w:sectPr>
          <w:pgSz w:w="11900" w:h="16838" w:orient="portrait"/>
          <w:cols w:equalWidth="0" w:num="1">
            <w:col w:w="10219"/>
          </w:cols>
          <w:pgMar w:left="240" w:top="132" w:right="1440" w:bottom="1440" w:gutter="0" w:footer="0" w:header="0"/>
        </w:sectPr>
      </w:pPr>
    </w:p>
    <w:p>
      <w:pPr>
        <w:spacing w:after="0" w:line="390"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A participating NEO who is disabled is entitled to receive SERP payments (with payments beginning at the date the NEO becomes 65), a lump sum SAB payment and the aggregate balance in the NEO’s deferred compensation account. See “Pension and Deferred Compensation Benefits,” above.</w:t>
      </w:r>
    </w:p>
    <w:p>
      <w:pPr>
        <w:spacing w:after="0" w:line="97"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ABM also provides accidental death and dismemberment insurance for each of the NEOs (with coverage of $750,000 for each of Messrs.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right="759"/>
        <w:spacing w:after="0" w:line="253" w:lineRule="auto"/>
        <w:rPr>
          <w:sz w:val="20"/>
          <w:szCs w:val="20"/>
          <w:color w:val="auto"/>
        </w:rPr>
      </w:pPr>
      <w:r>
        <w:rPr>
          <w:rFonts w:ascii="Arial" w:cs="Arial" w:eastAsia="Arial" w:hAnsi="Arial"/>
          <w:sz w:val="16"/>
          <w:szCs w:val="16"/>
          <w:color w:val="auto"/>
        </w:rPr>
        <w:t>Slipsager, Lusk, McClure and Price and Ms. McConnell) as well as $150,000 business travel accident insurance coverage.</w:t>
      </w:r>
    </w:p>
    <w:p>
      <w:pPr>
        <w:spacing w:after="0" w:line="93"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color w:val="auto"/>
        </w:rPr>
        <w:t>Equity grants under the 2006 Equity Incentive Plan vest monthly pro rata (based on the number of months of service over the vesting period) in the event of disability. Stock option grants prior to the 2006 Equity Incentive Plan do not provide for vesting in the event of disability.</w:t>
      </w:r>
    </w:p>
    <w:p>
      <w:pPr>
        <w:spacing w:after="0" w:line="203"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55"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[Intentionally left blank]</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AUDIT-RELATED MATTERS</w:t>
      </w:r>
    </w:p>
    <w:p>
      <w:pPr>
        <w:spacing w:after="0" w:line="208"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004FF9"/>
        </w:rPr>
        <w:t>Audit Committee Report</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Audit Committee reviews ABM’s financial reporting process on behalf of the Board and selects ABM’s independent registered public accounting firm. Management has the primary responsibility for the financial statements and the financial reporting process, including the system of internal control over financial reporting. The independent registered public accounting firm retained by the Audit Committee is responsible for performing an independent, integrated audit of ABM’s consolidated financial statements and an audit of the effectiveness of ABM’s internal control over financial reporting, and for reporting the results of their audit to the Audit Committee. The Audit Committee reviews and monitors these processes.</w:t>
      </w:r>
    </w:p>
    <w:p>
      <w:pPr>
        <w:spacing w:after="0" w:line="29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 xml:space="preserve">The Board adopted a written charter for the Audit Committee, which is reviewed periodically. The Charter of the Audit Committee is available on ABM’s website under “Governance” at </w:t>
      </w:r>
      <w:r>
        <w:rPr>
          <w:rFonts w:ascii="Arial" w:cs="Arial" w:eastAsia="Arial" w:hAnsi="Arial"/>
          <w:sz w:val="16"/>
          <w:szCs w:val="16"/>
          <w:u w:val="single" w:color="auto"/>
          <w:color w:val="auto"/>
        </w:rPr>
        <w:t>http://investor.abm.com/governance.cfm</w:t>
      </w:r>
      <w:r>
        <w:rPr>
          <w:rFonts w:ascii="Arial" w:cs="Arial" w:eastAsia="Arial" w:hAnsi="Arial"/>
          <w:sz w:val="16"/>
          <w:szCs w:val="16"/>
          <w:color w:val="auto"/>
        </w:rPr>
        <w:t>. Within the framework of its Charter, the Audit Committee has met and held discussions with management and the independent registered public accounting firm regarding the fair presentation of ABM’s results in its fiscal year 2014 consolidated financial statements. The Committee has reviewed and discussed the audited consolidated financial statements with management and the independent registered public accounting firm. The management of ABM has affirmed to the Audit Committee that ABM’s fiscal year 2014 audited consolidated financial statements were prepared in accordance with generally accepted accounting principles in the United States of America. The Audit Committee also discussed with ABM’s internal auditor and independent</w:t>
      </w:r>
    </w:p>
    <w:p>
      <w:pPr>
        <w:spacing w:after="0" w:line="37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Audit Committee</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Anthony G. Fernandes, Chair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J. Philip Ferguson</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Luke S. Helms</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Winifred Markus Webb</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registered public accounting firm, the overall scope and plans for their respective audits, their evaluation of ABM’s internal control over financial reporting and the overall quality of ABM’s financial reporting processes.</w:t>
      </w:r>
    </w:p>
    <w:p>
      <w:pPr>
        <w:spacing w:after="0" w:line="95"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The Audit Committee has discussed with the independent registered public accounting firm the matters required to be discussed by applicable Public Company Accounting Oversight Board (PCAOB) standards. The Committee has reviewed and discussed with the independent registered public accounting firm the auditor’s independence from the Company and its management. As part of that review, the Committee has received the written disclosures and the letter required by applicable requirements of the PCAOB regarding the independent registered public accounting firm’s communications with the Audit Committee concerning independence, and the Committee has discussed the independent registered public accounting firm’s independence from the Company. The Audit Committee has reviewed the services provided by ABM’s independent registered public accounting firm and has considered whether the provision of these services is compatible with maintaining the independence of the independent registered public accounting firm. The Committee has concluded that the independent registered public accounting firm is independent from ABM and its management.</w:t>
      </w:r>
    </w:p>
    <w:p>
      <w:pPr>
        <w:spacing w:after="0" w:line="101" w:lineRule="exact"/>
        <w:rPr>
          <w:sz w:val="20"/>
          <w:szCs w:val="20"/>
          <w:color w:val="auto"/>
        </w:rPr>
      </w:pPr>
    </w:p>
    <w:p>
      <w:pPr>
        <w:jc w:val="both"/>
        <w:ind w:right="759"/>
        <w:spacing w:after="0" w:line="250" w:lineRule="auto"/>
        <w:rPr>
          <w:sz w:val="20"/>
          <w:szCs w:val="20"/>
          <w:color w:val="auto"/>
        </w:rPr>
      </w:pPr>
      <w:r>
        <w:rPr>
          <w:rFonts w:ascii="Arial" w:cs="Arial" w:eastAsia="Arial" w:hAnsi="Arial"/>
          <w:sz w:val="16"/>
          <w:szCs w:val="16"/>
          <w:color w:val="auto"/>
        </w:rPr>
        <w:t>Based on these reviews and discussions, the Audit Committee recommended to the Board that the audited consolidated financial statements be included in ABM’s Annual Report on Form 10-K for the fiscal year ended October 31, 2014.</w:t>
      </w:r>
    </w:p>
    <w:p>
      <w:pPr>
        <w:spacing w:after="0" w:line="1505"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004FF9"/>
        </w:rPr>
        <w:t>Principal Accounting Firm Fees and Services</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The following table presents fees for professional services rendered by KPMG LLP for the integrated audit of ABM’s consolidated financial statements and internal control over financial reporting during the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fiscal years ended October 31, 2014 and 2013, and fees for other services rendered by KPMG LLP during those periods.</w:t>
      </w:r>
    </w:p>
    <w:p>
      <w:pPr>
        <w:spacing w:after="0" w:line="387"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8" w:lineRule="exact"/>
        <w:rPr>
          <w:sz w:val="20"/>
          <w:szCs w:val="20"/>
          <w:color w:val="auto"/>
        </w:rPr>
      </w:pPr>
    </w:p>
    <w:tbl>
      <w:tblPr>
        <w:tblLayout w:type="fixed"/>
        <w:tblInd w:w="2340" w:type="dxa"/>
        <w:tblCellMar>
          <w:top w:w="0" w:type="dxa"/>
          <w:left w:w="0" w:type="dxa"/>
          <w:bottom w:w="0" w:type="dxa"/>
          <w:right w:w="0" w:type="dxa"/>
        </w:tblCellMar>
      </w:tblPr>
      <w:tr>
        <w:trPr>
          <w:trHeight w:val="196"/>
        </w:trPr>
        <w:tc>
          <w:tcPr>
            <w:tcW w:w="3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004FF9"/>
              </w:rPr>
              <w:t>2014</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004FF9"/>
              </w:rPr>
              <w:t>2013</w:t>
            </w:r>
          </w:p>
        </w:tc>
        <w:tc>
          <w:tcPr>
            <w:tcW w:w="180" w:type="dxa"/>
            <w:vAlign w:val="bottom"/>
            <w:tcBorders>
              <w:bottom w:val="single" w:sz="8" w:color="auto"/>
            </w:tcBorders>
          </w:tcPr>
          <w:p>
            <w:pPr>
              <w:spacing w:after="0"/>
              <w:rPr>
                <w:sz w:val="17"/>
                <w:szCs w:val="17"/>
                <w:color w:val="auto"/>
              </w:rPr>
            </w:pPr>
          </w:p>
        </w:tc>
      </w:tr>
      <w:tr>
        <w:trPr>
          <w:trHeight w:val="256"/>
        </w:trPr>
        <w:tc>
          <w:tcPr>
            <w:tcW w:w="3540" w:type="dxa"/>
            <w:vAlign w:val="bottom"/>
            <w:shd w:val="clear" w:color="auto" w:fill="CCEEFF"/>
          </w:tcPr>
          <w:p>
            <w:pPr>
              <w:spacing w:after="0" w:line="256" w:lineRule="exact"/>
              <w:rPr>
                <w:sz w:val="20"/>
                <w:szCs w:val="20"/>
                <w:color w:val="auto"/>
              </w:rPr>
            </w:pPr>
            <w:r>
              <w:rPr>
                <w:rFonts w:ascii="Arial" w:cs="Arial" w:eastAsia="Arial" w:hAnsi="Arial"/>
                <w:sz w:val="16"/>
                <w:szCs w:val="16"/>
                <w:b w:val="1"/>
                <w:bCs w:val="1"/>
                <w:color w:val="auto"/>
              </w:rPr>
              <w:t>Audit fees</w:t>
            </w:r>
            <w:r>
              <w:rPr>
                <w:rFonts w:ascii="Arial" w:cs="Arial" w:eastAsia="Arial" w:hAnsi="Arial"/>
                <w:sz w:val="25"/>
                <w:szCs w:val="25"/>
                <w:b w:val="1"/>
                <w:bCs w:val="1"/>
                <w:color w:val="auto"/>
                <w:vertAlign w:val="superscript"/>
              </w:rPr>
              <w:t>(1)</w:t>
            </w: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$4,581,000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$4,753,550</w:t>
            </w:r>
          </w:p>
        </w:tc>
        <w:tc>
          <w:tcPr>
            <w:tcW w:w="180" w:type="dxa"/>
            <w:vAlign w:val="bottom"/>
            <w:shd w:val="clear" w:color="auto" w:fill="CCEEFF"/>
          </w:tcPr>
          <w:p>
            <w:pPr>
              <w:spacing w:after="0"/>
              <w:rPr>
                <w:sz w:val="22"/>
                <w:szCs w:val="22"/>
                <w:color w:val="auto"/>
              </w:rPr>
            </w:pPr>
          </w:p>
        </w:tc>
      </w:tr>
      <w:tr>
        <w:trPr>
          <w:trHeight w:val="257"/>
        </w:trPr>
        <w:tc>
          <w:tcPr>
            <w:tcW w:w="3680" w:type="dxa"/>
            <w:vAlign w:val="bottom"/>
            <w:gridSpan w:val="2"/>
          </w:tcPr>
          <w:p>
            <w:pPr>
              <w:spacing w:after="0" w:line="257" w:lineRule="exact"/>
              <w:rPr>
                <w:sz w:val="20"/>
                <w:szCs w:val="20"/>
                <w:color w:val="auto"/>
              </w:rPr>
            </w:pPr>
            <w:r>
              <w:rPr>
                <w:rFonts w:ascii="Arial" w:cs="Arial" w:eastAsia="Arial" w:hAnsi="Arial"/>
                <w:sz w:val="16"/>
                <w:szCs w:val="16"/>
                <w:b w:val="1"/>
                <w:bCs w:val="1"/>
                <w:color w:val="auto"/>
              </w:rPr>
              <w:t>Audit-related fees</w:t>
            </w:r>
            <w:r>
              <w:rPr>
                <w:rFonts w:ascii="Arial" w:cs="Arial" w:eastAsia="Arial" w:hAnsi="Arial"/>
                <w:sz w:val="25"/>
                <w:szCs w:val="25"/>
                <w:b w:val="1"/>
                <w:bCs w:val="1"/>
                <w:color w:val="auto"/>
                <w:vertAlign w:val="superscript"/>
              </w:rPr>
              <w:t>(2)</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221,850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93,910</w:t>
            </w:r>
          </w:p>
        </w:tc>
        <w:tc>
          <w:tcPr>
            <w:tcW w:w="180" w:type="dxa"/>
            <w:vAlign w:val="bottom"/>
          </w:tcPr>
          <w:p>
            <w:pPr>
              <w:spacing w:after="0"/>
              <w:rPr>
                <w:sz w:val="22"/>
                <w:szCs w:val="22"/>
                <w:color w:val="auto"/>
              </w:rPr>
            </w:pPr>
          </w:p>
        </w:tc>
      </w:tr>
      <w:tr>
        <w:trPr>
          <w:trHeight w:val="270"/>
        </w:trPr>
        <w:tc>
          <w:tcPr>
            <w:tcW w:w="3540" w:type="dxa"/>
            <w:vAlign w:val="bottom"/>
            <w:shd w:val="clear" w:color="auto" w:fill="CCEEFF"/>
          </w:tcPr>
          <w:p>
            <w:pPr>
              <w:spacing w:after="0" w:line="270" w:lineRule="exact"/>
              <w:rPr>
                <w:sz w:val="20"/>
                <w:szCs w:val="20"/>
                <w:color w:val="auto"/>
              </w:rPr>
            </w:pPr>
            <w:r>
              <w:rPr>
                <w:rFonts w:ascii="Arial" w:cs="Arial" w:eastAsia="Arial" w:hAnsi="Arial"/>
                <w:sz w:val="16"/>
                <w:szCs w:val="16"/>
                <w:b w:val="1"/>
                <w:bCs w:val="1"/>
                <w:color w:val="auto"/>
              </w:rPr>
              <w:t>Tax fees</w:t>
            </w:r>
            <w:r>
              <w:rPr>
                <w:rFonts w:ascii="Arial" w:cs="Arial" w:eastAsia="Arial" w:hAnsi="Arial"/>
                <w:sz w:val="25"/>
                <w:szCs w:val="25"/>
                <w:b w:val="1"/>
                <w:bCs w:val="1"/>
                <w:color w:val="auto"/>
                <w:vertAlign w:val="superscript"/>
              </w:rPr>
              <w:t>(3)</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41,430</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31,226</w:t>
            </w:r>
          </w:p>
        </w:tc>
        <w:tc>
          <w:tcPr>
            <w:tcW w:w="180" w:type="dxa"/>
            <w:vAlign w:val="bottom"/>
            <w:shd w:val="clear" w:color="auto" w:fill="CCEEFF"/>
          </w:tcPr>
          <w:p>
            <w:pPr>
              <w:spacing w:after="0"/>
              <w:rPr>
                <w:sz w:val="23"/>
                <w:szCs w:val="23"/>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44"/>
        </w:trPr>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$4,844,280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$4,878,686</w:t>
            </w:r>
          </w:p>
        </w:tc>
        <w:tc>
          <w:tcPr>
            <w:tcW w:w="180" w:type="dxa"/>
            <w:vAlign w:val="bottom"/>
          </w:tcPr>
          <w:p>
            <w:pPr>
              <w:spacing w:after="0"/>
              <w:rPr>
                <w:sz w:val="21"/>
                <w:szCs w:val="2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-702310</wp:posOffset>
            </wp:positionV>
            <wp:extent cx="30784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71" w:lineRule="exact"/>
        <w:rPr>
          <w:sz w:val="20"/>
          <w:szCs w:val="20"/>
          <w:color w:val="auto"/>
        </w:rPr>
      </w:pPr>
    </w:p>
    <w:p>
      <w:pPr>
        <w:jc w:val="both"/>
        <w:ind w:left="1620" w:right="739" w:hanging="352"/>
        <w:spacing w:after="0" w:line="253" w:lineRule="auto"/>
        <w:tabs>
          <w:tab w:leader="none" w:pos="1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Audit fees consisted of audit work performed for the independent integrated audit of ABM’s consolidated financial statements and internal control over financial reporting, and the reviews of the financial statements contained in ABM’s quarterly reports on Form 10-Q, statutory audits and consents.</w:t>
      </w:r>
    </w:p>
    <w:p>
      <w:pPr>
        <w:spacing w:after="0" w:line="93" w:lineRule="exact"/>
        <w:rPr>
          <w:rFonts w:ascii="Arial" w:cs="Arial" w:eastAsia="Arial" w:hAnsi="Arial"/>
          <w:sz w:val="16"/>
          <w:szCs w:val="16"/>
          <w:color w:val="auto"/>
        </w:rPr>
      </w:pPr>
    </w:p>
    <w:p>
      <w:pPr>
        <w:ind w:left="1620" w:right="759" w:hanging="352"/>
        <w:spacing w:after="0" w:line="260" w:lineRule="auto"/>
        <w:tabs>
          <w:tab w:leader="none" w:pos="1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Audit-related fees consisted principally of fees for audits of financial statements of certain employee benefit plans, attestation reports on internal control and due diligence services.</w:t>
      </w:r>
    </w:p>
    <w:p>
      <w:pPr>
        <w:spacing w:after="0" w:line="87" w:lineRule="exact"/>
        <w:rPr>
          <w:rFonts w:ascii="Arial" w:cs="Arial" w:eastAsia="Arial" w:hAnsi="Arial"/>
          <w:sz w:val="16"/>
          <w:szCs w:val="16"/>
          <w:color w:val="auto"/>
        </w:rPr>
      </w:pPr>
    </w:p>
    <w:p>
      <w:pPr>
        <w:ind w:left="1620" w:hanging="352"/>
        <w:spacing w:after="0"/>
        <w:tabs>
          <w:tab w:leader="none" w:pos="1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Tax fees consisted of fees for tax compliance and consulting services.</w:t>
      </w:r>
    </w:p>
    <w:p>
      <w:pPr>
        <w:spacing w:after="0" w:line="200" w:lineRule="exact"/>
        <w:rPr>
          <w:sz w:val="20"/>
          <w:szCs w:val="20"/>
          <w:color w:val="auto"/>
        </w:rPr>
      </w:pPr>
    </w:p>
    <w:p>
      <w:pPr>
        <w:spacing w:after="0" w:line="285"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004FF9"/>
        </w:rPr>
        <w:t>Policy on Pre-approval of Independent Registered Public Accounting Firm Services</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color w:val="auto"/>
        </w:rPr>
        <w:t>The Audit Committee’s policy requires that the Audit Committee pre-approve audit and non-audit services performed by the independent registered public accounting firm. The Audit Committee may delegate its pre-approval authority to the Chairman of the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Audit Committee or any other member of the Audit Committee. All of the services for which fees were disclosed in the table above were pre-approved under the Audit Committee’s pre-approval policy.</w:t>
      </w:r>
    </w:p>
    <w:p>
      <w:pPr>
        <w:spacing w:after="0" w:line="388"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57"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[Intentionally left blank]</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004FF9"/>
        </w:rPr>
        <w:t>Proposal 2 — Ratification of</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100965</wp:posOffset>
            </wp:positionV>
            <wp:extent cx="52139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PROPOSAL 2 — RATIFICATION OF</w:t>
      </w:r>
    </w:p>
    <w:p>
      <w:pPr>
        <w:spacing w:after="0" w:line="3"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INDEPENDENT REGISTERED</w:t>
      </w:r>
    </w:p>
    <w:p>
      <w:pPr>
        <w:jc w:val="center"/>
        <w:ind w:right="-520"/>
        <w:spacing w:after="0"/>
        <w:rPr>
          <w:sz w:val="20"/>
          <w:szCs w:val="20"/>
          <w:color w:val="auto"/>
        </w:rPr>
      </w:pPr>
      <w:r>
        <w:rPr>
          <w:rFonts w:ascii="Arial" w:cs="Arial" w:eastAsia="Arial" w:hAnsi="Arial"/>
          <w:sz w:val="16"/>
          <w:szCs w:val="16"/>
          <w:b w:val="1"/>
          <w:bCs w:val="1"/>
          <w:color w:val="004FF9"/>
        </w:rPr>
        <w:t>PUBLIC ACCOUNTING FIRM</w:t>
      </w:r>
    </w:p>
    <w:p>
      <w:pPr>
        <w:spacing w:after="0" w:line="18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THE BOARD OF DIRECTORS RECOMMENDS</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A VOTE IN FAVOR OF PROPOSAL 2</w:t>
      </w:r>
    </w:p>
    <w:p>
      <w:pPr>
        <w:sectPr>
          <w:pgSz w:w="11900" w:h="16838" w:orient="portrait"/>
          <w:cols w:equalWidth="0" w:num="1">
            <w:col w:w="10219"/>
          </w:cols>
          <w:pgMar w:left="240" w:top="132" w:right="1440" w:bottom="1440" w:gutter="0" w:footer="0" w:header="0"/>
        </w:sectPr>
      </w:pPr>
    </w:p>
    <w:p>
      <w:pPr>
        <w:spacing w:after="0" w:line="73"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The Audit Committee has selected KPMG LLP, a registered public accounting firm and ABM’s independent registered public accounting firm for fiscal year 2014, as ABM’s independent registered public accounting firm for the fiscal year ending October 31, 2015.</w:t>
      </w:r>
    </w:p>
    <w:p>
      <w:pPr>
        <w:spacing w:after="0" w:line="97"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Board is asking shareholders to ratify the selection of KPMG LLP as ABM’s independent registered public accounting firm for fiscal year 2015. Although current law, rules and regulations as well as the Charter of the Audit Committee require that ABM’s independent registered public accounting firm be selected and supervised by the Audit Committee,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the Board considers the selection of the independent registered public accounting firm to be an important matter of shareholder concern and is submitting the selection of KPMG LLP for ratification by shareholders as a matter of good corporate practice. In the event that this selection of the independent registered public accounting firm is not ratified by shareholders, the Audit Committee will review its future selection of an independent registered public accounting firm. Representatives of KPMG LLP will be present at the Annual Meeting. They will have an opportunity to make a statement if they so desire and will be available to respond to appropriate questions.</w:t>
      </w:r>
    </w:p>
    <w:p>
      <w:pPr>
        <w:spacing w:after="0" w:line="311"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ind w:left="7020"/>
        <w:spacing w:after="0"/>
        <w:rPr>
          <w:sz w:val="20"/>
          <w:szCs w:val="20"/>
          <w:color w:val="auto"/>
        </w:rPr>
      </w:pPr>
      <w:r>
        <w:rPr>
          <w:rFonts w:ascii="Arial" w:cs="Arial" w:eastAsia="Arial" w:hAnsi="Arial"/>
          <w:sz w:val="18"/>
          <w:szCs w:val="18"/>
          <w:color w:val="004FF9"/>
        </w:rPr>
        <w:t>Proposal 3 — Advisory Vote to</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100965</wp:posOffset>
            </wp:positionV>
            <wp:extent cx="52139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PROPOSAL 3 — ADVISORY VOTE TO APPROVE</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EXECUTIVE COMPENSATION</w:t>
      </w:r>
    </w:p>
    <w:p>
      <w:pPr>
        <w:spacing w:after="0" w:line="18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THE BOARD OF DIRECTORS RECOMMENDS</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A VOTE IN FAVOR OF PROPOSAL 3</w:t>
      </w:r>
    </w:p>
    <w:p>
      <w:pPr>
        <w:sectPr>
          <w:pgSz w:w="11900" w:h="16838" w:orient="portrait"/>
          <w:cols w:equalWidth="0" w:num="1">
            <w:col w:w="10219"/>
          </w:cols>
          <w:pgMar w:left="240" w:top="132" w:right="1440" w:bottom="1440" w:gutter="0" w:footer="0" w:header="0"/>
        </w:sectPr>
      </w:pPr>
    </w:p>
    <w:p>
      <w:pPr>
        <w:spacing w:after="0" w:line="7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Company asks that you indicate your support for our executive compensation policies and practices as described in the Company’s Compensation Discussion and Analysis, accompanying tables and related narrative contained in this Proxy Statement. Your vote is advisory and so will not be binding on the Board. However, the Board will review the voting results and take them into consideration when making future decisions regarding executive compensation. The affirmative vote of the holders of a majority of the shares of Common Stock represented in person or by proxy and entitled to vote on the proposal (but excluding abstentions) will be considered as an approval of the proposal. The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next nonbinding advisory vote to approve executive compensation will occur at our 2016 Annual Meeting of Shareholders.</w:t>
      </w:r>
    </w:p>
    <w:p>
      <w:pPr>
        <w:spacing w:after="0" w:line="93" w:lineRule="exact"/>
        <w:rPr>
          <w:sz w:val="20"/>
          <w:szCs w:val="20"/>
          <w:color w:val="auto"/>
        </w:rPr>
      </w:pPr>
    </w:p>
    <w:p>
      <w:pPr>
        <w:spacing w:after="0"/>
        <w:tabs>
          <w:tab w:leader="none" w:pos="480" w:val="left"/>
          <w:tab w:leader="none" w:pos="820" w:val="left"/>
          <w:tab w:leader="none" w:pos="1240" w:val="left"/>
          <w:tab w:leader="none" w:pos="1700" w:val="left"/>
          <w:tab w:leader="none" w:pos="2580" w:val="left"/>
          <w:tab w:leader="none" w:pos="3540" w:val="left"/>
        </w:tabs>
        <w:rPr>
          <w:sz w:val="20"/>
          <w:szCs w:val="20"/>
          <w:color w:val="auto"/>
        </w:rPr>
      </w:pPr>
      <w:r>
        <w:rPr>
          <w:rFonts w:ascii="Arial" w:cs="Arial" w:eastAsia="Arial" w:hAnsi="Arial"/>
          <w:sz w:val="16"/>
          <w:szCs w:val="16"/>
          <w:color w:val="auto"/>
        </w:rPr>
        <w:t>One</w:t>
        <w:tab/>
        <w:t>of</w:t>
        <w:tab/>
        <w:t>the</w:t>
        <w:tab/>
        <w:t>key</w:t>
        <w:tab/>
        <w:t>principles</w:t>
        <w:tab/>
        <w:t>underlying</w:t>
        <w:tab/>
        <w:t>our</w:t>
      </w:r>
    </w:p>
    <w:p>
      <w:pPr>
        <w:spacing w:after="0" w:line="5"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Compensation Committee’s compensation philosophy is pay for performance. We will continue to emphasize compensation arrangements that align the financial interests of our executives with the interests of long-term shareholders. Please refer to the section of this proxy statement entitled “Executive Compensation” for a detailed discussion of our executive compensation practices and philosophy.</w:t>
      </w:r>
    </w:p>
    <w:p>
      <w:pPr>
        <w:spacing w:after="0" w:line="465"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6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Board of Directors recommends a vote FOR the following resolution:</w:t>
      </w:r>
    </w:p>
    <w:p>
      <w:pPr>
        <w:spacing w:after="0" w:line="93" w:lineRule="exact"/>
        <w:rPr>
          <w:sz w:val="20"/>
          <w:szCs w:val="20"/>
          <w:color w:val="auto"/>
        </w:rPr>
      </w:pPr>
    </w:p>
    <w:p>
      <w:pPr>
        <w:jc w:val="both"/>
        <w:ind w:left="1260" w:right="739"/>
        <w:spacing w:after="0" w:line="256" w:lineRule="auto"/>
        <w:rPr>
          <w:sz w:val="20"/>
          <w:szCs w:val="20"/>
          <w:color w:val="auto"/>
        </w:rPr>
      </w:pPr>
      <w:r>
        <w:rPr>
          <w:rFonts w:ascii="Arial" w:cs="Arial" w:eastAsia="Arial" w:hAnsi="Arial"/>
          <w:sz w:val="16"/>
          <w:szCs w:val="16"/>
          <w:b w:val="1"/>
          <w:bCs w:val="1"/>
          <w:color w:val="auto"/>
        </w:rPr>
        <w:t>RESOLVED — that the shareholders approve, on an advisory basis, the compensation of the Company’s executives named in the Summary Compensation Table, as disclosed in the Company’s 2015 Proxy Statement pursuant to the executive compensation disclosure rules of the Securities and Exchange Commission, which disclosure includes the Compensation Discussion and Analysis, the compensation tables and other executive compensation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left="5400" w:right="739"/>
        <w:spacing w:after="0" w:line="262" w:lineRule="auto"/>
        <w:rPr>
          <w:sz w:val="20"/>
          <w:szCs w:val="20"/>
          <w:color w:val="auto"/>
        </w:rPr>
      </w:pPr>
      <w:r>
        <w:rPr>
          <w:rFonts w:ascii="Arial" w:cs="Arial" w:eastAsia="Arial" w:hAnsi="Arial"/>
          <w:sz w:val="18"/>
          <w:szCs w:val="18"/>
          <w:color w:val="004FF9"/>
        </w:rPr>
        <w:t>Proposal 4 — Approval of the Amended and Restated 2006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82550</wp:posOffset>
            </wp:positionV>
            <wp:extent cx="52139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PROPOSAL 4 — APPROVAL OF THE AMENDED AND RESTATED</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2006 EQUITY INCENTIVE PLAN</w:t>
      </w:r>
    </w:p>
    <w:p>
      <w:pPr>
        <w:spacing w:after="0" w:line="18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THE BOARD OF DIRECTORS RECOMMENDS</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A VOTE IN FAVOR OF PROPOSAL 4</w:t>
      </w:r>
    </w:p>
    <w:p>
      <w:pPr>
        <w:sectPr>
          <w:pgSz w:w="11900" w:h="16838" w:orient="portrait"/>
          <w:cols w:equalWidth="0" w:num="1">
            <w:col w:w="10219"/>
          </w:cols>
          <w:pgMar w:left="240" w:top="132" w:right="1440" w:bottom="1440" w:gutter="0" w:footer="0" w:header="0"/>
        </w:sectPr>
      </w:pPr>
    </w:p>
    <w:p>
      <w:pPr>
        <w:spacing w:after="0" w:line="73"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The Board of Directors originally approved the Company’s 2006 Equity Incentive Plan on January 10, 2006, and established the number of shares to be reserved for issuance under this plan on March 24, 2006. On May 2, 2006, the Company’s shareholders approved the 2006 Equity Incentive Plan. At the time it was approved by shareholders, the number of shares available for grant under the 2006 Equity Incentive Plan included the 2,500,000 shares approved in connection with the establishment of the 2006 Equity Incentive Plan and an additional 2,629,265 shares which were carried over from certain prior stock option plans of the Company. On January 13, 2009, the Board approved an amendment to the 2006 Equity Incentive Plan to increase the number of shares available for issuance thereunder by 2,750,000, subject to shareholder approval. This increase was approved by shareholders on March 3, 2009. On January 10, 2012, the Board approved an amendment to the 2006 Equity Incentive Plan to increase the number of shares available for issuance thereunder by 2,400,000 shares, which was approved by stockholders. The Company has used a substantial portion of the current authorized share pool under the 2006 Equity Incentive Plan for existing awards.</w:t>
      </w:r>
    </w:p>
    <w:p>
      <w:pPr>
        <w:spacing w:after="0" w:line="101" w:lineRule="exact"/>
        <w:rPr>
          <w:sz w:val="20"/>
          <w:szCs w:val="20"/>
          <w:color w:val="auto"/>
        </w:rPr>
      </w:pPr>
    </w:p>
    <w:p>
      <w:pPr>
        <w:jc w:val="both"/>
        <w:ind w:left="1260"/>
        <w:spacing w:after="0" w:line="247" w:lineRule="auto"/>
        <w:rPr>
          <w:sz w:val="20"/>
          <w:szCs w:val="20"/>
          <w:color w:val="auto"/>
        </w:rPr>
      </w:pPr>
      <w:r>
        <w:rPr>
          <w:rFonts w:ascii="Arial" w:cs="Arial" w:eastAsia="Arial" w:hAnsi="Arial"/>
          <w:sz w:val="16"/>
          <w:szCs w:val="16"/>
          <w:color w:val="auto"/>
        </w:rPr>
        <w:t>After giving effect to performance share awards made on January 15, 2015, as of January 16, 2015, there were 848,756 shares available for grant under the 2006 Equity Incentive Plan. After giving effect to grants previously made under the 2006 Equity Incentive Plan, the aggregate number of shares that would be available for issuance under the 2006 Equity Incentive Plan, assuming shareholder approval of the amendment to approve an additional 1,400,000 shares for issuance thereunder, would be approximately 2,248,756 shares as of the date of this Proxy Statement. This number does not include the effect of forfeitures, if any, of outstanding awards. The Board believes that this amendment is in the best interests of the Company and its shareholders and is consistent with the compensation philosophy of the Company described in this Proxy Statement.</w:t>
      </w:r>
    </w:p>
    <w:p>
      <w:pPr>
        <w:spacing w:after="0" w:line="103"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color w:val="auto"/>
        </w:rPr>
        <w:t>The purpose of the 2006 Equity Incentive Plan is to provide stock-based compensation to employees and non-employee directors to promote close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739"/>
        <w:spacing w:after="0" w:line="246" w:lineRule="auto"/>
        <w:rPr>
          <w:sz w:val="20"/>
          <w:szCs w:val="20"/>
          <w:color w:val="auto"/>
        </w:rPr>
      </w:pPr>
      <w:r>
        <w:rPr>
          <w:rFonts w:ascii="Arial" w:cs="Arial" w:eastAsia="Arial" w:hAnsi="Arial"/>
          <w:sz w:val="16"/>
          <w:szCs w:val="16"/>
          <w:color w:val="auto"/>
        </w:rPr>
        <w:t>alignment among the interests of employees, directors and shareholders. The 2006 Equity Incentive Plan is the Company’s only plan for providing future stock-based incentive compensation to employees and non-employee directors of the Company and its affiliates, and all future grants will be subject to its terms and conditions. The 2006 Equity Incentive Plan is an “omnibus” plan that provides for a variety of equity and equity-based award vehicles. The 2006 Equity Incentive Plan allows for the grant of stock options, stock appreciation rights, restricted stock, RSU awards, performance shares and other share-based awards. Certain of the awards under the 2006 Equity Incentive Plan are intended to qualify as</w:t>
      </w:r>
    </w:p>
    <w:p>
      <w:pPr>
        <w:spacing w:after="0" w:line="7"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“performance-based” compensation under Section 162(m) of the Internal Revenue Code. The 2006 Equity Incentive Plan provides that, subject to capitalization adjustments, the following maximum limits shall apply to the amount awarded to any participant during any calendar year: (1) options and stock appreciation rights cannot relate to more than 1,000,000 shares, and (2) performance shares, restricted stock, RSUs and other share-based awards cannot relate to more than 1,000,000 shares.</w:t>
      </w:r>
    </w:p>
    <w:p>
      <w:pPr>
        <w:spacing w:after="0" w:line="98" w:lineRule="exact"/>
        <w:rPr>
          <w:sz w:val="20"/>
          <w:szCs w:val="20"/>
          <w:color w:val="auto"/>
        </w:rPr>
      </w:pPr>
    </w:p>
    <w:p>
      <w:pPr>
        <w:jc w:val="both"/>
        <w:ind w:right="739"/>
        <w:spacing w:after="0" w:line="247" w:lineRule="auto"/>
        <w:rPr>
          <w:sz w:val="20"/>
          <w:szCs w:val="20"/>
          <w:color w:val="auto"/>
        </w:rPr>
      </w:pPr>
      <w:r>
        <w:rPr>
          <w:rFonts w:ascii="Arial" w:cs="Arial" w:eastAsia="Arial" w:hAnsi="Arial"/>
          <w:sz w:val="16"/>
          <w:szCs w:val="16"/>
          <w:color w:val="auto"/>
        </w:rPr>
        <w:t>The Board is asking shareholders to approve the Amended and Restated 2006 Equity Incentive Plan to increase the number of shares available for grant thereunder by 1,400,000 shares. This amount of 1,400,000 shares represents approximately 2.5% of the Company’s outstanding shares on the Record Date. As further described below, the Board believes that the increased number of shares available for issuance under this plan represents a reasonable amount of potential additional equity dilution and allows the Company to continue awarding equity incentives, which are a critical component of our compensation program as discussed under “Compensation Discussion and Analysis.” The Board expects that it will seek shareholder approval periodically in the future for additional shares to continue the program.</w:t>
      </w:r>
    </w:p>
    <w:p>
      <w:pPr>
        <w:spacing w:after="0" w:line="10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color w:val="auto"/>
        </w:rPr>
        <w:t>The affirmative vote of the holders of a majority of shares of common stock represented in person or by proxy and entitled to vote on the proposal will be required for approval.</w:t>
      </w:r>
    </w:p>
    <w:p>
      <w:pPr>
        <w:spacing w:after="0" w:line="201"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left="5400" w:right="739"/>
        <w:spacing w:after="0" w:line="262" w:lineRule="auto"/>
        <w:rPr>
          <w:sz w:val="20"/>
          <w:szCs w:val="20"/>
          <w:color w:val="auto"/>
        </w:rPr>
      </w:pPr>
      <w:r>
        <w:rPr>
          <w:rFonts w:ascii="Arial" w:cs="Arial" w:eastAsia="Arial" w:hAnsi="Arial"/>
          <w:sz w:val="18"/>
          <w:szCs w:val="18"/>
          <w:color w:val="004FF9"/>
        </w:rPr>
        <w:t>Proposal 4 — Approval of the Amended and Restated 2006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82550</wp:posOffset>
            </wp:positionV>
            <wp:extent cx="52139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With approval of the amendments to the 2006 Equity Incentive Plan, the Company intends to:</w:t>
      </w:r>
    </w:p>
    <w:p>
      <w:pPr>
        <w:sectPr>
          <w:pgSz w:w="11900" w:h="16838" w:orient="portrait"/>
          <w:cols w:equalWidth="0" w:num="1">
            <w:col w:w="10219"/>
          </w:cols>
          <w:pgMar w:left="240" w:top="132" w:right="1440" w:bottom="1440" w:gutter="0" w:footer="0" w:header="0"/>
        </w:sectPr>
      </w:pPr>
    </w:p>
    <w:p>
      <w:pPr>
        <w:spacing w:after="0" w:line="66" w:lineRule="exact"/>
        <w:rPr>
          <w:sz w:val="20"/>
          <w:szCs w:val="20"/>
          <w:color w:val="auto"/>
        </w:rPr>
      </w:pPr>
    </w:p>
    <w:p>
      <w:pPr>
        <w:jc w:val="both"/>
        <w:ind w:left="1620" w:hanging="352"/>
        <w:spacing w:after="0" w:line="253" w:lineRule="auto"/>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Motivate and reward long-term strategic management that results in profitable growth and sustained shareholder value creation.</w:t>
      </w:r>
    </w:p>
    <w:p>
      <w:pPr>
        <w:spacing w:after="0" w:line="39" w:lineRule="exact"/>
        <w:rPr>
          <w:rFonts w:ascii="Arial" w:cs="Arial" w:eastAsia="Arial" w:hAnsi="Arial"/>
          <w:sz w:val="16"/>
          <w:szCs w:val="16"/>
          <w:color w:val="auto"/>
        </w:rPr>
      </w:pPr>
    </w:p>
    <w:p>
      <w:pPr>
        <w:ind w:left="1620" w:hanging="352"/>
        <w:spacing w:after="0" w:line="260" w:lineRule="auto"/>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Align employee and director interests with those of shareholders.</w:t>
      </w:r>
    </w:p>
    <w:p>
      <w:pPr>
        <w:spacing w:after="0" w:line="33" w:lineRule="exact"/>
        <w:rPr>
          <w:rFonts w:ascii="Arial" w:cs="Arial" w:eastAsia="Arial" w:hAnsi="Arial"/>
          <w:sz w:val="16"/>
          <w:szCs w:val="16"/>
          <w:color w:val="auto"/>
        </w:rPr>
      </w:pPr>
    </w:p>
    <w:p>
      <w:pPr>
        <w:ind w:left="1620" w:hanging="352"/>
        <w:spacing w:after="0" w:line="260" w:lineRule="auto"/>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Reinforce a strong management team commitment to ABM’s long-term success.</w:t>
      </w:r>
    </w:p>
    <w:p>
      <w:pPr>
        <w:spacing w:after="0" w:line="33" w:lineRule="exact"/>
        <w:rPr>
          <w:rFonts w:ascii="Arial" w:cs="Arial" w:eastAsia="Arial" w:hAnsi="Arial"/>
          <w:sz w:val="16"/>
          <w:szCs w:val="16"/>
          <w:color w:val="auto"/>
        </w:rPr>
      </w:pPr>
    </w:p>
    <w:p>
      <w:pPr>
        <w:jc w:val="both"/>
        <w:ind w:left="1620" w:hanging="352"/>
        <w:spacing w:after="0" w:line="251" w:lineRule="auto"/>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Provide meaningful long-term incentive award opportunity as part of a competitive total compensation program that enables ABM to attract and retain its key employees.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369" w:right="759" w:hanging="369"/>
        <w:spacing w:after="0" w:line="260" w:lineRule="auto"/>
        <w:tabs>
          <w:tab w:leader="none" w:pos="369" w:val="left"/>
        </w:tabs>
        <w:numPr>
          <w:ilvl w:val="0"/>
          <w:numId w:val="57"/>
        </w:numPr>
        <w:rPr>
          <w:rFonts w:ascii="Arial" w:cs="Arial" w:eastAsia="Arial" w:hAnsi="Arial"/>
          <w:sz w:val="16"/>
          <w:szCs w:val="16"/>
          <w:color w:val="auto"/>
        </w:rPr>
      </w:pPr>
      <w:r>
        <w:rPr>
          <w:rFonts w:ascii="Arial" w:cs="Arial" w:eastAsia="Arial" w:hAnsi="Arial"/>
          <w:sz w:val="16"/>
          <w:szCs w:val="16"/>
          <w:color w:val="auto"/>
        </w:rPr>
        <w:t>Encourage stock ownership among executives and other key employees.</w:t>
      </w:r>
    </w:p>
    <w:p>
      <w:pPr>
        <w:spacing w:after="0" w:line="101" w:lineRule="exact"/>
        <w:rPr>
          <w:rFonts w:ascii="Arial" w:cs="Arial" w:eastAsia="Arial" w:hAnsi="Arial"/>
          <w:sz w:val="16"/>
          <w:szCs w:val="16"/>
          <w:color w:val="auto"/>
        </w:rPr>
      </w:pPr>
    </w:p>
    <w:p>
      <w:pPr>
        <w:jc w:val="both"/>
        <w:ind w:left="369" w:right="759" w:hanging="369"/>
        <w:spacing w:after="0" w:line="251" w:lineRule="auto"/>
        <w:tabs>
          <w:tab w:leader="none" w:pos="369"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Manage costs effectively through program design and administration guidelines in terms of accounting, tax, cash flow and shareholder dilution.</w:t>
      </w:r>
    </w:p>
    <w:p>
      <w:pPr>
        <w:spacing w:after="0" w:line="121" w:lineRule="exact"/>
        <w:rPr>
          <w:rFonts w:ascii="Arial" w:cs="Arial" w:eastAsia="Arial" w:hAnsi="Arial"/>
          <w:sz w:val="16"/>
          <w:szCs w:val="16"/>
          <w:color w:val="auto"/>
        </w:rPr>
      </w:pPr>
    </w:p>
    <w:p>
      <w:pPr>
        <w:jc w:val="both"/>
        <w:ind w:left="369" w:right="759" w:hanging="369"/>
        <w:spacing w:after="0" w:line="253" w:lineRule="auto"/>
        <w:tabs>
          <w:tab w:leader="none" w:pos="369" w:val="left"/>
        </w:tabs>
        <w:numPr>
          <w:ilvl w:val="0"/>
          <w:numId w:val="57"/>
        </w:numPr>
        <w:rPr>
          <w:rFonts w:ascii="Arial" w:cs="Arial" w:eastAsia="Arial" w:hAnsi="Arial"/>
          <w:sz w:val="16"/>
          <w:szCs w:val="16"/>
          <w:color w:val="auto"/>
        </w:rPr>
      </w:pPr>
      <w:r>
        <w:rPr>
          <w:rFonts w:ascii="Arial" w:cs="Arial" w:eastAsia="Arial" w:hAnsi="Arial"/>
          <w:sz w:val="16"/>
          <w:szCs w:val="16"/>
          <w:color w:val="auto"/>
        </w:rPr>
        <w:t>Structure grants to be responsive to changes in the Company’s business environment and compensation objectives.</w:t>
      </w:r>
    </w:p>
    <w:p>
      <w:pPr>
        <w:spacing w:after="0" w:line="482" w:lineRule="exact"/>
        <w:rPr>
          <w:sz w:val="20"/>
          <w:szCs w:val="20"/>
          <w:color w:val="auto"/>
        </w:rPr>
      </w:pPr>
    </w:p>
    <w:p>
      <w:pPr>
        <w:sectPr>
          <w:pgSz w:w="11900" w:h="16838" w:orient="portrait"/>
          <w:cols w:equalWidth="0" w:num="2">
            <w:col w:w="5060" w:space="611"/>
            <w:col w:w="4548"/>
          </w:cols>
          <w:pgMar w:left="240" w:top="132" w:right="1440" w:bottom="1440" w:gutter="0" w:footer="0" w:header="0"/>
          <w:type w:val="continuous"/>
        </w:sectPr>
      </w:pPr>
    </w:p>
    <w:p>
      <w:pPr>
        <w:spacing w:after="0" w:line="3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Impact of Share Increase on Shareholder Dilution, Burn Rate and Overhang</w:t>
      </w:r>
    </w:p>
    <w:p>
      <w:pPr>
        <w:sectPr>
          <w:pgSz w:w="11900" w:h="16838" w:orient="portrait"/>
          <w:cols w:equalWidth="0" w:num="1">
            <w:col w:w="10219"/>
          </w:cols>
          <w:pgMar w:left="240" w:top="132" w:right="1440" w:bottom="1440" w:gutter="0" w:footer="0" w:header="0"/>
          <w:type w:val="continuous"/>
        </w:sectPr>
      </w:pPr>
    </w:p>
    <w:p>
      <w:pPr>
        <w:spacing w:after="0" w:line="93" w:lineRule="exact"/>
        <w:rPr>
          <w:sz w:val="20"/>
          <w:szCs w:val="20"/>
          <w:color w:val="auto"/>
        </w:rPr>
      </w:pPr>
    </w:p>
    <w:p>
      <w:pPr>
        <w:jc w:val="both"/>
        <w:ind w:left="1260"/>
        <w:spacing w:after="0" w:line="249" w:lineRule="auto"/>
        <w:rPr>
          <w:sz w:val="20"/>
          <w:szCs w:val="20"/>
          <w:color w:val="auto"/>
        </w:rPr>
      </w:pPr>
      <w:r>
        <w:rPr>
          <w:rFonts w:ascii="Arial" w:cs="Arial" w:eastAsia="Arial" w:hAnsi="Arial"/>
          <w:sz w:val="16"/>
          <w:szCs w:val="16"/>
          <w:color w:val="auto"/>
        </w:rPr>
        <w:t>In determining a recommendation of an increase in shares, the Compensation Committee considered the number of shares previously issued under the plan and the fact that the requested additional 1,400,000 shares represented approximately 2.5% of our outstanding shares on the Record Date. In addition:</w:t>
      </w:r>
    </w:p>
    <w:p>
      <w:pPr>
        <w:spacing w:after="0" w:line="286" w:lineRule="exact"/>
        <w:rPr>
          <w:sz w:val="20"/>
          <w:szCs w:val="20"/>
          <w:color w:val="auto"/>
        </w:rPr>
      </w:pPr>
    </w:p>
    <w:p>
      <w:pPr>
        <w:jc w:val="both"/>
        <w:ind w:left="1620" w:right="20" w:hanging="352"/>
        <w:spacing w:after="0" w:line="250" w:lineRule="auto"/>
        <w:tabs>
          <w:tab w:leader="none" w:pos="1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Since March 6, 2012, when the plan was most recently approved by our shareholders, we have granted equity awards representing a total of approximately 3,193,652 shares, excluding forfeitures.</w:t>
      </w:r>
    </w:p>
    <w:p>
      <w:pPr>
        <w:spacing w:after="0" w:line="81" w:lineRule="exact"/>
        <w:rPr>
          <w:rFonts w:ascii="Arial" w:cs="Arial" w:eastAsia="Arial" w:hAnsi="Arial"/>
          <w:sz w:val="16"/>
          <w:szCs w:val="16"/>
          <w:color w:val="auto"/>
        </w:rPr>
      </w:pPr>
    </w:p>
    <w:p>
      <w:pPr>
        <w:jc w:val="both"/>
        <w:ind w:left="1620" w:right="20" w:hanging="352"/>
        <w:spacing w:after="0" w:line="248" w:lineRule="auto"/>
        <w:tabs>
          <w:tab w:leader="none" w:pos="1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During fiscal 2014, our historical usage rate (or burn rate) was 1.25%, which we define as the total shares subject to equity awards granted during the period (including performance-based awards at target) divided by weighted average (basic) common shares outstanding for fiscal 2014. When considering performance-based awards actually earned, the burn rate for fiscal 2014 was 0.89%.</w:t>
      </w:r>
    </w:p>
    <w:p>
      <w:pPr>
        <w:spacing w:after="0" w:line="98" w:lineRule="exact"/>
        <w:rPr>
          <w:rFonts w:ascii="Arial" w:cs="Arial" w:eastAsia="Arial" w:hAnsi="Arial"/>
          <w:sz w:val="16"/>
          <w:szCs w:val="16"/>
          <w:color w:val="auto"/>
        </w:rPr>
      </w:pPr>
    </w:p>
    <w:p>
      <w:pPr>
        <w:jc w:val="both"/>
        <w:ind w:left="1620" w:right="20" w:hanging="352"/>
        <w:spacing w:after="0" w:line="248" w:lineRule="auto"/>
        <w:tabs>
          <w:tab w:leader="none" w:pos="1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three-year average burn rate (through the three fiscal years ending October 31, 2014) is 1.72%. The three-year average burn rate was determined as (i) options granted plus restricted stock units and target performance-based awards divided by (ii) weighted average (basic) common shares outstanding of the applicable fiscal year. When considering performance-based awards actually earned, our three-year average burn rate was 1.28%.</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both"/>
        <w:ind w:left="369" w:right="759" w:hanging="369"/>
        <w:spacing w:after="0" w:line="248" w:lineRule="auto"/>
        <w:tabs>
          <w:tab w:leader="none" w:pos="36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we do not increase the shares available for issuance under the Plan, then based on historical usage rates of shares under our equity plans and a range of possible grant date fair values, we would expect that the share limit under our Plan would be insufficient to grant annual equity awards in fiscal 2016, at which time we would lose an important compensation tool aligned with shareholder interests to attract, motivate and retain highly qualified talent.</w:t>
      </w:r>
    </w:p>
    <w:p>
      <w:pPr>
        <w:spacing w:after="0" w:line="232" w:lineRule="exact"/>
        <w:rPr>
          <w:rFonts w:ascii="Arial" w:cs="Arial" w:eastAsia="Arial" w:hAnsi="Arial"/>
          <w:sz w:val="16"/>
          <w:szCs w:val="16"/>
          <w:color w:val="auto"/>
        </w:rPr>
      </w:pPr>
    </w:p>
    <w:p>
      <w:pPr>
        <w:jc w:val="both"/>
        <w:ind w:left="369" w:right="759" w:hanging="369"/>
        <w:spacing w:after="0" w:line="248" w:lineRule="auto"/>
        <w:tabs>
          <w:tab w:leader="none" w:pos="369"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historical usage, we estimate that the shares being requested, when combined with the shares available for issuance as of October 31, 2014, are likely to be sufficient for approximately two to three years of awards beginning in fiscal 2016, assuming we continue to grant awards consistent with our historical usage and current practices, noting that future circumstances may require us to change our current equity grant practices.</w:t>
      </w:r>
    </w:p>
    <w:p>
      <w:pPr>
        <w:spacing w:after="0" w:line="43" w:lineRule="exact"/>
        <w:rPr>
          <w:rFonts w:ascii="Arial" w:cs="Arial" w:eastAsia="Arial" w:hAnsi="Arial"/>
          <w:sz w:val="16"/>
          <w:szCs w:val="16"/>
          <w:color w:val="auto"/>
        </w:rPr>
      </w:pPr>
    </w:p>
    <w:p>
      <w:pPr>
        <w:jc w:val="both"/>
        <w:ind w:left="369" w:right="759" w:hanging="369"/>
        <w:spacing w:after="0" w:line="247" w:lineRule="auto"/>
        <w:tabs>
          <w:tab w:leader="none" w:pos="36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 of October 31, 2014, our overhang rate, calculated by dividing (i) the number of shares subject to equity awards outstanding plus the number of shares remaining available for issuance under our Plan by (ii) the number of our common shares outstanding as of the record date, was 8.8%. If the Amended and Restated 2006 Equity Incentive Plan is approved by our shareholders, our overhang rate will increase to 11.03%, based on the number of our common shares outstanding as of the record date.</w:t>
      </w:r>
    </w:p>
    <w:p>
      <w:pPr>
        <w:spacing w:after="0" w:line="200" w:lineRule="exact"/>
        <w:rPr>
          <w:sz w:val="20"/>
          <w:szCs w:val="20"/>
          <w:color w:val="auto"/>
        </w:rPr>
      </w:pPr>
    </w:p>
    <w:p>
      <w:pPr>
        <w:sectPr>
          <w:pgSz w:w="11900" w:h="16838" w:orient="portrait"/>
          <w:cols w:equalWidth="0" w:num="2">
            <w:col w:w="5080" w:space="591"/>
            <w:col w:w="4548"/>
          </w:cols>
          <w:pgMar w:left="240" w:top="132" w:right="1440" w:bottom="1440" w:gutter="0" w:footer="0" w:header="0"/>
          <w:type w:val="continuous"/>
        </w:sectPr>
      </w:pPr>
    </w:p>
    <w:p>
      <w:pPr>
        <w:spacing w:after="0" w:line="67" w:lineRule="exact"/>
        <w:rPr>
          <w:sz w:val="20"/>
          <w:szCs w:val="20"/>
          <w:color w:val="auto"/>
        </w:rPr>
      </w:pPr>
    </w:p>
    <w:p>
      <w:pPr>
        <w:ind w:left="1260" w:right="759"/>
        <w:spacing w:after="0" w:line="260" w:lineRule="auto"/>
        <w:rPr>
          <w:sz w:val="20"/>
          <w:szCs w:val="20"/>
          <w:color w:val="auto"/>
        </w:rPr>
      </w:pPr>
      <w:r>
        <w:rPr>
          <w:rFonts w:ascii="Arial" w:cs="Arial" w:eastAsia="Arial" w:hAnsi="Arial"/>
          <w:sz w:val="16"/>
          <w:szCs w:val="16"/>
          <w:color w:val="auto"/>
        </w:rPr>
        <w:t>Based on the above information about potential plan costs and usage rates, the Compensation Committee and the Board of Directors concluded that the additional share request is reasonable and appropriate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left="5400" w:right="739"/>
        <w:spacing w:after="0" w:line="262" w:lineRule="auto"/>
        <w:rPr>
          <w:sz w:val="20"/>
          <w:szCs w:val="20"/>
          <w:color w:val="auto"/>
        </w:rPr>
      </w:pPr>
      <w:r>
        <w:rPr>
          <w:rFonts w:ascii="Arial" w:cs="Arial" w:eastAsia="Arial" w:hAnsi="Arial"/>
          <w:sz w:val="18"/>
          <w:szCs w:val="18"/>
          <w:color w:val="004FF9"/>
        </w:rPr>
        <w:t>Proposal 4 — Approval of the Amended and Restated 2006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82550</wp:posOffset>
            </wp:positionV>
            <wp:extent cx="52139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2006 Plan Summary</w:t>
      </w:r>
    </w:p>
    <w:p>
      <w:pPr>
        <w:spacing w:after="0" w:line="93"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6"/>
          <w:szCs w:val="16"/>
          <w:color w:val="auto"/>
        </w:rPr>
        <w:t>The summary description of the 2006 Equity Incentive Plan, as amended and restated, below is qualified in its entirety by reference to the provisions of the 2006 Equity Incentive Plan itself, which is attached as Appendix B to this Proxy Statement.</w:t>
      </w:r>
    </w:p>
    <w:p>
      <w:pPr>
        <w:spacing w:after="0" w:line="168"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2160" w:type="dxa"/>
            <w:vAlign w:val="bottom"/>
          </w:tcPr>
          <w:p>
            <w:pPr>
              <w:spacing w:after="0"/>
              <w:rPr>
                <w:sz w:val="20"/>
                <w:szCs w:val="20"/>
                <w:color w:val="auto"/>
              </w:rPr>
            </w:pPr>
            <w:r>
              <w:rPr>
                <w:rFonts w:ascii="Arial" w:cs="Arial" w:eastAsia="Arial" w:hAnsi="Arial"/>
                <w:sz w:val="16"/>
                <w:szCs w:val="16"/>
                <w:b w:val="1"/>
                <w:bCs w:val="1"/>
                <w:color w:val="004FF9"/>
              </w:rPr>
              <w:t>Overview</w:t>
            </w:r>
          </w:p>
        </w:tc>
        <w:tc>
          <w:tcPr>
            <w:tcW w:w="30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05"/>
        </w:trPr>
        <w:tc>
          <w:tcPr>
            <w:tcW w:w="2160" w:type="dxa"/>
            <w:vAlign w:val="bottom"/>
          </w:tcPr>
          <w:p>
            <w:pPr>
              <w:ind w:left="20"/>
              <w:spacing w:after="0"/>
              <w:rPr>
                <w:sz w:val="20"/>
                <w:szCs w:val="20"/>
                <w:color w:val="auto"/>
              </w:rPr>
            </w:pPr>
            <w:r>
              <w:rPr>
                <w:rFonts w:ascii="Arial" w:cs="Arial" w:eastAsia="Arial" w:hAnsi="Arial"/>
                <w:sz w:val="16"/>
                <w:szCs w:val="16"/>
                <w:i w:val="1"/>
                <w:iCs w:val="1"/>
                <w:color w:val="auto"/>
              </w:rPr>
              <w:t>Eligible participants:</w:t>
            </w: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Employees and directors of the Company and its affiliates, including all of</w:t>
            </w:r>
          </w:p>
        </w:tc>
      </w:tr>
      <w:tr>
        <w:trPr>
          <w:trHeight w:val="195"/>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ABM’s executive officers and non-employee directors</w:t>
            </w:r>
          </w:p>
        </w:tc>
      </w:tr>
      <w:tr>
        <w:trPr>
          <w:trHeight w:val="319"/>
        </w:trPr>
        <w:tc>
          <w:tcPr>
            <w:tcW w:w="2160" w:type="dxa"/>
            <w:vAlign w:val="bottom"/>
          </w:tcPr>
          <w:p>
            <w:pPr>
              <w:ind w:left="20"/>
              <w:spacing w:after="0"/>
              <w:rPr>
                <w:sz w:val="20"/>
                <w:szCs w:val="20"/>
                <w:color w:val="auto"/>
              </w:rPr>
            </w:pPr>
            <w:r>
              <w:rPr>
                <w:rFonts w:ascii="Arial" w:cs="Arial" w:eastAsia="Arial" w:hAnsi="Arial"/>
                <w:sz w:val="16"/>
                <w:szCs w:val="16"/>
                <w:i w:val="1"/>
                <w:iCs w:val="1"/>
                <w:color w:val="auto"/>
              </w:rPr>
              <w:t>Types of awards:</w:t>
            </w:r>
          </w:p>
        </w:tc>
        <w:tc>
          <w:tcPr>
            <w:tcW w:w="3040" w:type="dxa"/>
            <w:vAlign w:val="bottom"/>
          </w:tcPr>
          <w:p>
            <w:pPr>
              <w:ind w:left="700"/>
              <w:spacing w:after="0"/>
              <w:rPr>
                <w:sz w:val="20"/>
                <w:szCs w:val="20"/>
                <w:color w:val="auto"/>
              </w:rPr>
            </w:pPr>
            <w:r>
              <w:rPr>
                <w:rFonts w:ascii="Arial" w:cs="Arial" w:eastAsia="Arial" w:hAnsi="Arial"/>
                <w:sz w:val="16"/>
                <w:szCs w:val="16"/>
                <w:color w:val="auto"/>
              </w:rPr>
              <w:t>Incentive stock options</w:t>
            </w:r>
          </w:p>
        </w:tc>
        <w:tc>
          <w:tcPr>
            <w:tcW w:w="3000" w:type="dxa"/>
            <w:vAlign w:val="bottom"/>
          </w:tcPr>
          <w:p>
            <w:pPr>
              <w:ind w:left="380"/>
              <w:spacing w:after="0"/>
              <w:rPr>
                <w:sz w:val="20"/>
                <w:szCs w:val="20"/>
                <w:color w:val="auto"/>
              </w:rPr>
            </w:pPr>
            <w:r>
              <w:rPr>
                <w:rFonts w:ascii="Arial" w:cs="Arial" w:eastAsia="Arial" w:hAnsi="Arial"/>
                <w:sz w:val="16"/>
                <w:szCs w:val="16"/>
                <w:color w:val="auto"/>
              </w:rPr>
              <w:t>Restricted stock awards</w:t>
            </w:r>
          </w:p>
        </w:tc>
      </w:tr>
      <w:tr>
        <w:trPr>
          <w:trHeight w:val="189"/>
        </w:trPr>
        <w:tc>
          <w:tcPr>
            <w:tcW w:w="2160" w:type="dxa"/>
            <w:vAlign w:val="bottom"/>
          </w:tcPr>
          <w:p>
            <w:pPr>
              <w:spacing w:after="0"/>
              <w:rPr>
                <w:sz w:val="16"/>
                <w:szCs w:val="16"/>
                <w:color w:val="auto"/>
              </w:rPr>
            </w:pPr>
          </w:p>
        </w:tc>
        <w:tc>
          <w:tcPr>
            <w:tcW w:w="3040" w:type="dxa"/>
            <w:vAlign w:val="bottom"/>
          </w:tcPr>
          <w:p>
            <w:pPr>
              <w:ind w:left="700"/>
              <w:spacing w:after="0"/>
              <w:rPr>
                <w:sz w:val="20"/>
                <w:szCs w:val="20"/>
                <w:color w:val="auto"/>
              </w:rPr>
            </w:pPr>
            <w:r>
              <w:rPr>
                <w:rFonts w:ascii="Arial" w:cs="Arial" w:eastAsia="Arial" w:hAnsi="Arial"/>
                <w:sz w:val="16"/>
                <w:szCs w:val="16"/>
                <w:color w:val="auto"/>
              </w:rPr>
              <w:t>Nonstatutory stock options</w:t>
            </w:r>
          </w:p>
        </w:tc>
        <w:tc>
          <w:tcPr>
            <w:tcW w:w="3000" w:type="dxa"/>
            <w:vAlign w:val="bottom"/>
          </w:tcPr>
          <w:p>
            <w:pPr>
              <w:ind w:left="380"/>
              <w:spacing w:after="0"/>
              <w:rPr>
                <w:sz w:val="20"/>
                <w:szCs w:val="20"/>
                <w:color w:val="auto"/>
              </w:rPr>
            </w:pPr>
            <w:r>
              <w:rPr>
                <w:rFonts w:ascii="Arial" w:cs="Arial" w:eastAsia="Arial" w:hAnsi="Arial"/>
                <w:sz w:val="16"/>
                <w:szCs w:val="16"/>
                <w:color w:val="auto"/>
              </w:rPr>
              <w:t>Restricted stock units (RSUs)</w:t>
            </w:r>
          </w:p>
        </w:tc>
      </w:tr>
      <w:tr>
        <w:trPr>
          <w:trHeight w:val="189"/>
        </w:trPr>
        <w:tc>
          <w:tcPr>
            <w:tcW w:w="2160" w:type="dxa"/>
            <w:vAlign w:val="bottom"/>
          </w:tcPr>
          <w:p>
            <w:pPr>
              <w:spacing w:after="0"/>
              <w:rPr>
                <w:sz w:val="16"/>
                <w:szCs w:val="16"/>
                <w:color w:val="auto"/>
              </w:rPr>
            </w:pPr>
          </w:p>
        </w:tc>
        <w:tc>
          <w:tcPr>
            <w:tcW w:w="3040" w:type="dxa"/>
            <w:vAlign w:val="bottom"/>
          </w:tcPr>
          <w:p>
            <w:pPr>
              <w:ind w:left="700"/>
              <w:spacing w:after="0"/>
              <w:rPr>
                <w:sz w:val="20"/>
                <w:szCs w:val="20"/>
                <w:color w:val="auto"/>
              </w:rPr>
            </w:pPr>
            <w:r>
              <w:rPr>
                <w:rFonts w:ascii="Arial" w:cs="Arial" w:eastAsia="Arial" w:hAnsi="Arial"/>
                <w:sz w:val="16"/>
                <w:szCs w:val="16"/>
                <w:color w:val="auto"/>
              </w:rPr>
              <w:t>Stock appreciation rights</w:t>
            </w:r>
          </w:p>
        </w:tc>
        <w:tc>
          <w:tcPr>
            <w:tcW w:w="3000" w:type="dxa"/>
            <w:vAlign w:val="bottom"/>
          </w:tcPr>
          <w:p>
            <w:pPr>
              <w:ind w:left="380"/>
              <w:spacing w:after="0"/>
              <w:rPr>
                <w:sz w:val="20"/>
                <w:szCs w:val="20"/>
                <w:color w:val="auto"/>
              </w:rPr>
            </w:pPr>
            <w:r>
              <w:rPr>
                <w:rFonts w:ascii="Arial" w:cs="Arial" w:eastAsia="Arial" w:hAnsi="Arial"/>
                <w:sz w:val="16"/>
                <w:szCs w:val="16"/>
                <w:color w:val="auto"/>
              </w:rPr>
              <w:t>Performance shares</w:t>
            </w:r>
          </w:p>
        </w:tc>
      </w:tr>
      <w:tr>
        <w:trPr>
          <w:trHeight w:val="195"/>
        </w:trPr>
        <w:tc>
          <w:tcPr>
            <w:tcW w:w="2160" w:type="dxa"/>
            <w:vAlign w:val="bottom"/>
          </w:tcPr>
          <w:p>
            <w:pPr>
              <w:spacing w:after="0"/>
              <w:rPr>
                <w:sz w:val="16"/>
                <w:szCs w:val="16"/>
                <w:color w:val="auto"/>
              </w:rPr>
            </w:pPr>
          </w:p>
        </w:tc>
        <w:tc>
          <w:tcPr>
            <w:tcW w:w="3040" w:type="dxa"/>
            <w:vAlign w:val="bottom"/>
          </w:tcPr>
          <w:p>
            <w:pPr>
              <w:ind w:left="700"/>
              <w:spacing w:after="0"/>
              <w:rPr>
                <w:sz w:val="20"/>
                <w:szCs w:val="20"/>
                <w:color w:val="auto"/>
              </w:rPr>
            </w:pPr>
            <w:r>
              <w:rPr>
                <w:rFonts w:ascii="Arial" w:cs="Arial" w:eastAsia="Arial" w:hAnsi="Arial"/>
                <w:sz w:val="16"/>
                <w:szCs w:val="16"/>
                <w:color w:val="auto"/>
              </w:rPr>
              <w:t>Other share-based awards</w:t>
            </w:r>
          </w:p>
        </w:tc>
        <w:tc>
          <w:tcPr>
            <w:tcW w:w="3000" w:type="dxa"/>
            <w:vAlign w:val="bottom"/>
          </w:tcPr>
          <w:p>
            <w:pPr>
              <w:spacing w:after="0"/>
              <w:rPr>
                <w:sz w:val="16"/>
                <w:szCs w:val="16"/>
                <w:color w:val="auto"/>
              </w:rPr>
            </w:pPr>
          </w:p>
        </w:tc>
      </w:tr>
      <w:tr>
        <w:trPr>
          <w:trHeight w:val="319"/>
        </w:trPr>
        <w:tc>
          <w:tcPr>
            <w:tcW w:w="2160" w:type="dxa"/>
            <w:vAlign w:val="bottom"/>
          </w:tcPr>
          <w:p>
            <w:pPr>
              <w:ind w:left="20"/>
              <w:spacing w:after="0"/>
              <w:rPr>
                <w:sz w:val="20"/>
                <w:szCs w:val="20"/>
                <w:color w:val="auto"/>
              </w:rPr>
            </w:pPr>
            <w:r>
              <w:rPr>
                <w:rFonts w:ascii="Arial" w:cs="Arial" w:eastAsia="Arial" w:hAnsi="Arial"/>
                <w:sz w:val="16"/>
                <w:szCs w:val="16"/>
                <w:i w:val="1"/>
                <w:iCs w:val="1"/>
                <w:color w:val="auto"/>
              </w:rPr>
              <w:t>Share reserve:</w:t>
            </w: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Subject to capitalization adjustments, 10,279,265 shares of common stock</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have previously been reserved under the 2006 Equity Incentive Plan. This</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amount includes the 5,129,265 shares originally reserved under the 2006</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Equity  Incentive  Plan  approved  by  shareholders  in  May  2006,  the</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2,750,000 shares approved by shareholders in March 2009, and the</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2,400,000 shares approved by shareholders in March 2012, of which only</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approximately 848,756 shares remained available as of January 16, 2015,</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and  the  1,400,000  additional  shares  the  Company  is  requesting</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shareholders to approve. If any outstanding option or stock appreciation</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right expires or is terminated or any restricted stock or other share-based</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award is forfeited, then the shares allocable to the unexercised or forfeited</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portion of the stock award may again be available for issuance under the</w:t>
            </w:r>
          </w:p>
        </w:tc>
      </w:tr>
      <w:tr>
        <w:trPr>
          <w:trHeight w:val="195"/>
        </w:trPr>
        <w:tc>
          <w:tcPr>
            <w:tcW w:w="2160" w:type="dxa"/>
            <w:vAlign w:val="bottom"/>
          </w:tcPr>
          <w:p>
            <w:pPr>
              <w:spacing w:after="0"/>
              <w:rPr>
                <w:sz w:val="16"/>
                <w:szCs w:val="16"/>
                <w:color w:val="auto"/>
              </w:rPr>
            </w:pPr>
          </w:p>
        </w:tc>
        <w:tc>
          <w:tcPr>
            <w:tcW w:w="3040" w:type="dxa"/>
            <w:vAlign w:val="bottom"/>
          </w:tcPr>
          <w:p>
            <w:pPr>
              <w:ind w:left="700"/>
              <w:spacing w:after="0"/>
              <w:rPr>
                <w:sz w:val="20"/>
                <w:szCs w:val="20"/>
                <w:color w:val="auto"/>
              </w:rPr>
            </w:pPr>
            <w:r>
              <w:rPr>
                <w:rFonts w:ascii="Arial" w:cs="Arial" w:eastAsia="Arial" w:hAnsi="Arial"/>
                <w:sz w:val="16"/>
                <w:szCs w:val="16"/>
                <w:color w:val="auto"/>
              </w:rPr>
              <w:t>2006 Equity Incentive Plan.</w:t>
            </w:r>
          </w:p>
        </w:tc>
        <w:tc>
          <w:tcPr>
            <w:tcW w:w="3000" w:type="dxa"/>
            <w:vAlign w:val="bottom"/>
          </w:tcPr>
          <w:p>
            <w:pPr>
              <w:spacing w:after="0"/>
              <w:rPr>
                <w:sz w:val="16"/>
                <w:szCs w:val="16"/>
                <w:color w:val="auto"/>
              </w:rPr>
            </w:pPr>
          </w:p>
        </w:tc>
      </w:tr>
      <w:tr>
        <w:trPr>
          <w:trHeight w:val="319"/>
        </w:trPr>
        <w:tc>
          <w:tcPr>
            <w:tcW w:w="2160" w:type="dxa"/>
            <w:vAlign w:val="bottom"/>
          </w:tcPr>
          <w:p>
            <w:pPr>
              <w:ind w:left="20"/>
              <w:spacing w:after="0"/>
              <w:rPr>
                <w:sz w:val="20"/>
                <w:szCs w:val="20"/>
                <w:color w:val="auto"/>
              </w:rPr>
            </w:pPr>
            <w:r>
              <w:rPr>
                <w:rFonts w:ascii="Arial" w:cs="Arial" w:eastAsia="Arial" w:hAnsi="Arial"/>
                <w:sz w:val="16"/>
                <w:szCs w:val="16"/>
                <w:i w:val="1"/>
                <w:iCs w:val="1"/>
                <w:color w:val="auto"/>
              </w:rPr>
              <w:t>Administration:</w:t>
            </w: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The Governance Committee will administer the 2006 Equity Incentive Plan</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with respect to non-employee directors. However, all awards to members</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of the Governance Committee must be approved by the Board. The</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Compensation Committee will administer the 2006 Equity Incentive Plan</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with  respect  to  employees;  provided,  however,  that  the  Board  may</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delegate administration of the 2006 Equity Incentive Plan to an officer of</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the Company with respect to equity awards made under the 2006 Equity</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Incentive Plan to employees other than executive officers (who are subject</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to Section 16 of the Securities Exchange Act of 1934). The Board, the</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Compensation Committee, or a committee of the Board consisting of</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Board members who each qualify as an “outside director” for purposes of</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Section 162(m) of the Internal Revenue Code and as a “non-employee</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director” for purposes of Rule 16b-3 under the Exchange Act, or an officer</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to whom authority to administer the Plan has been delegated, determines</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who will receive stock awards and the terms and conditions of such</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awards. Subject to the conditions and limitations of the 2006 Equity</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Incentive Plan, the administrator may modify, extend or renew outstanding</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stock awards, but an option or stock appreciation right may not be</w:t>
            </w:r>
          </w:p>
        </w:tc>
      </w:tr>
      <w:tr>
        <w:trPr>
          <w:trHeight w:val="195"/>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modified, extended or renewed beyond its ten-year maximum term.</w:t>
            </w:r>
          </w:p>
        </w:tc>
      </w:tr>
      <w:tr>
        <w:trPr>
          <w:trHeight w:val="319"/>
        </w:trPr>
        <w:tc>
          <w:tcPr>
            <w:tcW w:w="2160" w:type="dxa"/>
            <w:vAlign w:val="bottom"/>
          </w:tcPr>
          <w:p>
            <w:pPr>
              <w:ind w:left="20"/>
              <w:spacing w:after="0"/>
              <w:rPr>
                <w:sz w:val="20"/>
                <w:szCs w:val="20"/>
                <w:color w:val="auto"/>
              </w:rPr>
            </w:pPr>
            <w:r>
              <w:rPr>
                <w:rFonts w:ascii="Arial" w:cs="Arial" w:eastAsia="Arial" w:hAnsi="Arial"/>
                <w:sz w:val="16"/>
                <w:szCs w:val="16"/>
                <w:i w:val="1"/>
                <w:iCs w:val="1"/>
                <w:color w:val="auto"/>
              </w:rPr>
              <w:t>Limitations:</w:t>
            </w: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For any one share of common stock issued in connection with a restricted</w:t>
            </w:r>
          </w:p>
        </w:tc>
      </w:tr>
      <w:tr>
        <w:trPr>
          <w:trHeight w:val="189"/>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stock award, RSU award, performance share or other share-based award,</w:t>
            </w:r>
          </w:p>
        </w:tc>
      </w:tr>
      <w:tr>
        <w:trPr>
          <w:trHeight w:val="195"/>
        </w:trPr>
        <w:tc>
          <w:tcPr>
            <w:tcW w:w="2160" w:type="dxa"/>
            <w:vAlign w:val="bottom"/>
          </w:tcPr>
          <w:p>
            <w:pPr>
              <w:spacing w:after="0"/>
              <w:rPr>
                <w:sz w:val="16"/>
                <w:szCs w:val="16"/>
                <w:color w:val="auto"/>
              </w:rPr>
            </w:pPr>
          </w:p>
        </w:tc>
        <w:tc>
          <w:tcPr>
            <w:tcW w:w="6040" w:type="dxa"/>
            <w:vAlign w:val="bottom"/>
            <w:gridSpan w:val="2"/>
          </w:tcPr>
          <w:p>
            <w:pPr>
              <w:ind w:left="700"/>
              <w:spacing w:after="0"/>
              <w:rPr>
                <w:sz w:val="20"/>
                <w:szCs w:val="20"/>
                <w:color w:val="auto"/>
              </w:rPr>
            </w:pPr>
            <w:r>
              <w:rPr>
                <w:rFonts w:ascii="Arial" w:cs="Arial" w:eastAsia="Arial" w:hAnsi="Arial"/>
                <w:sz w:val="16"/>
                <w:szCs w:val="16"/>
                <w:color w:val="auto"/>
              </w:rPr>
              <w:t>one share will be deducted from the shares available for future grants.</w:t>
            </w:r>
          </w:p>
        </w:tc>
      </w:tr>
    </w:tbl>
    <w:p>
      <w:pPr>
        <w:spacing w:after="0" w:line="21" w:lineRule="exact"/>
        <w:rPr>
          <w:sz w:val="20"/>
          <w:szCs w:val="20"/>
          <w:color w:val="auto"/>
        </w:rPr>
      </w:pPr>
    </w:p>
    <w:p>
      <w:pPr>
        <w:jc w:val="both"/>
        <w:ind w:left="4120" w:right="759"/>
        <w:spacing w:after="0" w:line="249" w:lineRule="auto"/>
        <w:rPr>
          <w:sz w:val="20"/>
          <w:szCs w:val="20"/>
          <w:color w:val="auto"/>
        </w:rPr>
      </w:pPr>
      <w:r>
        <w:rPr>
          <w:rFonts w:ascii="Arial" w:cs="Arial" w:eastAsia="Arial" w:hAnsi="Arial"/>
          <w:sz w:val="16"/>
          <w:szCs w:val="16"/>
          <w:color w:val="auto"/>
        </w:rPr>
        <w:t>Shares of common stock not issued or delivered as a result of the net exercise of a stock appreciation right or option, shares used to pay the withholding taxes related to a stock award, or shares repurchased on the open market with proceeds from the exercise of options will not be returned to the reserve of shares available for issuance under the 2006 Equity Incentive Plan.</w:t>
      </w:r>
    </w:p>
    <w:p>
      <w:pPr>
        <w:spacing w:after="0" w:line="27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ind w:left="7100"/>
        <w:spacing w:after="0"/>
        <w:rPr>
          <w:sz w:val="20"/>
          <w:szCs w:val="20"/>
          <w:color w:val="auto"/>
        </w:rPr>
      </w:pPr>
      <w:r>
        <w:rPr>
          <w:rFonts w:ascii="Arial" w:cs="Arial" w:eastAsia="Arial" w:hAnsi="Arial"/>
          <w:sz w:val="18"/>
          <w:szCs w:val="18"/>
          <w:color w:val="004FF9"/>
        </w:rPr>
        <w:t>Proposal 4 — Approval of the</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5820" w:type="dxa"/>
            <w:vAlign w:val="bottom"/>
          </w:tcPr>
          <w:p>
            <w:pPr>
              <w:ind w:left="1740"/>
              <w:spacing w:after="0"/>
              <w:rPr>
                <w:sz w:val="20"/>
                <w:szCs w:val="20"/>
                <w:color w:val="auto"/>
              </w:rPr>
            </w:pPr>
            <w:r>
              <w:rPr>
                <w:rFonts w:ascii="Arial" w:cs="Arial" w:eastAsia="Arial" w:hAnsi="Arial"/>
                <w:sz w:val="18"/>
                <w:szCs w:val="18"/>
                <w:color w:val="004FF9"/>
                <w:w w:val="99"/>
              </w:rPr>
              <w:t>Amended and Restated 2006 Equity Incentive Plan</w:t>
            </w:r>
          </w:p>
        </w:tc>
      </w:tr>
      <w:tr>
        <w:trPr>
          <w:trHeight w:val="149"/>
        </w:trPr>
        <w:tc>
          <w:tcPr>
            <w:tcW w:w="2400" w:type="dxa"/>
            <w:vAlign w:val="bottom"/>
            <w:tcBorders>
              <w:bottom w:val="single" w:sz="8" w:color="004FF9"/>
            </w:tcBorders>
          </w:tcPr>
          <w:p>
            <w:pPr>
              <w:spacing w:after="0"/>
              <w:rPr>
                <w:sz w:val="12"/>
                <w:szCs w:val="12"/>
                <w:color w:val="auto"/>
              </w:rPr>
            </w:pPr>
          </w:p>
        </w:tc>
        <w:tc>
          <w:tcPr>
            <w:tcW w:w="5820" w:type="dxa"/>
            <w:vAlign w:val="bottom"/>
            <w:tcBorders>
              <w:bottom w:val="single" w:sz="8" w:color="004FF9"/>
            </w:tcBorders>
          </w:tcPr>
          <w:p>
            <w:pPr>
              <w:spacing w:after="0"/>
              <w:rPr>
                <w:sz w:val="12"/>
                <w:szCs w:val="12"/>
                <w:color w:val="auto"/>
              </w:rPr>
            </w:pPr>
          </w:p>
        </w:tc>
      </w:tr>
      <w:tr>
        <w:trPr>
          <w:trHeight w:val="482"/>
        </w:trPr>
        <w:tc>
          <w:tcPr>
            <w:tcW w:w="2400" w:type="dxa"/>
            <w:vAlign w:val="bottom"/>
          </w:tcPr>
          <w:p>
            <w:pPr>
              <w:spacing w:after="0"/>
              <w:rPr>
                <w:sz w:val="24"/>
                <w:szCs w:val="24"/>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Subject to capitalization adjustments, a participant may receive more than</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one award, subject to the following maximum limits that shall apply to the</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amount awarded to any participant during any calendar year: options and</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stock appreciation rights that relate to no more than 1,000,000 shares and</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performance  shares,  restricted  stock,  RSUs,  and  other  share-based</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awards that relate to no more than 1,000,000 shares. Non-employee</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directors may not receive awards with respect to more than 100,000</w:t>
            </w:r>
          </w:p>
        </w:tc>
      </w:tr>
      <w:tr>
        <w:trPr>
          <w:trHeight w:val="195"/>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shares in any calendar year.</w:t>
            </w:r>
          </w:p>
        </w:tc>
      </w:tr>
      <w:tr>
        <w:trPr>
          <w:trHeight w:val="319"/>
        </w:trPr>
        <w:tc>
          <w:tcPr>
            <w:tcW w:w="2400" w:type="dxa"/>
            <w:vAlign w:val="bottom"/>
          </w:tcPr>
          <w:p>
            <w:pPr>
              <w:spacing w:after="0"/>
              <w:rPr>
                <w:sz w:val="20"/>
                <w:szCs w:val="20"/>
                <w:color w:val="auto"/>
              </w:rPr>
            </w:pPr>
            <w:r>
              <w:rPr>
                <w:rFonts w:ascii="Arial" w:cs="Arial" w:eastAsia="Arial" w:hAnsi="Arial"/>
                <w:sz w:val="16"/>
                <w:szCs w:val="16"/>
                <w:i w:val="1"/>
                <w:iCs w:val="1"/>
                <w:color w:val="auto"/>
              </w:rPr>
              <w:t>Term of the plan:</w:t>
            </w:r>
          </w:p>
        </w:tc>
        <w:tc>
          <w:tcPr>
            <w:tcW w:w="5820" w:type="dxa"/>
            <w:vAlign w:val="bottom"/>
          </w:tcPr>
          <w:p>
            <w:pPr>
              <w:ind w:left="440"/>
              <w:spacing w:after="0"/>
              <w:rPr>
                <w:sz w:val="20"/>
                <w:szCs w:val="20"/>
                <w:color w:val="auto"/>
              </w:rPr>
            </w:pPr>
            <w:r>
              <w:rPr>
                <w:rFonts w:ascii="Arial" w:cs="Arial" w:eastAsia="Arial" w:hAnsi="Arial"/>
                <w:sz w:val="16"/>
                <w:szCs w:val="16"/>
                <w:color w:val="auto"/>
              </w:rPr>
              <w:t>The 2006 Equity Incentive Plan will terminate on January 10, 2022.</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Awards granted under the 2006 Equity Incentive Plan prior to January 10,</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2022 will continue to be subject to the terms of the 2006 Equity Incentive</w:t>
            </w:r>
          </w:p>
        </w:tc>
      </w:tr>
      <w:tr>
        <w:trPr>
          <w:trHeight w:val="195"/>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Plan.</w:t>
            </w:r>
          </w:p>
        </w:tc>
      </w:tr>
      <w:tr>
        <w:trPr>
          <w:trHeight w:val="332"/>
        </w:trPr>
        <w:tc>
          <w:tcPr>
            <w:tcW w:w="2400" w:type="dxa"/>
            <w:vAlign w:val="bottom"/>
          </w:tcPr>
          <w:p>
            <w:pPr>
              <w:spacing w:after="0"/>
              <w:rPr>
                <w:sz w:val="20"/>
                <w:szCs w:val="20"/>
                <w:color w:val="auto"/>
              </w:rPr>
            </w:pPr>
            <w:r>
              <w:rPr>
                <w:rFonts w:ascii="Arial" w:cs="Arial" w:eastAsia="Arial" w:hAnsi="Arial"/>
                <w:sz w:val="16"/>
                <w:szCs w:val="16"/>
                <w:i w:val="1"/>
                <w:iCs w:val="1"/>
                <w:color w:val="auto"/>
              </w:rPr>
              <w:t>Capitalization adjustments:</w:t>
            </w:r>
          </w:p>
        </w:tc>
        <w:tc>
          <w:tcPr>
            <w:tcW w:w="5820" w:type="dxa"/>
            <w:vAlign w:val="bottom"/>
          </w:tcPr>
          <w:p>
            <w:pPr>
              <w:ind w:left="440"/>
              <w:spacing w:after="0"/>
              <w:rPr>
                <w:sz w:val="20"/>
                <w:szCs w:val="20"/>
                <w:color w:val="auto"/>
              </w:rPr>
            </w:pPr>
            <w:r>
              <w:rPr>
                <w:rFonts w:ascii="Arial" w:cs="Arial" w:eastAsia="Arial" w:hAnsi="Arial"/>
                <w:sz w:val="16"/>
                <w:szCs w:val="16"/>
                <w:color w:val="auto"/>
              </w:rPr>
              <w:t>The share reserve, the limitations described above, and the purchase price</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and number of shares subject to outstanding stock awards may be</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adjusted (as applicable) in the event of a stock split, reverse stock split,</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stock dividend, merger, consolidation, reorganization, recapitalization, or</w:t>
            </w:r>
          </w:p>
        </w:tc>
      </w:tr>
      <w:tr>
        <w:trPr>
          <w:trHeight w:val="195"/>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similar transaction.</w:t>
            </w:r>
          </w:p>
        </w:tc>
      </w:tr>
      <w:tr>
        <w:trPr>
          <w:trHeight w:val="316"/>
        </w:trPr>
        <w:tc>
          <w:tcPr>
            <w:tcW w:w="2400" w:type="dxa"/>
            <w:vAlign w:val="bottom"/>
          </w:tcPr>
          <w:p>
            <w:pPr>
              <w:spacing w:after="0"/>
              <w:rPr>
                <w:sz w:val="20"/>
                <w:szCs w:val="20"/>
                <w:color w:val="auto"/>
              </w:rPr>
            </w:pPr>
            <w:r>
              <w:rPr>
                <w:rFonts w:ascii="Arial" w:cs="Arial" w:eastAsia="Arial" w:hAnsi="Arial"/>
                <w:sz w:val="16"/>
                <w:szCs w:val="16"/>
                <w:i w:val="1"/>
                <w:iCs w:val="1"/>
                <w:color w:val="auto"/>
              </w:rPr>
              <w:t>Repricing and option</w:t>
            </w:r>
          </w:p>
        </w:tc>
        <w:tc>
          <w:tcPr>
            <w:tcW w:w="5820" w:type="dxa"/>
            <w:vAlign w:val="bottom"/>
          </w:tcPr>
          <w:p>
            <w:pPr>
              <w:spacing w:after="0"/>
              <w:rPr>
                <w:sz w:val="24"/>
                <w:szCs w:val="24"/>
                <w:color w:val="auto"/>
              </w:rPr>
            </w:pPr>
          </w:p>
        </w:tc>
      </w:tr>
      <w:tr>
        <w:trPr>
          <w:trHeight w:val="211"/>
        </w:trPr>
        <w:tc>
          <w:tcPr>
            <w:tcW w:w="2400" w:type="dxa"/>
            <w:vAlign w:val="bottom"/>
          </w:tcPr>
          <w:p>
            <w:pPr>
              <w:spacing w:after="0"/>
              <w:rPr>
                <w:sz w:val="20"/>
                <w:szCs w:val="20"/>
                <w:color w:val="auto"/>
              </w:rPr>
            </w:pPr>
            <w:r>
              <w:rPr>
                <w:rFonts w:ascii="Arial" w:cs="Arial" w:eastAsia="Arial" w:hAnsi="Arial"/>
                <w:sz w:val="16"/>
                <w:szCs w:val="16"/>
                <w:i w:val="1"/>
                <w:iCs w:val="1"/>
                <w:color w:val="auto"/>
              </w:rPr>
              <w:t>exchange programs:</w:t>
            </w:r>
          </w:p>
        </w:tc>
        <w:tc>
          <w:tcPr>
            <w:tcW w:w="5820" w:type="dxa"/>
            <w:vAlign w:val="bottom"/>
          </w:tcPr>
          <w:p>
            <w:pPr>
              <w:ind w:left="440"/>
              <w:spacing w:after="0"/>
              <w:rPr>
                <w:sz w:val="20"/>
                <w:szCs w:val="20"/>
                <w:color w:val="auto"/>
              </w:rPr>
            </w:pPr>
            <w:r>
              <w:rPr>
                <w:rFonts w:ascii="Arial" w:cs="Arial" w:eastAsia="Arial" w:hAnsi="Arial"/>
                <w:sz w:val="16"/>
                <w:szCs w:val="16"/>
                <w:color w:val="auto"/>
              </w:rPr>
              <w:t>Not permitted without shareholder approval.</w:t>
            </w:r>
          </w:p>
        </w:tc>
      </w:tr>
      <w:tr>
        <w:trPr>
          <w:trHeight w:val="332"/>
        </w:trPr>
        <w:tc>
          <w:tcPr>
            <w:tcW w:w="2400" w:type="dxa"/>
            <w:vAlign w:val="bottom"/>
          </w:tcPr>
          <w:p>
            <w:pPr>
              <w:spacing w:after="0"/>
              <w:rPr>
                <w:sz w:val="20"/>
                <w:szCs w:val="20"/>
                <w:color w:val="auto"/>
              </w:rPr>
            </w:pPr>
            <w:r>
              <w:rPr>
                <w:rFonts w:ascii="Arial" w:cs="Arial" w:eastAsia="Arial" w:hAnsi="Arial"/>
                <w:sz w:val="16"/>
                <w:szCs w:val="16"/>
                <w:i w:val="1"/>
                <w:iCs w:val="1"/>
                <w:color w:val="auto"/>
              </w:rPr>
              <w:t>Reload options:</w:t>
            </w:r>
          </w:p>
        </w:tc>
        <w:tc>
          <w:tcPr>
            <w:tcW w:w="5820" w:type="dxa"/>
            <w:vAlign w:val="bottom"/>
          </w:tcPr>
          <w:p>
            <w:pPr>
              <w:ind w:left="440"/>
              <w:spacing w:after="0"/>
              <w:rPr>
                <w:sz w:val="20"/>
                <w:szCs w:val="20"/>
                <w:color w:val="auto"/>
              </w:rPr>
            </w:pPr>
            <w:r>
              <w:rPr>
                <w:rFonts w:ascii="Arial" w:cs="Arial" w:eastAsia="Arial" w:hAnsi="Arial"/>
                <w:sz w:val="16"/>
                <w:szCs w:val="16"/>
                <w:color w:val="auto"/>
              </w:rPr>
              <w:t>Reload options, which are defined as options automatically granted upon</w:t>
            </w:r>
          </w:p>
        </w:tc>
      </w:tr>
      <w:tr>
        <w:trPr>
          <w:trHeight w:val="195"/>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exercise of prior options, are not permitted.</w:t>
            </w:r>
          </w:p>
        </w:tc>
      </w:tr>
      <w:tr>
        <w:trPr>
          <w:trHeight w:val="608"/>
        </w:trPr>
        <w:tc>
          <w:tcPr>
            <w:tcW w:w="8220" w:type="dxa"/>
            <w:vAlign w:val="bottom"/>
            <w:gridSpan w:val="2"/>
          </w:tcPr>
          <w:p>
            <w:pPr>
              <w:spacing w:after="0"/>
              <w:rPr>
                <w:sz w:val="20"/>
                <w:szCs w:val="20"/>
                <w:color w:val="auto"/>
              </w:rPr>
            </w:pPr>
            <w:r>
              <w:rPr>
                <w:rFonts w:ascii="Arial" w:cs="Arial" w:eastAsia="Arial" w:hAnsi="Arial"/>
                <w:sz w:val="16"/>
                <w:szCs w:val="16"/>
                <w:b w:val="1"/>
                <w:bCs w:val="1"/>
                <w:color w:val="004FF9"/>
              </w:rPr>
              <w:t>Options and Stock Appreciation Rights</w:t>
            </w:r>
          </w:p>
        </w:tc>
      </w:tr>
      <w:tr>
        <w:trPr>
          <w:trHeight w:val="305"/>
        </w:trPr>
        <w:tc>
          <w:tcPr>
            <w:tcW w:w="2400" w:type="dxa"/>
            <w:vAlign w:val="bottom"/>
          </w:tcPr>
          <w:p>
            <w:pPr>
              <w:spacing w:after="0"/>
              <w:rPr>
                <w:sz w:val="20"/>
                <w:szCs w:val="20"/>
                <w:color w:val="auto"/>
              </w:rPr>
            </w:pPr>
            <w:r>
              <w:rPr>
                <w:rFonts w:ascii="Arial" w:cs="Arial" w:eastAsia="Arial" w:hAnsi="Arial"/>
                <w:sz w:val="16"/>
                <w:szCs w:val="16"/>
                <w:i w:val="1"/>
                <w:iCs w:val="1"/>
                <w:color w:val="auto"/>
              </w:rPr>
              <w:t>Term:</w:t>
            </w:r>
          </w:p>
        </w:tc>
        <w:tc>
          <w:tcPr>
            <w:tcW w:w="5820" w:type="dxa"/>
            <w:vAlign w:val="bottom"/>
          </w:tcPr>
          <w:p>
            <w:pPr>
              <w:ind w:left="440"/>
              <w:spacing w:after="0"/>
              <w:rPr>
                <w:sz w:val="20"/>
                <w:szCs w:val="20"/>
                <w:color w:val="auto"/>
              </w:rPr>
            </w:pPr>
            <w:r>
              <w:rPr>
                <w:rFonts w:ascii="Arial" w:cs="Arial" w:eastAsia="Arial" w:hAnsi="Arial"/>
                <w:sz w:val="16"/>
                <w:szCs w:val="16"/>
                <w:color w:val="auto"/>
              </w:rPr>
              <w:t>For options, not more than ten years from the date of grant, with the usual</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term expected to be not more than seven years from the date of grant. For</w:t>
            </w:r>
          </w:p>
        </w:tc>
      </w:tr>
      <w:tr>
        <w:trPr>
          <w:trHeight w:val="189"/>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stock appreciation rights, not more than seven years from the date of</w:t>
            </w:r>
          </w:p>
        </w:tc>
      </w:tr>
      <w:tr>
        <w:trPr>
          <w:trHeight w:val="195"/>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grant.</w:t>
            </w:r>
          </w:p>
        </w:tc>
      </w:tr>
      <w:tr>
        <w:trPr>
          <w:trHeight w:val="332"/>
        </w:trPr>
        <w:tc>
          <w:tcPr>
            <w:tcW w:w="2400" w:type="dxa"/>
            <w:vAlign w:val="bottom"/>
          </w:tcPr>
          <w:p>
            <w:pPr>
              <w:spacing w:after="0"/>
              <w:rPr>
                <w:sz w:val="20"/>
                <w:szCs w:val="20"/>
                <w:color w:val="auto"/>
              </w:rPr>
            </w:pPr>
            <w:r>
              <w:rPr>
                <w:rFonts w:ascii="Arial" w:cs="Arial" w:eastAsia="Arial" w:hAnsi="Arial"/>
                <w:sz w:val="16"/>
                <w:szCs w:val="16"/>
                <w:i w:val="1"/>
                <w:iCs w:val="1"/>
                <w:color w:val="auto"/>
              </w:rPr>
              <w:t>Exercise price:</w:t>
            </w:r>
          </w:p>
        </w:tc>
        <w:tc>
          <w:tcPr>
            <w:tcW w:w="5820" w:type="dxa"/>
            <w:vAlign w:val="bottom"/>
          </w:tcPr>
          <w:p>
            <w:pPr>
              <w:ind w:left="440"/>
              <w:spacing w:after="0"/>
              <w:rPr>
                <w:sz w:val="20"/>
                <w:szCs w:val="20"/>
                <w:color w:val="auto"/>
              </w:rPr>
            </w:pPr>
            <w:r>
              <w:rPr>
                <w:rFonts w:ascii="Arial" w:cs="Arial" w:eastAsia="Arial" w:hAnsi="Arial"/>
                <w:sz w:val="16"/>
                <w:szCs w:val="16"/>
                <w:color w:val="auto"/>
              </w:rPr>
              <w:t>Not less than 100% of the fair market value of the underlying stock on the</w:t>
            </w:r>
          </w:p>
        </w:tc>
      </w:tr>
      <w:tr>
        <w:trPr>
          <w:trHeight w:val="195"/>
        </w:trPr>
        <w:tc>
          <w:tcPr>
            <w:tcW w:w="2400" w:type="dxa"/>
            <w:vAlign w:val="bottom"/>
          </w:tcPr>
          <w:p>
            <w:pPr>
              <w:spacing w:after="0"/>
              <w:rPr>
                <w:sz w:val="16"/>
                <w:szCs w:val="16"/>
                <w:color w:val="auto"/>
              </w:rPr>
            </w:pPr>
          </w:p>
        </w:tc>
        <w:tc>
          <w:tcPr>
            <w:tcW w:w="5820" w:type="dxa"/>
            <w:vAlign w:val="bottom"/>
          </w:tcPr>
          <w:p>
            <w:pPr>
              <w:ind w:left="440"/>
              <w:spacing w:after="0"/>
              <w:rPr>
                <w:sz w:val="20"/>
                <w:szCs w:val="20"/>
                <w:color w:val="auto"/>
              </w:rPr>
            </w:pPr>
            <w:r>
              <w:rPr>
                <w:rFonts w:ascii="Arial" w:cs="Arial" w:eastAsia="Arial" w:hAnsi="Arial"/>
                <w:sz w:val="16"/>
                <w:szCs w:val="16"/>
                <w:color w:val="auto"/>
              </w:rPr>
              <w:t>date of grant.</w:t>
            </w:r>
          </w:p>
        </w:tc>
      </w:tr>
    </w:tbl>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04FF9"/>
        </w:rPr>
        <w:t>Restricted Stock Awards, RSU Awards, Performance Shares, and Other Share-Based Awards</w:t>
      </w:r>
    </w:p>
    <w:p>
      <w:pPr>
        <w:spacing w:after="0" w:line="131" w:lineRule="exact"/>
        <w:rPr>
          <w:sz w:val="20"/>
          <w:szCs w:val="20"/>
          <w:color w:val="auto"/>
        </w:rPr>
      </w:pPr>
    </w:p>
    <w:p>
      <w:pPr>
        <w:jc w:val="both"/>
        <w:ind w:left="4100" w:right="1260" w:hanging="2835"/>
        <w:spacing w:after="0" w:line="253" w:lineRule="auto"/>
        <w:tabs>
          <w:tab w:leader="none" w:pos="4080" w:val="left"/>
        </w:tabs>
        <w:rPr>
          <w:sz w:val="20"/>
          <w:szCs w:val="20"/>
          <w:color w:val="auto"/>
        </w:rPr>
      </w:pPr>
      <w:r>
        <w:rPr>
          <w:rFonts w:ascii="Arial" w:cs="Arial" w:eastAsia="Arial" w:hAnsi="Arial"/>
          <w:sz w:val="16"/>
          <w:szCs w:val="16"/>
          <w:i w:val="1"/>
          <w:iCs w:val="1"/>
          <w:color w:val="auto"/>
        </w:rPr>
        <w:t>Performance objectives:</w:t>
      </w:r>
      <w:r>
        <w:rPr>
          <w:sz w:val="20"/>
          <w:szCs w:val="20"/>
          <w:color w:val="auto"/>
        </w:rPr>
        <w:tab/>
      </w:r>
      <w:r>
        <w:rPr>
          <w:rFonts w:ascii="Arial" w:cs="Arial" w:eastAsia="Arial" w:hAnsi="Arial"/>
          <w:sz w:val="16"/>
          <w:szCs w:val="16"/>
          <w:color w:val="auto"/>
        </w:rPr>
        <w:t>The administrator may condition the grant or vesting of stock awards upon the attainment of one or more of the performance objectives listed below, or upon such other factors as the administrator may determine.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ind w:left="4160"/>
              <w:spacing w:after="0"/>
              <w:rPr>
                <w:sz w:val="20"/>
                <w:szCs w:val="20"/>
                <w:color w:val="auto"/>
              </w:rPr>
            </w:pPr>
            <w:r>
              <w:rPr>
                <w:rFonts w:ascii="Arial" w:cs="Arial" w:eastAsia="Arial" w:hAnsi="Arial"/>
                <w:sz w:val="16"/>
                <w:szCs w:val="16"/>
                <w:color w:val="auto"/>
              </w:rPr>
              <w:t>•</w:t>
            </w:r>
          </w:p>
        </w:tc>
        <w:tc>
          <w:tcPr>
            <w:tcW w:w="1480" w:type="dxa"/>
            <w:vAlign w:val="bottom"/>
          </w:tcPr>
          <w:p>
            <w:pPr>
              <w:ind w:left="160"/>
              <w:spacing w:after="0"/>
              <w:rPr>
                <w:sz w:val="20"/>
                <w:szCs w:val="20"/>
                <w:color w:val="auto"/>
              </w:rPr>
            </w:pPr>
            <w:r>
              <w:rPr>
                <w:rFonts w:ascii="Arial" w:cs="Arial" w:eastAsia="Arial" w:hAnsi="Arial"/>
                <w:sz w:val="16"/>
                <w:szCs w:val="16"/>
                <w:color w:val="auto"/>
              </w:rPr>
              <w:t>Total</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1480" w:type="dxa"/>
            <w:vAlign w:val="bottom"/>
          </w:tcPr>
          <w:p>
            <w:pPr>
              <w:ind w:left="140"/>
              <w:spacing w:after="0"/>
              <w:rPr>
                <w:sz w:val="20"/>
                <w:szCs w:val="20"/>
                <w:color w:val="auto"/>
              </w:rPr>
            </w:pPr>
            <w:r>
              <w:rPr>
                <w:rFonts w:ascii="Arial" w:cs="Arial" w:eastAsia="Arial" w:hAnsi="Arial"/>
                <w:sz w:val="16"/>
                <w:szCs w:val="16"/>
                <w:color w:val="auto"/>
              </w:rPr>
              <w:t>Earnings before</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2760" w:type="dxa"/>
            <w:vAlign w:val="bottom"/>
          </w:tcPr>
          <w:p>
            <w:pPr>
              <w:ind w:left="160"/>
              <w:spacing w:after="0"/>
              <w:rPr>
                <w:sz w:val="20"/>
                <w:szCs w:val="20"/>
                <w:color w:val="auto"/>
              </w:rPr>
            </w:pPr>
            <w:r>
              <w:rPr>
                <w:rFonts w:ascii="Arial" w:cs="Arial" w:eastAsia="Arial" w:hAnsi="Arial"/>
                <w:sz w:val="16"/>
                <w:szCs w:val="16"/>
                <w:color w:val="auto"/>
              </w:rPr>
              <w:t>Working capital</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80" w:type="dxa"/>
            <w:vAlign w:val="bottom"/>
          </w:tcPr>
          <w:p>
            <w:pPr>
              <w:ind w:left="160"/>
              <w:spacing w:after="0" w:line="162" w:lineRule="exact"/>
              <w:rPr>
                <w:sz w:val="20"/>
                <w:szCs w:val="20"/>
                <w:color w:val="auto"/>
              </w:rPr>
            </w:pPr>
            <w:r>
              <w:rPr>
                <w:rFonts w:ascii="Arial" w:cs="Arial" w:eastAsia="Arial" w:hAnsi="Arial"/>
                <w:sz w:val="16"/>
                <w:szCs w:val="16"/>
                <w:color w:val="auto"/>
              </w:rPr>
              <w:t>shareholder</w:t>
            </w:r>
          </w:p>
        </w:tc>
        <w:tc>
          <w:tcPr>
            <w:tcW w:w="340" w:type="dxa"/>
            <w:vAlign w:val="bottom"/>
          </w:tcPr>
          <w:p>
            <w:pPr>
              <w:spacing w:after="0"/>
              <w:rPr>
                <w:sz w:val="14"/>
                <w:szCs w:val="14"/>
                <w:color w:val="auto"/>
              </w:rPr>
            </w:pPr>
          </w:p>
        </w:tc>
        <w:tc>
          <w:tcPr>
            <w:tcW w:w="1480" w:type="dxa"/>
            <w:vAlign w:val="bottom"/>
          </w:tcPr>
          <w:p>
            <w:pPr>
              <w:ind w:left="140"/>
              <w:spacing w:after="0" w:line="162" w:lineRule="exact"/>
              <w:rPr>
                <w:sz w:val="20"/>
                <w:szCs w:val="20"/>
                <w:color w:val="auto"/>
              </w:rPr>
            </w:pPr>
            <w:r>
              <w:rPr>
                <w:rFonts w:ascii="Arial" w:cs="Arial" w:eastAsia="Arial" w:hAnsi="Arial"/>
                <w:sz w:val="16"/>
                <w:szCs w:val="16"/>
                <w:color w:val="auto"/>
              </w:rPr>
              <w:t>interest, taxes,</w:t>
            </w:r>
          </w:p>
        </w:tc>
        <w:tc>
          <w:tcPr>
            <w:tcW w:w="320" w:type="dxa"/>
            <w:vAlign w:val="bottom"/>
          </w:tcPr>
          <w:p>
            <w:pPr>
              <w:spacing w:after="0"/>
              <w:rPr>
                <w:sz w:val="14"/>
                <w:szCs w:val="14"/>
                <w:color w:val="auto"/>
              </w:rPr>
            </w:pPr>
          </w:p>
        </w:tc>
        <w:tc>
          <w:tcPr>
            <w:tcW w:w="2760" w:type="dxa"/>
            <w:vAlign w:val="bottom"/>
          </w:tcPr>
          <w:p>
            <w:pPr>
              <w:ind w:left="160"/>
              <w:spacing w:after="0" w:line="162" w:lineRule="exact"/>
              <w:rPr>
                <w:sz w:val="20"/>
                <w:szCs w:val="20"/>
                <w:color w:val="auto"/>
              </w:rPr>
            </w:pPr>
            <w:r>
              <w:rPr>
                <w:rFonts w:ascii="Arial" w:cs="Arial" w:eastAsia="Arial" w:hAnsi="Arial"/>
                <w:sz w:val="16"/>
                <w:szCs w:val="16"/>
                <w:color w:val="auto"/>
              </w:rPr>
              <w:t>targets (e.g., days</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80" w:type="dxa"/>
            <w:vAlign w:val="bottom"/>
          </w:tcPr>
          <w:p>
            <w:pPr>
              <w:ind w:left="160"/>
              <w:spacing w:after="0" w:line="162" w:lineRule="exact"/>
              <w:rPr>
                <w:sz w:val="20"/>
                <w:szCs w:val="20"/>
                <w:color w:val="auto"/>
              </w:rPr>
            </w:pPr>
            <w:r>
              <w:rPr>
                <w:rFonts w:ascii="Arial" w:cs="Arial" w:eastAsia="Arial" w:hAnsi="Arial"/>
                <w:sz w:val="16"/>
                <w:szCs w:val="16"/>
                <w:color w:val="auto"/>
              </w:rPr>
              <w:t>return</w:t>
            </w:r>
          </w:p>
        </w:tc>
        <w:tc>
          <w:tcPr>
            <w:tcW w:w="340" w:type="dxa"/>
            <w:vAlign w:val="bottom"/>
          </w:tcPr>
          <w:p>
            <w:pPr>
              <w:spacing w:after="0"/>
              <w:rPr>
                <w:sz w:val="14"/>
                <w:szCs w:val="14"/>
                <w:color w:val="auto"/>
              </w:rPr>
            </w:pPr>
          </w:p>
        </w:tc>
        <w:tc>
          <w:tcPr>
            <w:tcW w:w="1480" w:type="dxa"/>
            <w:vAlign w:val="bottom"/>
          </w:tcPr>
          <w:p>
            <w:pPr>
              <w:ind w:left="140"/>
              <w:spacing w:after="0" w:line="162" w:lineRule="exact"/>
              <w:rPr>
                <w:sz w:val="20"/>
                <w:szCs w:val="20"/>
                <w:color w:val="auto"/>
              </w:rPr>
            </w:pPr>
            <w:r>
              <w:rPr>
                <w:rFonts w:ascii="Arial" w:cs="Arial" w:eastAsia="Arial" w:hAnsi="Arial"/>
                <w:sz w:val="16"/>
                <w:szCs w:val="16"/>
                <w:color w:val="auto"/>
              </w:rPr>
              <w:t>depreciation and</w:t>
            </w:r>
          </w:p>
        </w:tc>
        <w:tc>
          <w:tcPr>
            <w:tcW w:w="320" w:type="dxa"/>
            <w:vAlign w:val="bottom"/>
          </w:tcPr>
          <w:p>
            <w:pPr>
              <w:spacing w:after="0"/>
              <w:rPr>
                <w:sz w:val="14"/>
                <w:szCs w:val="14"/>
                <w:color w:val="auto"/>
              </w:rPr>
            </w:pPr>
          </w:p>
        </w:tc>
        <w:tc>
          <w:tcPr>
            <w:tcW w:w="2760" w:type="dxa"/>
            <w:vAlign w:val="bottom"/>
          </w:tcPr>
          <w:p>
            <w:pPr>
              <w:ind w:left="160"/>
              <w:spacing w:after="0" w:line="162" w:lineRule="exact"/>
              <w:rPr>
                <w:sz w:val="20"/>
                <w:szCs w:val="20"/>
                <w:color w:val="auto"/>
              </w:rPr>
            </w:pPr>
            <w:r>
              <w:rPr>
                <w:rFonts w:ascii="Arial" w:cs="Arial" w:eastAsia="Arial" w:hAnsi="Arial"/>
                <w:sz w:val="16"/>
                <w:szCs w:val="16"/>
                <w:color w:val="auto"/>
              </w:rPr>
              <w:t>sales outstanding)</w:t>
            </w:r>
          </w:p>
        </w:tc>
        <w:tc>
          <w:tcPr>
            <w:tcW w:w="0" w:type="dxa"/>
            <w:vAlign w:val="bottom"/>
          </w:tcPr>
          <w:p>
            <w:pPr>
              <w:spacing w:after="0"/>
              <w:rPr>
                <w:sz w:val="1"/>
                <w:szCs w:val="1"/>
                <w:color w:val="auto"/>
              </w:rPr>
            </w:pPr>
          </w:p>
        </w:tc>
      </w:tr>
      <w:tr>
        <w:trPr>
          <w:trHeight w:val="187"/>
        </w:trPr>
        <w:tc>
          <w:tcPr>
            <w:tcW w:w="4360" w:type="dxa"/>
            <w:vAlign w:val="bottom"/>
          </w:tcPr>
          <w:p>
            <w:pPr>
              <w:ind w:left="4160"/>
              <w:spacing w:after="0"/>
              <w:rPr>
                <w:sz w:val="20"/>
                <w:szCs w:val="20"/>
                <w:color w:val="auto"/>
              </w:rPr>
            </w:pPr>
            <w:r>
              <w:rPr>
                <w:rFonts w:ascii="Arial" w:cs="Arial" w:eastAsia="Arial" w:hAnsi="Arial"/>
                <w:sz w:val="16"/>
                <w:szCs w:val="16"/>
                <w:color w:val="auto"/>
              </w:rPr>
              <w:t>•</w:t>
            </w:r>
          </w:p>
        </w:tc>
        <w:tc>
          <w:tcPr>
            <w:tcW w:w="1480" w:type="dxa"/>
            <w:vAlign w:val="bottom"/>
          </w:tcPr>
          <w:p>
            <w:pPr>
              <w:ind w:left="160"/>
              <w:spacing w:after="0"/>
              <w:rPr>
                <w:sz w:val="20"/>
                <w:szCs w:val="20"/>
                <w:color w:val="auto"/>
              </w:rPr>
            </w:pPr>
            <w:r>
              <w:rPr>
                <w:rFonts w:ascii="Arial" w:cs="Arial" w:eastAsia="Arial" w:hAnsi="Arial"/>
                <w:sz w:val="16"/>
                <w:szCs w:val="16"/>
                <w:color w:val="auto"/>
              </w:rPr>
              <w:t>Earnings per</w:t>
            </w:r>
          </w:p>
        </w:tc>
        <w:tc>
          <w:tcPr>
            <w:tcW w:w="34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Arial" w:cs="Arial" w:eastAsia="Arial" w:hAnsi="Arial"/>
                <w:sz w:val="16"/>
                <w:szCs w:val="16"/>
                <w:color w:val="auto"/>
              </w:rPr>
              <w:t>amortization</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2760" w:type="dxa"/>
            <w:vAlign w:val="bottom"/>
          </w:tcPr>
          <w:p>
            <w:pPr>
              <w:ind w:left="160"/>
              <w:spacing w:after="0"/>
              <w:rPr>
                <w:sz w:val="20"/>
                <w:szCs w:val="20"/>
                <w:color w:val="auto"/>
              </w:rPr>
            </w:pPr>
            <w:r>
              <w:rPr>
                <w:rFonts w:ascii="Arial" w:cs="Arial" w:eastAsia="Arial" w:hAnsi="Arial"/>
                <w:sz w:val="16"/>
                <w:szCs w:val="16"/>
                <w:color w:val="auto"/>
              </w:rPr>
              <w:t>Return on assets</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480" w:type="dxa"/>
            <w:vAlign w:val="bottom"/>
          </w:tcPr>
          <w:p>
            <w:pPr>
              <w:ind w:left="160"/>
              <w:spacing w:after="0"/>
              <w:rPr>
                <w:sz w:val="20"/>
                <w:szCs w:val="20"/>
                <w:color w:val="auto"/>
              </w:rPr>
            </w:pPr>
            <w:r>
              <w:rPr>
                <w:rFonts w:ascii="Arial" w:cs="Arial" w:eastAsia="Arial" w:hAnsi="Arial"/>
                <w:sz w:val="16"/>
                <w:szCs w:val="16"/>
                <w:color w:val="auto"/>
              </w:rPr>
              <w:t>share</w:t>
            </w:r>
          </w:p>
        </w:tc>
        <w:tc>
          <w:tcPr>
            <w:tcW w:w="340" w:type="dxa"/>
            <w:vAlign w:val="bottom"/>
          </w:tcPr>
          <w:p>
            <w:pPr>
              <w:spacing w:after="0"/>
              <w:rPr>
                <w:sz w:val="16"/>
                <w:szCs w:val="16"/>
                <w:color w:val="auto"/>
              </w:rPr>
            </w:pPr>
          </w:p>
        </w:tc>
        <w:tc>
          <w:tcPr>
            <w:tcW w:w="1480" w:type="dxa"/>
            <w:vAlign w:val="bottom"/>
          </w:tcPr>
          <w:p>
            <w:pPr>
              <w:ind w:left="140"/>
              <w:spacing w:after="0"/>
              <w:rPr>
                <w:sz w:val="20"/>
                <w:szCs w:val="20"/>
                <w:color w:val="auto"/>
              </w:rPr>
            </w:pPr>
            <w:r>
              <w:rPr>
                <w:rFonts w:ascii="Arial" w:cs="Arial" w:eastAsia="Arial" w:hAnsi="Arial"/>
                <w:sz w:val="16"/>
                <w:szCs w:val="16"/>
                <w:color w:val="auto"/>
              </w:rPr>
              <w:t>(EBITDA)</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2760" w:type="dxa"/>
            <w:vAlign w:val="bottom"/>
          </w:tcPr>
          <w:p>
            <w:pPr>
              <w:ind w:left="160"/>
              <w:spacing w:after="0"/>
              <w:rPr>
                <w:sz w:val="20"/>
                <w:szCs w:val="20"/>
                <w:color w:val="auto"/>
              </w:rPr>
            </w:pPr>
            <w:r>
              <w:rPr>
                <w:rFonts w:ascii="Arial" w:cs="Arial" w:eastAsia="Arial" w:hAnsi="Arial"/>
                <w:sz w:val="16"/>
                <w:szCs w:val="16"/>
                <w:color w:val="auto"/>
              </w:rPr>
              <w:t>Increase in</w:t>
            </w:r>
          </w:p>
        </w:tc>
        <w:tc>
          <w:tcPr>
            <w:tcW w:w="0" w:type="dxa"/>
            <w:vAlign w:val="bottom"/>
          </w:tcPr>
          <w:p>
            <w:pPr>
              <w:spacing w:after="0"/>
              <w:rPr>
                <w:sz w:val="1"/>
                <w:szCs w:val="1"/>
                <w:color w:val="auto"/>
              </w:rPr>
            </w:pPr>
          </w:p>
        </w:tc>
      </w:tr>
      <w:tr>
        <w:trPr>
          <w:trHeight w:val="162"/>
        </w:trPr>
        <w:tc>
          <w:tcPr>
            <w:tcW w:w="4360" w:type="dxa"/>
            <w:vAlign w:val="bottom"/>
          </w:tcPr>
          <w:p>
            <w:pPr>
              <w:ind w:left="4160"/>
              <w:spacing w:after="0" w:line="162" w:lineRule="exact"/>
              <w:rPr>
                <w:sz w:val="20"/>
                <w:szCs w:val="20"/>
                <w:color w:val="auto"/>
              </w:rPr>
            </w:pPr>
            <w:r>
              <w:rPr>
                <w:rFonts w:ascii="Arial" w:cs="Arial" w:eastAsia="Arial" w:hAnsi="Arial"/>
                <w:sz w:val="16"/>
                <w:szCs w:val="16"/>
                <w:color w:val="auto"/>
              </w:rPr>
              <w:t>•</w:t>
            </w:r>
          </w:p>
        </w:tc>
        <w:tc>
          <w:tcPr>
            <w:tcW w:w="1480" w:type="dxa"/>
            <w:vAlign w:val="bottom"/>
          </w:tcPr>
          <w:p>
            <w:pPr>
              <w:ind w:left="160"/>
              <w:spacing w:after="0" w:line="162" w:lineRule="exact"/>
              <w:rPr>
                <w:sz w:val="20"/>
                <w:szCs w:val="20"/>
                <w:color w:val="auto"/>
              </w:rPr>
            </w:pPr>
            <w:r>
              <w:rPr>
                <w:rFonts w:ascii="Arial" w:cs="Arial" w:eastAsia="Arial" w:hAnsi="Arial"/>
                <w:sz w:val="16"/>
                <w:szCs w:val="16"/>
                <w:color w:val="auto"/>
              </w:rPr>
              <w:t>Stock price</w:t>
            </w:r>
          </w:p>
        </w:tc>
        <w:tc>
          <w:tcPr>
            <w:tcW w:w="340" w:type="dxa"/>
            <w:vAlign w:val="bottom"/>
          </w:tcPr>
          <w:p>
            <w:pPr>
              <w:ind w:left="120"/>
              <w:spacing w:after="0" w:line="162" w:lineRule="exact"/>
              <w:rPr>
                <w:sz w:val="20"/>
                <w:szCs w:val="20"/>
                <w:color w:val="auto"/>
              </w:rPr>
            </w:pPr>
            <w:r>
              <w:rPr>
                <w:rFonts w:ascii="Arial" w:cs="Arial" w:eastAsia="Arial" w:hAnsi="Arial"/>
                <w:sz w:val="16"/>
                <w:szCs w:val="16"/>
                <w:color w:val="auto"/>
              </w:rPr>
              <w:t>•</w:t>
            </w:r>
          </w:p>
        </w:tc>
        <w:tc>
          <w:tcPr>
            <w:tcW w:w="1480" w:type="dxa"/>
            <w:vAlign w:val="bottom"/>
          </w:tcPr>
          <w:p>
            <w:pPr>
              <w:ind w:left="140"/>
              <w:spacing w:after="0" w:line="162" w:lineRule="exact"/>
              <w:rPr>
                <w:sz w:val="20"/>
                <w:szCs w:val="20"/>
                <w:color w:val="auto"/>
              </w:rPr>
            </w:pPr>
            <w:r>
              <w:rPr>
                <w:rFonts w:ascii="Arial" w:cs="Arial" w:eastAsia="Arial" w:hAnsi="Arial"/>
                <w:sz w:val="16"/>
                <w:szCs w:val="16"/>
                <w:color w:val="auto"/>
              </w:rPr>
              <w:t>Gross or</w:t>
            </w:r>
          </w:p>
        </w:tc>
        <w:tc>
          <w:tcPr>
            <w:tcW w:w="320" w:type="dxa"/>
            <w:vAlign w:val="bottom"/>
          </w:tcPr>
          <w:p>
            <w:pPr>
              <w:spacing w:after="0"/>
              <w:rPr>
                <w:sz w:val="14"/>
                <w:szCs w:val="14"/>
                <w:color w:val="auto"/>
              </w:rPr>
            </w:pPr>
          </w:p>
        </w:tc>
        <w:tc>
          <w:tcPr>
            <w:tcW w:w="2760" w:type="dxa"/>
            <w:vAlign w:val="bottom"/>
          </w:tcPr>
          <w:p>
            <w:pPr>
              <w:ind w:left="160"/>
              <w:spacing w:after="0" w:line="162" w:lineRule="exact"/>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150"/>
        </w:trPr>
        <w:tc>
          <w:tcPr>
            <w:tcW w:w="4360" w:type="dxa"/>
            <w:vAlign w:val="bottom"/>
            <w:vMerge w:val="restart"/>
          </w:tcPr>
          <w:p>
            <w:pPr>
              <w:ind w:left="416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ind w:left="160"/>
              <w:spacing w:after="0"/>
              <w:rPr>
                <w:sz w:val="20"/>
                <w:szCs w:val="20"/>
                <w:color w:val="auto"/>
              </w:rPr>
            </w:pPr>
            <w:r>
              <w:rPr>
                <w:rFonts w:ascii="Arial" w:cs="Arial" w:eastAsia="Arial" w:hAnsi="Arial"/>
                <w:sz w:val="16"/>
                <w:szCs w:val="16"/>
                <w:color w:val="auto"/>
              </w:rPr>
              <w:t>Return on equity</w:t>
            </w:r>
          </w:p>
        </w:tc>
        <w:tc>
          <w:tcPr>
            <w:tcW w:w="340" w:type="dxa"/>
            <w:vAlign w:val="bottom"/>
          </w:tcPr>
          <w:p>
            <w:pPr>
              <w:spacing w:after="0"/>
              <w:rPr>
                <w:sz w:val="13"/>
                <w:szCs w:val="13"/>
                <w:color w:val="auto"/>
              </w:rPr>
            </w:pPr>
          </w:p>
        </w:tc>
        <w:tc>
          <w:tcPr>
            <w:tcW w:w="1480" w:type="dxa"/>
            <w:vAlign w:val="bottom"/>
          </w:tcPr>
          <w:p>
            <w:pPr>
              <w:ind w:left="140"/>
              <w:spacing w:after="0" w:line="151" w:lineRule="exact"/>
              <w:rPr>
                <w:sz w:val="20"/>
                <w:szCs w:val="20"/>
                <w:color w:val="auto"/>
              </w:rPr>
            </w:pPr>
            <w:r>
              <w:rPr>
                <w:rFonts w:ascii="Arial" w:cs="Arial" w:eastAsia="Arial" w:hAnsi="Arial"/>
                <w:sz w:val="16"/>
                <w:szCs w:val="16"/>
                <w:color w:val="auto"/>
              </w:rPr>
              <w:t>operating</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760" w:type="dxa"/>
            <w:vAlign w:val="bottom"/>
            <w:vMerge w:val="restart"/>
          </w:tcPr>
          <w:p>
            <w:pPr>
              <w:ind w:left="160"/>
              <w:spacing w:after="0"/>
              <w:rPr>
                <w:sz w:val="20"/>
                <w:szCs w:val="20"/>
                <w:color w:val="auto"/>
              </w:rPr>
            </w:pPr>
            <w:r>
              <w:rPr>
                <w:rFonts w:ascii="Arial" w:cs="Arial" w:eastAsia="Arial" w:hAnsi="Arial"/>
                <w:sz w:val="16"/>
                <w:szCs w:val="16"/>
                <w:color w:val="auto"/>
              </w:rPr>
              <w:t>Decrease in</w:t>
            </w:r>
          </w:p>
        </w:tc>
        <w:tc>
          <w:tcPr>
            <w:tcW w:w="0" w:type="dxa"/>
            <w:vAlign w:val="bottom"/>
          </w:tcPr>
          <w:p>
            <w:pPr>
              <w:spacing w:after="0"/>
              <w:rPr>
                <w:sz w:val="1"/>
                <w:szCs w:val="1"/>
                <w:color w:val="auto"/>
              </w:rPr>
            </w:pPr>
          </w:p>
        </w:tc>
      </w:tr>
      <w:tr>
        <w:trPr>
          <w:trHeight w:val="68"/>
        </w:trPr>
        <w:tc>
          <w:tcPr>
            <w:tcW w:w="43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vMerge w:val="restart"/>
          </w:tcPr>
          <w:p>
            <w:pPr>
              <w:ind w:left="140"/>
              <w:spacing w:after="0"/>
              <w:rPr>
                <w:sz w:val="20"/>
                <w:szCs w:val="20"/>
                <w:color w:val="auto"/>
              </w:rPr>
            </w:pPr>
            <w:r>
              <w:rPr>
                <w:rFonts w:ascii="Arial" w:cs="Arial" w:eastAsia="Arial" w:hAnsi="Arial"/>
                <w:sz w:val="16"/>
                <w:szCs w:val="16"/>
                <w:color w:val="auto"/>
              </w:rPr>
              <w:t>margins</w:t>
            </w:r>
          </w:p>
        </w:tc>
        <w:tc>
          <w:tcPr>
            <w:tcW w:w="320" w:type="dxa"/>
            <w:vAlign w:val="bottom"/>
            <w:vMerge w:val="continue"/>
          </w:tcPr>
          <w:p>
            <w:pPr>
              <w:spacing w:after="0"/>
              <w:rPr>
                <w:sz w:val="5"/>
                <w:szCs w:val="5"/>
                <w:color w:val="auto"/>
              </w:rPr>
            </w:pPr>
          </w:p>
        </w:tc>
        <w:tc>
          <w:tcPr>
            <w:tcW w:w="2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360" w:type="dxa"/>
            <w:vAlign w:val="bottom"/>
            <w:vMerge w:val="restart"/>
          </w:tcPr>
          <w:p>
            <w:pPr>
              <w:ind w:left="416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ind w:left="160"/>
              <w:spacing w:after="0"/>
              <w:rPr>
                <w:sz w:val="20"/>
                <w:szCs w:val="20"/>
                <w:color w:val="auto"/>
              </w:rPr>
            </w:pPr>
            <w:r>
              <w:rPr>
                <w:rFonts w:ascii="Arial" w:cs="Arial" w:eastAsia="Arial" w:hAnsi="Arial"/>
                <w:sz w:val="16"/>
                <w:szCs w:val="16"/>
                <w:color w:val="auto"/>
              </w:rPr>
              <w:t>Net earnings</w:t>
            </w:r>
          </w:p>
        </w:tc>
        <w:tc>
          <w:tcPr>
            <w:tcW w:w="3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760" w:type="dxa"/>
            <w:vAlign w:val="bottom"/>
            <w:vMerge w:val="restart"/>
          </w:tcPr>
          <w:p>
            <w:pPr>
              <w:ind w:left="160"/>
              <w:spacing w:after="0"/>
              <w:rPr>
                <w:sz w:val="20"/>
                <w:szCs w:val="20"/>
                <w:color w:val="auto"/>
              </w:rPr>
            </w:pPr>
            <w:r>
              <w:rPr>
                <w:rFonts w:ascii="Arial" w:cs="Arial" w:eastAsia="Arial" w:hAnsi="Arial"/>
                <w:sz w:val="16"/>
                <w:szCs w:val="16"/>
                <w:color w:val="auto"/>
              </w:rPr>
              <w:t>expenses</w:t>
            </w:r>
          </w:p>
        </w:tc>
        <w:tc>
          <w:tcPr>
            <w:tcW w:w="0" w:type="dxa"/>
            <w:vAlign w:val="bottom"/>
          </w:tcPr>
          <w:p>
            <w:pPr>
              <w:spacing w:after="0"/>
              <w:rPr>
                <w:sz w:val="1"/>
                <w:szCs w:val="1"/>
                <w:color w:val="auto"/>
              </w:rPr>
            </w:pPr>
          </w:p>
        </w:tc>
      </w:tr>
      <w:tr>
        <w:trPr>
          <w:trHeight w:val="81"/>
        </w:trPr>
        <w:tc>
          <w:tcPr>
            <w:tcW w:w="436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340" w:type="dxa"/>
            <w:vAlign w:val="bottom"/>
            <w:vMerge w:val="restart"/>
          </w:tcPr>
          <w:p>
            <w:pPr>
              <w:ind w:left="120"/>
              <w:spacing w:after="0" w:line="162" w:lineRule="exact"/>
              <w:rPr>
                <w:sz w:val="20"/>
                <w:szCs w:val="20"/>
                <w:color w:val="auto"/>
              </w:rPr>
            </w:pPr>
            <w:r>
              <w:rPr>
                <w:rFonts w:ascii="Arial" w:cs="Arial" w:eastAsia="Arial" w:hAnsi="Arial"/>
                <w:sz w:val="16"/>
                <w:szCs w:val="16"/>
                <w:color w:val="auto"/>
              </w:rPr>
              <w:t>•</w:t>
            </w:r>
          </w:p>
        </w:tc>
        <w:tc>
          <w:tcPr>
            <w:tcW w:w="1480" w:type="dxa"/>
            <w:vAlign w:val="bottom"/>
            <w:vMerge w:val="restart"/>
          </w:tcPr>
          <w:p>
            <w:pPr>
              <w:ind w:left="140"/>
              <w:spacing w:after="0" w:line="162" w:lineRule="exact"/>
              <w:rPr>
                <w:sz w:val="20"/>
                <w:szCs w:val="20"/>
                <w:color w:val="auto"/>
              </w:rPr>
            </w:pPr>
            <w:r>
              <w:rPr>
                <w:rFonts w:ascii="Arial" w:cs="Arial" w:eastAsia="Arial" w:hAnsi="Arial"/>
                <w:sz w:val="16"/>
                <w:szCs w:val="16"/>
                <w:color w:val="auto"/>
              </w:rPr>
              <w:t>Productivity</w:t>
            </w:r>
          </w:p>
        </w:tc>
        <w:tc>
          <w:tcPr>
            <w:tcW w:w="3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360" w:type="dxa"/>
            <w:vAlign w:val="bottom"/>
            <w:vMerge w:val="restart"/>
          </w:tcPr>
          <w:p>
            <w:pPr>
              <w:ind w:left="4160"/>
              <w:spacing w:after="0" w:line="174" w:lineRule="exact"/>
              <w:rPr>
                <w:sz w:val="20"/>
                <w:szCs w:val="20"/>
                <w:color w:val="auto"/>
              </w:rPr>
            </w:pPr>
            <w:r>
              <w:rPr>
                <w:rFonts w:ascii="Arial" w:cs="Arial" w:eastAsia="Arial" w:hAnsi="Arial"/>
                <w:sz w:val="16"/>
                <w:szCs w:val="16"/>
                <w:color w:val="auto"/>
              </w:rPr>
              <w:t>•</w:t>
            </w:r>
          </w:p>
        </w:tc>
        <w:tc>
          <w:tcPr>
            <w:tcW w:w="1480" w:type="dxa"/>
            <w:vAlign w:val="bottom"/>
            <w:vMerge w:val="restart"/>
          </w:tcPr>
          <w:p>
            <w:pPr>
              <w:ind w:left="160"/>
              <w:spacing w:after="0" w:line="174" w:lineRule="exact"/>
              <w:rPr>
                <w:sz w:val="20"/>
                <w:szCs w:val="20"/>
                <w:color w:val="auto"/>
              </w:rPr>
            </w:pPr>
            <w:r>
              <w:rPr>
                <w:rFonts w:ascii="Arial" w:cs="Arial" w:eastAsia="Arial" w:hAnsi="Arial"/>
                <w:sz w:val="16"/>
                <w:szCs w:val="16"/>
                <w:color w:val="auto"/>
              </w:rPr>
              <w:t>Income from</w:t>
            </w:r>
          </w:p>
        </w:tc>
        <w:tc>
          <w:tcPr>
            <w:tcW w:w="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320" w:type="dxa"/>
            <w:vAlign w:val="bottom"/>
            <w:vMerge w:val="restart"/>
          </w:tcPr>
          <w:p>
            <w:pPr>
              <w:ind w:left="120"/>
              <w:spacing w:after="0" w:line="174" w:lineRule="exact"/>
              <w:rPr>
                <w:sz w:val="20"/>
                <w:szCs w:val="20"/>
                <w:color w:val="auto"/>
              </w:rPr>
            </w:pPr>
            <w:r>
              <w:rPr>
                <w:rFonts w:ascii="Arial" w:cs="Arial" w:eastAsia="Arial" w:hAnsi="Arial"/>
                <w:sz w:val="16"/>
                <w:szCs w:val="16"/>
                <w:color w:val="auto"/>
              </w:rPr>
              <w:t>•</w:t>
            </w:r>
          </w:p>
        </w:tc>
        <w:tc>
          <w:tcPr>
            <w:tcW w:w="2760" w:type="dxa"/>
            <w:vAlign w:val="bottom"/>
            <w:vMerge w:val="restart"/>
          </w:tcPr>
          <w:p>
            <w:pPr>
              <w:ind w:left="160"/>
              <w:spacing w:after="0" w:line="174" w:lineRule="exact"/>
              <w:rPr>
                <w:sz w:val="20"/>
                <w:szCs w:val="20"/>
                <w:color w:val="auto"/>
              </w:rPr>
            </w:pPr>
            <w:r>
              <w:rPr>
                <w:rFonts w:ascii="Arial" w:cs="Arial" w:eastAsia="Arial" w:hAnsi="Arial"/>
                <w:sz w:val="16"/>
                <w:szCs w:val="16"/>
                <w:color w:val="auto"/>
              </w:rPr>
              <w:t>Increase in funds</w:t>
            </w:r>
          </w:p>
        </w:tc>
        <w:tc>
          <w:tcPr>
            <w:tcW w:w="0" w:type="dxa"/>
            <w:vAlign w:val="bottom"/>
          </w:tcPr>
          <w:p>
            <w:pPr>
              <w:spacing w:after="0"/>
              <w:rPr>
                <w:sz w:val="1"/>
                <w:szCs w:val="1"/>
                <w:color w:val="auto"/>
              </w:rPr>
            </w:pPr>
          </w:p>
        </w:tc>
      </w:tr>
      <w:tr>
        <w:trPr>
          <w:trHeight w:val="93"/>
        </w:trPr>
        <w:tc>
          <w:tcPr>
            <w:tcW w:w="436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vMerge w:val="restart"/>
          </w:tcPr>
          <w:p>
            <w:pPr>
              <w:ind w:left="140"/>
              <w:spacing w:after="0"/>
              <w:rPr>
                <w:sz w:val="20"/>
                <w:szCs w:val="20"/>
                <w:color w:val="auto"/>
              </w:rPr>
            </w:pPr>
            <w:r>
              <w:rPr>
                <w:rFonts w:ascii="Arial" w:cs="Arial" w:eastAsia="Arial" w:hAnsi="Arial"/>
                <w:sz w:val="16"/>
                <w:szCs w:val="16"/>
                <w:color w:val="auto"/>
              </w:rPr>
              <w:t>ratios</w:t>
            </w:r>
          </w:p>
        </w:tc>
        <w:tc>
          <w:tcPr>
            <w:tcW w:w="320" w:type="dxa"/>
            <w:vAlign w:val="bottom"/>
            <w:vMerge w:val="continue"/>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360" w:type="dxa"/>
            <w:vAlign w:val="bottom"/>
          </w:tcPr>
          <w:p>
            <w:pPr>
              <w:spacing w:after="0"/>
              <w:rPr>
                <w:sz w:val="8"/>
                <w:szCs w:val="8"/>
                <w:color w:val="auto"/>
              </w:rPr>
            </w:pPr>
          </w:p>
        </w:tc>
        <w:tc>
          <w:tcPr>
            <w:tcW w:w="1480" w:type="dxa"/>
            <w:vAlign w:val="bottom"/>
            <w:vMerge w:val="restart"/>
          </w:tcPr>
          <w:p>
            <w:pPr>
              <w:ind w:left="160"/>
              <w:spacing w:after="0" w:line="162" w:lineRule="exact"/>
              <w:rPr>
                <w:sz w:val="20"/>
                <w:szCs w:val="20"/>
                <w:color w:val="auto"/>
              </w:rPr>
            </w:pPr>
            <w:r>
              <w:rPr>
                <w:rFonts w:ascii="Arial" w:cs="Arial" w:eastAsia="Arial" w:hAnsi="Arial"/>
                <w:sz w:val="16"/>
                <w:szCs w:val="16"/>
                <w:color w:val="auto"/>
              </w:rPr>
              <w:t>continuing</w:t>
            </w:r>
          </w:p>
        </w:tc>
        <w:tc>
          <w:tcPr>
            <w:tcW w:w="3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2760" w:type="dxa"/>
            <w:vAlign w:val="bottom"/>
            <w:vMerge w:val="restart"/>
          </w:tcPr>
          <w:p>
            <w:pPr>
              <w:ind w:left="160"/>
              <w:spacing w:after="0" w:line="162" w:lineRule="exact"/>
              <w:rPr>
                <w:sz w:val="20"/>
                <w:szCs w:val="20"/>
                <w:color w:val="auto"/>
              </w:rPr>
            </w:pPr>
            <w:r>
              <w:rPr>
                <w:rFonts w:ascii="Arial" w:cs="Arial" w:eastAsia="Arial" w:hAnsi="Arial"/>
                <w:sz w:val="16"/>
                <w:szCs w:val="16"/>
                <w:color w:val="auto"/>
              </w:rPr>
              <w:t>from operations</w:t>
            </w:r>
          </w:p>
        </w:tc>
        <w:tc>
          <w:tcPr>
            <w:tcW w:w="0" w:type="dxa"/>
            <w:vAlign w:val="bottom"/>
          </w:tcPr>
          <w:p>
            <w:pPr>
              <w:spacing w:after="0"/>
              <w:rPr>
                <w:sz w:val="1"/>
                <w:szCs w:val="1"/>
                <w:color w:val="auto"/>
              </w:rPr>
            </w:pPr>
          </w:p>
        </w:tc>
      </w:tr>
      <w:tr>
        <w:trPr>
          <w:trHeight w:val="60"/>
        </w:trPr>
        <w:tc>
          <w:tcPr>
            <w:tcW w:w="43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ind w:left="140"/>
              <w:spacing w:after="0"/>
              <w:rPr>
                <w:sz w:val="20"/>
                <w:szCs w:val="20"/>
                <w:color w:val="auto"/>
              </w:rPr>
            </w:pPr>
            <w:r>
              <w:rPr>
                <w:rFonts w:ascii="Arial" w:cs="Arial" w:eastAsia="Arial" w:hAnsi="Arial"/>
                <w:sz w:val="16"/>
                <w:szCs w:val="16"/>
                <w:color w:val="auto"/>
              </w:rPr>
              <w:t>Expense targets</w:t>
            </w:r>
          </w:p>
        </w:tc>
        <w:tc>
          <w:tcPr>
            <w:tcW w:w="32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80" w:type="dxa"/>
            <w:vAlign w:val="bottom"/>
          </w:tcPr>
          <w:p>
            <w:pPr>
              <w:ind w:left="160"/>
              <w:spacing w:after="0" w:line="162" w:lineRule="exact"/>
              <w:rPr>
                <w:sz w:val="20"/>
                <w:szCs w:val="20"/>
                <w:color w:val="auto"/>
              </w:rPr>
            </w:pPr>
            <w:r>
              <w:rPr>
                <w:rFonts w:ascii="Arial" w:cs="Arial" w:eastAsia="Arial" w:hAnsi="Arial"/>
                <w:sz w:val="16"/>
                <w:szCs w:val="16"/>
                <w:color w:val="auto"/>
              </w:rPr>
              <w:t>operations</w:t>
            </w:r>
          </w:p>
        </w:tc>
        <w:tc>
          <w:tcPr>
            <w:tcW w:w="3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ind w:left="160"/>
              <w:spacing w:after="0" w:line="162" w:lineRule="exact"/>
              <w:rPr>
                <w:sz w:val="20"/>
                <w:szCs w:val="20"/>
                <w:color w:val="auto"/>
              </w:rPr>
            </w:pPr>
            <w:r>
              <w:rPr>
                <w:rFonts w:ascii="Arial" w:cs="Arial" w:eastAsia="Arial" w:hAnsi="Arial"/>
                <w:sz w:val="16"/>
                <w:szCs w:val="16"/>
                <w:color w:val="auto"/>
              </w:rPr>
              <w:t>(FFO)</w:t>
            </w:r>
          </w:p>
        </w:tc>
        <w:tc>
          <w:tcPr>
            <w:tcW w:w="0" w:type="dxa"/>
            <w:vAlign w:val="bottom"/>
          </w:tcPr>
          <w:p>
            <w:pPr>
              <w:spacing w:after="0"/>
              <w:rPr>
                <w:sz w:val="1"/>
                <w:szCs w:val="1"/>
                <w:color w:val="auto"/>
              </w:rPr>
            </w:pPr>
          </w:p>
        </w:tc>
      </w:tr>
      <w:tr>
        <w:trPr>
          <w:trHeight w:val="203"/>
        </w:trPr>
        <w:tc>
          <w:tcPr>
            <w:tcW w:w="4360" w:type="dxa"/>
            <w:vAlign w:val="bottom"/>
          </w:tcPr>
          <w:p>
            <w:pPr>
              <w:ind w:left="4160"/>
              <w:spacing w:after="0"/>
              <w:rPr>
                <w:sz w:val="20"/>
                <w:szCs w:val="20"/>
                <w:color w:val="auto"/>
              </w:rPr>
            </w:pPr>
            <w:r>
              <w:rPr>
                <w:rFonts w:ascii="Arial" w:cs="Arial" w:eastAsia="Arial" w:hAnsi="Arial"/>
                <w:sz w:val="16"/>
                <w:szCs w:val="16"/>
                <w:color w:val="auto"/>
              </w:rPr>
              <w:t>•</w:t>
            </w:r>
          </w:p>
        </w:tc>
        <w:tc>
          <w:tcPr>
            <w:tcW w:w="1480" w:type="dxa"/>
            <w:vAlign w:val="bottom"/>
          </w:tcPr>
          <w:p>
            <w:pPr>
              <w:ind w:left="160"/>
              <w:spacing w:after="0"/>
              <w:rPr>
                <w:sz w:val="20"/>
                <w:szCs w:val="20"/>
                <w:color w:val="auto"/>
              </w:rPr>
            </w:pPr>
            <w:r>
              <w:rPr>
                <w:rFonts w:ascii="Arial" w:cs="Arial" w:eastAsia="Arial" w:hAnsi="Arial"/>
                <w:sz w:val="16"/>
                <w:szCs w:val="16"/>
                <w:color w:val="auto"/>
              </w:rPr>
              <w:t>Related return</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1480" w:type="dxa"/>
            <w:vAlign w:val="bottom"/>
          </w:tcPr>
          <w:p>
            <w:pPr>
              <w:ind w:left="140"/>
              <w:spacing w:after="0"/>
              <w:rPr>
                <w:sz w:val="20"/>
                <w:szCs w:val="20"/>
                <w:color w:val="auto"/>
              </w:rPr>
            </w:pPr>
            <w:r>
              <w:rPr>
                <w:rFonts w:ascii="Arial" w:cs="Arial" w:eastAsia="Arial" w:hAnsi="Arial"/>
                <w:sz w:val="16"/>
                <w:szCs w:val="16"/>
                <w:color w:val="auto"/>
              </w:rPr>
              <w:t>Operating</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2760" w:type="dxa"/>
            <w:vAlign w:val="bottom"/>
          </w:tcPr>
          <w:p>
            <w:pPr>
              <w:ind w:left="160"/>
              <w:spacing w:after="0"/>
              <w:rPr>
                <w:sz w:val="20"/>
                <w:szCs w:val="20"/>
                <w:color w:val="auto"/>
              </w:rPr>
            </w:pPr>
            <w:r>
              <w:rPr>
                <w:rFonts w:ascii="Arial" w:cs="Arial" w:eastAsia="Arial" w:hAnsi="Arial"/>
                <w:sz w:val="16"/>
                <w:szCs w:val="16"/>
                <w:color w:val="auto"/>
              </w:rPr>
              <w:t>Increase in FFO</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80" w:type="dxa"/>
            <w:vAlign w:val="bottom"/>
          </w:tcPr>
          <w:p>
            <w:pPr>
              <w:ind w:left="160"/>
              <w:spacing w:after="0" w:line="162" w:lineRule="exact"/>
              <w:rPr>
                <w:sz w:val="20"/>
                <w:szCs w:val="20"/>
                <w:color w:val="auto"/>
              </w:rPr>
            </w:pPr>
            <w:r>
              <w:rPr>
                <w:rFonts w:ascii="Arial" w:cs="Arial" w:eastAsia="Arial" w:hAnsi="Arial"/>
                <w:sz w:val="16"/>
                <w:szCs w:val="16"/>
                <w:color w:val="auto"/>
              </w:rPr>
              <w:t>ratios</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480" w:type="dxa"/>
            <w:vAlign w:val="bottom"/>
          </w:tcPr>
          <w:p>
            <w:pPr>
              <w:ind w:left="140"/>
              <w:spacing w:after="0" w:line="162" w:lineRule="exact"/>
              <w:rPr>
                <w:sz w:val="20"/>
                <w:szCs w:val="20"/>
                <w:color w:val="auto"/>
              </w:rPr>
            </w:pPr>
            <w:r>
              <w:rPr>
                <w:rFonts w:ascii="Arial" w:cs="Arial" w:eastAsia="Arial" w:hAnsi="Arial"/>
                <w:sz w:val="16"/>
                <w:szCs w:val="16"/>
                <w:color w:val="auto"/>
              </w:rPr>
              <w:t>efficiency</w:t>
            </w:r>
          </w:p>
        </w:tc>
        <w:tc>
          <w:tcPr>
            <w:tcW w:w="320" w:type="dxa"/>
            <w:vAlign w:val="bottom"/>
          </w:tcPr>
          <w:p>
            <w:pPr>
              <w:spacing w:after="0"/>
              <w:rPr>
                <w:sz w:val="14"/>
                <w:szCs w:val="14"/>
                <w:color w:val="auto"/>
              </w:rPr>
            </w:pPr>
          </w:p>
        </w:tc>
        <w:tc>
          <w:tcPr>
            <w:tcW w:w="2760" w:type="dxa"/>
            <w:vAlign w:val="bottom"/>
          </w:tcPr>
          <w:p>
            <w:pPr>
              <w:ind w:left="160"/>
              <w:spacing w:after="0" w:line="162" w:lineRule="exact"/>
              <w:rPr>
                <w:sz w:val="20"/>
                <w:szCs w:val="20"/>
                <w:color w:val="auto"/>
              </w:rPr>
            </w:pPr>
            <w:r>
              <w:rPr>
                <w:rFonts w:ascii="Arial" w:cs="Arial" w:eastAsia="Arial" w:hAnsi="Arial"/>
                <w:sz w:val="16"/>
                <w:szCs w:val="16"/>
                <w:color w:val="auto"/>
              </w:rPr>
              <w:t>per share</w:t>
            </w:r>
          </w:p>
        </w:tc>
        <w:tc>
          <w:tcPr>
            <w:tcW w:w="0" w:type="dxa"/>
            <w:vAlign w:val="bottom"/>
          </w:tcPr>
          <w:p>
            <w:pPr>
              <w:spacing w:after="0"/>
              <w:rPr>
                <w:sz w:val="1"/>
                <w:szCs w:val="1"/>
                <w:color w:val="auto"/>
              </w:rPr>
            </w:pPr>
          </w:p>
        </w:tc>
      </w:tr>
      <w:tr>
        <w:trPr>
          <w:trHeight w:val="177"/>
        </w:trPr>
        <w:tc>
          <w:tcPr>
            <w:tcW w:w="4360" w:type="dxa"/>
            <w:vAlign w:val="bottom"/>
            <w:vMerge w:val="restart"/>
          </w:tcPr>
          <w:p>
            <w:pPr>
              <w:ind w:left="416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ind w:left="160"/>
              <w:spacing w:after="0"/>
              <w:rPr>
                <w:sz w:val="20"/>
                <w:szCs w:val="20"/>
                <w:color w:val="auto"/>
              </w:rPr>
            </w:pPr>
            <w:r>
              <w:rPr>
                <w:rFonts w:ascii="Arial" w:cs="Arial" w:eastAsia="Arial" w:hAnsi="Arial"/>
                <w:sz w:val="16"/>
                <w:szCs w:val="16"/>
                <w:color w:val="auto"/>
              </w:rPr>
              <w:t>Cash flow</w:t>
            </w:r>
          </w:p>
        </w:tc>
        <w:tc>
          <w:tcPr>
            <w:tcW w:w="340" w:type="dxa"/>
            <w:vAlign w:val="bottom"/>
            <w:vMerge w:val="continue"/>
          </w:tcPr>
          <w:p>
            <w:pPr>
              <w:spacing w:after="0"/>
              <w:rPr>
                <w:sz w:val="15"/>
                <w:szCs w:val="15"/>
                <w:color w:val="auto"/>
              </w:rPr>
            </w:pPr>
          </w:p>
        </w:tc>
        <w:tc>
          <w:tcPr>
            <w:tcW w:w="1480" w:type="dxa"/>
            <w:vAlign w:val="bottom"/>
          </w:tcPr>
          <w:p>
            <w:pPr>
              <w:ind w:left="140"/>
              <w:spacing w:after="0" w:line="178" w:lineRule="exact"/>
              <w:rPr>
                <w:sz w:val="20"/>
                <w:szCs w:val="20"/>
                <w:color w:val="auto"/>
              </w:rPr>
            </w:pPr>
            <w:r>
              <w:rPr>
                <w:rFonts w:ascii="Arial" w:cs="Arial" w:eastAsia="Arial" w:hAnsi="Arial"/>
                <w:sz w:val="16"/>
                <w:szCs w:val="16"/>
                <w:color w:val="auto"/>
              </w:rPr>
              <w:t>Market share</w:t>
            </w:r>
          </w:p>
        </w:tc>
        <w:tc>
          <w:tcPr>
            <w:tcW w:w="3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3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340" w:type="dxa"/>
            <w:vAlign w:val="bottom"/>
            <w:vMerge w:val="restart"/>
          </w:tcPr>
          <w:p>
            <w:pPr>
              <w:ind w:left="120"/>
              <w:spacing w:after="0" w:line="162" w:lineRule="exact"/>
              <w:rPr>
                <w:sz w:val="20"/>
                <w:szCs w:val="20"/>
                <w:color w:val="auto"/>
              </w:rPr>
            </w:pPr>
            <w:r>
              <w:rPr>
                <w:rFonts w:ascii="Arial" w:cs="Arial" w:eastAsia="Arial" w:hAnsi="Arial"/>
                <w:sz w:val="16"/>
                <w:szCs w:val="16"/>
                <w:color w:val="auto"/>
              </w:rPr>
              <w:t>•</w:t>
            </w:r>
          </w:p>
        </w:tc>
        <w:tc>
          <w:tcPr>
            <w:tcW w:w="1480" w:type="dxa"/>
            <w:vAlign w:val="bottom"/>
            <w:vMerge w:val="restart"/>
          </w:tcPr>
          <w:p>
            <w:pPr>
              <w:ind w:left="140"/>
              <w:spacing w:after="0" w:line="162" w:lineRule="exact"/>
              <w:rPr>
                <w:sz w:val="20"/>
                <w:szCs w:val="20"/>
                <w:color w:val="auto"/>
              </w:rPr>
            </w:pPr>
            <w:r>
              <w:rPr>
                <w:rFonts w:ascii="Arial" w:cs="Arial" w:eastAsia="Arial" w:hAnsi="Arial"/>
                <w:sz w:val="16"/>
                <w:szCs w:val="16"/>
                <w:color w:val="auto"/>
              </w:rPr>
              <w:t>Customer</w:t>
            </w:r>
          </w:p>
        </w:tc>
        <w:tc>
          <w:tcPr>
            <w:tcW w:w="3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360" w:type="dxa"/>
            <w:vAlign w:val="bottom"/>
            <w:vMerge w:val="restart"/>
          </w:tcPr>
          <w:p>
            <w:pPr>
              <w:ind w:left="4160"/>
              <w:spacing w:after="0" w:line="170" w:lineRule="exact"/>
              <w:rPr>
                <w:sz w:val="20"/>
                <w:szCs w:val="20"/>
                <w:color w:val="auto"/>
              </w:rPr>
            </w:pPr>
            <w:r>
              <w:rPr>
                <w:rFonts w:ascii="Arial" w:cs="Arial" w:eastAsia="Arial" w:hAnsi="Arial"/>
                <w:sz w:val="16"/>
                <w:szCs w:val="16"/>
                <w:color w:val="auto"/>
              </w:rPr>
              <w:t>•</w:t>
            </w:r>
          </w:p>
        </w:tc>
        <w:tc>
          <w:tcPr>
            <w:tcW w:w="1480" w:type="dxa"/>
            <w:vAlign w:val="bottom"/>
            <w:vMerge w:val="restart"/>
          </w:tcPr>
          <w:p>
            <w:pPr>
              <w:ind w:left="160"/>
              <w:spacing w:after="0" w:line="170" w:lineRule="exact"/>
              <w:rPr>
                <w:sz w:val="20"/>
                <w:szCs w:val="20"/>
                <w:color w:val="auto"/>
              </w:rPr>
            </w:pPr>
            <w:r>
              <w:rPr>
                <w:rFonts w:ascii="Arial" w:cs="Arial" w:eastAsia="Arial" w:hAnsi="Arial"/>
                <w:sz w:val="16"/>
                <w:szCs w:val="16"/>
                <w:color w:val="auto"/>
              </w:rPr>
              <w:t>Net earnings</w:t>
            </w:r>
          </w:p>
        </w:tc>
        <w:tc>
          <w:tcPr>
            <w:tcW w:w="3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3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vMerge w:val="restart"/>
          </w:tcPr>
          <w:p>
            <w:pPr>
              <w:ind w:left="140"/>
              <w:spacing w:after="0"/>
              <w:rPr>
                <w:sz w:val="20"/>
                <w:szCs w:val="20"/>
                <w:color w:val="auto"/>
              </w:rPr>
            </w:pPr>
            <w:r>
              <w:rPr>
                <w:rFonts w:ascii="Arial" w:cs="Arial" w:eastAsia="Arial" w:hAnsi="Arial"/>
                <w:sz w:val="16"/>
                <w:szCs w:val="16"/>
                <w:color w:val="auto"/>
              </w:rPr>
              <w:t>satisfaction</w:t>
            </w:r>
          </w:p>
        </w:tc>
        <w:tc>
          <w:tcPr>
            <w:tcW w:w="3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480" w:type="dxa"/>
            <w:vAlign w:val="bottom"/>
            <w:vMerge w:val="restart"/>
          </w:tcPr>
          <w:p>
            <w:pPr>
              <w:ind w:left="160"/>
              <w:spacing w:after="0"/>
              <w:rPr>
                <w:sz w:val="20"/>
                <w:szCs w:val="20"/>
                <w:color w:val="auto"/>
              </w:rPr>
            </w:pPr>
            <w:r>
              <w:rPr>
                <w:rFonts w:ascii="Arial" w:cs="Arial" w:eastAsia="Arial" w:hAnsi="Arial"/>
                <w:sz w:val="16"/>
                <w:szCs w:val="16"/>
                <w:color w:val="auto"/>
              </w:rPr>
              <w:t>growth</w:t>
            </w:r>
          </w:p>
        </w:tc>
        <w:tc>
          <w:tcPr>
            <w:tcW w:w="3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3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6"/>
        </w:trPr>
        <w:tc>
          <w:tcPr>
            <w:tcW w:w="4360" w:type="dxa"/>
            <w:vAlign w:val="bottom"/>
          </w:tcPr>
          <w:p>
            <w:pPr>
              <w:spacing w:after="0"/>
              <w:rPr>
                <w:sz w:val="24"/>
                <w:szCs w:val="24"/>
                <w:color w:val="auto"/>
              </w:rPr>
            </w:pPr>
          </w:p>
        </w:tc>
        <w:tc>
          <w:tcPr>
            <w:tcW w:w="1480" w:type="dxa"/>
            <w:vAlign w:val="bottom"/>
          </w:tcPr>
          <w:p>
            <w:pPr>
              <w:ind w:left="920"/>
              <w:spacing w:after="0"/>
              <w:rPr>
                <w:sz w:val="20"/>
                <w:szCs w:val="20"/>
                <w:color w:val="auto"/>
              </w:rPr>
            </w:pPr>
            <w:r>
              <w:rPr>
                <w:rFonts w:ascii="Arial" w:cs="Arial" w:eastAsia="Arial" w:hAnsi="Arial"/>
                <w:sz w:val="16"/>
                <w:szCs w:val="16"/>
                <w:color w:val="auto"/>
              </w:rPr>
              <w:t>62</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ind w:left="7100"/>
        <w:spacing w:after="0"/>
        <w:rPr>
          <w:sz w:val="20"/>
          <w:szCs w:val="20"/>
          <w:color w:val="auto"/>
        </w:rPr>
      </w:pPr>
      <w:r>
        <w:rPr>
          <w:rFonts w:ascii="Arial" w:cs="Arial" w:eastAsia="Arial" w:hAnsi="Arial"/>
          <w:sz w:val="18"/>
          <w:szCs w:val="18"/>
          <w:color w:val="004FF9"/>
        </w:rPr>
        <w:t>Proposal 4 — Approval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760" w:type="dxa"/>
            <w:vAlign w:val="bottom"/>
            <w:gridSpan w:val="2"/>
          </w:tcPr>
          <w:p>
            <w:pPr>
              <w:ind w:left="1420"/>
              <w:spacing w:after="0"/>
              <w:rPr>
                <w:sz w:val="20"/>
                <w:szCs w:val="20"/>
                <w:color w:val="auto"/>
              </w:rPr>
            </w:pPr>
            <w:r>
              <w:rPr>
                <w:rFonts w:ascii="Arial" w:cs="Arial" w:eastAsia="Arial" w:hAnsi="Arial"/>
                <w:sz w:val="18"/>
                <w:szCs w:val="18"/>
                <w:color w:val="004FF9"/>
              </w:rPr>
              <w:t>Amended and Restated 2006 Equity Incentive Plan</w:t>
            </w:r>
          </w:p>
        </w:tc>
      </w:tr>
      <w:tr>
        <w:trPr>
          <w:trHeight w:val="149"/>
        </w:trPr>
        <w:tc>
          <w:tcPr>
            <w:tcW w:w="1260" w:type="dxa"/>
            <w:vAlign w:val="bottom"/>
          </w:tcPr>
          <w:p>
            <w:pPr>
              <w:spacing w:after="0"/>
              <w:rPr>
                <w:sz w:val="12"/>
                <w:szCs w:val="12"/>
                <w:color w:val="auto"/>
              </w:rPr>
            </w:pPr>
          </w:p>
        </w:tc>
        <w:tc>
          <w:tcPr>
            <w:tcW w:w="2720" w:type="dxa"/>
            <w:vAlign w:val="bottom"/>
            <w:tcBorders>
              <w:bottom w:val="single" w:sz="8" w:color="004FF9"/>
            </w:tcBorders>
          </w:tcPr>
          <w:p>
            <w:pPr>
              <w:spacing w:after="0"/>
              <w:rPr>
                <w:sz w:val="12"/>
                <w:szCs w:val="12"/>
                <w:color w:val="auto"/>
              </w:rPr>
            </w:pPr>
          </w:p>
        </w:tc>
        <w:tc>
          <w:tcPr>
            <w:tcW w:w="5500" w:type="dxa"/>
            <w:vAlign w:val="bottom"/>
            <w:tcBorders>
              <w:bottom w:val="single" w:sz="8" w:color="004FF9"/>
            </w:tcBorders>
          </w:tcPr>
          <w:p>
            <w:pPr>
              <w:spacing w:after="0"/>
              <w:rPr>
                <w:sz w:val="12"/>
                <w:szCs w:val="12"/>
                <w:color w:val="auto"/>
              </w:rPr>
            </w:pPr>
          </w:p>
        </w:tc>
        <w:tc>
          <w:tcPr>
            <w:tcW w:w="1260" w:type="dxa"/>
            <w:vAlign w:val="bottom"/>
          </w:tcPr>
          <w:p>
            <w:pPr>
              <w:spacing w:after="0"/>
              <w:rPr>
                <w:sz w:val="12"/>
                <w:szCs w:val="12"/>
                <w:color w:val="auto"/>
              </w:rPr>
            </w:pPr>
          </w:p>
        </w:tc>
      </w:tr>
      <w:tr>
        <w:trPr>
          <w:trHeight w:val="482"/>
        </w:trPr>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To the extent that stock awards (other than stock options and stock</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appreciation  rights)  are  intended  to  qualify  as  “performance-based</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compensation” under Section 162(m) of the Internal Revenue Code, the</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performance objectives will be one or more of the objectives listed above.</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Approval of the Amended and Restated 2006 Equity Incentive Plan is</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intended to constitute re-approval of these performance objectives for</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purposes of Section 162(m).</w:t>
            </w:r>
          </w:p>
        </w:tc>
      </w:tr>
      <w:tr>
        <w:trPr>
          <w:trHeight w:val="319"/>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Adjustment of performance goals:</w:t>
            </w: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The administrator may adjust performance goals to prevent dilution or</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enlargement  of  awards  as  a  result  of  extraordinary  events  or</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circumstances  or  to  exclude  the  effects  of  extraordinary,  unusual  or</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nonrecurring   items,   including   mergers,   acquisitions   or   other</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reorganizations, provided that such adjustments are done in accordance</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with Section 162(m) of the Internal Revenue Code.</w:t>
            </w:r>
          </w:p>
        </w:tc>
      </w:tr>
      <w:tr>
        <w:trPr>
          <w:trHeight w:val="332"/>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Dividends and dividend equivalents:</w:t>
            </w: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Dividends will be paid on restricted stock awards, but will either be subject</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to  the  same  vesting  as  the  award  or  issued  as  unvested  dividend</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equivalents. Dividend equivalents may be credited in respect of shares of</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common stock equivalents underlying RSU awards as determined by the</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administrator, subject to the same vesting restrictions as the RSUs.</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Dividend equivalents will be issued on performance awards only to the</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extent the underlying awards are earned.</w:t>
            </w:r>
          </w:p>
        </w:tc>
      </w:tr>
      <w:tr>
        <w:trPr>
          <w:trHeight w:val="332"/>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Deferral of award payment:</w:t>
            </w: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The administrator may establish one or more programs to permit selected</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participants to elect to defer receipt of consideration upon vesting of an</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RSU, the satisfaction of performance objectives, or other events which</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would entitle the participant to payment, receipt of common stock or other</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consideration.</w:t>
            </w:r>
          </w:p>
        </w:tc>
      </w:tr>
      <w:tr>
        <w:trPr>
          <w:trHeight w:val="594"/>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b w:val="1"/>
                <w:bCs w:val="1"/>
                <w:color w:val="004FF9"/>
              </w:rPr>
              <w:t>All Equity Awards</w:t>
            </w:r>
          </w:p>
        </w:tc>
        <w:tc>
          <w:tcPr>
            <w:tcW w:w="5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5"/>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Vesting:</w:t>
            </w: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Determined by the administrator at time of grant. The administrator may</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accelerate  vesting  at  any  time.  Except  in  connection  with  death  or</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disability, or in the event of a change in control as described below, no</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equity awards may become vested sooner than one year following the</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grant. In addition, except for a maximum of five percent of the shares</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available for grant, vesting of restricted stock and stock units based on</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service with the Company cannot be more rapid than annual pro rata</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vesting over a three-year period.</w:t>
            </w:r>
          </w:p>
        </w:tc>
      </w:tr>
      <w:tr>
        <w:trPr>
          <w:trHeight w:val="319"/>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Termination of service:</w:t>
            </w: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The unvested portion of an equity award may be forfeited immediately</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upon a participant’s termination of service with the Company, as provided</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in an award agreement. A limited post-termination exercise period will be</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imposed  on  the  vested  portion  of  options,  with  the  exception  of</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terminations for cause, and may be imposed on stock appreciation rights.</w:t>
            </w:r>
          </w:p>
        </w:tc>
      </w:tr>
      <w:tr>
        <w:trPr>
          <w:trHeight w:val="303"/>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Double-trigger</w:t>
            </w:r>
          </w:p>
        </w:tc>
        <w:tc>
          <w:tcPr>
            <w:tcW w:w="5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5"/>
        </w:trPr>
        <w:tc>
          <w:tcPr>
            <w:tcW w:w="126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change-in-control provisions:</w:t>
            </w: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The vesting or exercisability of equity awards will accelerate in connection</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with a change-in-control of the Company only if a participant is involuntarily</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terminated following the change-in-control or if the equity award is not</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assumed or substituted by the acquirer.</w:t>
            </w:r>
          </w:p>
        </w:tc>
      </w:tr>
      <w:tr>
        <w:trPr>
          <w:trHeight w:val="319"/>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Settlement:</w:t>
            </w: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Options may be settled only in stock. Other awards may be settled in stock</w:t>
            </w:r>
          </w:p>
        </w:tc>
      </w:tr>
      <w:tr>
        <w:trPr>
          <w:trHeight w:val="189"/>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or at the discretion of the administrator in cash, or in a combination of</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stock and cash.</w:t>
            </w:r>
          </w:p>
        </w:tc>
      </w:tr>
      <w:tr>
        <w:trPr>
          <w:trHeight w:val="319"/>
        </w:trPr>
        <w:tc>
          <w:tcPr>
            <w:tcW w:w="126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i w:val="1"/>
                <w:iCs w:val="1"/>
                <w:color w:val="auto"/>
              </w:rPr>
              <w:t>Transferability:</w:t>
            </w: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Stock options and stock appreciation rights are transferable for estate</w:t>
            </w:r>
          </w:p>
        </w:tc>
      </w:tr>
      <w:tr>
        <w:trPr>
          <w:trHeight w:val="195"/>
        </w:trPr>
        <w:tc>
          <w:tcPr>
            <w:tcW w:w="1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planning purposes; other awards are not transferable.</w:t>
            </w:r>
          </w:p>
        </w:tc>
      </w:tr>
      <w:tr>
        <w:trPr>
          <w:trHeight w:val="459"/>
        </w:trPr>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500" w:type="dxa"/>
            <w:vAlign w:val="bottom"/>
          </w:tcPr>
          <w:p>
            <w:pPr>
              <w:ind w:left="1300"/>
              <w:spacing w:after="0"/>
              <w:rPr>
                <w:sz w:val="20"/>
                <w:szCs w:val="20"/>
                <w:color w:val="auto"/>
              </w:rPr>
            </w:pPr>
            <w:r>
              <w:rPr>
                <w:rFonts w:ascii="Arial" w:cs="Arial" w:eastAsia="Arial" w:hAnsi="Arial"/>
                <w:sz w:val="16"/>
                <w:szCs w:val="16"/>
                <w:color w:val="auto"/>
              </w:rPr>
              <w:t>63</w:t>
            </w:r>
          </w:p>
        </w:tc>
        <w:tc>
          <w:tcPr>
            <w:tcW w:w="1260" w:type="dxa"/>
            <w:vAlign w:val="bottom"/>
          </w:tcPr>
          <w:p>
            <w:pPr>
              <w:spacing w:after="0"/>
              <w:rPr>
                <w:sz w:val="24"/>
                <w:szCs w:val="24"/>
                <w:color w:val="auto"/>
              </w:rPr>
            </w:pPr>
          </w:p>
        </w:tc>
      </w:tr>
      <w:tr>
        <w:trPr>
          <w:trHeight w:val="391"/>
        </w:trPr>
        <w:tc>
          <w:tcPr>
            <w:tcW w:w="12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left="5400" w:right="739"/>
        <w:spacing w:after="0" w:line="262" w:lineRule="auto"/>
        <w:rPr>
          <w:sz w:val="20"/>
          <w:szCs w:val="20"/>
          <w:color w:val="auto"/>
        </w:rPr>
      </w:pPr>
      <w:r>
        <w:rPr>
          <w:rFonts w:ascii="Arial" w:cs="Arial" w:eastAsia="Arial" w:hAnsi="Arial"/>
          <w:sz w:val="18"/>
          <w:szCs w:val="18"/>
          <w:color w:val="004FF9"/>
        </w:rPr>
        <w:t>Proposal 4 — Approval of the Amended and Restated 2006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82550</wp:posOffset>
            </wp:positionV>
            <wp:extent cx="52139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04FF9"/>
        </w:rPr>
        <w:t>New Plan Benefits</w:t>
      </w:r>
    </w:p>
    <w:p>
      <w:pPr>
        <w:sectPr>
          <w:pgSz w:w="11900" w:h="16838" w:orient="portrait"/>
          <w:cols w:equalWidth="0" w:num="1">
            <w:col w:w="10219"/>
          </w:cols>
          <w:pgMar w:left="240" w:top="132" w:right="1440" w:bottom="1440" w:gutter="0" w:footer="0" w:header="0"/>
        </w:sectPr>
      </w:pPr>
    </w:p>
    <w:p>
      <w:pPr>
        <w:spacing w:after="0" w:line="93" w:lineRule="exact"/>
        <w:rPr>
          <w:sz w:val="20"/>
          <w:szCs w:val="20"/>
          <w:color w:val="auto"/>
        </w:rPr>
      </w:pPr>
    </w:p>
    <w:p>
      <w:pPr>
        <w:jc w:val="both"/>
        <w:ind w:left="1260"/>
        <w:spacing w:after="0" w:line="251" w:lineRule="auto"/>
        <w:rPr>
          <w:sz w:val="20"/>
          <w:szCs w:val="20"/>
          <w:color w:val="auto"/>
        </w:rPr>
      </w:pPr>
      <w:r>
        <w:rPr>
          <w:rFonts w:ascii="Arial" w:cs="Arial" w:eastAsia="Arial" w:hAnsi="Arial"/>
          <w:sz w:val="16"/>
          <w:szCs w:val="16"/>
          <w:color w:val="auto"/>
        </w:rPr>
        <w:t>Any awards under the Plan will be at the discretion of the administrator. Therefore, it is not possible at present to determine the amount or form of any award that will be available for future grant to any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color w:val="auto"/>
        </w:rPr>
        <w:t>individual during the term of the Plan. The following table shows the number of equity awards granted in fiscal 2014.</w:t>
      </w:r>
    </w:p>
    <w:p>
      <w:pPr>
        <w:spacing w:after="0" w:line="387"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New Plan Benefits</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2006 Equity Incentive Plan, as Amended and Restated</w:t>
      </w:r>
    </w:p>
    <w:p>
      <w:pPr>
        <w:spacing w:after="0" w:line="105" w:lineRule="exact"/>
        <w:rPr>
          <w:sz w:val="20"/>
          <w:szCs w:val="20"/>
          <w:color w:val="auto"/>
        </w:rPr>
      </w:pPr>
    </w:p>
    <w:tbl>
      <w:tblPr>
        <w:tblLayout w:type="fixed"/>
        <w:tblInd w:w="1270" w:type="dxa"/>
        <w:tblCellMar>
          <w:top w:w="0" w:type="dxa"/>
          <w:left w:w="0" w:type="dxa"/>
          <w:bottom w:w="0" w:type="dxa"/>
          <w:right w:w="0" w:type="dxa"/>
        </w:tblCellMar>
      </w:tblPr>
      <w:tr>
        <w:trPr>
          <w:trHeight w:val="332"/>
        </w:trPr>
        <w:tc>
          <w:tcPr>
            <w:tcW w:w="6800" w:type="dxa"/>
            <w:vAlign w:val="bottom"/>
            <w:tcBorders>
              <w:top w:val="single" w:sz="8" w:color="auto"/>
              <w:left w:val="single" w:sz="8" w:color="auto"/>
              <w:bottom w:val="single" w:sz="8" w:color="auto"/>
              <w:right w:val="single" w:sz="8" w:color="auto"/>
            </w:tcBorders>
            <w:shd w:val="clear" w:color="auto" w:fill="B1C9FD"/>
          </w:tcPr>
          <w:p>
            <w:pPr>
              <w:ind w:left="60"/>
              <w:spacing w:after="0"/>
              <w:rPr>
                <w:sz w:val="20"/>
                <w:szCs w:val="20"/>
                <w:color w:val="auto"/>
              </w:rPr>
            </w:pPr>
            <w:r>
              <w:rPr>
                <w:rFonts w:ascii="Arial" w:cs="Arial" w:eastAsia="Arial" w:hAnsi="Arial"/>
                <w:sz w:val="14"/>
                <w:szCs w:val="14"/>
                <w:b w:val="1"/>
                <w:bCs w:val="1"/>
                <w:color w:val="004FF9"/>
              </w:rPr>
              <w:t>Name and Position</w:t>
            </w:r>
          </w:p>
        </w:tc>
        <w:tc>
          <w:tcPr>
            <w:tcW w:w="1420" w:type="dxa"/>
            <w:vAlign w:val="bottom"/>
            <w:tcBorders>
              <w:top w:val="single" w:sz="8" w:color="auto"/>
              <w:bottom w:val="single" w:sz="8" w:color="auto"/>
              <w:right w:val="single" w:sz="8" w:color="auto"/>
            </w:tcBorders>
            <w:shd w:val="clear" w:color="auto" w:fill="B1C9FD"/>
          </w:tcPr>
          <w:p>
            <w:pPr>
              <w:jc w:val="right"/>
              <w:spacing w:after="0"/>
              <w:rPr>
                <w:sz w:val="20"/>
                <w:szCs w:val="20"/>
                <w:color w:val="auto"/>
              </w:rPr>
            </w:pPr>
            <w:r>
              <w:rPr>
                <w:rFonts w:ascii="Arial" w:cs="Arial" w:eastAsia="Arial" w:hAnsi="Arial"/>
                <w:sz w:val="14"/>
                <w:szCs w:val="14"/>
                <w:b w:val="1"/>
                <w:bCs w:val="1"/>
                <w:color w:val="004FF9"/>
              </w:rPr>
              <w:t>Number of Shares</w:t>
            </w:r>
          </w:p>
        </w:tc>
      </w:tr>
      <w:tr>
        <w:trPr>
          <w:trHeight w:val="236"/>
        </w:trPr>
        <w:tc>
          <w:tcPr>
            <w:tcW w:w="6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Henrik C. Slipsager, President and Chief Executive Officer</w:t>
            </w:r>
          </w:p>
        </w:tc>
        <w:tc>
          <w:tcPr>
            <w:tcW w:w="1420" w:type="dxa"/>
            <w:vAlign w:val="bottom"/>
            <w:tcBorders>
              <w:bottom w:val="single" w:sz="8" w:color="auto"/>
              <w:right w:val="single" w:sz="8" w:color="auto"/>
            </w:tcBorders>
          </w:tcPr>
          <w:p>
            <w:pPr>
              <w:jc w:val="right"/>
              <w:ind w:right="320"/>
              <w:spacing w:after="0"/>
              <w:rPr>
                <w:sz w:val="20"/>
                <w:szCs w:val="20"/>
                <w:color w:val="auto"/>
              </w:rPr>
            </w:pPr>
            <w:r>
              <w:rPr>
                <w:rFonts w:ascii="Arial" w:cs="Arial" w:eastAsia="Arial" w:hAnsi="Arial"/>
                <w:sz w:val="16"/>
                <w:szCs w:val="16"/>
                <w:color w:val="auto"/>
              </w:rPr>
              <w:t>63,001</w:t>
            </w:r>
          </w:p>
        </w:tc>
      </w:tr>
      <w:tr>
        <w:trPr>
          <w:trHeight w:val="237"/>
        </w:trPr>
        <w:tc>
          <w:tcPr>
            <w:tcW w:w="680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James S. Lusk, Executive Vice President and Chief Financial Officer</w:t>
            </w:r>
          </w:p>
        </w:tc>
        <w:tc>
          <w:tcPr>
            <w:tcW w:w="1420" w:type="dxa"/>
            <w:vAlign w:val="bottom"/>
            <w:tcBorders>
              <w:bottom w:val="single" w:sz="8" w:color="auto"/>
              <w:right w:val="single" w:sz="8" w:color="auto"/>
            </w:tcBorders>
            <w:shd w:val="clear" w:color="auto" w:fill="E5EDFE"/>
          </w:tcPr>
          <w:p>
            <w:pPr>
              <w:jc w:val="right"/>
              <w:ind w:right="320"/>
              <w:spacing w:after="0"/>
              <w:rPr>
                <w:sz w:val="20"/>
                <w:szCs w:val="20"/>
                <w:color w:val="auto"/>
              </w:rPr>
            </w:pPr>
            <w:r>
              <w:rPr>
                <w:rFonts w:ascii="Arial" w:cs="Arial" w:eastAsia="Arial" w:hAnsi="Arial"/>
                <w:sz w:val="16"/>
                <w:szCs w:val="16"/>
                <w:color w:val="auto"/>
              </w:rPr>
              <w:t>19,826</w:t>
            </w:r>
          </w:p>
        </w:tc>
      </w:tr>
      <w:tr>
        <w:trPr>
          <w:trHeight w:val="237"/>
        </w:trPr>
        <w:tc>
          <w:tcPr>
            <w:tcW w:w="6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P. McClure, Executive Vice President</w:t>
            </w:r>
          </w:p>
        </w:tc>
        <w:tc>
          <w:tcPr>
            <w:tcW w:w="1420" w:type="dxa"/>
            <w:vAlign w:val="bottom"/>
            <w:tcBorders>
              <w:bottom w:val="single" w:sz="8" w:color="auto"/>
              <w:right w:val="single" w:sz="8" w:color="auto"/>
            </w:tcBorders>
          </w:tcPr>
          <w:p>
            <w:pPr>
              <w:jc w:val="right"/>
              <w:ind w:right="320"/>
              <w:spacing w:after="0"/>
              <w:rPr>
                <w:sz w:val="20"/>
                <w:szCs w:val="20"/>
                <w:color w:val="auto"/>
              </w:rPr>
            </w:pPr>
            <w:r>
              <w:rPr>
                <w:rFonts w:ascii="Arial" w:cs="Arial" w:eastAsia="Arial" w:hAnsi="Arial"/>
                <w:sz w:val="16"/>
                <w:szCs w:val="16"/>
                <w:color w:val="auto"/>
              </w:rPr>
              <w:t>26,293</w:t>
            </w:r>
          </w:p>
        </w:tc>
      </w:tr>
      <w:tr>
        <w:trPr>
          <w:trHeight w:val="237"/>
        </w:trPr>
        <w:tc>
          <w:tcPr>
            <w:tcW w:w="680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Tracy K. Price, Executive Vice President</w:t>
            </w:r>
          </w:p>
        </w:tc>
        <w:tc>
          <w:tcPr>
            <w:tcW w:w="1420" w:type="dxa"/>
            <w:vAlign w:val="bottom"/>
            <w:tcBorders>
              <w:bottom w:val="single" w:sz="8" w:color="auto"/>
              <w:right w:val="single" w:sz="8" w:color="auto"/>
            </w:tcBorders>
            <w:shd w:val="clear" w:color="auto" w:fill="E5EDFE"/>
          </w:tcPr>
          <w:p>
            <w:pPr>
              <w:jc w:val="right"/>
              <w:ind w:right="320"/>
              <w:spacing w:after="0"/>
              <w:rPr>
                <w:sz w:val="20"/>
                <w:szCs w:val="20"/>
                <w:color w:val="auto"/>
              </w:rPr>
            </w:pPr>
            <w:r>
              <w:rPr>
                <w:rFonts w:ascii="Arial" w:cs="Arial" w:eastAsia="Arial" w:hAnsi="Arial"/>
                <w:sz w:val="16"/>
                <w:szCs w:val="16"/>
                <w:color w:val="auto"/>
              </w:rPr>
              <w:t>26,293</w:t>
            </w:r>
          </w:p>
        </w:tc>
      </w:tr>
      <w:tr>
        <w:trPr>
          <w:trHeight w:val="237"/>
        </w:trPr>
        <w:tc>
          <w:tcPr>
            <w:tcW w:w="6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Sarah H. McConnell, Executive Vice President</w:t>
            </w:r>
          </w:p>
        </w:tc>
        <w:tc>
          <w:tcPr>
            <w:tcW w:w="1420" w:type="dxa"/>
            <w:vAlign w:val="bottom"/>
            <w:tcBorders>
              <w:bottom w:val="single" w:sz="8" w:color="auto"/>
              <w:right w:val="single" w:sz="8" w:color="auto"/>
            </w:tcBorders>
          </w:tcPr>
          <w:p>
            <w:pPr>
              <w:jc w:val="right"/>
              <w:ind w:right="320"/>
              <w:spacing w:after="0"/>
              <w:rPr>
                <w:sz w:val="20"/>
                <w:szCs w:val="20"/>
                <w:color w:val="auto"/>
              </w:rPr>
            </w:pPr>
            <w:r>
              <w:rPr>
                <w:rFonts w:ascii="Arial" w:cs="Arial" w:eastAsia="Arial" w:hAnsi="Arial"/>
                <w:sz w:val="16"/>
                <w:szCs w:val="16"/>
                <w:color w:val="auto"/>
              </w:rPr>
              <w:t>16,631</w:t>
            </w:r>
          </w:p>
        </w:tc>
      </w:tr>
      <w:tr>
        <w:trPr>
          <w:trHeight w:val="237"/>
        </w:trPr>
        <w:tc>
          <w:tcPr>
            <w:tcW w:w="680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All executive officers as a group</w:t>
            </w:r>
          </w:p>
        </w:tc>
        <w:tc>
          <w:tcPr>
            <w:tcW w:w="1420" w:type="dxa"/>
            <w:vAlign w:val="bottom"/>
            <w:tcBorders>
              <w:bottom w:val="single" w:sz="8" w:color="auto"/>
              <w:right w:val="single" w:sz="8" w:color="auto"/>
            </w:tcBorders>
            <w:shd w:val="clear" w:color="auto" w:fill="E5EDFE"/>
          </w:tcPr>
          <w:p>
            <w:pPr>
              <w:jc w:val="right"/>
              <w:ind w:right="320"/>
              <w:spacing w:after="0"/>
              <w:rPr>
                <w:sz w:val="20"/>
                <w:szCs w:val="20"/>
                <w:color w:val="auto"/>
              </w:rPr>
            </w:pPr>
            <w:r>
              <w:rPr>
                <w:rFonts w:ascii="Arial" w:cs="Arial" w:eastAsia="Arial" w:hAnsi="Arial"/>
                <w:sz w:val="16"/>
                <w:szCs w:val="16"/>
                <w:color w:val="auto"/>
              </w:rPr>
              <w:t>193,653</w:t>
            </w:r>
          </w:p>
        </w:tc>
      </w:tr>
      <w:tr>
        <w:trPr>
          <w:trHeight w:val="237"/>
        </w:trPr>
        <w:tc>
          <w:tcPr>
            <w:tcW w:w="6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All non-employee directors as a group</w:t>
            </w:r>
          </w:p>
        </w:tc>
        <w:tc>
          <w:tcPr>
            <w:tcW w:w="1420" w:type="dxa"/>
            <w:vAlign w:val="bottom"/>
            <w:tcBorders>
              <w:bottom w:val="single" w:sz="8" w:color="auto"/>
              <w:right w:val="single" w:sz="8" w:color="auto"/>
            </w:tcBorders>
          </w:tcPr>
          <w:p>
            <w:pPr>
              <w:jc w:val="right"/>
              <w:ind w:right="320"/>
              <w:spacing w:after="0"/>
              <w:rPr>
                <w:sz w:val="20"/>
                <w:szCs w:val="20"/>
                <w:color w:val="auto"/>
              </w:rPr>
            </w:pPr>
            <w:r>
              <w:rPr>
                <w:rFonts w:ascii="Arial" w:cs="Arial" w:eastAsia="Arial" w:hAnsi="Arial"/>
                <w:sz w:val="16"/>
                <w:szCs w:val="16"/>
                <w:color w:val="auto"/>
              </w:rPr>
              <w:t>26,122</w:t>
            </w:r>
          </w:p>
        </w:tc>
      </w:tr>
      <w:tr>
        <w:trPr>
          <w:trHeight w:val="237"/>
        </w:trPr>
        <w:tc>
          <w:tcPr>
            <w:tcW w:w="6800" w:type="dxa"/>
            <w:vAlign w:val="bottom"/>
            <w:tcBorders>
              <w:left w:val="single" w:sz="8" w:color="auto"/>
              <w:bottom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All non-executive employees as a group</w:t>
            </w:r>
          </w:p>
        </w:tc>
        <w:tc>
          <w:tcPr>
            <w:tcW w:w="1420" w:type="dxa"/>
            <w:vAlign w:val="bottom"/>
            <w:tcBorders>
              <w:bottom w:val="single" w:sz="8" w:color="auto"/>
              <w:right w:val="single" w:sz="8" w:color="auto"/>
            </w:tcBorders>
            <w:shd w:val="clear" w:color="auto" w:fill="E5EDFE"/>
          </w:tcPr>
          <w:p>
            <w:pPr>
              <w:jc w:val="right"/>
              <w:ind w:right="320"/>
              <w:spacing w:after="0"/>
              <w:rPr>
                <w:sz w:val="20"/>
                <w:szCs w:val="20"/>
                <w:color w:val="auto"/>
              </w:rPr>
            </w:pPr>
            <w:r>
              <w:rPr>
                <w:rFonts w:ascii="Arial" w:cs="Arial" w:eastAsia="Arial" w:hAnsi="Arial"/>
                <w:sz w:val="16"/>
                <w:szCs w:val="16"/>
                <w:color w:val="auto"/>
              </w:rPr>
              <w:t>439,894</w:t>
            </w:r>
          </w:p>
        </w:tc>
      </w:tr>
    </w:tbl>
    <w:p>
      <w:pPr>
        <w:spacing w:after="0" w:line="200"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spacing w:after="0" w:line="52"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04FF9"/>
        </w:rPr>
        <w:t>Federal Income Tax Consequences</w:t>
      </w:r>
    </w:p>
    <w:p>
      <w:pPr>
        <w:spacing w:after="0" w:line="106"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color w:val="auto"/>
        </w:rPr>
        <w:t>The following is a summary of the effect of U.S. federal income taxation on the 2006 Equity Incentive Plan participants and the Company. This summary does not discuss the income tax laws of any other jurisdiction in which the recipient of the award may reside. (“Code” is the Internal Revenue Code of 1986, as amended.)</w:t>
      </w:r>
    </w:p>
    <w:p>
      <w:pPr>
        <w:spacing w:after="0" w:line="85" w:lineRule="exact"/>
        <w:rPr>
          <w:sz w:val="20"/>
          <w:szCs w:val="20"/>
          <w:color w:val="auto"/>
        </w:rPr>
      </w:pPr>
    </w:p>
    <w:p>
      <w:pPr>
        <w:jc w:val="both"/>
        <w:ind w:left="1260"/>
        <w:spacing w:after="0" w:line="248" w:lineRule="auto"/>
        <w:rPr>
          <w:sz w:val="20"/>
          <w:szCs w:val="20"/>
          <w:color w:val="auto"/>
        </w:rPr>
      </w:pPr>
      <w:r>
        <w:rPr>
          <w:rFonts w:ascii="Arial" w:cs="Arial" w:eastAsia="Arial" w:hAnsi="Arial"/>
          <w:sz w:val="16"/>
          <w:szCs w:val="16"/>
          <w:i w:val="1"/>
          <w:iCs w:val="1"/>
          <w:color w:val="auto"/>
        </w:rPr>
        <w:t xml:space="preserve">Incentive Stock Options (ISOs). </w:t>
      </w:r>
      <w:r>
        <w:rPr>
          <w:rFonts w:ascii="Arial" w:cs="Arial" w:eastAsia="Arial" w:hAnsi="Arial"/>
          <w:sz w:val="16"/>
          <w:szCs w:val="16"/>
          <w:color w:val="auto"/>
        </w:rPr>
        <w:t>Participants pay no</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at the time of grant or exercise of an ISO. The participant will recognize long-term capital gain or loss on the sale of the shares acquired on the exercise of the ISO if the sale occurs at least two years after the grant date and more than one year after the exercise date. If the sale occurs earlier than the expiration of these holding periods, then the participant will recognize ordinary income equal to the lesser of the difference between the exercise price of the option and the fair market value of the shares on the exercise date or the difference between the sales price and the exercise price. Any additional gain on the sale will be capital gain. The Company can deduct the amount that the participant recognizes as ordinary income.</w:t>
      </w:r>
    </w:p>
    <w:p>
      <w:pPr>
        <w:spacing w:after="0" w:line="91" w:lineRule="exact"/>
        <w:rPr>
          <w:sz w:val="20"/>
          <w:szCs w:val="20"/>
          <w:color w:val="auto"/>
        </w:rPr>
      </w:pPr>
    </w:p>
    <w:p>
      <w:pPr>
        <w:jc w:val="both"/>
        <w:ind w:left="1260"/>
        <w:spacing w:after="0" w:line="250" w:lineRule="auto"/>
        <w:rPr>
          <w:sz w:val="20"/>
          <w:szCs w:val="20"/>
          <w:color w:val="auto"/>
        </w:rPr>
      </w:pPr>
      <w:r>
        <w:rPr>
          <w:rFonts w:ascii="Arial" w:cs="Arial" w:eastAsia="Arial" w:hAnsi="Arial"/>
          <w:sz w:val="16"/>
          <w:szCs w:val="16"/>
          <w:i w:val="1"/>
          <w:iCs w:val="1"/>
          <w:color w:val="auto"/>
        </w:rPr>
        <w:t xml:space="preserve">Nonstatutory Stock Options and Stock Appreciation Rights. </w:t>
      </w:r>
      <w:r>
        <w:rPr>
          <w:rFonts w:ascii="Arial" w:cs="Arial" w:eastAsia="Arial" w:hAnsi="Arial"/>
          <w:sz w:val="16"/>
          <w:szCs w:val="16"/>
          <w:color w:val="auto"/>
        </w:rPr>
        <w:t>There is no tax consequence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at the time of grant of a nonstatutory stock option or stock appreciation right. Upon exercise, the excess, if any, of the fair market value of the shares over the exercise price will be treated as ordinary income. Any gain or loss realized on the sale of the shares will be treated as a capital gain or loss. The Company may deduct the amount, if any, that the participant recognizes as ordinary income.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ind w:right="739"/>
        <w:spacing w:after="0" w:line="249"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No taxes are due on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The fair market value of the shares subject to the award is taxable as ordinary income when no longer subject to a “substantial risk of forfeiture” (i.e., when the shares become vested or transferable). Unless an election pursuant to Code Section 83(b) is made (subjecting the value of the shares on the award date to current income tax), income tax is paid by the participant on the value of the shares at ordinary rates when the restrictions lapse and the Company will be entitled to a corresponding deduction. Any gain or loss realized on the sale of the shares will be treated as a capital gain or loss.</w:t>
      </w:r>
    </w:p>
    <w:p>
      <w:pPr>
        <w:spacing w:after="0" w:line="83" w:lineRule="exact"/>
        <w:rPr>
          <w:sz w:val="20"/>
          <w:szCs w:val="20"/>
          <w:color w:val="auto"/>
        </w:rPr>
      </w:pPr>
    </w:p>
    <w:p>
      <w:pPr>
        <w:jc w:val="both"/>
        <w:ind w:right="739"/>
        <w:spacing w:after="0" w:line="251" w:lineRule="auto"/>
        <w:rPr>
          <w:sz w:val="20"/>
          <w:szCs w:val="20"/>
          <w:color w:val="auto"/>
        </w:rPr>
      </w:pPr>
      <w:r>
        <w:rPr>
          <w:rFonts w:ascii="Arial" w:cs="Arial" w:eastAsia="Arial" w:hAnsi="Arial"/>
          <w:sz w:val="16"/>
          <w:szCs w:val="16"/>
          <w:i w:val="1"/>
          <w:iCs w:val="1"/>
          <w:color w:val="auto"/>
        </w:rPr>
        <w:t xml:space="preserve">RSUs and Performance Shares. </w:t>
      </w:r>
      <w:r>
        <w:rPr>
          <w:rFonts w:ascii="Arial" w:cs="Arial" w:eastAsia="Arial" w:hAnsi="Arial"/>
          <w:sz w:val="16"/>
          <w:szCs w:val="16"/>
          <w:color w:val="auto"/>
        </w:rPr>
        <w:t>No taxes are due</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grant of the award. The fair market value of the shares subject to the award is taxable to the participant as ordinary income when the stock is distributed to the participant, subject to the limitations of Code Section 409A. The Company can deduct the amount, if any, that the participant recognizes as ordinary income.</w:t>
      </w:r>
    </w:p>
    <w:p>
      <w:pPr>
        <w:spacing w:after="0" w:line="81" w:lineRule="exact"/>
        <w:rPr>
          <w:sz w:val="20"/>
          <w:szCs w:val="20"/>
          <w:color w:val="auto"/>
        </w:rPr>
      </w:pPr>
    </w:p>
    <w:p>
      <w:pPr>
        <w:jc w:val="both"/>
        <w:ind w:right="739"/>
        <w:spacing w:after="0" w:line="253"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Section 162(m)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denies a deduction for annual compensation in excess of $1 million paid to</w:t>
      </w:r>
    </w:p>
    <w:p>
      <w:pPr>
        <w:spacing w:after="0" w:line="1" w:lineRule="exact"/>
        <w:rPr>
          <w:sz w:val="20"/>
          <w:szCs w:val="20"/>
          <w:color w:val="auto"/>
        </w:rPr>
      </w:pPr>
    </w:p>
    <w:p>
      <w:pPr>
        <w:jc w:val="both"/>
        <w:ind w:right="739"/>
        <w:spacing w:after="0" w:line="248" w:lineRule="auto"/>
        <w:rPr>
          <w:sz w:val="20"/>
          <w:szCs w:val="20"/>
          <w:color w:val="auto"/>
        </w:rPr>
      </w:pPr>
      <w:r>
        <w:rPr>
          <w:rFonts w:ascii="Arial" w:cs="Arial" w:eastAsia="Arial" w:hAnsi="Arial"/>
          <w:sz w:val="16"/>
          <w:szCs w:val="16"/>
          <w:color w:val="auto"/>
        </w:rPr>
        <w:t>“covered employees.” “Performance-based compensation” is disregarded for this purpose. Stock option and stock appreciation rights granted under the 2006 Equity Incentive Plan are intended to qualify as “performance-based compensation.” Other awards are intended to be “performance-based compensation” if their grant or vesting is subject to performance objectives that satisfy Section 162(m).</w:t>
      </w:r>
    </w:p>
    <w:p>
      <w:pPr>
        <w:spacing w:after="0" w:line="201"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18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left="5400" w:right="739"/>
        <w:spacing w:after="0" w:line="262" w:lineRule="auto"/>
        <w:rPr>
          <w:sz w:val="20"/>
          <w:szCs w:val="20"/>
          <w:color w:val="auto"/>
        </w:rPr>
      </w:pPr>
      <w:r>
        <w:rPr>
          <w:rFonts w:ascii="Arial" w:cs="Arial" w:eastAsia="Arial" w:hAnsi="Arial"/>
          <w:sz w:val="18"/>
          <w:szCs w:val="18"/>
          <w:color w:val="004FF9"/>
        </w:rPr>
        <w:t>Proposal 4 — Approval of the Amended and Restated 2006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82550</wp:posOffset>
            </wp:positionV>
            <wp:extent cx="52139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345" w:lineRule="exact"/>
        <w:rPr>
          <w:sz w:val="20"/>
          <w:szCs w:val="20"/>
          <w:color w:val="auto"/>
        </w:rPr>
      </w:pPr>
    </w:p>
    <w:p>
      <w:pPr>
        <w:jc w:val="both"/>
        <w:ind w:left="1260"/>
        <w:spacing w:after="0" w:line="253"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RSU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the receipt of which may be deferred beyond the vesting dates, are subject to Section 409A of the Internal Revenue Code limitations. If Section 409A is violated, deferred amounts will be subject to income tax immediately</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both"/>
        <w:ind w:right="739"/>
        <w:spacing w:after="0" w:line="250" w:lineRule="auto"/>
        <w:rPr>
          <w:sz w:val="20"/>
          <w:szCs w:val="20"/>
          <w:color w:val="auto"/>
        </w:rPr>
      </w:pPr>
      <w:r>
        <w:rPr>
          <w:rFonts w:ascii="Arial" w:cs="Arial" w:eastAsia="Arial" w:hAnsi="Arial"/>
          <w:sz w:val="16"/>
          <w:szCs w:val="16"/>
          <w:color w:val="auto"/>
        </w:rPr>
        <w:t>and to penalties equal to (i) 20% of the amount deferred and (ii) interest at a specified rate on the underpayment of tax that would have occurred if the amount had been taxed in the year it was first deferred.</w:t>
      </w:r>
    </w:p>
    <w:p>
      <w:pPr>
        <w:spacing w:after="0" w:line="389" w:lineRule="exact"/>
        <w:rPr>
          <w:sz w:val="20"/>
          <w:szCs w:val="20"/>
          <w:color w:val="auto"/>
        </w:rPr>
      </w:pPr>
    </w:p>
    <w:p>
      <w:pPr>
        <w:sectPr>
          <w:pgSz w:w="11900" w:h="16838" w:orient="portrait"/>
          <w:cols w:equalWidth="0" w:num="2">
            <w:col w:w="5080" w:space="600"/>
            <w:col w:w="453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169545</wp:posOffset>
            </wp:positionV>
            <wp:extent cx="52139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EQUITY COMPENSATION PLAN INFORMATION</w:t>
      </w:r>
    </w:p>
    <w:p>
      <w:pPr>
        <w:spacing w:after="0" w:line="133" w:lineRule="exact"/>
        <w:rPr>
          <w:sz w:val="20"/>
          <w:szCs w:val="20"/>
          <w:color w:val="auto"/>
        </w:rPr>
      </w:pPr>
    </w:p>
    <w:p>
      <w:pPr>
        <w:ind w:left="1260" w:right="759"/>
        <w:spacing w:after="0" w:line="260" w:lineRule="auto"/>
        <w:rPr>
          <w:sz w:val="20"/>
          <w:szCs w:val="20"/>
          <w:color w:val="auto"/>
        </w:rPr>
      </w:pPr>
      <w:r>
        <w:rPr>
          <w:rFonts w:ascii="Arial" w:cs="Arial" w:eastAsia="Arial" w:hAnsi="Arial"/>
          <w:sz w:val="16"/>
          <w:szCs w:val="16"/>
          <w:color w:val="auto"/>
        </w:rPr>
        <w:t>The following table provides information as of October 31, 2014, regarding compensation plans under which our equity securities are authorized for issuance.</w:t>
      </w:r>
    </w:p>
    <w:p>
      <w:pPr>
        <w:spacing w:after="0" w:line="93"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390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1480" w:type="dxa"/>
            <w:vAlign w:val="bottom"/>
            <w:tcBorders>
              <w:top w:val="single" w:sz="8" w:color="auto"/>
              <w:right w:val="single" w:sz="8" w:color="auto"/>
            </w:tcBorders>
            <w:shd w:val="clear" w:color="auto" w:fill="B1C9FD"/>
          </w:tcPr>
          <w:p>
            <w:pPr>
              <w:spacing w:after="0"/>
              <w:rPr>
                <w:sz w:val="24"/>
                <w:szCs w:val="24"/>
                <w:color w:val="auto"/>
              </w:rPr>
            </w:pPr>
          </w:p>
        </w:tc>
        <w:tc>
          <w:tcPr>
            <w:tcW w:w="1500" w:type="dxa"/>
            <w:vAlign w:val="bottom"/>
            <w:tcBorders>
              <w:top w:val="single" w:sz="8" w:color="auto"/>
              <w:right w:val="single" w:sz="8" w:color="auto"/>
            </w:tcBorders>
            <w:shd w:val="clear" w:color="auto" w:fill="B1C9FD"/>
          </w:tcPr>
          <w:p>
            <w:pPr>
              <w:spacing w:after="0"/>
              <w:rPr>
                <w:sz w:val="24"/>
                <w:szCs w:val="24"/>
                <w:color w:val="auto"/>
              </w:rPr>
            </w:pPr>
          </w:p>
        </w:tc>
        <w:tc>
          <w:tcPr>
            <w:tcW w:w="134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Number of</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spacing w:after="0"/>
              <w:rPr>
                <w:sz w:val="14"/>
                <w:szCs w:val="14"/>
                <w:color w:val="auto"/>
              </w:rPr>
            </w:pPr>
          </w:p>
        </w:tc>
        <w:tc>
          <w:tcPr>
            <w:tcW w:w="1500" w:type="dxa"/>
            <w:vAlign w:val="bottom"/>
            <w:tcBorders>
              <w:right w:val="single" w:sz="8" w:color="auto"/>
            </w:tcBorders>
            <w:shd w:val="clear" w:color="auto" w:fill="B1C9FD"/>
          </w:tcPr>
          <w:p>
            <w:pPr>
              <w:spacing w:after="0"/>
              <w:rPr>
                <w:sz w:val="14"/>
                <w:szCs w:val="14"/>
                <w:color w:val="auto"/>
              </w:rPr>
            </w:pP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Securities</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spacing w:after="0"/>
              <w:rPr>
                <w:sz w:val="14"/>
                <w:szCs w:val="14"/>
                <w:color w:val="auto"/>
              </w:rPr>
            </w:pPr>
          </w:p>
        </w:tc>
        <w:tc>
          <w:tcPr>
            <w:tcW w:w="1500" w:type="dxa"/>
            <w:vAlign w:val="bottom"/>
            <w:tcBorders>
              <w:right w:val="single" w:sz="8" w:color="auto"/>
            </w:tcBorders>
            <w:shd w:val="clear" w:color="auto" w:fill="B1C9FD"/>
          </w:tcPr>
          <w:p>
            <w:pPr>
              <w:spacing w:after="0"/>
              <w:rPr>
                <w:sz w:val="14"/>
                <w:szCs w:val="14"/>
                <w:color w:val="auto"/>
              </w:rPr>
            </w:pP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Remaining</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spacing w:after="0"/>
              <w:rPr>
                <w:sz w:val="14"/>
                <w:szCs w:val="14"/>
                <w:color w:val="auto"/>
              </w:rPr>
            </w:pPr>
          </w:p>
        </w:tc>
        <w:tc>
          <w:tcPr>
            <w:tcW w:w="1500" w:type="dxa"/>
            <w:vAlign w:val="bottom"/>
            <w:tcBorders>
              <w:right w:val="single" w:sz="8" w:color="auto"/>
            </w:tcBorders>
            <w:shd w:val="clear" w:color="auto" w:fill="B1C9FD"/>
          </w:tcPr>
          <w:p>
            <w:pPr>
              <w:spacing w:after="0"/>
              <w:rPr>
                <w:sz w:val="14"/>
                <w:szCs w:val="14"/>
                <w:color w:val="auto"/>
              </w:rPr>
            </w:pP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Available for</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Number of</w:t>
            </w:r>
          </w:p>
        </w:tc>
        <w:tc>
          <w:tcPr>
            <w:tcW w:w="15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Weighted-Average</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Future Issuance</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Securities to be</w:t>
            </w:r>
          </w:p>
        </w:tc>
        <w:tc>
          <w:tcPr>
            <w:tcW w:w="15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Exercise Price</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under Equity</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Issued upon</w:t>
            </w:r>
          </w:p>
        </w:tc>
        <w:tc>
          <w:tcPr>
            <w:tcW w:w="15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of Outstanding</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Compensation</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Exercise of</w:t>
            </w:r>
          </w:p>
        </w:tc>
        <w:tc>
          <w:tcPr>
            <w:tcW w:w="15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Options,</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Plans (Excluding</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Outstanding</w:t>
            </w:r>
          </w:p>
        </w:tc>
        <w:tc>
          <w:tcPr>
            <w:tcW w:w="15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Warrants and</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Securities</w:t>
            </w:r>
          </w:p>
        </w:tc>
        <w:tc>
          <w:tcPr>
            <w:tcW w:w="0" w:type="dxa"/>
            <w:vAlign w:val="bottom"/>
          </w:tcPr>
          <w:p>
            <w:pPr>
              <w:spacing w:after="0"/>
              <w:rPr>
                <w:sz w:val="1"/>
                <w:szCs w:val="1"/>
                <w:color w:val="auto"/>
              </w:rPr>
            </w:pPr>
          </w:p>
        </w:tc>
      </w:tr>
      <w:tr>
        <w:trPr>
          <w:trHeight w:val="162"/>
        </w:trPr>
        <w:tc>
          <w:tcPr>
            <w:tcW w:w="3900" w:type="dxa"/>
            <w:vAlign w:val="bottom"/>
            <w:tcBorders>
              <w:left w:val="single" w:sz="8" w:color="auto"/>
              <w:right w:val="single" w:sz="8" w:color="auto"/>
            </w:tcBorders>
            <w:shd w:val="clear" w:color="auto" w:fill="B1C9FD"/>
          </w:tcPr>
          <w:p>
            <w:pPr>
              <w:spacing w:after="0"/>
              <w:rPr>
                <w:sz w:val="14"/>
                <w:szCs w:val="14"/>
                <w:color w:val="auto"/>
              </w:rPr>
            </w:pPr>
          </w:p>
        </w:tc>
        <w:tc>
          <w:tcPr>
            <w:tcW w:w="148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Options, Warrants</w:t>
            </w:r>
          </w:p>
        </w:tc>
        <w:tc>
          <w:tcPr>
            <w:tcW w:w="15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Rights</w:t>
            </w:r>
          </w:p>
        </w:tc>
        <w:tc>
          <w:tcPr>
            <w:tcW w:w="134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Reflected in</w:t>
            </w:r>
          </w:p>
        </w:tc>
        <w:tc>
          <w:tcPr>
            <w:tcW w:w="0" w:type="dxa"/>
            <w:vAlign w:val="bottom"/>
          </w:tcPr>
          <w:p>
            <w:pPr>
              <w:spacing w:after="0"/>
              <w:rPr>
                <w:sz w:val="1"/>
                <w:szCs w:val="1"/>
                <w:color w:val="auto"/>
              </w:rPr>
            </w:pPr>
          </w:p>
        </w:tc>
      </w:tr>
      <w:tr>
        <w:trPr>
          <w:trHeight w:val="196"/>
        </w:trPr>
        <w:tc>
          <w:tcPr>
            <w:tcW w:w="3900" w:type="dxa"/>
            <w:vAlign w:val="bottom"/>
            <w:tcBorders>
              <w:left w:val="single" w:sz="8" w:color="auto"/>
              <w:bottom w:val="single" w:sz="8" w:color="auto"/>
              <w:right w:val="single" w:sz="8" w:color="auto"/>
            </w:tcBorders>
            <w:shd w:val="clear" w:color="auto" w:fill="B1C9FD"/>
          </w:tcPr>
          <w:p>
            <w:pPr>
              <w:ind w:left="1440"/>
              <w:spacing w:after="0"/>
              <w:rPr>
                <w:sz w:val="20"/>
                <w:szCs w:val="20"/>
                <w:color w:val="auto"/>
              </w:rPr>
            </w:pPr>
            <w:r>
              <w:rPr>
                <w:rFonts w:ascii="Arial" w:cs="Arial" w:eastAsia="Arial" w:hAnsi="Arial"/>
                <w:sz w:val="14"/>
                <w:szCs w:val="14"/>
                <w:b w:val="1"/>
                <w:bCs w:val="1"/>
                <w:color w:val="004FF9"/>
              </w:rPr>
              <w:t>Plan Category</w:t>
            </w:r>
          </w:p>
        </w:tc>
        <w:tc>
          <w:tcPr>
            <w:tcW w:w="148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and Rights (a)</w:t>
            </w:r>
          </w:p>
        </w:tc>
        <w:tc>
          <w:tcPr>
            <w:tcW w:w="15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(b)</w:t>
            </w:r>
          </w:p>
        </w:tc>
        <w:tc>
          <w:tcPr>
            <w:tcW w:w="134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Column (a)) (c)</w:t>
            </w:r>
          </w:p>
        </w:tc>
        <w:tc>
          <w:tcPr>
            <w:tcW w:w="0" w:type="dxa"/>
            <w:vAlign w:val="bottom"/>
          </w:tcPr>
          <w:p>
            <w:pPr>
              <w:spacing w:after="0"/>
              <w:rPr>
                <w:sz w:val="1"/>
                <w:szCs w:val="1"/>
                <w:color w:val="auto"/>
              </w:rPr>
            </w:pPr>
          </w:p>
        </w:tc>
      </w:tr>
      <w:tr>
        <w:trPr>
          <w:trHeight w:val="204"/>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Equity compensation plans approved by security</w:t>
            </w:r>
          </w:p>
        </w:tc>
        <w:tc>
          <w:tcPr>
            <w:tcW w:w="1480" w:type="dxa"/>
            <w:vAlign w:val="bottom"/>
            <w:tcBorders>
              <w:right w:val="single" w:sz="8" w:color="auto"/>
            </w:tcBorders>
            <w:vMerge w:val="restart"/>
          </w:tcPr>
          <w:p>
            <w:pPr>
              <w:jc w:val="right"/>
              <w:ind w:right="165"/>
              <w:spacing w:after="0"/>
              <w:rPr>
                <w:sz w:val="20"/>
                <w:szCs w:val="20"/>
                <w:color w:val="auto"/>
              </w:rPr>
            </w:pPr>
            <w:r>
              <w:rPr>
                <w:rFonts w:ascii="Arial" w:cs="Arial" w:eastAsia="Arial" w:hAnsi="Arial"/>
                <w:sz w:val="16"/>
                <w:szCs w:val="16"/>
                <w:color w:val="auto"/>
              </w:rPr>
              <w:t>4,266,136</w:t>
            </w:r>
            <w:r>
              <w:rPr>
                <w:rFonts w:ascii="Arial" w:cs="Arial" w:eastAsia="Arial" w:hAnsi="Arial"/>
                <w:sz w:val="25"/>
                <w:szCs w:val="25"/>
                <w:color w:val="auto"/>
                <w:vertAlign w:val="superscript"/>
              </w:rPr>
              <w:t>(1)</w:t>
            </w:r>
          </w:p>
        </w:tc>
        <w:tc>
          <w:tcPr>
            <w:tcW w:w="1500" w:type="dxa"/>
            <w:vAlign w:val="bottom"/>
            <w:tcBorders>
              <w:right w:val="single" w:sz="8" w:color="auto"/>
            </w:tcBorders>
            <w:vMerge w:val="restart"/>
          </w:tcPr>
          <w:p>
            <w:pPr>
              <w:ind w:left="480"/>
              <w:spacing w:after="0"/>
              <w:rPr>
                <w:sz w:val="20"/>
                <w:szCs w:val="20"/>
                <w:color w:val="auto"/>
              </w:rPr>
            </w:pPr>
            <w:r>
              <w:rPr>
                <w:rFonts w:ascii="Arial" w:cs="Arial" w:eastAsia="Arial" w:hAnsi="Arial"/>
                <w:sz w:val="16"/>
                <w:szCs w:val="16"/>
                <w:color w:val="auto"/>
              </w:rPr>
              <w:t>$20.20</w:t>
            </w:r>
            <w:r>
              <w:rPr>
                <w:rFonts w:ascii="Arial" w:cs="Arial" w:eastAsia="Arial" w:hAnsi="Arial"/>
                <w:sz w:val="25"/>
                <w:szCs w:val="25"/>
                <w:color w:val="auto"/>
                <w:vertAlign w:val="superscript"/>
              </w:rPr>
              <w:t>(2)</w:t>
            </w:r>
          </w:p>
        </w:tc>
        <w:tc>
          <w:tcPr>
            <w:tcW w:w="134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6"/>
                <w:szCs w:val="16"/>
                <w:color w:val="auto"/>
              </w:rPr>
              <w:t>1,633,509</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14"/>
        </w:trPr>
        <w:tc>
          <w:tcPr>
            <w:tcW w:w="39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holders</w:t>
            </w:r>
          </w:p>
        </w:tc>
        <w:tc>
          <w:tcPr>
            <w:tcW w:w="148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3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00" w:type="dxa"/>
            <w:vAlign w:val="bottom"/>
            <w:tcBorders>
              <w:left w:val="single" w:sz="8" w:color="auto"/>
              <w:right w:val="single" w:sz="8" w:color="auto"/>
            </w:tcBorders>
            <w:shd w:val="clear" w:color="auto" w:fill="E5EDFE"/>
          </w:tcPr>
          <w:p>
            <w:pPr>
              <w:ind w:left="60"/>
              <w:spacing w:after="0"/>
              <w:rPr>
                <w:sz w:val="20"/>
                <w:szCs w:val="20"/>
                <w:color w:val="auto"/>
              </w:rPr>
            </w:pPr>
            <w:r>
              <w:rPr>
                <w:rFonts w:ascii="Arial" w:cs="Arial" w:eastAsia="Arial" w:hAnsi="Arial"/>
                <w:sz w:val="16"/>
                <w:szCs w:val="16"/>
                <w:color w:val="auto"/>
              </w:rPr>
              <w:t>Equity compensation plans not approved by</w:t>
            </w:r>
          </w:p>
        </w:tc>
        <w:tc>
          <w:tcPr>
            <w:tcW w:w="1480" w:type="dxa"/>
            <w:vAlign w:val="bottom"/>
            <w:tcBorders>
              <w:right w:val="single" w:sz="8" w:color="auto"/>
            </w:tcBorders>
            <w:shd w:val="clear" w:color="auto" w:fill="E5EDFE"/>
          </w:tcPr>
          <w:p>
            <w:pPr>
              <w:spacing w:after="0"/>
              <w:rPr>
                <w:sz w:val="17"/>
                <w:szCs w:val="17"/>
                <w:color w:val="auto"/>
              </w:rPr>
            </w:pPr>
          </w:p>
        </w:tc>
        <w:tc>
          <w:tcPr>
            <w:tcW w:w="1500" w:type="dxa"/>
            <w:vAlign w:val="bottom"/>
            <w:tcBorders>
              <w:right w:val="single" w:sz="8" w:color="auto"/>
            </w:tcBorders>
            <w:shd w:val="clear" w:color="auto" w:fill="E5EDFE"/>
          </w:tcPr>
          <w:p>
            <w:pPr>
              <w:spacing w:after="0"/>
              <w:rPr>
                <w:sz w:val="17"/>
                <w:szCs w:val="17"/>
                <w:color w:val="auto"/>
              </w:rPr>
            </w:pPr>
          </w:p>
        </w:tc>
        <w:tc>
          <w:tcPr>
            <w:tcW w:w="1340" w:type="dxa"/>
            <w:vAlign w:val="bottom"/>
            <w:tcBorders>
              <w:right w:val="single" w:sz="8" w:color="auto"/>
            </w:tcBorders>
            <w:shd w:val="clear" w:color="auto" w:fill="E5EDF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00" w:type="dxa"/>
            <w:vAlign w:val="bottom"/>
            <w:tcBorders>
              <w:left w:val="single" w:sz="8" w:color="auto"/>
              <w:right w:val="single" w:sz="8" w:color="auto"/>
            </w:tcBorders>
            <w:shd w:val="clear" w:color="auto" w:fill="E5EDFE"/>
          </w:tcPr>
          <w:p>
            <w:pPr>
              <w:ind w:left="220"/>
              <w:spacing w:after="0"/>
              <w:rPr>
                <w:sz w:val="20"/>
                <w:szCs w:val="20"/>
                <w:color w:val="auto"/>
              </w:rPr>
            </w:pPr>
            <w:r>
              <w:rPr>
                <w:rFonts w:ascii="Arial" w:cs="Arial" w:eastAsia="Arial" w:hAnsi="Arial"/>
                <w:sz w:val="16"/>
                <w:szCs w:val="16"/>
                <w:color w:val="auto"/>
              </w:rPr>
              <w:t>shareholders</w:t>
            </w:r>
          </w:p>
        </w:tc>
        <w:tc>
          <w:tcPr>
            <w:tcW w:w="1480" w:type="dxa"/>
            <w:vAlign w:val="bottom"/>
            <w:tcBorders>
              <w:right w:val="single" w:sz="8" w:color="auto"/>
            </w:tcBorders>
            <w:shd w:val="clear" w:color="auto" w:fill="E5EDFE"/>
          </w:tcPr>
          <w:p>
            <w:pPr>
              <w:jc w:val="right"/>
              <w:ind w:right="305"/>
              <w:spacing w:after="0"/>
              <w:rPr>
                <w:sz w:val="20"/>
                <w:szCs w:val="20"/>
                <w:color w:val="auto"/>
              </w:rPr>
            </w:pPr>
            <w:r>
              <w:rPr>
                <w:rFonts w:ascii="Arial" w:cs="Arial" w:eastAsia="Arial" w:hAnsi="Arial"/>
                <w:sz w:val="16"/>
                <w:szCs w:val="16"/>
                <w:color w:val="auto"/>
              </w:rPr>
              <w:t>0</w:t>
            </w:r>
          </w:p>
        </w:tc>
        <w:tc>
          <w:tcPr>
            <w:tcW w:w="1500" w:type="dxa"/>
            <w:vAlign w:val="bottom"/>
            <w:tcBorders>
              <w:right w:val="single" w:sz="8" w:color="auto"/>
            </w:tcBorders>
            <w:shd w:val="clear" w:color="auto" w:fill="E5EDFE"/>
          </w:tcPr>
          <w:p>
            <w:pPr>
              <w:ind w:left="760"/>
              <w:spacing w:after="0"/>
              <w:rPr>
                <w:sz w:val="20"/>
                <w:szCs w:val="20"/>
                <w:color w:val="auto"/>
              </w:rPr>
            </w:pPr>
            <w:r>
              <w:rPr>
                <w:rFonts w:ascii="Arial" w:cs="Arial" w:eastAsia="Arial" w:hAnsi="Arial"/>
                <w:sz w:val="16"/>
                <w:szCs w:val="16"/>
                <w:color w:val="auto"/>
              </w:rPr>
              <w:t>n/a</w:t>
            </w:r>
          </w:p>
        </w:tc>
        <w:tc>
          <w:tcPr>
            <w:tcW w:w="1340" w:type="dxa"/>
            <w:vAlign w:val="bottom"/>
            <w:tcBorders>
              <w:right w:val="single" w:sz="8" w:color="auto"/>
            </w:tcBorders>
            <w:shd w:val="clear" w:color="auto" w:fill="E5EDFE"/>
          </w:tcPr>
          <w:p>
            <w:pPr>
              <w:jc w:val="right"/>
              <w:ind w:right="226"/>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6"/>
                <w:szCs w:val="16"/>
                <w:color w:val="auto"/>
              </w:rPr>
              <w:t>4,266,136</w:t>
            </w:r>
          </w:p>
        </w:tc>
        <w:tc>
          <w:tcPr>
            <w:tcW w:w="15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$20.20</w:t>
            </w:r>
          </w:p>
        </w:tc>
        <w:tc>
          <w:tcPr>
            <w:tcW w:w="134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6"/>
                <w:szCs w:val="16"/>
                <w:color w:val="auto"/>
              </w:rPr>
              <w:t>1,633,509</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20" w:right="759" w:hanging="352"/>
        <w:spacing w:after="0" w:line="278" w:lineRule="auto"/>
        <w:tabs>
          <w:tab w:leader="none" w:pos="16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1,374,634 and 1,085,450 shares that may be issued to settle outstanding restricted stock units and performance shares, respectively.</w:t>
      </w:r>
    </w:p>
    <w:p>
      <w:pPr>
        <w:spacing w:after="0" w:line="99" w:lineRule="exact"/>
        <w:rPr>
          <w:rFonts w:ascii="Arial" w:cs="Arial" w:eastAsia="Arial" w:hAnsi="Arial"/>
          <w:sz w:val="14"/>
          <w:szCs w:val="14"/>
          <w:color w:val="auto"/>
        </w:rPr>
      </w:pPr>
    </w:p>
    <w:p>
      <w:pPr>
        <w:ind w:left="1620" w:hanging="352"/>
        <w:spacing w:after="0"/>
        <w:tabs>
          <w:tab w:leader="none" w:pos="16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weighted average exercise price in column (b) does not take into account the awards in note (1) above.</w:t>
      </w:r>
    </w:p>
    <w:p>
      <w:pPr>
        <w:spacing w:after="0" w:line="149" w:lineRule="exact"/>
        <w:rPr>
          <w:rFonts w:ascii="Arial" w:cs="Arial" w:eastAsia="Arial" w:hAnsi="Arial"/>
          <w:sz w:val="14"/>
          <w:szCs w:val="14"/>
          <w:color w:val="auto"/>
        </w:rPr>
      </w:pPr>
    </w:p>
    <w:p>
      <w:pPr>
        <w:ind w:left="1620" w:hanging="352"/>
        <w:spacing w:after="0"/>
        <w:tabs>
          <w:tab w:leader="none" w:pos="16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402,881 shares available for issuance under the Employee Stock Purchase Plan.</w:t>
      </w:r>
    </w:p>
    <w:p>
      <w:pPr>
        <w:spacing w:after="0" w:line="120"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004FF9"/>
        </w:rPr>
        <w:t>Security Ownership of</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Management and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100965</wp:posOffset>
            </wp:positionV>
            <wp:extent cx="52139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SECURITY OWNERSHIP OF MANAGEMENT</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AND CERTAIN BENEFICIAL OWNERS</w:t>
      </w:r>
    </w:p>
    <w:p>
      <w:pPr>
        <w:spacing w:after="0" w:line="100" w:lineRule="exact"/>
        <w:rPr>
          <w:sz w:val="20"/>
          <w:szCs w:val="20"/>
          <w:color w:val="auto"/>
        </w:rPr>
      </w:pPr>
    </w:p>
    <w:p>
      <w:pPr>
        <w:jc w:val="both"/>
        <w:ind w:left="1260" w:right="739"/>
        <w:spacing w:after="0" w:line="250"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December 31, 2014, by (1) the persons or entities known to ABM to be beneficial owners of more than 5% of the shares of ABM common stock outstanding as of December 31, 2014, (2) each named executive officer, (3) each director and nominee and (4) all directors and executive officers as a group. Except as noted, each person has sole voting and investment power over the shares shown in the table.</w:t>
      </w:r>
    </w:p>
    <w:p>
      <w:pPr>
        <w:spacing w:after="0" w:line="100"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5620" w:type="dxa"/>
            <w:vAlign w:val="bottom"/>
            <w:tcBorders>
              <w:top w:val="single" w:sz="8" w:color="auto"/>
              <w:left w:val="single" w:sz="8" w:color="auto"/>
              <w:right w:val="single" w:sz="8" w:color="auto"/>
            </w:tcBorders>
            <w:shd w:val="clear" w:color="auto" w:fill="B1C9FD"/>
          </w:tcPr>
          <w:p>
            <w:pPr>
              <w:spacing w:after="0"/>
              <w:rPr>
                <w:sz w:val="24"/>
                <w:szCs w:val="24"/>
                <w:color w:val="auto"/>
              </w:rPr>
            </w:pPr>
          </w:p>
        </w:tc>
        <w:tc>
          <w:tcPr>
            <w:tcW w:w="1300" w:type="dxa"/>
            <w:vAlign w:val="bottom"/>
            <w:tcBorders>
              <w:top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Amount and</w:t>
            </w:r>
          </w:p>
        </w:tc>
        <w:tc>
          <w:tcPr>
            <w:tcW w:w="1300" w:type="dxa"/>
            <w:vAlign w:val="bottom"/>
            <w:tcBorders>
              <w:top w:val="single" w:sz="8" w:color="auto"/>
              <w:right w:val="single" w:sz="8" w:color="auto"/>
            </w:tcBorders>
            <w:vMerge w:val="restart"/>
            <w:shd w:val="clear" w:color="auto" w:fill="B1C9FD"/>
          </w:tcPr>
          <w:p>
            <w:pPr>
              <w:jc w:val="center"/>
              <w:spacing w:after="0"/>
              <w:rPr>
                <w:sz w:val="20"/>
                <w:szCs w:val="20"/>
                <w:color w:val="auto"/>
              </w:rPr>
            </w:pPr>
            <w:r>
              <w:rPr>
                <w:rFonts w:ascii="Arial" w:cs="Arial" w:eastAsia="Arial" w:hAnsi="Arial"/>
                <w:sz w:val="14"/>
                <w:szCs w:val="14"/>
                <w:b w:val="1"/>
                <w:bCs w:val="1"/>
                <w:color w:val="004FF9"/>
              </w:rPr>
              <w:t>Percent</w:t>
            </w:r>
          </w:p>
        </w:tc>
        <w:tc>
          <w:tcPr>
            <w:tcW w:w="0" w:type="dxa"/>
            <w:vAlign w:val="bottom"/>
          </w:tcPr>
          <w:p>
            <w:pPr>
              <w:spacing w:after="0"/>
              <w:rPr>
                <w:sz w:val="1"/>
                <w:szCs w:val="1"/>
                <w:color w:val="auto"/>
              </w:rPr>
            </w:pPr>
          </w:p>
        </w:tc>
      </w:tr>
      <w:tr>
        <w:trPr>
          <w:trHeight w:val="148"/>
        </w:trPr>
        <w:tc>
          <w:tcPr>
            <w:tcW w:w="5620" w:type="dxa"/>
            <w:vAlign w:val="bottom"/>
            <w:tcBorders>
              <w:left w:val="single" w:sz="8" w:color="auto"/>
              <w:right w:val="single" w:sz="8" w:color="auto"/>
            </w:tcBorders>
            <w:shd w:val="clear" w:color="auto" w:fill="B1C9FD"/>
          </w:tcPr>
          <w:p>
            <w:pPr>
              <w:spacing w:after="0"/>
              <w:rPr>
                <w:sz w:val="12"/>
                <w:szCs w:val="12"/>
                <w:color w:val="auto"/>
              </w:rPr>
            </w:pPr>
          </w:p>
        </w:tc>
        <w:tc>
          <w:tcPr>
            <w:tcW w:w="1300" w:type="dxa"/>
            <w:vAlign w:val="bottom"/>
            <w:tcBorders>
              <w:right w:val="single" w:sz="8" w:color="auto"/>
            </w:tcBorders>
            <w:shd w:val="clear" w:color="auto" w:fill="B1C9FD"/>
          </w:tcPr>
          <w:p>
            <w:pPr>
              <w:jc w:val="center"/>
              <w:spacing w:after="0" w:line="149" w:lineRule="exact"/>
              <w:rPr>
                <w:sz w:val="20"/>
                <w:szCs w:val="20"/>
                <w:color w:val="auto"/>
              </w:rPr>
            </w:pPr>
            <w:r>
              <w:rPr>
                <w:rFonts w:ascii="Arial" w:cs="Arial" w:eastAsia="Arial" w:hAnsi="Arial"/>
                <w:sz w:val="14"/>
                <w:szCs w:val="14"/>
                <w:b w:val="1"/>
                <w:bCs w:val="1"/>
                <w:color w:val="004FF9"/>
                <w:w w:val="99"/>
              </w:rPr>
              <w:t>Nature</w:t>
            </w:r>
          </w:p>
        </w:tc>
        <w:tc>
          <w:tcPr>
            <w:tcW w:w="1300" w:type="dxa"/>
            <w:vAlign w:val="bottom"/>
            <w:tcBorders>
              <w:right w:val="single" w:sz="8" w:color="auto"/>
            </w:tcBorders>
            <w:vMerge w:val="continue"/>
            <w:shd w:val="clear" w:color="auto" w:fill="B1C9F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20" w:type="dxa"/>
            <w:vAlign w:val="bottom"/>
            <w:tcBorders>
              <w:left w:val="single" w:sz="8" w:color="auto"/>
              <w:right w:val="single" w:sz="8" w:color="auto"/>
            </w:tcBorders>
            <w:vMerge w:val="restart"/>
            <w:shd w:val="clear" w:color="auto" w:fill="B1C9FD"/>
          </w:tcPr>
          <w:p>
            <w:pPr>
              <w:ind w:left="60"/>
              <w:spacing w:after="0"/>
              <w:rPr>
                <w:sz w:val="20"/>
                <w:szCs w:val="20"/>
                <w:color w:val="auto"/>
              </w:rPr>
            </w:pPr>
            <w:r>
              <w:rPr>
                <w:rFonts w:ascii="Arial" w:cs="Arial" w:eastAsia="Arial" w:hAnsi="Arial"/>
                <w:sz w:val="14"/>
                <w:szCs w:val="14"/>
                <w:b w:val="1"/>
                <w:bCs w:val="1"/>
                <w:color w:val="004FF9"/>
              </w:rPr>
              <w:t>Name and Address</w:t>
            </w:r>
            <w:r>
              <w:rPr>
                <w:rFonts w:ascii="Arial" w:cs="Arial" w:eastAsia="Arial" w:hAnsi="Arial"/>
                <w:sz w:val="21"/>
                <w:szCs w:val="21"/>
                <w:b w:val="1"/>
                <w:bCs w:val="1"/>
                <w:color w:val="004FF9"/>
                <w:vertAlign w:val="superscript"/>
              </w:rPr>
              <w:t>(1)</w:t>
            </w:r>
          </w:p>
        </w:tc>
        <w:tc>
          <w:tcPr>
            <w:tcW w:w="13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of Beneficial</w:t>
            </w:r>
          </w:p>
        </w:tc>
        <w:tc>
          <w:tcPr>
            <w:tcW w:w="1300" w:type="dxa"/>
            <w:vAlign w:val="bottom"/>
            <w:tcBorders>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of</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bottom w:val="single" w:sz="8" w:color="auto"/>
              <w:right w:val="single" w:sz="8" w:color="auto"/>
            </w:tcBorders>
            <w:vMerge w:val="continue"/>
            <w:shd w:val="clear" w:color="auto" w:fill="B1C9FD"/>
          </w:tcPr>
          <w:p>
            <w:pPr>
              <w:spacing w:after="0"/>
              <w:rPr>
                <w:sz w:val="18"/>
                <w:szCs w:val="18"/>
                <w:color w:val="auto"/>
              </w:rPr>
            </w:pPr>
          </w:p>
        </w:tc>
        <w:tc>
          <w:tcPr>
            <w:tcW w:w="1300" w:type="dxa"/>
            <w:vAlign w:val="bottom"/>
            <w:tcBorders>
              <w:bottom w:val="single" w:sz="8" w:color="auto"/>
              <w:right w:val="single" w:sz="8" w:color="auto"/>
            </w:tcBorders>
            <w:shd w:val="clear" w:color="auto" w:fill="B1C9FD"/>
          </w:tcPr>
          <w:p>
            <w:pPr>
              <w:jc w:val="center"/>
              <w:spacing w:after="0"/>
              <w:rPr>
                <w:sz w:val="20"/>
                <w:szCs w:val="20"/>
                <w:color w:val="auto"/>
              </w:rPr>
            </w:pPr>
            <w:r>
              <w:rPr>
                <w:rFonts w:ascii="Arial" w:cs="Arial" w:eastAsia="Arial" w:hAnsi="Arial"/>
                <w:sz w:val="14"/>
                <w:szCs w:val="14"/>
                <w:b w:val="1"/>
                <w:bCs w:val="1"/>
                <w:color w:val="004FF9"/>
              </w:rPr>
              <w:t>Ownership</w:t>
            </w:r>
          </w:p>
        </w:tc>
        <w:tc>
          <w:tcPr>
            <w:tcW w:w="1300" w:type="dxa"/>
            <w:vAlign w:val="bottom"/>
            <w:tcBorders>
              <w:bottom w:val="single" w:sz="8" w:color="auto"/>
              <w:right w:val="single" w:sz="8" w:color="auto"/>
            </w:tcBorders>
            <w:shd w:val="clear" w:color="auto" w:fill="B1C9FD"/>
          </w:tcPr>
          <w:p>
            <w:pPr>
              <w:jc w:val="center"/>
              <w:spacing w:after="0" w:line="216" w:lineRule="exact"/>
              <w:rPr>
                <w:sz w:val="20"/>
                <w:szCs w:val="20"/>
                <w:color w:val="auto"/>
              </w:rPr>
            </w:pPr>
            <w:r>
              <w:rPr>
                <w:rFonts w:ascii="Arial" w:cs="Arial" w:eastAsia="Arial" w:hAnsi="Arial"/>
                <w:sz w:val="14"/>
                <w:szCs w:val="14"/>
                <w:b w:val="1"/>
                <w:bCs w:val="1"/>
                <w:color w:val="004FF9"/>
                <w:w w:val="95"/>
              </w:rPr>
              <w:t>Class</w:t>
            </w:r>
            <w:r>
              <w:rPr>
                <w:rFonts w:ascii="Arial" w:cs="Arial" w:eastAsia="Arial" w:hAnsi="Arial"/>
                <w:sz w:val="21"/>
                <w:szCs w:val="21"/>
                <w:b w:val="1"/>
                <w:bCs w:val="1"/>
                <w:color w:val="004FF9"/>
                <w:w w:val="95"/>
                <w:vertAlign w:val="superscript"/>
              </w:rPr>
              <w:t>(2)</w:t>
            </w:r>
          </w:p>
        </w:tc>
        <w:tc>
          <w:tcPr>
            <w:tcW w:w="0" w:type="dxa"/>
            <w:vAlign w:val="bottom"/>
          </w:tcPr>
          <w:p>
            <w:pPr>
              <w:spacing w:after="0"/>
              <w:rPr>
                <w:sz w:val="1"/>
                <w:szCs w:val="1"/>
                <w:color w:val="auto"/>
              </w:rPr>
            </w:pPr>
          </w:p>
        </w:tc>
      </w:tr>
      <w:tr>
        <w:trPr>
          <w:trHeight w:val="211"/>
        </w:trPr>
        <w:tc>
          <w:tcPr>
            <w:tcW w:w="5620" w:type="dxa"/>
            <w:vAlign w:val="bottom"/>
            <w:tcBorders>
              <w:left w:val="single" w:sz="8" w:color="auto"/>
              <w:right w:val="single" w:sz="8" w:color="auto"/>
            </w:tcBorders>
          </w:tcPr>
          <w:p>
            <w:pPr>
              <w:ind w:left="60"/>
              <w:spacing w:after="0" w:line="211" w:lineRule="exact"/>
              <w:rPr>
                <w:sz w:val="20"/>
                <w:szCs w:val="20"/>
                <w:color w:val="auto"/>
              </w:rPr>
            </w:pPr>
            <w:r>
              <w:rPr>
                <w:rFonts w:ascii="Arial" w:cs="Arial" w:eastAsia="Arial" w:hAnsi="Arial"/>
                <w:sz w:val="16"/>
                <w:szCs w:val="16"/>
                <w:color w:val="auto"/>
              </w:rPr>
              <w:t>Bank of America Corporation</w:t>
            </w:r>
            <w:r>
              <w:rPr>
                <w:rFonts w:ascii="Arial" w:cs="Arial" w:eastAsia="Arial" w:hAnsi="Arial"/>
                <w:sz w:val="24"/>
                <w:szCs w:val="24"/>
                <w:color w:val="auto"/>
                <w:vertAlign w:val="superscript"/>
              </w:rPr>
              <w:t>(3)</w:t>
            </w:r>
          </w:p>
        </w:tc>
        <w:tc>
          <w:tcPr>
            <w:tcW w:w="13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directly and on behalf of certain subsidiaries</w:t>
            </w: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100 North Tryon Street, Floor 25</w:t>
            </w: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Bank of America Corporate Center</w:t>
            </w: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Charlotte, NC 28255</w:t>
            </w:r>
          </w:p>
        </w:tc>
        <w:tc>
          <w:tcPr>
            <w:tcW w:w="13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3,431,631</w:t>
            </w:r>
          </w:p>
        </w:tc>
        <w:tc>
          <w:tcPr>
            <w:tcW w:w="13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83"/>
        </w:trPr>
        <w:tc>
          <w:tcPr>
            <w:tcW w:w="5620" w:type="dxa"/>
            <w:vAlign w:val="bottom"/>
            <w:tcBorders>
              <w:left w:val="single" w:sz="8" w:color="auto"/>
              <w:right w:val="single" w:sz="8" w:color="auto"/>
            </w:tcBorders>
          </w:tcPr>
          <w:p>
            <w:pPr>
              <w:ind w:left="60"/>
              <w:spacing w:after="0" w:line="183" w:lineRule="exact"/>
              <w:rPr>
                <w:sz w:val="20"/>
                <w:szCs w:val="20"/>
                <w:color w:val="auto"/>
              </w:rPr>
            </w:pPr>
            <w:r>
              <w:rPr>
                <w:rFonts w:ascii="Arial" w:cs="Arial" w:eastAsia="Arial" w:hAnsi="Arial"/>
                <w:sz w:val="14"/>
                <w:szCs w:val="14"/>
                <w:color w:val="auto"/>
              </w:rPr>
              <w:t>Blackrock, Inc.</w:t>
            </w:r>
            <w:r>
              <w:rPr>
                <w:rFonts w:ascii="Arial" w:cs="Arial" w:eastAsia="Arial" w:hAnsi="Arial"/>
                <w:sz w:val="21"/>
                <w:szCs w:val="21"/>
                <w:color w:val="auto"/>
                <w:vertAlign w:val="superscript"/>
              </w:rPr>
              <w:t>(4)</w:t>
            </w:r>
          </w:p>
        </w:tc>
        <w:tc>
          <w:tcPr>
            <w:tcW w:w="13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right w:val="single" w:sz="8" w:color="auto"/>
            </w:tcBorders>
          </w:tcPr>
          <w:p>
            <w:pPr>
              <w:ind w:left="380"/>
              <w:spacing w:after="0" w:line="238" w:lineRule="exact"/>
              <w:rPr>
                <w:sz w:val="20"/>
                <w:szCs w:val="20"/>
                <w:color w:val="auto"/>
              </w:rPr>
            </w:pPr>
            <w:r>
              <w:rPr>
                <w:rFonts w:ascii="Arial" w:cs="Arial" w:eastAsia="Arial" w:hAnsi="Arial"/>
                <w:sz w:val="16"/>
                <w:szCs w:val="16"/>
                <w:color w:val="auto"/>
              </w:rPr>
              <w:t>40 East 52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Street</w:t>
            </w:r>
          </w:p>
        </w:tc>
        <w:tc>
          <w:tcPr>
            <w:tcW w:w="13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New York, NY 10022</w:t>
            </w:r>
          </w:p>
        </w:tc>
        <w:tc>
          <w:tcPr>
            <w:tcW w:w="13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4,618,341</w:t>
            </w:r>
          </w:p>
        </w:tc>
        <w:tc>
          <w:tcPr>
            <w:tcW w:w="13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18"/>
        </w:trPr>
        <w:tc>
          <w:tcPr>
            <w:tcW w:w="5620" w:type="dxa"/>
            <w:vAlign w:val="bottom"/>
            <w:tcBorders>
              <w:left w:val="single" w:sz="8" w:color="auto"/>
              <w:right w:val="single" w:sz="8" w:color="auto"/>
            </w:tcBorders>
          </w:tcPr>
          <w:p>
            <w:pPr>
              <w:ind w:left="60"/>
              <w:spacing w:after="0" w:line="217" w:lineRule="exact"/>
              <w:rPr>
                <w:sz w:val="20"/>
                <w:szCs w:val="20"/>
                <w:color w:val="auto"/>
              </w:rPr>
            </w:pPr>
            <w:r>
              <w:rPr>
                <w:rFonts w:ascii="Arial" w:cs="Arial" w:eastAsia="Arial" w:hAnsi="Arial"/>
                <w:sz w:val="16"/>
                <w:szCs w:val="16"/>
                <w:color w:val="auto"/>
              </w:rPr>
              <w:t>Lord Michael A. Ashcroft</w:t>
            </w:r>
            <w:r>
              <w:rPr>
                <w:rFonts w:ascii="Arial" w:cs="Arial" w:eastAsia="Arial" w:hAnsi="Arial"/>
                <w:sz w:val="25"/>
                <w:szCs w:val="25"/>
                <w:color w:val="auto"/>
                <w:vertAlign w:val="superscript"/>
              </w:rPr>
              <w:t>(5)</w:t>
            </w:r>
          </w:p>
        </w:tc>
        <w:tc>
          <w:tcPr>
            <w:tcW w:w="13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4 Marine Parade</w:t>
            </w: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Belize City, Belize</w:t>
            </w:r>
          </w:p>
        </w:tc>
        <w:tc>
          <w:tcPr>
            <w:tcW w:w="13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2,909,842</w:t>
            </w:r>
          </w:p>
        </w:tc>
        <w:tc>
          <w:tcPr>
            <w:tcW w:w="13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8"/>
        </w:trPr>
        <w:tc>
          <w:tcPr>
            <w:tcW w:w="5620" w:type="dxa"/>
            <w:vAlign w:val="bottom"/>
            <w:tcBorders>
              <w:left w:val="single" w:sz="8" w:color="auto"/>
              <w:right w:val="single" w:sz="8" w:color="auto"/>
            </w:tcBorders>
          </w:tcPr>
          <w:p>
            <w:pPr>
              <w:ind w:left="60"/>
              <w:spacing w:after="0" w:line="217" w:lineRule="exact"/>
              <w:rPr>
                <w:sz w:val="20"/>
                <w:szCs w:val="20"/>
                <w:color w:val="auto"/>
              </w:rPr>
            </w:pPr>
            <w:r>
              <w:rPr>
                <w:rFonts w:ascii="Arial" w:cs="Arial" w:eastAsia="Arial" w:hAnsi="Arial"/>
                <w:sz w:val="16"/>
                <w:szCs w:val="16"/>
                <w:color w:val="auto"/>
              </w:rPr>
              <w:t>Vanguard Group, Inc.</w:t>
            </w:r>
            <w:r>
              <w:rPr>
                <w:rFonts w:ascii="Arial" w:cs="Arial" w:eastAsia="Arial" w:hAnsi="Arial"/>
                <w:sz w:val="25"/>
                <w:szCs w:val="25"/>
                <w:color w:val="auto"/>
                <w:vertAlign w:val="superscript"/>
              </w:rPr>
              <w:t>(6)</w:t>
            </w:r>
          </w:p>
        </w:tc>
        <w:tc>
          <w:tcPr>
            <w:tcW w:w="13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100 Vanguard Blvd.</w:t>
            </w:r>
          </w:p>
        </w:tc>
        <w:tc>
          <w:tcPr>
            <w:tcW w:w="13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Malvern, PA 19355</w:t>
            </w:r>
          </w:p>
        </w:tc>
        <w:tc>
          <w:tcPr>
            <w:tcW w:w="13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3,504,139</w:t>
            </w:r>
          </w:p>
        </w:tc>
        <w:tc>
          <w:tcPr>
            <w:tcW w:w="13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Linda Chavez</w:t>
            </w:r>
          </w:p>
        </w:tc>
        <w:tc>
          <w:tcPr>
            <w:tcW w:w="1300" w:type="dxa"/>
            <w:vAlign w:val="bottom"/>
            <w:tcBorders>
              <w:bottom w:val="single" w:sz="8" w:color="auto"/>
              <w:right w:val="single" w:sz="8" w:color="auto"/>
            </w:tcBorders>
          </w:tcPr>
          <w:p>
            <w:pPr>
              <w:jc w:val="right"/>
              <w:ind w:right="62"/>
              <w:spacing w:after="0" w:line="242" w:lineRule="exact"/>
              <w:rPr>
                <w:sz w:val="20"/>
                <w:szCs w:val="20"/>
                <w:color w:val="auto"/>
              </w:rPr>
            </w:pPr>
            <w:r>
              <w:rPr>
                <w:rFonts w:ascii="Arial" w:cs="Arial" w:eastAsia="Arial" w:hAnsi="Arial"/>
                <w:sz w:val="16"/>
                <w:szCs w:val="16"/>
                <w:color w:val="auto"/>
              </w:rPr>
              <w:t>29,295</w:t>
            </w:r>
            <w:r>
              <w:rPr>
                <w:rFonts w:ascii="Arial" w:cs="Arial" w:eastAsia="Arial" w:hAnsi="Arial"/>
                <w:sz w:val="25"/>
                <w:szCs w:val="25"/>
                <w:color w:val="auto"/>
                <w:vertAlign w:val="superscript"/>
              </w:rPr>
              <w:t>(7)</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 Philip Ferguson</w:t>
            </w:r>
          </w:p>
        </w:tc>
        <w:tc>
          <w:tcPr>
            <w:tcW w:w="13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26,322</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Anthony G. Fernandes</w:t>
            </w:r>
          </w:p>
        </w:tc>
        <w:tc>
          <w:tcPr>
            <w:tcW w:w="13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31,255</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Luke S. Helms</w:t>
            </w:r>
          </w:p>
        </w:tc>
        <w:tc>
          <w:tcPr>
            <w:tcW w:w="1300" w:type="dxa"/>
            <w:vAlign w:val="bottom"/>
            <w:tcBorders>
              <w:bottom w:val="single" w:sz="8" w:color="auto"/>
              <w:right w:val="single" w:sz="8" w:color="auto"/>
            </w:tcBorders>
          </w:tcPr>
          <w:p>
            <w:pPr>
              <w:jc w:val="right"/>
              <w:ind w:right="62"/>
              <w:spacing w:after="0" w:line="242" w:lineRule="exact"/>
              <w:rPr>
                <w:sz w:val="20"/>
                <w:szCs w:val="20"/>
                <w:color w:val="auto"/>
              </w:rPr>
            </w:pPr>
            <w:r>
              <w:rPr>
                <w:rFonts w:ascii="Arial" w:cs="Arial" w:eastAsia="Arial" w:hAnsi="Arial"/>
                <w:sz w:val="16"/>
                <w:szCs w:val="16"/>
                <w:color w:val="auto"/>
              </w:rPr>
              <w:t>95,703</w:t>
            </w:r>
            <w:r>
              <w:rPr>
                <w:rFonts w:ascii="Arial" w:cs="Arial" w:eastAsia="Arial" w:hAnsi="Arial"/>
                <w:sz w:val="25"/>
                <w:szCs w:val="25"/>
                <w:color w:val="auto"/>
                <w:vertAlign w:val="superscript"/>
              </w:rPr>
              <w:t>(8)</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Maryellen C. Herringer</w:t>
            </w:r>
          </w:p>
        </w:tc>
        <w:tc>
          <w:tcPr>
            <w:tcW w:w="1300" w:type="dxa"/>
            <w:vAlign w:val="bottom"/>
            <w:tcBorders>
              <w:bottom w:val="single" w:sz="8" w:color="auto"/>
              <w:right w:val="single" w:sz="8" w:color="auto"/>
            </w:tcBorders>
          </w:tcPr>
          <w:p>
            <w:pPr>
              <w:jc w:val="right"/>
              <w:ind w:right="62"/>
              <w:spacing w:after="0" w:line="236" w:lineRule="exact"/>
              <w:rPr>
                <w:sz w:val="20"/>
                <w:szCs w:val="20"/>
                <w:color w:val="auto"/>
              </w:rPr>
            </w:pPr>
            <w:r>
              <w:rPr>
                <w:rFonts w:ascii="Arial" w:cs="Arial" w:eastAsia="Arial" w:hAnsi="Arial"/>
                <w:sz w:val="16"/>
                <w:szCs w:val="16"/>
                <w:color w:val="auto"/>
              </w:rPr>
              <w:t>143,331</w:t>
            </w:r>
            <w:r>
              <w:rPr>
                <w:rFonts w:ascii="Arial" w:cs="Arial" w:eastAsia="Arial" w:hAnsi="Arial"/>
                <w:sz w:val="25"/>
                <w:szCs w:val="25"/>
                <w:color w:val="auto"/>
                <w:vertAlign w:val="superscript"/>
              </w:rPr>
              <w:t>(9)</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Sudhakar Kesavan</w:t>
            </w:r>
          </w:p>
        </w:tc>
        <w:tc>
          <w:tcPr>
            <w:tcW w:w="13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9,705</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S. Lusk</w:t>
            </w:r>
          </w:p>
        </w:tc>
        <w:tc>
          <w:tcPr>
            <w:tcW w:w="1300" w:type="dxa"/>
            <w:vAlign w:val="bottom"/>
            <w:tcBorders>
              <w:bottom w:val="single" w:sz="8" w:color="auto"/>
              <w:right w:val="single" w:sz="8" w:color="auto"/>
            </w:tcBorders>
          </w:tcPr>
          <w:p>
            <w:pPr>
              <w:jc w:val="right"/>
              <w:spacing w:after="0" w:line="242" w:lineRule="exact"/>
              <w:rPr>
                <w:sz w:val="20"/>
                <w:szCs w:val="20"/>
                <w:color w:val="auto"/>
              </w:rPr>
            </w:pPr>
            <w:r>
              <w:rPr>
                <w:rFonts w:ascii="Arial" w:cs="Arial" w:eastAsia="Arial" w:hAnsi="Arial"/>
                <w:sz w:val="16"/>
                <w:szCs w:val="16"/>
                <w:color w:val="auto"/>
              </w:rPr>
              <w:t>81,523</w:t>
            </w:r>
            <w:r>
              <w:rPr>
                <w:rFonts w:ascii="Arial" w:cs="Arial" w:eastAsia="Arial" w:hAnsi="Arial"/>
                <w:sz w:val="25"/>
                <w:szCs w:val="25"/>
                <w:color w:val="auto"/>
                <w:vertAlign w:val="superscript"/>
              </w:rPr>
              <w:t>(10)</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P. McClure</w:t>
            </w:r>
          </w:p>
        </w:tc>
        <w:tc>
          <w:tcPr>
            <w:tcW w:w="13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106,944</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Sarah H. McConnell</w:t>
            </w:r>
          </w:p>
        </w:tc>
        <w:tc>
          <w:tcPr>
            <w:tcW w:w="1300" w:type="dxa"/>
            <w:vAlign w:val="bottom"/>
            <w:tcBorders>
              <w:bottom w:val="single" w:sz="8" w:color="auto"/>
              <w:right w:val="single" w:sz="8" w:color="auto"/>
            </w:tcBorders>
          </w:tcPr>
          <w:p>
            <w:pPr>
              <w:jc w:val="right"/>
              <w:spacing w:after="0" w:line="242" w:lineRule="exact"/>
              <w:rPr>
                <w:sz w:val="20"/>
                <w:szCs w:val="20"/>
                <w:color w:val="auto"/>
              </w:rPr>
            </w:pPr>
            <w:r>
              <w:rPr>
                <w:rFonts w:ascii="Arial" w:cs="Arial" w:eastAsia="Arial" w:hAnsi="Arial"/>
                <w:sz w:val="16"/>
                <w:szCs w:val="16"/>
                <w:color w:val="auto"/>
              </w:rPr>
              <w:t>78,180</w:t>
            </w:r>
            <w:r>
              <w:rPr>
                <w:rFonts w:ascii="Arial" w:cs="Arial" w:eastAsia="Arial" w:hAnsi="Arial"/>
                <w:sz w:val="25"/>
                <w:szCs w:val="25"/>
                <w:color w:val="auto"/>
                <w:vertAlign w:val="superscript"/>
              </w:rPr>
              <w:t>(11)</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Tracy K. Price</w:t>
            </w:r>
          </w:p>
        </w:tc>
        <w:tc>
          <w:tcPr>
            <w:tcW w:w="130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129,123</w:t>
            </w:r>
            <w:r>
              <w:rPr>
                <w:rFonts w:ascii="Arial" w:cs="Arial" w:eastAsia="Arial" w:hAnsi="Arial"/>
                <w:sz w:val="25"/>
                <w:szCs w:val="25"/>
                <w:color w:val="auto"/>
                <w:vertAlign w:val="superscript"/>
              </w:rPr>
              <w:t>(12)</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Henrik C. Slipsager</w:t>
            </w:r>
          </w:p>
        </w:tc>
        <w:tc>
          <w:tcPr>
            <w:tcW w:w="130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543,715</w:t>
            </w:r>
            <w:r>
              <w:rPr>
                <w:rFonts w:ascii="Arial" w:cs="Arial" w:eastAsia="Arial" w:hAnsi="Arial"/>
                <w:sz w:val="25"/>
                <w:szCs w:val="25"/>
                <w:color w:val="auto"/>
                <w:vertAlign w:val="superscript"/>
              </w:rPr>
              <w:t>(13)</w:t>
            </w:r>
          </w:p>
        </w:tc>
        <w:tc>
          <w:tcPr>
            <w:tcW w:w="13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William W. Steele</w:t>
            </w:r>
          </w:p>
        </w:tc>
        <w:tc>
          <w:tcPr>
            <w:tcW w:w="130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186,939</w:t>
            </w:r>
            <w:r>
              <w:rPr>
                <w:rFonts w:ascii="Arial" w:cs="Arial" w:eastAsia="Arial" w:hAnsi="Arial"/>
                <w:sz w:val="25"/>
                <w:szCs w:val="25"/>
                <w:color w:val="auto"/>
                <w:vertAlign w:val="superscript"/>
              </w:rPr>
              <w:t>(14)</w:t>
            </w:r>
          </w:p>
        </w:tc>
        <w:tc>
          <w:tcPr>
            <w:tcW w:w="130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Winifred Markus Webb</w:t>
            </w:r>
          </w:p>
        </w:tc>
        <w:tc>
          <w:tcPr>
            <w:tcW w:w="130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(15)</w:t>
            </w:r>
          </w:p>
        </w:tc>
        <w:tc>
          <w:tcPr>
            <w:tcW w:w="1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Executive officers and directors as a group (18 persons)</w:t>
            </w:r>
          </w:p>
        </w:tc>
        <w:tc>
          <w:tcPr>
            <w:tcW w:w="1300" w:type="dxa"/>
            <w:vAlign w:val="bottom"/>
            <w:tcBorders>
              <w:bottom w:val="single" w:sz="8" w:color="auto"/>
              <w:right w:val="single" w:sz="8" w:color="auto"/>
            </w:tcBorders>
          </w:tcPr>
          <w:p>
            <w:pPr>
              <w:jc w:val="right"/>
              <w:spacing w:after="0" w:line="236" w:lineRule="exact"/>
              <w:rPr>
                <w:sz w:val="20"/>
                <w:szCs w:val="20"/>
                <w:color w:val="auto"/>
              </w:rPr>
            </w:pPr>
            <w:r>
              <w:rPr>
                <w:rFonts w:ascii="Arial" w:cs="Arial" w:eastAsia="Arial" w:hAnsi="Arial"/>
                <w:sz w:val="16"/>
                <w:szCs w:val="16"/>
                <w:color w:val="auto"/>
              </w:rPr>
              <w:t>1,659,401</w:t>
            </w:r>
            <w:r>
              <w:rPr>
                <w:rFonts w:ascii="Arial" w:cs="Arial" w:eastAsia="Arial" w:hAnsi="Arial"/>
                <w:sz w:val="25"/>
                <w:szCs w:val="25"/>
                <w:color w:val="auto"/>
                <w:vertAlign w:val="superscript"/>
              </w:rPr>
              <w:t>(16)</w:t>
            </w:r>
          </w:p>
        </w:tc>
        <w:tc>
          <w:tcPr>
            <w:tcW w:w="130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*Less than 1%.</w:t>
      </w:r>
    </w:p>
    <w:p>
      <w:pPr>
        <w:spacing w:after="0" w:line="73" w:lineRule="exact"/>
        <w:rPr>
          <w:sz w:val="20"/>
          <w:szCs w:val="20"/>
          <w:color w:val="auto"/>
        </w:rPr>
      </w:pPr>
    </w:p>
    <w:p>
      <w:pPr>
        <w:ind w:left="1620" w:right="759" w:hanging="352"/>
        <w:spacing w:after="0" w:line="260" w:lineRule="auto"/>
        <w:tabs>
          <w:tab w:leader="none" w:pos="1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Unless otherwise indicated, the address of each of the beneficial owners listed below is ABM Industries Incorporated, 551 Fifth Avenue, Suite 300, New York, New York 10176.</w:t>
      </w:r>
    </w:p>
    <w:p>
      <w:pPr>
        <w:spacing w:after="0" w:line="60" w:lineRule="exact"/>
        <w:rPr>
          <w:rFonts w:ascii="Arial" w:cs="Arial" w:eastAsia="Arial" w:hAnsi="Arial"/>
          <w:sz w:val="16"/>
          <w:szCs w:val="16"/>
          <w:color w:val="auto"/>
        </w:rPr>
      </w:pPr>
    </w:p>
    <w:p>
      <w:pPr>
        <w:ind w:left="1620" w:hanging="352"/>
        <w:spacing w:after="0"/>
        <w:tabs>
          <w:tab w:leader="none" w:pos="1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a total of 55,826,242 shares of ABM common stock outstanding as of December 31, 2014.</w:t>
      </w:r>
    </w:p>
    <w:p>
      <w:pPr>
        <w:spacing w:after="0" w:line="72" w:lineRule="exact"/>
        <w:rPr>
          <w:rFonts w:ascii="Arial" w:cs="Arial" w:eastAsia="Arial" w:hAnsi="Arial"/>
          <w:sz w:val="16"/>
          <w:szCs w:val="16"/>
          <w:color w:val="auto"/>
        </w:rPr>
      </w:pPr>
    </w:p>
    <w:p>
      <w:pPr>
        <w:jc w:val="both"/>
        <w:ind w:left="1620" w:right="739" w:hanging="352"/>
        <w:spacing w:after="0" w:line="251" w:lineRule="auto"/>
        <w:tabs>
          <w:tab w:leader="none" w:pos="1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Share ownership is as of December 31, 2013. Based on a Schedule 13G filed by Bank of America Corporation (Bank of America) with the Securities and Exchange Commission on February 14, 2014. Bank of America indicated in the filing shared voting power for 3,348,231 shares and shared dispositive power for 3,341,631 shares.</w:t>
      </w:r>
    </w:p>
    <w:p>
      <w:pPr>
        <w:spacing w:after="0" w:line="67" w:lineRule="exact"/>
        <w:rPr>
          <w:rFonts w:ascii="Arial" w:cs="Arial" w:eastAsia="Arial" w:hAnsi="Arial"/>
          <w:sz w:val="16"/>
          <w:szCs w:val="16"/>
          <w:color w:val="auto"/>
        </w:rPr>
      </w:pPr>
    </w:p>
    <w:p>
      <w:pPr>
        <w:jc w:val="both"/>
        <w:ind w:left="1620" w:right="739" w:hanging="352"/>
        <w:spacing w:after="0" w:line="253" w:lineRule="auto"/>
        <w:tabs>
          <w:tab w:leader="none" w:pos="1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Share ownership is as of December 31, 2014. Based on a Schedule 13G filed by Blackrock, Inc. (Blackrock) with the Securities and Exchange Commission on January 23, 2015. Blackrock indicated in the filing sole voting power over 4,450,294 shares and sole dispositive power for all shares.</w:t>
      </w:r>
    </w:p>
    <w:p>
      <w:pPr>
        <w:spacing w:after="0" w:line="25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004FF9"/>
        </w:rPr>
        <w:t>Security Ownership of</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Management and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100965</wp:posOffset>
            </wp:positionV>
            <wp:extent cx="52139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both"/>
        <w:ind w:left="1620" w:right="759" w:hanging="352"/>
        <w:spacing w:after="0" w:line="253"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Share ownership is as of October 16, 2013. Based on a Schedule 13D filed by Lord Michael A. Ashcroft (Ashcroft) with the Securities and Exchange Commission on October 18, 2013. Ashcroft indicated in the filing sole voting power and sole dispositive power for all the shares.</w:t>
      </w:r>
    </w:p>
    <w:p>
      <w:pPr>
        <w:spacing w:after="0" w:line="147" w:lineRule="exact"/>
        <w:rPr>
          <w:rFonts w:ascii="Arial" w:cs="Arial" w:eastAsia="Arial" w:hAnsi="Arial"/>
          <w:sz w:val="16"/>
          <w:szCs w:val="16"/>
          <w:color w:val="auto"/>
        </w:rPr>
      </w:pPr>
    </w:p>
    <w:p>
      <w:pPr>
        <w:jc w:val="both"/>
        <w:ind w:left="1620" w:right="759" w:hanging="352"/>
        <w:spacing w:after="0" w:line="251"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Share ownership is as of December 31, 2013. Based on the Schedule 13G filed by The Vanguard Group, Inc. (Vanguard) with the Securities and Exchange Commission on February 10, 2014. Vanguard indicated in the filing sole voting power for 81,190 shares, sole dispositive voting power for 3,423,649 shares and shared power for 80,490 shares.</w:t>
      </w:r>
    </w:p>
    <w:p>
      <w:pPr>
        <w:spacing w:after="0" w:line="148" w:lineRule="exact"/>
        <w:rPr>
          <w:rFonts w:ascii="Arial" w:cs="Arial" w:eastAsia="Arial" w:hAnsi="Arial"/>
          <w:sz w:val="16"/>
          <w:szCs w:val="16"/>
          <w:color w:val="auto"/>
        </w:rPr>
      </w:pPr>
    </w:p>
    <w:p>
      <w:pPr>
        <w:ind w:left="1620" w:right="759" w:hanging="352"/>
        <w:spacing w:after="0" w:line="260"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16,000 shares subject to outstanding options that were exercisable on or within 60 days after December 31, 2014.</w:t>
      </w:r>
    </w:p>
    <w:p>
      <w:pPr>
        <w:spacing w:after="0" w:line="141" w:lineRule="exact"/>
        <w:rPr>
          <w:rFonts w:ascii="Arial" w:cs="Arial" w:eastAsia="Arial" w:hAnsi="Arial"/>
          <w:sz w:val="16"/>
          <w:szCs w:val="16"/>
          <w:color w:val="auto"/>
        </w:rPr>
      </w:pPr>
    </w:p>
    <w:p>
      <w:pPr>
        <w:ind w:left="1620" w:right="759" w:hanging="352"/>
        <w:spacing w:after="0" w:line="260"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22,000 shares subject to outstanding options that were exercisable on or within 60 days after December 31, 2014.</w:t>
      </w:r>
    </w:p>
    <w:p>
      <w:pPr>
        <w:spacing w:after="0" w:line="141" w:lineRule="exact"/>
        <w:rPr>
          <w:rFonts w:ascii="Arial" w:cs="Arial" w:eastAsia="Arial" w:hAnsi="Arial"/>
          <w:sz w:val="16"/>
          <w:szCs w:val="16"/>
          <w:color w:val="auto"/>
        </w:rPr>
      </w:pPr>
    </w:p>
    <w:p>
      <w:pPr>
        <w:ind w:left="1620" w:right="759" w:hanging="352"/>
        <w:spacing w:after="0" w:line="260"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22,000 shares subject to outstanding options that were exercisable on or within 60 days after December 31, 2014.</w:t>
      </w:r>
    </w:p>
    <w:p>
      <w:pPr>
        <w:spacing w:after="0" w:line="141" w:lineRule="exact"/>
        <w:rPr>
          <w:rFonts w:ascii="Arial" w:cs="Arial" w:eastAsia="Arial" w:hAnsi="Arial"/>
          <w:sz w:val="16"/>
          <w:szCs w:val="16"/>
          <w:color w:val="auto"/>
        </w:rPr>
      </w:pPr>
    </w:p>
    <w:p>
      <w:pPr>
        <w:ind w:left="1620" w:right="739" w:hanging="352"/>
        <w:spacing w:after="0" w:line="260"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4,986 shares subject to outstanding options that were exercisable on or within 60 days after December 31, 2014.</w:t>
      </w:r>
    </w:p>
    <w:p>
      <w:pPr>
        <w:spacing w:after="0" w:line="128" w:lineRule="exact"/>
        <w:rPr>
          <w:rFonts w:ascii="Arial" w:cs="Arial" w:eastAsia="Arial" w:hAnsi="Arial"/>
          <w:sz w:val="16"/>
          <w:szCs w:val="16"/>
          <w:color w:val="auto"/>
        </w:rPr>
      </w:pPr>
    </w:p>
    <w:p>
      <w:pPr>
        <w:ind w:left="1620" w:right="759" w:hanging="352"/>
        <w:spacing w:after="0" w:line="260"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24,790 shares subject to outstanding options that were exercisable on or within 60 days after December 31, 2014.</w:t>
      </w:r>
    </w:p>
    <w:p>
      <w:pPr>
        <w:spacing w:after="0" w:line="141" w:lineRule="exact"/>
        <w:rPr>
          <w:rFonts w:ascii="Arial" w:cs="Arial" w:eastAsia="Arial" w:hAnsi="Arial"/>
          <w:sz w:val="16"/>
          <w:szCs w:val="16"/>
          <w:color w:val="auto"/>
        </w:rPr>
      </w:pPr>
    </w:p>
    <w:p>
      <w:pPr>
        <w:ind w:left="1620" w:right="759" w:hanging="352"/>
        <w:spacing w:after="0" w:line="260"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46,865 shares subject to outstanding options that were exercisable on or within 60 days after December 31, 2014.</w:t>
      </w:r>
    </w:p>
    <w:p>
      <w:pPr>
        <w:spacing w:after="0" w:line="141" w:lineRule="exact"/>
        <w:rPr>
          <w:rFonts w:ascii="Arial" w:cs="Arial" w:eastAsia="Arial" w:hAnsi="Arial"/>
          <w:sz w:val="16"/>
          <w:szCs w:val="16"/>
          <w:color w:val="auto"/>
        </w:rPr>
      </w:pPr>
    </w:p>
    <w:p>
      <w:pPr>
        <w:ind w:left="1620" w:right="759" w:hanging="352"/>
        <w:spacing w:after="0" w:line="260"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300,261 shares subject to outstanding options that were exercisable on or within 60 days after December 31, 2014.</w:t>
      </w:r>
    </w:p>
    <w:p>
      <w:pPr>
        <w:spacing w:after="0" w:line="141" w:lineRule="exact"/>
        <w:rPr>
          <w:rFonts w:ascii="Arial" w:cs="Arial" w:eastAsia="Arial" w:hAnsi="Arial"/>
          <w:sz w:val="16"/>
          <w:szCs w:val="16"/>
          <w:color w:val="auto"/>
        </w:rPr>
      </w:pPr>
    </w:p>
    <w:p>
      <w:pPr>
        <w:jc w:val="both"/>
        <w:ind w:left="1620" w:right="759" w:hanging="352"/>
        <w:spacing w:after="0" w:line="253"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18,458 shares of ABM common shares held in a trust for his son, and 10,000 shares subject to outstanding options that were exercisable on or within 60 days after December 31, 2014. Mr. Steele disclaims beneficial ownership of the shares held by the trust.</w:t>
      </w:r>
    </w:p>
    <w:p>
      <w:pPr>
        <w:spacing w:after="0" w:line="147" w:lineRule="exact"/>
        <w:rPr>
          <w:rFonts w:ascii="Arial" w:cs="Arial" w:eastAsia="Arial" w:hAnsi="Arial"/>
          <w:sz w:val="16"/>
          <w:szCs w:val="16"/>
          <w:color w:val="auto"/>
        </w:rPr>
      </w:pPr>
    </w:p>
    <w:p>
      <w:pPr>
        <w:jc w:val="both"/>
        <w:ind w:left="1620" w:right="759" w:hanging="352"/>
        <w:spacing w:after="0" w:line="253"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Ms. Webb was appointed to the Board of Directors in December 2014, did not at that time, have a beneficial ownership interest in ABM common shares, and did not receive an equity award on or before December 31, 2014.</w:t>
      </w:r>
    </w:p>
    <w:p>
      <w:pPr>
        <w:spacing w:after="0" w:line="147" w:lineRule="exact"/>
        <w:rPr>
          <w:rFonts w:ascii="Arial" w:cs="Arial" w:eastAsia="Arial" w:hAnsi="Arial"/>
          <w:sz w:val="16"/>
          <w:szCs w:val="16"/>
          <w:color w:val="auto"/>
        </w:rPr>
      </w:pPr>
    </w:p>
    <w:p>
      <w:pPr>
        <w:jc w:val="both"/>
        <w:ind w:left="1620" w:right="759" w:hanging="352"/>
        <w:spacing w:after="0" w:line="253" w:lineRule="auto"/>
        <w:tabs>
          <w:tab w:leader="none" w:pos="1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those persons who were executive officers and directors on December 31, 2014 and includes 523,179 shares subject to outstanding options held by those executive officers and directors that were exercisable on or within 60 days after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168910</wp:posOffset>
            </wp:positionV>
            <wp:extent cx="720090" cy="3943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380" w:lineRule="exact"/>
        <w:rPr>
          <w:sz w:val="20"/>
          <w:szCs w:val="20"/>
          <w:color w:val="auto"/>
        </w:rPr>
      </w:pPr>
    </w:p>
    <w:p>
      <w:pPr>
        <w:jc w:val="right"/>
        <w:ind w:right="799"/>
        <w:spacing w:after="0"/>
        <w:rPr>
          <w:sz w:val="20"/>
          <w:szCs w:val="20"/>
          <w:color w:val="auto"/>
        </w:rPr>
      </w:pPr>
      <w:r>
        <w:rPr>
          <w:rFonts w:ascii="Arial" w:cs="Arial" w:eastAsia="Arial" w:hAnsi="Arial"/>
          <w:sz w:val="18"/>
          <w:szCs w:val="18"/>
          <w:color w:val="004FF9"/>
        </w:rPr>
        <w:t>Other Matters;</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004FF9"/>
        </w:rPr>
        <w:t>2016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100965</wp:posOffset>
            </wp:positionV>
            <wp:extent cx="52139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OTHER MATTERS</w:t>
      </w:r>
    </w:p>
    <w:p>
      <w:pPr>
        <w:spacing w:after="0" w:line="133" w:lineRule="exact"/>
        <w:rPr>
          <w:sz w:val="20"/>
          <w:szCs w:val="20"/>
          <w:color w:val="auto"/>
        </w:rPr>
      </w:pPr>
    </w:p>
    <w:p>
      <w:pPr>
        <w:jc w:val="both"/>
        <w:ind w:left="1260" w:right="739"/>
        <w:spacing w:after="0" w:line="250" w:lineRule="auto"/>
        <w:rPr>
          <w:sz w:val="20"/>
          <w:szCs w:val="20"/>
          <w:color w:val="auto"/>
        </w:rPr>
      </w:pPr>
      <w:r>
        <w:rPr>
          <w:rFonts w:ascii="Arial" w:cs="Arial" w:eastAsia="Arial" w:hAnsi="Arial"/>
          <w:sz w:val="16"/>
          <w:szCs w:val="16"/>
          <w:color w:val="auto"/>
        </w:rPr>
        <w:t>As of the date of this Proxy Statement, there are no other matters which the Board intends to present or has reason to believe others will present at the 2015 Annual Meeting. If other matters properly come before the Annual Meeting, the accompanying proxy grants the proxy holders discretionary authority to vote on any matter raised at the Annual Meeting, except to the extent such discretion may be limited under Rule 14a-4(c) under the Securities Exchange Act.</w:t>
      </w:r>
    </w:p>
    <w:p>
      <w:pPr>
        <w:spacing w:after="0" w:line="170"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2016 ANNUAL MEETING OF</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SHAREHOLDERS</w:t>
      </w:r>
    </w:p>
    <w:p>
      <w:pPr>
        <w:spacing w:after="0" w:line="113" w:lineRule="exact"/>
        <w:rPr>
          <w:sz w:val="20"/>
          <w:szCs w:val="20"/>
          <w:color w:val="auto"/>
        </w:rPr>
      </w:pPr>
    </w:p>
    <w:p>
      <w:pPr>
        <w:jc w:val="both"/>
        <w:ind w:left="1260" w:right="739"/>
        <w:spacing w:after="0" w:line="249" w:lineRule="auto"/>
        <w:rPr>
          <w:sz w:val="20"/>
          <w:szCs w:val="20"/>
          <w:color w:val="auto"/>
        </w:rPr>
      </w:pPr>
      <w:r>
        <w:rPr>
          <w:rFonts w:ascii="Arial" w:cs="Arial" w:eastAsia="Arial" w:hAnsi="Arial"/>
          <w:sz w:val="16"/>
          <w:szCs w:val="16"/>
          <w:color w:val="auto"/>
        </w:rPr>
        <w:t>Shareholder proposals intended for inclusion in the 2016 proxy statement pursuant to Rule 14a-8 under the Securities Exchange Act must be directed to the Corporate Secretary, ABM Industries Incorporated, 551 Fifth Avenue, Suite 300, New York, New York 10176, and must be received by October 12, 2015. ABM’s Bylaws require that proposals of shareholders made outside of Rule 14a-8 under the Securities Exchange Act must be submitted, in accordance with requirements of the Bylaws, not later than December 11, 2015 and not earlier than November 11,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APPENDIX A</w:t>
      </w:r>
    </w:p>
    <w:p>
      <w:pPr>
        <w:spacing w:after="0" w:line="208"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004FF9"/>
        </w:rPr>
        <w:t>Reconciliation of Non-GAAP Financial Measures</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21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004FF9"/>
              </w:rPr>
              <w:t>Year Ended October 31,</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004FF9"/>
                <w:w w:val="96"/>
              </w:rPr>
              <w:t>2014</w:t>
            </w:r>
          </w:p>
        </w:tc>
        <w:tc>
          <w:tcPr>
            <w:tcW w:w="3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004FF9"/>
                <w:w w:val="96"/>
              </w:rPr>
              <w:t>2013</w:t>
            </w:r>
          </w:p>
        </w:tc>
        <w:tc>
          <w:tcPr>
            <w:tcW w:w="3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Reconciliation of Adjusted Net Income to Net Income</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rPr>
                <w:sz w:val="20"/>
                <w:szCs w:val="20"/>
                <w:color w:val="auto"/>
              </w:rPr>
            </w:pPr>
            <w:r>
              <w:rPr>
                <w:rFonts w:ascii="Arial" w:cs="Arial" w:eastAsia="Arial" w:hAnsi="Arial"/>
                <w:sz w:val="16"/>
                <w:szCs w:val="16"/>
                <w:color w:val="auto"/>
              </w:rPr>
              <w:t>Adjusted 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89.5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Items impacting comparability:</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line="216" w:lineRule="exact"/>
              <w:rPr>
                <w:sz w:val="20"/>
                <w:szCs w:val="20"/>
                <w:color w:val="auto"/>
              </w:rPr>
            </w:pPr>
            <w:r>
              <w:rPr>
                <w:rFonts w:ascii="Arial" w:cs="Arial" w:eastAsia="Arial" w:hAnsi="Arial"/>
                <w:sz w:val="16"/>
                <w:szCs w:val="16"/>
                <w:color w:val="auto"/>
              </w:rPr>
              <w:t>Rebranding</w:t>
            </w:r>
            <w:r>
              <w:rPr>
                <w:rFonts w:ascii="Arial" w:cs="Arial" w:eastAsia="Arial" w:hAnsi="Arial"/>
                <w:sz w:val="25"/>
                <w:szCs w:val="25"/>
                <w:color w:val="auto"/>
                <w:vertAlign w:val="superscript"/>
              </w:rPr>
              <w:t>(a)</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U.S. Foreign Corrupt Practices Act investigation</w:t>
            </w:r>
            <w:r>
              <w:rPr>
                <w:rFonts w:ascii="Arial" w:cs="Arial" w:eastAsia="Arial" w:hAnsi="Arial"/>
                <w:sz w:val="25"/>
                <w:szCs w:val="25"/>
                <w:color w:val="auto"/>
                <w:vertAlign w:val="superscript"/>
              </w:rPr>
              <w:t>(b)</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rPr>
                <w:sz w:val="20"/>
                <w:szCs w:val="20"/>
                <w:color w:val="auto"/>
              </w:rPr>
            </w:pPr>
            <w:r>
              <w:rPr>
                <w:rFonts w:ascii="Arial" w:cs="Arial" w:eastAsia="Arial" w:hAnsi="Arial"/>
                <w:sz w:val="16"/>
                <w:szCs w:val="16"/>
                <w:color w:val="auto"/>
              </w:rPr>
              <w:t>Self-insurance adjustment</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costs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rPr>
                <w:sz w:val="20"/>
                <w:szCs w:val="20"/>
                <w:color w:val="auto"/>
              </w:rPr>
            </w:pPr>
            <w:r>
              <w:rPr>
                <w:rFonts w:ascii="Arial" w:cs="Arial" w:eastAsia="Arial" w:hAnsi="Arial"/>
                <w:sz w:val="16"/>
                <w:szCs w:val="16"/>
                <w:color w:val="auto"/>
              </w:rPr>
              <w:t>Litigation and other settlements</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spacing w:after="0" w:line="242" w:lineRule="exact"/>
              <w:rPr>
                <w:sz w:val="20"/>
                <w:szCs w:val="20"/>
                <w:color w:val="auto"/>
              </w:rPr>
            </w:pPr>
            <w:r>
              <w:rPr>
                <w:rFonts w:ascii="Arial" w:cs="Arial" w:eastAsia="Arial" w:hAnsi="Arial"/>
                <w:sz w:val="16"/>
                <w:szCs w:val="16"/>
                <w:color w:val="auto"/>
              </w:rPr>
              <w:t>Restructuring</w:t>
            </w:r>
            <w:r>
              <w:rPr>
                <w:rFonts w:ascii="Arial" w:cs="Arial" w:eastAsia="Arial" w:hAnsi="Arial"/>
                <w:sz w:val="25"/>
                <w:szCs w:val="25"/>
                <w:color w:val="auto"/>
                <w:vertAlign w:val="superscript"/>
              </w:rPr>
              <w:t>(c)</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gridSpan w:val="2"/>
          </w:tcPr>
          <w:p>
            <w:pPr>
              <w:spacing w:after="0"/>
              <w:rPr>
                <w:sz w:val="20"/>
                <w:szCs w:val="20"/>
                <w:color w:val="auto"/>
              </w:rPr>
            </w:pPr>
            <w:r>
              <w:rPr>
                <w:rFonts w:ascii="Arial" w:cs="Arial" w:eastAsia="Arial" w:hAnsi="Arial"/>
                <w:sz w:val="16"/>
                <w:szCs w:val="16"/>
                <w:color w:val="auto"/>
              </w:rPr>
              <w:t>Total items impacting comparability</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(24.2)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Benefit from income taxes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6"/>
                <w:szCs w:val="16"/>
                <w:color w:val="auto"/>
              </w:rPr>
              <w:t>Items impacting comparability, net of taxes</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(13.9)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Reconciliation of Adjusted Operating Profit to Operating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0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152.8</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4"/>
              </w:rPr>
              <w:t>139.0</w:t>
            </w:r>
          </w:p>
        </w:tc>
        <w:tc>
          <w:tcPr>
            <w:tcW w:w="0" w:type="dxa"/>
            <w:vAlign w:val="bottom"/>
          </w:tcPr>
          <w:p>
            <w:pPr>
              <w:spacing w:after="0"/>
              <w:rPr>
                <w:sz w:val="1"/>
                <w:szCs w:val="1"/>
                <w:color w:val="auto"/>
              </w:rPr>
            </w:pPr>
          </w:p>
        </w:tc>
      </w:tr>
      <w:tr>
        <w:trPr>
          <w:trHeight w:val="227"/>
        </w:trPr>
        <w:tc>
          <w:tcPr>
            <w:tcW w:w="6000" w:type="dxa"/>
            <w:vAlign w:val="bottom"/>
            <w:gridSpan w:val="2"/>
          </w:tcPr>
          <w:p>
            <w:pPr>
              <w:spacing w:after="0"/>
              <w:rPr>
                <w:sz w:val="20"/>
                <w:szCs w:val="20"/>
                <w:color w:val="auto"/>
              </w:rPr>
            </w:pPr>
            <w:r>
              <w:rPr>
                <w:rFonts w:ascii="Arial" w:cs="Arial" w:eastAsia="Arial" w:hAnsi="Arial"/>
                <w:sz w:val="16"/>
                <w:szCs w:val="16"/>
                <w:color w:val="auto"/>
              </w:rPr>
              <w:t>Total items impacting comparability</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(24.2)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128.6</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4"/>
              </w:rPr>
              <w:t>119.0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Reconciliation of Acquisition Adjusted EBITDA to 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0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193.5</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4"/>
              </w:rPr>
              <w:t>182.7</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rPr>
                <w:sz w:val="20"/>
                <w:szCs w:val="20"/>
                <w:color w:val="auto"/>
              </w:rPr>
            </w:pPr>
            <w:r>
              <w:rPr>
                <w:rFonts w:ascii="Arial" w:cs="Arial" w:eastAsia="Arial" w:hAnsi="Arial"/>
                <w:sz w:val="16"/>
                <w:szCs w:val="16"/>
                <w:color w:val="auto"/>
              </w:rPr>
              <w:t>Adjustments related to major acquisitions: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Historical EBITDA</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216.7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w w:val="94"/>
              </w:rPr>
              <w:t>205.9</w:t>
            </w: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Items impacting comparability</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(24.2)</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3"/>
        </w:trPr>
        <w:tc>
          <w:tcPr>
            <w:tcW w:w="6000" w:type="dxa"/>
            <w:vAlign w:val="bottom"/>
            <w:gridSpan w:val="2"/>
          </w:tcPr>
          <w:p>
            <w:pPr>
              <w:ind w:left="180"/>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(48.8)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0"/>
        </w:trPr>
        <w:tc>
          <w:tcPr>
            <w:tcW w:w="600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(57.4)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Reconciliation of Adjusted Operating Cash Flow to Operating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00" w:type="dxa"/>
            <w:vAlign w:val="bottom"/>
            <w:gridSpan w:val="2"/>
          </w:tcPr>
          <w:p>
            <w:pPr>
              <w:ind w:left="180"/>
              <w:spacing w:after="0"/>
              <w:rPr>
                <w:sz w:val="20"/>
                <w:szCs w:val="20"/>
                <w:color w:val="auto"/>
              </w:rPr>
            </w:pPr>
            <w:r>
              <w:rPr>
                <w:rFonts w:ascii="Arial" w:cs="Arial" w:eastAsia="Arial" w:hAnsi="Arial"/>
                <w:sz w:val="16"/>
                <w:szCs w:val="16"/>
                <w:b w:val="1"/>
                <w:bCs w:val="1"/>
                <w:color w:val="auto"/>
              </w:rPr>
              <w:t>Flow</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operating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118.7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4"/>
              </w:rPr>
              <w:t>134.8</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6"/>
                <w:szCs w:val="16"/>
                <w:color w:val="auto"/>
              </w:rPr>
              <w:t>Adjustments related to major acquisitions: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Historical operating cash flow</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0"/>
        </w:trPr>
        <w:tc>
          <w:tcPr>
            <w:tcW w:w="6000" w:type="dxa"/>
            <w:vAlign w:val="bottom"/>
            <w:gridSpan w:val="2"/>
          </w:tcPr>
          <w:p>
            <w:pPr>
              <w:ind w:left="180"/>
              <w:spacing w:after="0"/>
              <w:rPr>
                <w:sz w:val="20"/>
                <w:szCs w:val="20"/>
                <w:color w:val="auto"/>
              </w:rPr>
            </w:pPr>
            <w:r>
              <w:rPr>
                <w:rFonts w:ascii="Arial" w:cs="Arial" w:eastAsia="Arial" w:hAnsi="Arial"/>
                <w:sz w:val="16"/>
                <w:szCs w:val="16"/>
                <w:color w:val="auto"/>
              </w:rPr>
              <w:t>Acquisition costs</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120.7</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4"/>
              </w:rPr>
              <w:t>135.3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Reconciliation of Adjusted Net Income per Diluted Share to 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00" w:type="dxa"/>
            <w:vAlign w:val="bottom"/>
            <w:gridSpan w:val="2"/>
          </w:tcPr>
          <w:p>
            <w:pPr>
              <w:ind w:left="180"/>
              <w:spacing w:after="0"/>
              <w:rPr>
                <w:sz w:val="20"/>
                <w:szCs w:val="20"/>
                <w:color w:val="auto"/>
              </w:rPr>
            </w:pPr>
            <w:r>
              <w:rPr>
                <w:rFonts w:ascii="Arial" w:cs="Arial" w:eastAsia="Arial" w:hAnsi="Arial"/>
                <w:sz w:val="16"/>
                <w:szCs w:val="16"/>
                <w:b w:val="1"/>
                <w:bCs w:val="1"/>
                <w:color w:val="auto"/>
              </w:rPr>
              <w:t>per Diluted Share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net income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40"/>
        </w:trPr>
        <w:tc>
          <w:tcPr>
            <w:tcW w:w="6000" w:type="dxa"/>
            <w:vAlign w:val="bottom"/>
            <w:gridSpan w:val="2"/>
          </w:tcPr>
          <w:p>
            <w:pPr>
              <w:ind w:left="180"/>
              <w:spacing w:after="0"/>
              <w:rPr>
                <w:sz w:val="20"/>
                <w:szCs w:val="20"/>
                <w:color w:val="auto"/>
              </w:rPr>
            </w:pPr>
            <w:r>
              <w:rPr>
                <w:rFonts w:ascii="Arial" w:cs="Arial" w:eastAsia="Arial" w:hAnsi="Arial"/>
                <w:sz w:val="16"/>
                <w:szCs w:val="16"/>
                <w:color w:val="auto"/>
              </w:rPr>
              <w:t>Items impacting comparability, net taxes</w:t>
            </w: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(0.25)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0" w:type="dxa"/>
            <w:vAlign w:val="bottom"/>
            <w:gridSpan w:val="2"/>
          </w:tcPr>
          <w:p>
            <w:pPr>
              <w:spacing w:after="0"/>
              <w:rPr>
                <w:sz w:val="20"/>
                <w:szCs w:val="20"/>
                <w:color w:val="auto"/>
              </w:rPr>
            </w:pPr>
            <w:r>
              <w:rPr>
                <w:rFonts w:ascii="Arial" w:cs="Arial" w:eastAsia="Arial" w:hAnsi="Arial"/>
                <w:sz w:val="16"/>
                <w:szCs w:val="16"/>
                <w:color w:val="auto"/>
              </w:rPr>
              <w:t>Diluted shares</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57.1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-330200</wp:posOffset>
            </wp:positionV>
            <wp:extent cx="52139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-1110615</wp:posOffset>
            </wp:positionV>
            <wp:extent cx="521398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-2165350</wp:posOffset>
            </wp:positionV>
            <wp:extent cx="52139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-3606165</wp:posOffset>
            </wp:positionV>
            <wp:extent cx="52139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-4232275</wp:posOffset>
            </wp:positionV>
            <wp:extent cx="5213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-5878830</wp:posOffset>
            </wp:positionV>
            <wp:extent cx="52139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158115</wp:posOffset>
            </wp:positionV>
            <wp:extent cx="12350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620" w:hanging="352"/>
        <w:spacing w:after="0"/>
        <w:tabs>
          <w:tab w:leader="none" w:pos="16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costs related to the Company’s branding initiative.</w:t>
      </w:r>
    </w:p>
    <w:p>
      <w:pPr>
        <w:spacing w:after="0" w:line="122" w:lineRule="exact"/>
        <w:rPr>
          <w:rFonts w:ascii="Arial" w:cs="Arial" w:eastAsia="Arial" w:hAnsi="Arial"/>
          <w:sz w:val="14"/>
          <w:szCs w:val="14"/>
          <w:color w:val="auto"/>
        </w:rPr>
      </w:pPr>
    </w:p>
    <w:p>
      <w:pPr>
        <w:ind w:left="1620" w:right="759" w:hanging="352"/>
        <w:spacing w:after="0" w:line="278" w:lineRule="auto"/>
        <w:tabs>
          <w:tab w:leader="none" w:pos="16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legal and other costs incurred in connection with an internal investigation into a foreign entity affiliated with a former joint venture partner.</w:t>
      </w:r>
    </w:p>
    <w:p>
      <w:pPr>
        <w:spacing w:after="0" w:line="113" w:lineRule="exact"/>
        <w:rPr>
          <w:rFonts w:ascii="Arial" w:cs="Arial" w:eastAsia="Arial" w:hAnsi="Arial"/>
          <w:sz w:val="14"/>
          <w:szCs w:val="14"/>
          <w:color w:val="auto"/>
        </w:rPr>
      </w:pPr>
    </w:p>
    <w:p>
      <w:pPr>
        <w:ind w:left="1620" w:hanging="352"/>
        <w:spacing w:after="0"/>
        <w:tabs>
          <w:tab w:leader="none" w:pos="16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Restructuring costs associated with realignment of our infrastructure and operations.</w:t>
      </w:r>
    </w:p>
    <w:p>
      <w:pPr>
        <w:spacing w:after="0" w:line="28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APPENDIX B</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ABM INDUSTRIES INCORPORATED</w:t>
      </w:r>
    </w:p>
    <w:p>
      <w:pPr>
        <w:spacing w:after="0" w:line="20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004FF9"/>
        </w:rPr>
        <w:t>2006 EQUITY INCENTIVE PLAN</w:t>
      </w:r>
    </w:p>
    <w:p>
      <w:pPr>
        <w:spacing w:after="0" w:line="208" w:lineRule="exact"/>
        <w:rPr>
          <w:sz w:val="20"/>
          <w:szCs w:val="20"/>
          <w:color w:val="auto"/>
        </w:rPr>
      </w:pPr>
    </w:p>
    <w:p>
      <w:pPr>
        <w:ind w:left="3560"/>
        <w:spacing w:after="0"/>
        <w:tabs>
          <w:tab w:leader="none" w:pos="7120" w:val="left"/>
        </w:tabs>
        <w:rPr>
          <w:sz w:val="20"/>
          <w:szCs w:val="20"/>
          <w:color w:val="auto"/>
        </w:rPr>
      </w:pPr>
      <w:r>
        <w:rPr>
          <w:rFonts w:ascii="Arial" w:cs="Arial" w:eastAsia="Arial" w:hAnsi="Arial"/>
          <w:sz w:val="16"/>
          <w:szCs w:val="16"/>
          <w:b w:val="1"/>
          <w:bCs w:val="1"/>
          <w:color w:val="004FF9"/>
        </w:rPr>
        <w:t>AMENDED AND RESTATED [</w:t>
      </w:r>
      <w:r>
        <w:rPr>
          <w:sz w:val="20"/>
          <w:szCs w:val="20"/>
          <w:color w:val="auto"/>
        </w:rPr>
        <w:tab/>
      </w:r>
      <w:r>
        <w:rPr>
          <w:rFonts w:ascii="Arial" w:cs="Arial" w:eastAsia="Arial" w:hAnsi="Arial"/>
          <w:sz w:val="16"/>
          <w:szCs w:val="16"/>
          <w:b w:val="1"/>
          <w:bCs w:val="1"/>
          <w:color w:val="004FF9"/>
        </w:rPr>
        <w:t>]</w:t>
      </w:r>
    </w:p>
    <w:p>
      <w:pPr>
        <w:spacing w:after="0" w:line="208" w:lineRule="exact"/>
        <w:rPr>
          <w:sz w:val="20"/>
          <w:szCs w:val="20"/>
          <w:color w:val="auto"/>
        </w:rPr>
      </w:pPr>
    </w:p>
    <w:p>
      <w:pPr>
        <w:ind w:left="1440" w:hanging="172"/>
        <w:spacing w:after="0"/>
        <w:tabs>
          <w:tab w:leader="none" w:pos="144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2" w:lineRule="auto"/>
        <w:rPr>
          <w:sz w:val="20"/>
          <w:szCs w:val="20"/>
          <w:color w:val="auto"/>
        </w:rPr>
      </w:pPr>
      <w:r>
        <w:rPr>
          <w:rFonts w:ascii="Arial" w:cs="Arial" w:eastAsia="Arial" w:hAnsi="Arial"/>
          <w:sz w:val="16"/>
          <w:szCs w:val="16"/>
          <w:color w:val="auto"/>
        </w:rPr>
        <w:t>This 2006 Equity Incentive Plan, as amended and restated, is intended to provide incentive to Employees and Directors of ABM Industries Incorporated (the “</w:t>
      </w:r>
      <w:r>
        <w:rPr>
          <w:rFonts w:ascii="Arial" w:cs="Arial" w:eastAsia="Arial" w:hAnsi="Arial"/>
          <w:sz w:val="16"/>
          <w:szCs w:val="16"/>
          <w:u w:val="single" w:color="auto"/>
          <w:color w:val="auto"/>
        </w:rPr>
        <w:t>Company</w:t>
      </w:r>
      <w:r>
        <w:rPr>
          <w:rFonts w:ascii="Arial" w:cs="Arial" w:eastAsia="Arial" w:hAnsi="Arial"/>
          <w:sz w:val="16"/>
          <w:szCs w:val="16"/>
          <w:color w:val="auto"/>
        </w:rPr>
        <w:t>”) and its eligible Affiliates, to encourage proprietary interest in the Company and to encourage Employees and Directors to remain in the service of the Company or its Affiliates.</w:t>
      </w:r>
    </w:p>
    <w:p>
      <w:pPr>
        <w:spacing w:after="0" w:line="359" w:lineRule="exact"/>
        <w:rPr>
          <w:sz w:val="20"/>
          <w:szCs w:val="20"/>
          <w:color w:val="auto"/>
        </w:rPr>
      </w:pPr>
    </w:p>
    <w:p>
      <w:pPr>
        <w:ind w:left="1440" w:hanging="172"/>
        <w:spacing w:after="0"/>
        <w:tabs>
          <w:tab w:leader="none" w:pos="144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ind w:left="1260" w:right="759" w:firstLine="368"/>
        <w:spacing w:after="0" w:line="260" w:lineRule="auto"/>
        <w:tabs>
          <w:tab w:leader="none" w:pos="1877"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the committee of the Board appointed to administer the Plan, or a delegate of the Board as provided in Section 4(c).</w:t>
      </w:r>
    </w:p>
    <w:p>
      <w:pPr>
        <w:spacing w:after="0" w:line="87" w:lineRule="exact"/>
        <w:rPr>
          <w:rFonts w:ascii="Arial" w:cs="Arial" w:eastAsia="Arial" w:hAnsi="Arial"/>
          <w:sz w:val="16"/>
          <w:szCs w:val="16"/>
          <w:color w:val="auto"/>
        </w:rPr>
      </w:pPr>
    </w:p>
    <w:p>
      <w:pPr>
        <w:jc w:val="both"/>
        <w:ind w:left="1260" w:right="759" w:firstLine="368"/>
        <w:spacing w:after="0" w:line="253" w:lineRule="auto"/>
        <w:tabs>
          <w:tab w:leader="none" w:pos="1877"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entity, whether a corporation, partnership, joint venture or other organization that directly, or indirectly through one or more intermediaries, controls, is controlled by, or is under common control with the Company.</w:t>
      </w:r>
    </w:p>
    <w:p>
      <w:pPr>
        <w:spacing w:after="0" w:line="93" w:lineRule="exact"/>
        <w:rPr>
          <w:rFonts w:ascii="Arial" w:cs="Arial" w:eastAsia="Arial" w:hAnsi="Arial"/>
          <w:sz w:val="16"/>
          <w:szCs w:val="16"/>
          <w:color w:val="auto"/>
        </w:rPr>
      </w:pPr>
    </w:p>
    <w:p>
      <w:pPr>
        <w:jc w:val="both"/>
        <w:ind w:left="1260" w:right="739" w:firstLine="368"/>
        <w:spacing w:after="0" w:line="251" w:lineRule="auto"/>
        <w:tabs>
          <w:tab w:leader="none" w:pos="1868"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Amount</w:t>
      </w:r>
      <w:r>
        <w:rPr>
          <w:rFonts w:ascii="Arial" w:cs="Arial" w:eastAsia="Arial" w:hAnsi="Arial"/>
          <w:sz w:val="16"/>
          <w:szCs w:val="16"/>
          <w:color w:val="auto"/>
        </w:rPr>
        <w:t>” means any amount to be received by a Participant in connection with a Change-in-Control determined on an after-tax basis taking into account the excise tax imposed pursuant to Code Section 4999, or any successor provision thereto, any tax imposed by any comparable provision of state law, and any applicable federal, state and local income and employment taxes.</w:t>
      </w:r>
    </w:p>
    <w:p>
      <w:pPr>
        <w:spacing w:after="0" w:line="94" w:lineRule="exact"/>
        <w:rPr>
          <w:rFonts w:ascii="Arial" w:cs="Arial" w:eastAsia="Arial" w:hAnsi="Arial"/>
          <w:sz w:val="16"/>
          <w:szCs w:val="16"/>
          <w:color w:val="auto"/>
        </w:rPr>
      </w:pPr>
    </w:p>
    <w:p>
      <w:pPr>
        <w:ind w:left="1260" w:right="739" w:firstLine="368"/>
        <w:spacing w:after="0" w:line="260" w:lineRule="auto"/>
        <w:tabs>
          <w:tab w:leader="none" w:pos="1877"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any award of an Option, Stock Appreciation Rights, Restricted Stock, Restricted Stock Units, Performance Shares or an Other Share-Based Award under the Plan.</w:t>
      </w:r>
    </w:p>
    <w:p>
      <w:pPr>
        <w:spacing w:after="0" w:line="87" w:lineRule="exact"/>
        <w:rPr>
          <w:rFonts w:ascii="Arial" w:cs="Arial" w:eastAsia="Arial" w:hAnsi="Arial"/>
          <w:sz w:val="16"/>
          <w:szCs w:val="16"/>
          <w:color w:val="auto"/>
        </w:rPr>
      </w:pPr>
    </w:p>
    <w:p>
      <w:pPr>
        <w:ind w:left="1260" w:right="759" w:firstLine="368"/>
        <w:spacing w:after="0" w:line="260" w:lineRule="auto"/>
        <w:tabs>
          <w:tab w:leader="none" w:pos="1877"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agreement between the Company and the recipient of an Award which contains the terms and conditions pertaining to the Award.</w:t>
      </w:r>
    </w:p>
    <w:p>
      <w:pPr>
        <w:spacing w:after="0" w:line="87" w:lineRule="exact"/>
        <w:rPr>
          <w:rFonts w:ascii="Arial" w:cs="Arial" w:eastAsia="Arial" w:hAnsi="Arial"/>
          <w:sz w:val="16"/>
          <w:szCs w:val="16"/>
          <w:color w:val="auto"/>
        </w:rPr>
      </w:pPr>
    </w:p>
    <w:p>
      <w:pPr>
        <w:ind w:left="1260" w:right="739" w:firstLine="368"/>
        <w:spacing w:after="0" w:line="260" w:lineRule="auto"/>
        <w:tabs>
          <w:tab w:leader="none" w:pos="1832"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means a person designated as such by a Participant or a Beneficiary for purposes of the Plan or determined with reference to Section 21.</w:t>
      </w:r>
    </w:p>
    <w:p>
      <w:pPr>
        <w:spacing w:after="0" w:line="87" w:lineRule="exact"/>
        <w:rPr>
          <w:rFonts w:ascii="Arial" w:cs="Arial" w:eastAsia="Arial" w:hAnsi="Arial"/>
          <w:sz w:val="16"/>
          <w:szCs w:val="16"/>
          <w:color w:val="auto"/>
        </w:rPr>
      </w:pPr>
    </w:p>
    <w:p>
      <w:pPr>
        <w:ind w:left="1880" w:hanging="252"/>
        <w:spacing w:after="0"/>
        <w:tabs>
          <w:tab w:leader="none" w:pos="18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13" w:lineRule="exact"/>
        <w:rPr>
          <w:rFonts w:ascii="Arial" w:cs="Arial" w:eastAsia="Arial" w:hAnsi="Arial"/>
          <w:sz w:val="16"/>
          <w:szCs w:val="16"/>
          <w:color w:val="auto"/>
        </w:rPr>
      </w:pPr>
    </w:p>
    <w:p>
      <w:pPr>
        <w:jc w:val="both"/>
        <w:ind w:left="1260" w:right="739" w:firstLine="368"/>
        <w:spacing w:after="0" w:line="248" w:lineRule="auto"/>
        <w:tabs>
          <w:tab w:leader="none" w:pos="18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serious misconduct, dishonesty, disloyalty or insubordination; (ii) the Participant’s conviction (or entry of a plea bargain admitting criminal guilt) of any felony or misdemeanor involving moral turpitude; (iii) drug or alcohol abuse that has a material or potentially material effect on the Company’s reputation and/or the performance of the Participant’s duties and responsibilities under the Participant’s employment agreement; (iv) failure to substantially perform the Participant’s duties or responsibilities under the Participant’s employment agreement for reasons other than death or disability; (v) repeated inattention to duty for reasons other than death or disability; or (vi) any other material breach of the Participant’s employment agreement by the Participant.</w:t>
      </w:r>
    </w:p>
    <w:p>
      <w:pPr>
        <w:spacing w:after="0" w:line="99" w:lineRule="exact"/>
        <w:rPr>
          <w:rFonts w:ascii="Arial" w:cs="Arial" w:eastAsia="Arial" w:hAnsi="Arial"/>
          <w:sz w:val="16"/>
          <w:szCs w:val="16"/>
          <w:color w:val="auto"/>
        </w:rPr>
      </w:pPr>
    </w:p>
    <w:p>
      <w:pPr>
        <w:ind w:left="1260" w:right="739" w:firstLine="368"/>
        <w:spacing w:after="0" w:line="260" w:lineRule="auto"/>
        <w:tabs>
          <w:tab w:leader="none" w:pos="1823"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Change-in-Control</w:t>
      </w:r>
      <w:r>
        <w:rPr>
          <w:rFonts w:ascii="Arial" w:cs="Arial" w:eastAsia="Arial" w:hAnsi="Arial"/>
          <w:sz w:val="16"/>
          <w:szCs w:val="16"/>
          <w:color w:val="auto"/>
        </w:rPr>
        <w:t>” means, unless otherwise set forth in an award agreement, that any of the following events occurs:</w:t>
      </w:r>
    </w:p>
    <w:p>
      <w:pPr>
        <w:spacing w:after="0" w:line="87" w:lineRule="exact"/>
        <w:rPr>
          <w:rFonts w:ascii="Arial" w:cs="Arial" w:eastAsia="Arial" w:hAnsi="Arial"/>
          <w:sz w:val="16"/>
          <w:szCs w:val="16"/>
          <w:color w:val="auto"/>
        </w:rPr>
      </w:pPr>
    </w:p>
    <w:p>
      <w:pPr>
        <w:jc w:val="both"/>
        <w:ind w:left="1620" w:right="739" w:firstLine="368"/>
        <w:spacing w:after="0" w:line="248" w:lineRule="auto"/>
        <w:tabs>
          <w:tab w:leader="none" w:pos="2189" w:val="left"/>
        </w:tabs>
        <w:numPr>
          <w:ilvl w:val="2"/>
          <w:numId w:val="65"/>
        </w:numPr>
        <w:rPr>
          <w:rFonts w:ascii="Arial" w:cs="Arial" w:eastAsia="Arial" w:hAnsi="Arial"/>
          <w:sz w:val="16"/>
          <w:szCs w:val="16"/>
          <w:color w:val="auto"/>
        </w:rPr>
      </w:pPr>
      <w:r>
        <w:rPr>
          <w:rFonts w:ascii="Arial" w:cs="Arial" w:eastAsia="Arial" w:hAnsi="Arial"/>
          <w:sz w:val="16"/>
          <w:szCs w:val="16"/>
          <w:color w:val="auto"/>
        </w:rPr>
        <w:t>any individual, entity or group (within the meaning of Section 13(d)(3) or 14(d)(2) of the Exchange Act) (a “</w:t>
      </w:r>
      <w:r>
        <w:rPr>
          <w:rFonts w:ascii="Arial" w:cs="Arial" w:eastAsia="Arial" w:hAnsi="Arial"/>
          <w:sz w:val="16"/>
          <w:szCs w:val="16"/>
          <w:u w:val="single" w:color="auto"/>
          <w:color w:val="auto"/>
        </w:rPr>
        <w:t>Person</w:t>
      </w:r>
      <w:r>
        <w:rPr>
          <w:rFonts w:ascii="Arial" w:cs="Arial" w:eastAsia="Arial" w:hAnsi="Arial"/>
          <w:sz w:val="16"/>
          <w:szCs w:val="16"/>
          <w:color w:val="auto"/>
        </w:rPr>
        <w:t>”)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thereafter, individuals who were members of the Board of Directors of the Company immediately prior to either such event cease to constitute a majority of the members of the Board of Directors of the Company;</w:t>
      </w:r>
    </w:p>
    <w:p>
      <w:pPr>
        <w:spacing w:after="0" w:line="100" w:lineRule="exact"/>
        <w:rPr>
          <w:rFonts w:ascii="Arial" w:cs="Arial" w:eastAsia="Arial" w:hAnsi="Arial"/>
          <w:sz w:val="16"/>
          <w:szCs w:val="16"/>
          <w:color w:val="auto"/>
        </w:rPr>
      </w:pPr>
    </w:p>
    <w:p>
      <w:pPr>
        <w:ind w:left="2220" w:hanging="231"/>
        <w:spacing w:after="0"/>
        <w:tabs>
          <w:tab w:leader="none" w:pos="2220" w:val="left"/>
        </w:tabs>
        <w:numPr>
          <w:ilvl w:val="2"/>
          <w:numId w:val="65"/>
        </w:numPr>
        <w:rPr>
          <w:rFonts w:ascii="Arial" w:cs="Arial" w:eastAsia="Arial" w:hAnsi="Arial"/>
          <w:sz w:val="16"/>
          <w:szCs w:val="16"/>
          <w:color w:val="auto"/>
        </w:rPr>
      </w:pPr>
      <w:r>
        <w:rPr>
          <w:rFonts w:ascii="Arial" w:cs="Arial" w:eastAsia="Arial" w:hAnsi="Arial"/>
          <w:sz w:val="16"/>
          <w:szCs w:val="16"/>
          <w:color w:val="auto"/>
        </w:rPr>
        <w:t>a majority of the Board ceases to be comprised of Incumbent Directors; or</w:t>
      </w:r>
    </w:p>
    <w:p>
      <w:pPr>
        <w:spacing w:after="0" w:line="113" w:lineRule="exact"/>
        <w:rPr>
          <w:rFonts w:ascii="Arial" w:cs="Arial" w:eastAsia="Arial" w:hAnsi="Arial"/>
          <w:sz w:val="16"/>
          <w:szCs w:val="16"/>
          <w:color w:val="auto"/>
        </w:rPr>
      </w:pPr>
    </w:p>
    <w:p>
      <w:pPr>
        <w:jc w:val="both"/>
        <w:ind w:left="1620" w:right="739" w:firstLine="368"/>
        <w:spacing w:after="0" w:line="251" w:lineRule="auto"/>
        <w:tabs>
          <w:tab w:leader="none" w:pos="2282"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plan of liquidation or dissolution, recapitalization or sale or other disposition of all or substantially all of the assets of the Company or the acquisition of the stock or assets of another Company, or other transaction (each, a “</w:t>
      </w:r>
      <w:r>
        <w:rPr>
          <w:rFonts w:ascii="Arial" w:cs="Arial" w:eastAsia="Arial" w:hAnsi="Arial"/>
          <w:sz w:val="16"/>
          <w:szCs w:val="16"/>
          <w:u w:val="single" w:color="auto"/>
          <w:color w:val="auto"/>
        </w:rPr>
        <w:t>Business Transaction</w:t>
      </w:r>
      <w:r>
        <w:rPr>
          <w:rFonts w:ascii="Arial" w:cs="Arial" w:eastAsia="Arial" w:hAnsi="Arial"/>
          <w:sz w:val="16"/>
          <w:szCs w:val="16"/>
          <w:color w:val="auto"/>
        </w:rPr>
        <w:t>”), unless, in any such case, (A) no Person (other than the Company, any entity resulting from such Business</w:t>
      </w:r>
    </w:p>
    <w:p>
      <w:pPr>
        <w:spacing w:after="0" w:line="27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620" w:right="739"/>
        <w:spacing w:after="0" w:line="249" w:lineRule="auto"/>
        <w:rPr>
          <w:sz w:val="20"/>
          <w:szCs w:val="20"/>
          <w:color w:val="auto"/>
        </w:rPr>
      </w:pPr>
      <w:r>
        <w:rPr>
          <w:rFonts w:ascii="Arial" w:cs="Arial" w:eastAsia="Arial" w:hAnsi="Arial"/>
          <w:sz w:val="16"/>
          <w:szCs w:val="16"/>
          <w:color w:val="auto"/>
        </w:rPr>
        <w:t>Transaction or any employee benefit plan (or related trust) sponsored or maintained by the Company, any Subsidiary or such entity resulting from such Business Transaction) beneficially owns, directly or indirectly, 35% or more of the combined voting power of the then-outstanding shares of Voting Stock of the entity resulting from such Business Transaction and (B) at least one-half of the members of the Board of Directors of the entity resulting from such Business Transaction were Incumbent Directors at the time of the execution of the initial agreement providing for such Business Transaction.</w:t>
      </w:r>
    </w:p>
    <w:p>
      <w:pPr>
        <w:spacing w:after="0" w:line="97" w:lineRule="exact"/>
        <w:rPr>
          <w:sz w:val="20"/>
          <w:szCs w:val="20"/>
          <w:color w:val="auto"/>
        </w:rPr>
      </w:pPr>
    </w:p>
    <w:p>
      <w:pPr>
        <w:ind w:left="1820" w:hanging="192"/>
        <w:spacing w:after="0"/>
        <w:tabs>
          <w:tab w:leader="none" w:pos="1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113" w:lineRule="exact"/>
        <w:rPr>
          <w:rFonts w:ascii="Arial" w:cs="Arial" w:eastAsia="Arial" w:hAnsi="Arial"/>
          <w:sz w:val="16"/>
          <w:szCs w:val="16"/>
          <w:color w:val="auto"/>
        </w:rPr>
      </w:pPr>
    </w:p>
    <w:p>
      <w:pPr>
        <w:ind w:left="1860" w:hanging="232"/>
        <w:spacing w:after="0"/>
        <w:tabs>
          <w:tab w:leader="none" w:pos="1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w:t>
      </w:r>
    </w:p>
    <w:p>
      <w:pPr>
        <w:spacing w:after="0" w:line="113" w:lineRule="exact"/>
        <w:rPr>
          <w:rFonts w:ascii="Arial" w:cs="Arial" w:eastAsia="Arial" w:hAnsi="Arial"/>
          <w:sz w:val="16"/>
          <w:szCs w:val="16"/>
          <w:color w:val="auto"/>
        </w:rPr>
      </w:pPr>
    </w:p>
    <w:p>
      <w:pPr>
        <w:ind w:left="1820" w:hanging="192"/>
        <w:spacing w:after="0"/>
        <w:tabs>
          <w:tab w:leader="none" w:pos="1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$.01 par value common stock of the Company.</w:t>
      </w:r>
    </w:p>
    <w:p>
      <w:pPr>
        <w:spacing w:after="0" w:line="113" w:lineRule="exact"/>
        <w:rPr>
          <w:rFonts w:ascii="Arial" w:cs="Arial" w:eastAsia="Arial" w:hAnsi="Arial"/>
          <w:sz w:val="16"/>
          <w:szCs w:val="16"/>
          <w:color w:val="auto"/>
        </w:rPr>
      </w:pPr>
    </w:p>
    <w:p>
      <w:pPr>
        <w:ind w:left="1920" w:hanging="292"/>
        <w:spacing w:after="0"/>
        <w:tabs>
          <w:tab w:leader="none" w:pos="19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ABM Industries Incorporated, a Delaware company.</w:t>
      </w:r>
    </w:p>
    <w:p>
      <w:pPr>
        <w:spacing w:after="0" w:line="113" w:lineRule="exact"/>
        <w:rPr>
          <w:rFonts w:ascii="Arial" w:cs="Arial" w:eastAsia="Arial" w:hAnsi="Arial"/>
          <w:sz w:val="16"/>
          <w:szCs w:val="16"/>
          <w:color w:val="auto"/>
        </w:rPr>
      </w:pPr>
    </w:p>
    <w:p>
      <w:pPr>
        <w:jc w:val="both"/>
        <w:ind w:left="1260" w:right="759" w:firstLine="368"/>
        <w:spacing w:after="0" w:line="251" w:lineRule="auto"/>
        <w:tabs>
          <w:tab w:leader="none" w:pos="189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have the meaning assigned in Code Section 162(m), as amended, which generally includes the chief executive officer or any Employee whose total compensation for the taxable year is required to be reported to shareholders under the Exchange Act by reason of such Employee being among the four highest compensated officers for the taxable year (other than the chief executive officer).</w:t>
      </w:r>
    </w:p>
    <w:p>
      <w:pPr>
        <w:spacing w:after="0" w:line="94" w:lineRule="exact"/>
        <w:rPr>
          <w:rFonts w:ascii="Arial" w:cs="Arial" w:eastAsia="Arial" w:hAnsi="Arial"/>
          <w:sz w:val="16"/>
          <w:szCs w:val="16"/>
          <w:color w:val="auto"/>
        </w:rPr>
      </w:pPr>
    </w:p>
    <w:p>
      <w:pPr>
        <w:ind w:left="1880" w:hanging="252"/>
        <w:spacing w:after="0"/>
        <w:tabs>
          <w:tab w:leader="none" w:pos="1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director of the Company.</w:t>
      </w:r>
    </w:p>
    <w:p>
      <w:pPr>
        <w:spacing w:after="0" w:line="113" w:lineRule="exact"/>
        <w:rPr>
          <w:rFonts w:ascii="Arial" w:cs="Arial" w:eastAsia="Arial" w:hAnsi="Arial"/>
          <w:sz w:val="16"/>
          <w:szCs w:val="16"/>
          <w:color w:val="auto"/>
        </w:rPr>
      </w:pPr>
    </w:p>
    <w:p>
      <w:pPr>
        <w:jc w:val="both"/>
        <w:ind w:left="1260" w:right="739" w:firstLine="368"/>
        <w:spacing w:after="0" w:line="251" w:lineRule="auto"/>
        <w:tabs>
          <w:tab w:leader="none" w:pos="1863"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or “</w:t>
      </w:r>
      <w:r>
        <w:rPr>
          <w:rFonts w:ascii="Arial" w:cs="Arial" w:eastAsia="Arial" w:hAnsi="Arial"/>
          <w:sz w:val="16"/>
          <w:szCs w:val="16"/>
          <w:u w:val="single" w:color="auto"/>
          <w:color w:val="auto"/>
        </w:rPr>
        <w:t>Disabled</w:t>
      </w:r>
      <w:r>
        <w:rPr>
          <w:rFonts w:ascii="Arial" w:cs="Arial" w:eastAsia="Arial" w:hAnsi="Arial"/>
          <w:sz w:val="16"/>
          <w:szCs w:val="16"/>
          <w:color w:val="auto"/>
        </w:rPr>
        <w:t>” means, unless otherwise set forth in an award agreement,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94" w:lineRule="exact"/>
        <w:rPr>
          <w:rFonts w:ascii="Arial" w:cs="Arial" w:eastAsia="Arial" w:hAnsi="Arial"/>
          <w:sz w:val="16"/>
          <w:szCs w:val="16"/>
          <w:color w:val="auto"/>
        </w:rPr>
      </w:pPr>
    </w:p>
    <w:p>
      <w:pPr>
        <w:ind w:left="1260" w:right="739" w:firstLine="368"/>
        <w:spacing w:after="0" w:line="260" w:lineRule="auto"/>
        <w:tabs>
          <w:tab w:leader="none" w:pos="1877"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 individual employed by the Company or an Affiliate (within the meaning of Code Section 3401 and the regulations thereunder).</w:t>
      </w:r>
    </w:p>
    <w:p>
      <w:pPr>
        <w:spacing w:after="0" w:line="87" w:lineRule="exact"/>
        <w:rPr>
          <w:rFonts w:ascii="Arial" w:cs="Arial" w:eastAsia="Arial" w:hAnsi="Arial"/>
          <w:sz w:val="16"/>
          <w:szCs w:val="16"/>
          <w:color w:val="auto"/>
        </w:rPr>
      </w:pPr>
    </w:p>
    <w:p>
      <w:pPr>
        <w:ind w:left="1840" w:hanging="212"/>
        <w:spacing w:after="0"/>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an Affiliate, which is the employer of a Participant.</w:t>
      </w:r>
    </w:p>
    <w:p>
      <w:pPr>
        <w:spacing w:after="0" w:line="113" w:lineRule="exact"/>
        <w:rPr>
          <w:rFonts w:ascii="Arial" w:cs="Arial" w:eastAsia="Arial" w:hAnsi="Arial"/>
          <w:sz w:val="16"/>
          <w:szCs w:val="16"/>
          <w:color w:val="auto"/>
        </w:rPr>
      </w:pPr>
    </w:p>
    <w:p>
      <w:pPr>
        <w:ind w:left="1260" w:right="759" w:firstLine="368"/>
        <w:spacing w:after="0" w:line="260" w:lineRule="auto"/>
        <w:tabs>
          <w:tab w:leader="none" w:pos="1854"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Officer</w:t>
      </w:r>
      <w:r>
        <w:rPr>
          <w:rFonts w:ascii="Arial" w:cs="Arial" w:eastAsia="Arial" w:hAnsi="Arial"/>
          <w:sz w:val="16"/>
          <w:szCs w:val="16"/>
          <w:color w:val="auto"/>
        </w:rPr>
        <w:t>” means any person who is an officer of the Company for purposes of Section 16 of the Exchange Act.</w:t>
      </w:r>
    </w:p>
    <w:p>
      <w:pPr>
        <w:spacing w:after="0" w:line="87" w:lineRule="exact"/>
        <w:rPr>
          <w:rFonts w:ascii="Arial" w:cs="Arial" w:eastAsia="Arial" w:hAnsi="Arial"/>
          <w:sz w:val="16"/>
          <w:szCs w:val="16"/>
          <w:color w:val="auto"/>
        </w:rPr>
      </w:pPr>
    </w:p>
    <w:p>
      <w:pPr>
        <w:jc w:val="both"/>
        <w:ind w:left="1260" w:right="739" w:firstLine="368"/>
        <w:spacing w:after="0" w:line="253" w:lineRule="auto"/>
        <w:tabs>
          <w:tab w:leader="none" w:pos="18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Equity Award</w:t>
      </w:r>
      <w:r>
        <w:rPr>
          <w:rFonts w:ascii="Arial" w:cs="Arial" w:eastAsia="Arial" w:hAnsi="Arial"/>
          <w:sz w:val="16"/>
          <w:szCs w:val="16"/>
          <w:color w:val="auto"/>
        </w:rPr>
        <w:t>” means the positive difference, if any, between the value of the Award granted to an Executive Officer and the Award that would have been made to such Executive Officer had the amount of the Award been calculated based on the Company’s financial statements as restated.</w:t>
      </w:r>
    </w:p>
    <w:p>
      <w:pPr>
        <w:spacing w:after="0" w:line="93" w:lineRule="exact"/>
        <w:rPr>
          <w:rFonts w:ascii="Arial" w:cs="Arial" w:eastAsia="Arial" w:hAnsi="Arial"/>
          <w:sz w:val="16"/>
          <w:szCs w:val="16"/>
          <w:color w:val="auto"/>
        </w:rPr>
      </w:pPr>
    </w:p>
    <w:p>
      <w:pPr>
        <w:ind w:left="1260" w:right="739" w:firstLine="368"/>
        <w:spacing w:after="0" w:line="260" w:lineRule="auto"/>
        <w:tabs>
          <w:tab w:leader="none" w:pos="1863"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Parachute Payment</w:t>
      </w:r>
      <w:r>
        <w:rPr>
          <w:rFonts w:ascii="Arial" w:cs="Arial" w:eastAsia="Arial" w:hAnsi="Arial"/>
          <w:sz w:val="16"/>
          <w:szCs w:val="16"/>
          <w:color w:val="auto"/>
        </w:rPr>
        <w:t>” means a payment that creates an obligation for a Participant to pay excise taxes under Code Section 280G or any successor provision thereto.</w:t>
      </w:r>
    </w:p>
    <w:p>
      <w:pPr>
        <w:spacing w:after="0" w:line="87" w:lineRule="exact"/>
        <w:rPr>
          <w:rFonts w:ascii="Arial" w:cs="Arial" w:eastAsia="Arial" w:hAnsi="Arial"/>
          <w:sz w:val="16"/>
          <w:szCs w:val="16"/>
          <w:color w:val="auto"/>
        </w:rPr>
      </w:pPr>
    </w:p>
    <w:p>
      <w:pPr>
        <w:ind w:left="1860" w:hanging="232"/>
        <w:spacing w:after="0"/>
        <w:tabs>
          <w:tab w:leader="none" w:pos="18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113" w:lineRule="exact"/>
        <w:rPr>
          <w:rFonts w:ascii="Arial" w:cs="Arial" w:eastAsia="Arial" w:hAnsi="Arial"/>
          <w:sz w:val="16"/>
          <w:szCs w:val="16"/>
          <w:color w:val="auto"/>
        </w:rPr>
      </w:pPr>
    </w:p>
    <w:p>
      <w:pPr>
        <w:ind w:left="1260" w:right="739" w:firstLine="368"/>
        <w:spacing w:after="0" w:line="260" w:lineRule="auto"/>
        <w:tabs>
          <w:tab w:leader="none" w:pos="189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the price per Share of Common Stock at which an Option or Stock Appreciation Right may be exercised.</w:t>
      </w:r>
    </w:p>
    <w:p>
      <w:pPr>
        <w:spacing w:after="0" w:line="87" w:lineRule="exact"/>
        <w:rPr>
          <w:rFonts w:ascii="Arial" w:cs="Arial" w:eastAsia="Arial" w:hAnsi="Arial"/>
          <w:sz w:val="16"/>
          <w:szCs w:val="16"/>
          <w:color w:val="auto"/>
        </w:rPr>
      </w:pPr>
    </w:p>
    <w:p>
      <w:pPr>
        <w:jc w:val="both"/>
        <w:ind w:left="1260" w:right="739" w:firstLine="368"/>
        <w:spacing w:after="0" w:line="250" w:lineRule="auto"/>
        <w:tabs>
          <w:tab w:leader="none" w:pos="18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of a Share as of a specified date, unless otherwise determined by the Committee, means the closing price at which Shares are traded on such date (or, if no trading of Shares is reported for that day, on the next following day on which trading is reported) on the principal stock market or exchange on which the Shares are traded;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Shares are not so traded, the fair market value shall be determined by the Committee.</w:t>
      </w:r>
    </w:p>
    <w:p>
      <w:pPr>
        <w:spacing w:after="0" w:line="95" w:lineRule="exact"/>
        <w:rPr>
          <w:rFonts w:ascii="Arial" w:cs="Arial" w:eastAsia="Arial" w:hAnsi="Arial"/>
          <w:sz w:val="16"/>
          <w:szCs w:val="16"/>
          <w:color w:val="auto"/>
        </w:rPr>
      </w:pPr>
    </w:p>
    <w:p>
      <w:pPr>
        <w:jc w:val="both"/>
        <w:ind w:left="1260" w:right="739" w:firstLine="368"/>
        <w:spacing w:after="0" w:line="251" w:lineRule="auto"/>
        <w:tabs>
          <w:tab w:leader="none" w:pos="1854"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means any person identified as an “immediate family” member in Rule 16(a)-1(c) of the Exchange Act, as such Rule may be amended from time to time. Notwithstanding the foregoing, the Administrator may designate any other person(s) or entity(ies) as a “family member” to the extent consistent with applicable securities laws.</w:t>
      </w:r>
    </w:p>
    <w:p>
      <w:pPr>
        <w:spacing w:after="0" w:line="94" w:lineRule="exact"/>
        <w:rPr>
          <w:rFonts w:ascii="Arial" w:cs="Arial" w:eastAsia="Arial" w:hAnsi="Arial"/>
          <w:sz w:val="16"/>
          <w:szCs w:val="16"/>
          <w:color w:val="auto"/>
        </w:rPr>
      </w:pPr>
    </w:p>
    <w:p>
      <w:pPr>
        <w:ind w:left="1260" w:right="739" w:firstLine="368"/>
        <w:spacing w:after="0" w:line="260" w:lineRule="auto"/>
        <w:tabs>
          <w:tab w:leader="none" w:pos="1854"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 Value Award</w:t>
      </w:r>
      <w:r>
        <w:rPr>
          <w:rFonts w:ascii="Arial" w:cs="Arial" w:eastAsia="Arial" w:hAnsi="Arial"/>
          <w:sz w:val="16"/>
          <w:szCs w:val="16"/>
          <w:color w:val="auto"/>
        </w:rPr>
        <w:t>” means an Award denominated in Shares that does not provide for full payment in cash or property by the Participant.</w:t>
      </w:r>
    </w:p>
    <w:p>
      <w:pPr>
        <w:spacing w:after="0" w:line="88" w:lineRule="exact"/>
        <w:rPr>
          <w:sz w:val="20"/>
          <w:szCs w:val="20"/>
          <w:color w:val="auto"/>
        </w:rPr>
      </w:pPr>
    </w:p>
    <w:p>
      <w:pPr>
        <w:ind w:left="1960" w:hanging="332"/>
        <w:spacing w:after="0"/>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 Date</w:t>
      </w:r>
      <w:r>
        <w:rPr>
          <w:rFonts w:ascii="Arial" w:cs="Arial" w:eastAsia="Arial" w:hAnsi="Arial"/>
          <w:sz w:val="16"/>
          <w:szCs w:val="16"/>
          <w:color w:val="auto"/>
        </w:rPr>
        <w:t>” means, with respect to any Award, the date the Administrator grants the Award.</w:t>
      </w:r>
    </w:p>
    <w:p>
      <w:pPr>
        <w:spacing w:after="0" w:line="113" w:lineRule="exact"/>
        <w:rPr>
          <w:rFonts w:ascii="Arial" w:cs="Arial" w:eastAsia="Arial" w:hAnsi="Arial"/>
          <w:sz w:val="16"/>
          <w:szCs w:val="16"/>
          <w:color w:val="auto"/>
        </w:rPr>
      </w:pPr>
    </w:p>
    <w:p>
      <w:pPr>
        <w:ind w:left="1960" w:hanging="332"/>
        <w:spacing w:after="0"/>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described in Code Section 422(b).</w:t>
      </w:r>
    </w:p>
    <w:p>
      <w:pPr>
        <w:spacing w:after="0" w:line="113" w:lineRule="exact"/>
        <w:rPr>
          <w:rFonts w:ascii="Arial" w:cs="Arial" w:eastAsia="Arial" w:hAnsi="Arial"/>
          <w:sz w:val="16"/>
          <w:szCs w:val="16"/>
          <w:color w:val="auto"/>
        </w:rPr>
      </w:pPr>
    </w:p>
    <w:p>
      <w:pPr>
        <w:jc w:val="both"/>
        <w:ind w:left="1260" w:right="739" w:firstLine="368"/>
        <w:spacing w:after="0" w:line="251" w:lineRule="auto"/>
        <w:tabs>
          <w:tab w:leader="none" w:pos="19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Incumbent Directors</w:t>
      </w:r>
      <w:r>
        <w:rPr>
          <w:rFonts w:ascii="Arial" w:cs="Arial" w:eastAsia="Arial" w:hAnsi="Arial"/>
          <w:sz w:val="16"/>
          <w:szCs w:val="16"/>
          <w:color w:val="auto"/>
        </w:rPr>
        <w:t>” means the individuals who, as of the date of adoption of this Plan,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w:t>
      </w:r>
    </w:p>
    <w:p>
      <w:pPr>
        <w:spacing w:after="0" w:line="27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spacing w:after="0" w:line="250" w:lineRule="auto"/>
        <w:rPr>
          <w:sz w:val="20"/>
          <w:szCs w:val="20"/>
          <w:color w:val="auto"/>
        </w:rPr>
      </w:pPr>
      <w:r>
        <w:rPr>
          <w:rFonts w:ascii="Arial" w:cs="Arial" w:eastAsia="Arial" w:hAnsi="Arial"/>
          <w:sz w:val="16"/>
          <w:szCs w:val="16"/>
          <w:color w:val="auto"/>
        </w:rPr>
        <w:t xml:space="preserve">such person is named as a nominee for director, without objection to such 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95" w:lineRule="exact"/>
        <w:rPr>
          <w:sz w:val="20"/>
          <w:szCs w:val="20"/>
          <w:color w:val="auto"/>
        </w:rPr>
      </w:pPr>
    </w:p>
    <w:p>
      <w:pPr>
        <w:ind w:left="1260" w:right="739" w:firstLine="368"/>
        <w:spacing w:after="0" w:line="260" w:lineRule="auto"/>
        <w:tabs>
          <w:tab w:leader="none" w:pos="19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Committee</w:t>
      </w:r>
      <w:r>
        <w:rPr>
          <w:rFonts w:ascii="Arial" w:cs="Arial" w:eastAsia="Arial" w:hAnsi="Arial"/>
          <w:sz w:val="16"/>
          <w:szCs w:val="16"/>
          <w:color w:val="auto"/>
        </w:rPr>
        <w:t>” means any committee consisting of independent Directors designated by the independent members of the Board.</w:t>
      </w:r>
    </w:p>
    <w:p>
      <w:pPr>
        <w:spacing w:after="0" w:line="87" w:lineRule="exact"/>
        <w:rPr>
          <w:rFonts w:ascii="Arial" w:cs="Arial" w:eastAsia="Arial" w:hAnsi="Arial"/>
          <w:sz w:val="16"/>
          <w:szCs w:val="16"/>
          <w:color w:val="auto"/>
        </w:rPr>
      </w:pPr>
    </w:p>
    <w:p>
      <w:pPr>
        <w:ind w:left="1960" w:hanging="332"/>
        <w:spacing w:after="0"/>
        <w:tabs>
          <w:tab w:leader="none" w:pos="1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not described in Code Section 422(b) or 423(b).</w:t>
      </w:r>
    </w:p>
    <w:p>
      <w:pPr>
        <w:spacing w:after="0" w:line="113" w:lineRule="exact"/>
        <w:rPr>
          <w:rFonts w:ascii="Arial" w:cs="Arial" w:eastAsia="Arial" w:hAnsi="Arial"/>
          <w:sz w:val="16"/>
          <w:szCs w:val="16"/>
          <w:color w:val="auto"/>
        </w:rPr>
      </w:pPr>
    </w:p>
    <w:p>
      <w:pPr>
        <w:ind w:left="1860" w:hanging="232"/>
        <w:spacing w:after="0"/>
        <w:tabs>
          <w:tab w:leader="none" w:pos="1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Director who is not an Employee.</w:t>
      </w:r>
    </w:p>
    <w:p>
      <w:pPr>
        <w:spacing w:after="0" w:line="113" w:lineRule="exact"/>
        <w:rPr>
          <w:rFonts w:ascii="Arial" w:cs="Arial" w:eastAsia="Arial" w:hAnsi="Arial"/>
          <w:sz w:val="16"/>
          <w:szCs w:val="16"/>
          <w:color w:val="auto"/>
        </w:rPr>
      </w:pPr>
    </w:p>
    <w:p>
      <w:pPr>
        <w:ind w:left="1960" w:hanging="332"/>
        <w:spacing w:after="0"/>
        <w:tabs>
          <w:tab w:leader="none" w:pos="1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stock option granted pursuant to Section 7.</w:t>
      </w:r>
    </w:p>
    <w:p>
      <w:pPr>
        <w:spacing w:after="0" w:line="113" w:lineRule="exact"/>
        <w:rPr>
          <w:rFonts w:ascii="Arial" w:cs="Arial" w:eastAsia="Arial" w:hAnsi="Arial"/>
          <w:sz w:val="16"/>
          <w:szCs w:val="16"/>
          <w:color w:val="auto"/>
        </w:rPr>
      </w:pPr>
    </w:p>
    <w:p>
      <w:pPr>
        <w:jc w:val="both"/>
        <w:ind w:left="1260" w:right="739" w:firstLine="368"/>
        <w:spacing w:after="0" w:line="249" w:lineRule="auto"/>
        <w:tabs>
          <w:tab w:leader="none" w:pos="1967"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Proceeds</w:t>
      </w:r>
      <w:r>
        <w:rPr>
          <w:rFonts w:ascii="Arial" w:cs="Arial" w:eastAsia="Arial" w:hAnsi="Arial"/>
          <w:sz w:val="16"/>
          <w:szCs w:val="16"/>
          <w:color w:val="auto"/>
        </w:rPr>
        <w:t>” means, with respect to any sale or other disposition of Shares issued or issuable upon the exercise of an Option,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the Fair Market Value per Share at the time of sale or disposition and the Exercise Price.</w:t>
      </w:r>
    </w:p>
    <w:p>
      <w:pPr>
        <w:spacing w:after="0" w:line="97" w:lineRule="exact"/>
        <w:rPr>
          <w:rFonts w:ascii="Arial" w:cs="Arial" w:eastAsia="Arial" w:hAnsi="Arial"/>
          <w:sz w:val="16"/>
          <w:szCs w:val="16"/>
          <w:color w:val="auto"/>
        </w:rPr>
      </w:pPr>
    </w:p>
    <w:p>
      <w:pPr>
        <w:ind w:left="1860" w:hanging="232"/>
        <w:spacing w:after="0"/>
        <w:tabs>
          <w:tab w:leader="none" w:pos="1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Share-Based Award</w:t>
      </w:r>
      <w:r>
        <w:rPr>
          <w:rFonts w:ascii="Arial" w:cs="Arial" w:eastAsia="Arial" w:hAnsi="Arial"/>
          <w:sz w:val="16"/>
          <w:szCs w:val="16"/>
          <w:color w:val="auto"/>
        </w:rPr>
        <w:t>” means an Award granted pursuant to Section 12.</w:t>
      </w:r>
    </w:p>
    <w:p>
      <w:pPr>
        <w:spacing w:after="0" w:line="113" w:lineRule="exact"/>
        <w:rPr>
          <w:rFonts w:ascii="Arial" w:cs="Arial" w:eastAsia="Arial" w:hAnsi="Arial"/>
          <w:sz w:val="16"/>
          <w:szCs w:val="16"/>
          <w:color w:val="auto"/>
        </w:rPr>
      </w:pPr>
    </w:p>
    <w:p>
      <w:pPr>
        <w:ind w:left="1860" w:hanging="232"/>
        <w:spacing w:after="0"/>
        <w:tabs>
          <w:tab w:leader="none" w:pos="1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Employee or Director who has received an Award.</w:t>
      </w:r>
    </w:p>
    <w:p>
      <w:pPr>
        <w:spacing w:after="0" w:line="113" w:lineRule="exact"/>
        <w:rPr>
          <w:rFonts w:ascii="Arial" w:cs="Arial" w:eastAsia="Arial" w:hAnsi="Arial"/>
          <w:sz w:val="16"/>
          <w:szCs w:val="16"/>
          <w:color w:val="auto"/>
        </w:rPr>
      </w:pPr>
    </w:p>
    <w:p>
      <w:pPr>
        <w:jc w:val="both"/>
        <w:ind w:left="1260" w:right="739" w:firstLine="368"/>
        <w:spacing w:after="0" w:line="251" w:lineRule="auto"/>
        <w:tabs>
          <w:tab w:leader="none" w:pos="19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Shares</w:t>
      </w:r>
      <w:r>
        <w:rPr>
          <w:rFonts w:ascii="Arial" w:cs="Arial" w:eastAsia="Arial" w:hAnsi="Arial"/>
          <w:sz w:val="16"/>
          <w:szCs w:val="16"/>
          <w:color w:val="auto"/>
        </w:rPr>
        <w:t>” means an Award denominated in Shares granted pursuant to Section 11 that may be earned in whole or in part based upon attainment of performance objectives, which shall be established by the Administrator pursuant to Section 14 with respect to Awards intended to be “performance-based” for purposes of Section 162(m) of the Code.</w:t>
      </w:r>
    </w:p>
    <w:p>
      <w:pPr>
        <w:spacing w:after="0" w:line="94" w:lineRule="exact"/>
        <w:rPr>
          <w:rFonts w:ascii="Arial" w:cs="Arial" w:eastAsia="Arial" w:hAnsi="Arial"/>
          <w:sz w:val="16"/>
          <w:szCs w:val="16"/>
          <w:color w:val="auto"/>
        </w:rPr>
      </w:pPr>
    </w:p>
    <w:p>
      <w:pPr>
        <w:ind w:left="1860" w:hanging="232"/>
        <w:spacing w:after="0"/>
        <w:tabs>
          <w:tab w:leader="none" w:pos="1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2006 Equity Incentive Plan, as amended and restated.</w:t>
      </w:r>
    </w:p>
    <w:p>
      <w:pPr>
        <w:spacing w:after="0" w:line="113" w:lineRule="exact"/>
        <w:rPr>
          <w:rFonts w:ascii="Arial" w:cs="Arial" w:eastAsia="Arial" w:hAnsi="Arial"/>
          <w:sz w:val="16"/>
          <w:szCs w:val="16"/>
          <w:color w:val="auto"/>
        </w:rPr>
      </w:pPr>
    </w:p>
    <w:p>
      <w:pPr>
        <w:ind w:left="1260" w:right="759" w:firstLine="368"/>
        <w:spacing w:after="0" w:line="260" w:lineRule="auto"/>
        <w:tabs>
          <w:tab w:leader="none" w:pos="2043"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Plans</w:t>
      </w:r>
      <w:r>
        <w:rPr>
          <w:rFonts w:ascii="Arial" w:cs="Arial" w:eastAsia="Arial" w:hAnsi="Arial"/>
          <w:sz w:val="16"/>
          <w:szCs w:val="16"/>
          <w:color w:val="auto"/>
        </w:rPr>
        <w:t>” means the Company’s 2002 Price-Vested Stock Option Plan, the 1996 Price-Vested Stock Option Plan and the Time-Vested Stock Option Plan.</w:t>
      </w:r>
    </w:p>
    <w:p>
      <w:pPr>
        <w:spacing w:after="0" w:line="87" w:lineRule="exact"/>
        <w:rPr>
          <w:rFonts w:ascii="Arial" w:cs="Arial" w:eastAsia="Arial" w:hAnsi="Arial"/>
          <w:sz w:val="16"/>
          <w:szCs w:val="16"/>
          <w:color w:val="auto"/>
        </w:rPr>
      </w:pPr>
    </w:p>
    <w:p>
      <w:pPr>
        <w:ind w:left="1260" w:right="739" w:firstLine="368"/>
        <w:spacing w:after="0" w:line="260" w:lineRule="auto"/>
        <w:tabs>
          <w:tab w:leader="none" w:pos="19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the Exercise Price times the number of whole Shares with respect to which an Option is exercised.</w:t>
      </w:r>
    </w:p>
    <w:p>
      <w:pPr>
        <w:spacing w:after="0" w:line="87" w:lineRule="exact"/>
        <w:rPr>
          <w:rFonts w:ascii="Arial" w:cs="Arial" w:eastAsia="Arial" w:hAnsi="Arial"/>
          <w:sz w:val="16"/>
          <w:szCs w:val="16"/>
          <w:color w:val="auto"/>
        </w:rPr>
      </w:pPr>
    </w:p>
    <w:p>
      <w:pPr>
        <w:ind w:left="1960" w:hanging="332"/>
        <w:spacing w:after="0"/>
        <w:tabs>
          <w:tab w:leader="none" w:pos="1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granted pursuant to Section 9.</w:t>
      </w:r>
    </w:p>
    <w:p>
      <w:pPr>
        <w:spacing w:after="0" w:line="113" w:lineRule="exact"/>
        <w:rPr>
          <w:rFonts w:ascii="Arial" w:cs="Arial" w:eastAsia="Arial" w:hAnsi="Arial"/>
          <w:sz w:val="16"/>
          <w:szCs w:val="16"/>
          <w:color w:val="auto"/>
        </w:rPr>
      </w:pPr>
    </w:p>
    <w:p>
      <w:pPr>
        <w:ind w:left="1260" w:right="739" w:firstLine="368"/>
        <w:spacing w:after="0" w:line="260" w:lineRule="auto"/>
        <w:tabs>
          <w:tab w:leader="none" w:pos="19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an Award denominated in Shares granted pursuant to Section 10 in which the Participant has the right to receive a specified number of Shares over a specified period of time.</w:t>
      </w:r>
    </w:p>
    <w:p>
      <w:pPr>
        <w:spacing w:after="0" w:line="87" w:lineRule="exact"/>
        <w:rPr>
          <w:rFonts w:ascii="Arial" w:cs="Arial" w:eastAsia="Arial" w:hAnsi="Arial"/>
          <w:sz w:val="16"/>
          <w:szCs w:val="16"/>
          <w:color w:val="auto"/>
        </w:rPr>
      </w:pPr>
    </w:p>
    <w:p>
      <w:pPr>
        <w:ind w:left="1260" w:right="739" w:firstLine="368"/>
        <w:spacing w:after="0" w:line="260" w:lineRule="auto"/>
        <w:tabs>
          <w:tab w:leader="none" w:pos="19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w:t>
      </w:r>
      <w:r>
        <w:rPr>
          <w:rFonts w:ascii="Arial" w:cs="Arial" w:eastAsia="Arial" w:hAnsi="Arial"/>
          <w:sz w:val="16"/>
          <w:szCs w:val="16"/>
          <w:color w:val="auto"/>
        </w:rPr>
        <w:t>” means the voluntary termination of employment by an Employee at (i) age 60 or (ii) age 55 or older at a time when age plus years of service equals or exceeds 65.</w:t>
      </w:r>
    </w:p>
    <w:p>
      <w:pPr>
        <w:spacing w:after="0" w:line="87" w:lineRule="exact"/>
        <w:rPr>
          <w:rFonts w:ascii="Arial" w:cs="Arial" w:eastAsia="Arial" w:hAnsi="Arial"/>
          <w:sz w:val="16"/>
          <w:szCs w:val="16"/>
          <w:color w:val="auto"/>
        </w:rPr>
      </w:pPr>
    </w:p>
    <w:p>
      <w:pPr>
        <w:ind w:left="1880" w:hanging="252"/>
        <w:spacing w:after="0"/>
        <w:tabs>
          <w:tab w:leader="none" w:pos="1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one share of Common Stock, adjusted in accordance with Section 19 (if applicable).</w:t>
      </w:r>
    </w:p>
    <w:p>
      <w:pPr>
        <w:spacing w:after="0" w:line="113" w:lineRule="exact"/>
        <w:rPr>
          <w:rFonts w:ascii="Arial" w:cs="Arial" w:eastAsia="Arial" w:hAnsi="Arial"/>
          <w:sz w:val="16"/>
          <w:szCs w:val="16"/>
          <w:color w:val="auto"/>
        </w:rPr>
      </w:pPr>
    </w:p>
    <w:p>
      <w:pPr>
        <w:ind w:left="1940" w:hanging="312"/>
        <w:spacing w:after="0"/>
        <w:tabs>
          <w:tab w:leader="none" w:pos="19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 Equivalent</w:t>
      </w:r>
      <w:r>
        <w:rPr>
          <w:rFonts w:ascii="Arial" w:cs="Arial" w:eastAsia="Arial" w:hAnsi="Arial"/>
          <w:sz w:val="16"/>
          <w:szCs w:val="16"/>
          <w:color w:val="auto"/>
        </w:rPr>
        <w:t>” means a bookkeeping entry representing a right to the equivalent of one Share.</w:t>
      </w:r>
    </w:p>
    <w:p>
      <w:pPr>
        <w:spacing w:after="0" w:line="113" w:lineRule="exact"/>
        <w:rPr>
          <w:rFonts w:ascii="Arial" w:cs="Arial" w:eastAsia="Arial" w:hAnsi="Arial"/>
          <w:sz w:val="16"/>
          <w:szCs w:val="16"/>
          <w:color w:val="auto"/>
        </w:rPr>
      </w:pPr>
    </w:p>
    <w:p>
      <w:pPr>
        <w:ind w:left="1260" w:right="759" w:firstLine="368"/>
        <w:spacing w:after="0" w:line="260" w:lineRule="auto"/>
        <w:tabs>
          <w:tab w:leader="none" w:pos="1877"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Right</w:t>
      </w:r>
      <w:r>
        <w:rPr>
          <w:rFonts w:ascii="Arial" w:cs="Arial" w:eastAsia="Arial" w:hAnsi="Arial"/>
          <w:sz w:val="16"/>
          <w:szCs w:val="16"/>
          <w:color w:val="auto"/>
        </w:rPr>
        <w:t>” means a right to receive an amount equal to the value of a specified number of Shares which will be payable in Shares or cash as established by the Administrator.</w:t>
      </w:r>
    </w:p>
    <w:p>
      <w:pPr>
        <w:spacing w:after="0" w:line="87" w:lineRule="exact"/>
        <w:rPr>
          <w:rFonts w:ascii="Arial" w:cs="Arial" w:eastAsia="Arial" w:hAnsi="Arial"/>
          <w:sz w:val="16"/>
          <w:szCs w:val="16"/>
          <w:color w:val="auto"/>
        </w:rPr>
      </w:pPr>
    </w:p>
    <w:p>
      <w:pPr>
        <w:jc w:val="both"/>
        <w:ind w:left="1260" w:right="739" w:firstLine="368"/>
        <w:spacing w:after="0" w:line="253" w:lineRule="auto"/>
        <w:tabs>
          <w:tab w:leader="none" w:pos="1967"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company in an unbroken chain of companies beginning with the Company if each of the companies other than the last company in the unbroken chain owns stock possessing 50% or more of the total combined voting power of all classes of stock in one of the other Companies in such chain.</w:t>
      </w:r>
    </w:p>
    <w:p>
      <w:pPr>
        <w:spacing w:after="0" w:line="168" w:lineRule="exact"/>
        <w:rPr>
          <w:sz w:val="20"/>
          <w:szCs w:val="20"/>
          <w:color w:val="auto"/>
        </w:rPr>
      </w:pPr>
    </w:p>
    <w:p>
      <w:pPr>
        <w:ind w:left="1440" w:hanging="172"/>
        <w:spacing w:after="0"/>
        <w:tabs>
          <w:tab w:leader="none" w:pos="144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EFFECTIVE DATE</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1" w:lineRule="auto"/>
        <w:rPr>
          <w:sz w:val="20"/>
          <w:szCs w:val="20"/>
          <w:color w:val="auto"/>
        </w:rPr>
      </w:pPr>
      <w:r>
        <w:rPr>
          <w:rFonts w:ascii="Arial" w:cs="Arial" w:eastAsia="Arial" w:hAnsi="Arial"/>
          <w:sz w:val="16"/>
          <w:szCs w:val="16"/>
          <w:color w:val="auto"/>
        </w:rPr>
        <w:t>This Plan was initially adopted by the Board on January 10, 2006, and became effective on the date the Plan was initially approved by the Company’s shareholders. This Plan was amended and restated by the Board on January 13, 2015, to be effective on the date the amended and restated Plan is approved by shareholders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27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40" w:hanging="172"/>
        <w:spacing w:after="0"/>
        <w:tabs>
          <w:tab w:leader="none" w:pos="144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53" w:lineRule="auto"/>
        <w:tabs>
          <w:tab w:leader="none" w:pos="1904"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Administration with respect to Non-Employee Directors</w:t>
      </w:r>
      <w:r>
        <w:rPr>
          <w:rFonts w:ascii="Arial" w:cs="Arial" w:eastAsia="Arial" w:hAnsi="Arial"/>
          <w:sz w:val="16"/>
          <w:szCs w:val="16"/>
          <w:color w:val="auto"/>
        </w:rPr>
        <w:t>. With respect to Awards to Non-Employee Directors, the Plan shall be administered by the Governance Committee of the Board or another independent committee of the Board.</w:t>
      </w:r>
    </w:p>
    <w:p>
      <w:pPr>
        <w:spacing w:after="0" w:line="93" w:lineRule="exact"/>
        <w:rPr>
          <w:rFonts w:ascii="Arial" w:cs="Arial" w:eastAsia="Arial" w:hAnsi="Arial"/>
          <w:sz w:val="16"/>
          <w:szCs w:val="16"/>
          <w:color w:val="auto"/>
        </w:rPr>
      </w:pPr>
    </w:p>
    <w:p>
      <w:pPr>
        <w:jc w:val="both"/>
        <w:ind w:left="1260" w:right="739" w:firstLine="368"/>
        <w:spacing w:after="0" w:line="251" w:lineRule="auto"/>
        <w:tabs>
          <w:tab w:leader="none" w:pos="189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Administration with respect to Employees</w:t>
      </w:r>
      <w:r>
        <w:rPr>
          <w:rFonts w:ascii="Arial" w:cs="Arial" w:eastAsia="Arial" w:hAnsi="Arial"/>
          <w:sz w:val="16"/>
          <w:szCs w:val="16"/>
          <w:color w:val="auto"/>
        </w:rPr>
        <w:t>. With respect to Awards to Employees, the Plan shall be administered by the Board, the Committee or a committee of the Board consisting of Board members who qualify as an “outside director” for purposes of Code Section 162(m) and as a “non-employee director” for purposes of Rule 16b-3 promulgated under the Exchange Act.</w:t>
      </w:r>
    </w:p>
    <w:p>
      <w:pPr>
        <w:spacing w:after="0" w:line="94" w:lineRule="exact"/>
        <w:rPr>
          <w:rFonts w:ascii="Arial" w:cs="Arial" w:eastAsia="Arial" w:hAnsi="Arial"/>
          <w:sz w:val="16"/>
          <w:szCs w:val="16"/>
          <w:color w:val="auto"/>
        </w:rPr>
      </w:pPr>
    </w:p>
    <w:p>
      <w:pPr>
        <w:jc w:val="both"/>
        <w:ind w:left="1620" w:right="739" w:firstLine="368"/>
        <w:spacing w:after="0" w:line="249" w:lineRule="auto"/>
        <w:tabs>
          <w:tab w:leader="none" w:pos="2201" w:val="left"/>
        </w:tabs>
        <w:numPr>
          <w:ilvl w:val="2"/>
          <w:numId w:val="70"/>
        </w:numPr>
        <w:rPr>
          <w:rFonts w:ascii="Arial" w:cs="Arial" w:eastAsia="Arial" w:hAnsi="Arial"/>
          <w:sz w:val="16"/>
          <w:szCs w:val="16"/>
          <w:color w:val="auto"/>
        </w:rPr>
      </w:pPr>
      <w:r>
        <w:rPr>
          <w:rFonts w:ascii="Arial" w:cs="Arial" w:eastAsia="Arial" w:hAnsi="Arial"/>
          <w:sz w:val="16"/>
          <w:szCs w:val="16"/>
          <w:color w:val="auto"/>
        </w:rPr>
        <w:t>If any member of the Committee does not qualify as an “outside director” for purposes of Code Section 162(m), Awards under the Plan for the Covered Employees shall be administered by a subcommittee consisting of each Committee member who qualifies as an “outside director.” If fewer than two Committee members qualify as “outside directors,” the Board shall appoint one or more other Board members to such subcommittee who do qualify as “outside directors,” so that the subcommittee will at all times consist of two or more members, all of whom qualify as “outside directors” for purposes of Code Section 162(m).</w:t>
      </w:r>
    </w:p>
    <w:p>
      <w:pPr>
        <w:spacing w:after="0" w:line="97" w:lineRule="exact"/>
        <w:rPr>
          <w:rFonts w:ascii="Arial" w:cs="Arial" w:eastAsia="Arial" w:hAnsi="Arial"/>
          <w:sz w:val="16"/>
          <w:szCs w:val="16"/>
          <w:color w:val="auto"/>
        </w:rPr>
      </w:pPr>
    </w:p>
    <w:p>
      <w:pPr>
        <w:jc w:val="both"/>
        <w:ind w:left="1620" w:right="739" w:firstLine="368"/>
        <w:spacing w:after="0" w:line="248" w:lineRule="auto"/>
        <w:tabs>
          <w:tab w:leader="none" w:pos="2238" w:val="left"/>
        </w:tabs>
        <w:numPr>
          <w:ilvl w:val="2"/>
          <w:numId w:val="70"/>
        </w:numPr>
        <w:rPr>
          <w:rFonts w:ascii="Arial" w:cs="Arial" w:eastAsia="Arial" w:hAnsi="Arial"/>
          <w:sz w:val="16"/>
          <w:szCs w:val="16"/>
          <w:color w:val="auto"/>
        </w:rPr>
      </w:pPr>
      <w:r>
        <w:rPr>
          <w:rFonts w:ascii="Arial" w:cs="Arial" w:eastAsia="Arial" w:hAnsi="Arial"/>
          <w:sz w:val="16"/>
          <w:szCs w:val="16"/>
          <w:color w:val="auto"/>
        </w:rPr>
        <w:t>If any member of the Committee does not qualify as a “non-employee director” for purposes of Rule 16b-3 promulgated under the Exchange Act, then Awards under the Plan for the executive officers of the Company and Directors shall be administered by a subcommittee consisting of each Committee member who qualifies as a “non-employee director.” If fewer than two Committee members qualify as “non-employee directors,” then the Board shall appoint one or more other Board members to such subcommittee who do qualify as “non-employee directors,” so that the subcommittee will at all times consist of two or more members all of whom qualify as “non-employee directors” for purposes of Rule 16b-3 promulgated under the Exchange Act.</w:t>
      </w:r>
    </w:p>
    <w:p>
      <w:pPr>
        <w:spacing w:after="0" w:line="99" w:lineRule="exact"/>
        <w:rPr>
          <w:rFonts w:ascii="Arial" w:cs="Arial" w:eastAsia="Arial" w:hAnsi="Arial"/>
          <w:sz w:val="16"/>
          <w:szCs w:val="16"/>
          <w:color w:val="auto"/>
        </w:rPr>
      </w:pPr>
    </w:p>
    <w:p>
      <w:pPr>
        <w:jc w:val="both"/>
        <w:ind w:left="1260" w:right="739" w:firstLine="368"/>
        <w:spacing w:after="0" w:line="251" w:lineRule="auto"/>
        <w:tabs>
          <w:tab w:leader="none" w:pos="1854"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Delegation of Authority to an Officer of the Company or Other Board Committee</w:t>
      </w:r>
      <w:r>
        <w:rPr>
          <w:rFonts w:ascii="Arial" w:cs="Arial" w:eastAsia="Arial" w:hAnsi="Arial"/>
          <w:sz w:val="16"/>
          <w:szCs w:val="16"/>
          <w:color w:val="auto"/>
        </w:rPr>
        <w:t>. The Board may delegate to (i) an officer or officers of the Company and/or (ii) a committee of the Board which may consist of Directors who are also Employees the authority to administer the Plan with respect to Awards made to Employees who are not subject to Section 16 of the Exchange Act.</w:t>
      </w:r>
    </w:p>
    <w:p>
      <w:pPr>
        <w:spacing w:after="0" w:line="94" w:lineRule="exact"/>
        <w:rPr>
          <w:rFonts w:ascii="Arial" w:cs="Arial" w:eastAsia="Arial" w:hAnsi="Arial"/>
          <w:sz w:val="16"/>
          <w:szCs w:val="16"/>
          <w:color w:val="auto"/>
        </w:rPr>
      </w:pPr>
    </w:p>
    <w:p>
      <w:pPr>
        <w:jc w:val="both"/>
        <w:ind w:left="1260" w:right="759" w:firstLine="368"/>
        <w:spacing w:after="0" w:line="251" w:lineRule="auto"/>
        <w:tabs>
          <w:tab w:leader="none" w:pos="1931"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Powers of the Administrator</w:t>
      </w:r>
      <w:r>
        <w:rPr>
          <w:rFonts w:ascii="Arial" w:cs="Arial" w:eastAsia="Arial" w:hAnsi="Arial"/>
          <w:sz w:val="16"/>
          <w:szCs w:val="16"/>
          <w:color w:val="auto"/>
        </w:rPr>
        <w:t>. The Administrator shall from time to time at its discretion make determinations with respect to Employees and Directors who shall be granted Awards, the number of Shares or Share Equivalents to be subject to each Award, the vesting of Awards, the designation of Options as Incentive Stock Options or Nonqualified Stock Options and other conditions of Awards.</w:t>
      </w:r>
    </w:p>
    <w:p>
      <w:pPr>
        <w:spacing w:after="0" w:line="95"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The interpretation and construction by the Administrator of any provisions of the Plan or of any Award shall be final. No member of the Administrator shall be liable for any action or determination made in good faith with respect to the Plan or any Award.</w:t>
      </w:r>
    </w:p>
    <w:p>
      <w:pPr>
        <w:spacing w:after="0" w:line="168" w:lineRule="exact"/>
        <w:rPr>
          <w:sz w:val="20"/>
          <w:szCs w:val="20"/>
          <w:color w:val="auto"/>
        </w:rPr>
      </w:pPr>
    </w:p>
    <w:p>
      <w:pPr>
        <w:ind w:left="1440" w:hanging="172"/>
        <w:spacing w:after="0"/>
        <w:tabs>
          <w:tab w:leader="none" w:pos="144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Subject to the terms and conditions set forth below, Awards may be granted to Employees or Directors. Notwithstanding the foregoing, only employees of the Company and its Subsidiaries may be granted Incentive Stock Options.</w:t>
      </w:r>
    </w:p>
    <w:p>
      <w:pPr>
        <w:spacing w:after="0" w:line="93" w:lineRule="exact"/>
        <w:rPr>
          <w:sz w:val="20"/>
          <w:szCs w:val="20"/>
          <w:color w:val="auto"/>
        </w:rPr>
      </w:pPr>
    </w:p>
    <w:p>
      <w:pPr>
        <w:jc w:val="both"/>
        <w:ind w:left="1260" w:right="739" w:firstLine="368"/>
        <w:spacing w:after="0" w:line="251" w:lineRule="auto"/>
        <w:tabs>
          <w:tab w:leader="none" w:pos="186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Ten Percent Shareholders</w:t>
      </w:r>
      <w:r>
        <w:rPr>
          <w:rFonts w:ascii="Arial" w:cs="Arial" w:eastAsia="Arial" w:hAnsi="Arial"/>
          <w:sz w:val="16"/>
          <w:szCs w:val="16"/>
          <w:color w:val="auto"/>
        </w:rPr>
        <w:t>. An Employee who owns more than 10% of the total combined voting power of all classes of outstanding stock of the Company, its parent or any of its Subsidiaries is not eligible to receive an Incentive Stock Option pursuant to this Plan. For purposes of this Section 5(a) the stock ownership of an Employee shall be determined pursuant to Code Section 424(d).</w:t>
      </w:r>
    </w:p>
    <w:p>
      <w:pPr>
        <w:spacing w:after="0" w:line="94" w:lineRule="exact"/>
        <w:rPr>
          <w:rFonts w:ascii="Arial" w:cs="Arial" w:eastAsia="Arial" w:hAnsi="Arial"/>
          <w:sz w:val="16"/>
          <w:szCs w:val="16"/>
          <w:color w:val="auto"/>
        </w:rPr>
      </w:pPr>
    </w:p>
    <w:p>
      <w:pPr>
        <w:jc w:val="both"/>
        <w:ind w:left="1260" w:right="739" w:firstLine="368"/>
        <w:spacing w:after="0" w:line="246" w:lineRule="auto"/>
        <w:tabs>
          <w:tab w:leader="none" w:pos="186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Number of Awards</w:t>
      </w:r>
      <w:r>
        <w:rPr>
          <w:rFonts w:ascii="Arial" w:cs="Arial" w:eastAsia="Arial" w:hAnsi="Arial"/>
          <w:sz w:val="16"/>
          <w:szCs w:val="16"/>
          <w:color w:val="auto"/>
        </w:rPr>
        <w:t>. A Participant may receive more than one Award, including Awards of the same type, but only on the terms and subject to the restrictions set forth in the Plan. Subject to adjustment as provided in Section 19, the following maximum limits shall apply to the amount that may be awarded to any Participant during any calendar year: (i) Options and Stock Appreciation Rights that relate to no more than 1,000,000 Shares; and</w:t>
      </w:r>
    </w:p>
    <w:p>
      <w:pPr>
        <w:spacing w:after="0" w:line="1" w:lineRule="exact"/>
        <w:rPr>
          <w:rFonts w:ascii="Arial" w:cs="Arial" w:eastAsia="Arial" w:hAnsi="Arial"/>
          <w:sz w:val="16"/>
          <w:szCs w:val="16"/>
          <w:color w:val="auto"/>
        </w:rPr>
      </w:pPr>
    </w:p>
    <w:p>
      <w:pPr>
        <w:jc w:val="both"/>
        <w:ind w:left="1260" w:right="739" w:firstLine="8"/>
        <w:spacing w:after="0" w:line="253" w:lineRule="auto"/>
        <w:tabs>
          <w:tab w:leader="none" w:pos="1487"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Performance Shares, Restricted Stock, Restricted Stock Units and Other Share-Based Awards that relate to no more than 1,000,000 Shares. No Non-Employee Director shall be granted Awards during any one calendar year for services as a Non-Employee Director in excess of 100,000 Shares.</w:t>
      </w:r>
    </w:p>
    <w:p>
      <w:pPr>
        <w:spacing w:after="0" w:line="168" w:lineRule="exact"/>
        <w:rPr>
          <w:sz w:val="20"/>
          <w:szCs w:val="20"/>
          <w:color w:val="auto"/>
        </w:rPr>
      </w:pPr>
    </w:p>
    <w:p>
      <w:pPr>
        <w:ind w:left="1440" w:hanging="172"/>
        <w:spacing w:after="0"/>
        <w:tabs>
          <w:tab w:leader="none" w:pos="144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The stock subject to Awards granted under the Plan shall be Shares of the Company’s authorized but unissued or reacquired Common Stock. The aggregate number of Shares subject to Awards issued under this Plan (including Shares previously authorized by the Company’s shareholders) shall not exceed 11,679,265</w:t>
      </w:r>
    </w:p>
    <w:p>
      <w:pPr>
        <w:spacing w:after="0" w:line="26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spacing w:after="0" w:line="248" w:lineRule="auto"/>
        <w:rPr>
          <w:sz w:val="20"/>
          <w:szCs w:val="20"/>
          <w:color w:val="auto"/>
        </w:rPr>
      </w:pPr>
      <w:r>
        <w:rPr>
          <w:rFonts w:ascii="Arial" w:cs="Arial" w:eastAsia="Arial" w:hAnsi="Arial"/>
          <w:sz w:val="16"/>
          <w:szCs w:val="16"/>
          <w:color w:val="auto"/>
        </w:rPr>
        <w:t>Shares. If any outstanding Option or Stock Appreciation Right under the Plan or any outstanding stock option grant under the Prior Plans for any reason expires or is terminated or any Restricted Stock or Other Share-Based Award is forfeited and under the terms of the expired or terminated Award the Participant received no financial benefits of ownership during the period the Award was outstanding, then the Shares allocable to the unexercised portion of such Option or the forfeited Restricted Stock or Other Share-Based Award may again be subjected to Awards under the Plan. The following Shares may not again be made available for issuance under the Plan: Shares not issued or delivered as a result of the net exercise of a Stock Appreciation Right or Option and Shares used to pay the withholding taxes related to an Award.</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limitations established by this Section 6 shall be subject to adjustment as provided in Section 19.</w:t>
      </w:r>
    </w:p>
    <w:p>
      <w:pPr>
        <w:spacing w:after="0" w:line="188" w:lineRule="exact"/>
        <w:rPr>
          <w:sz w:val="20"/>
          <w:szCs w:val="20"/>
          <w:color w:val="auto"/>
        </w:rPr>
      </w:pPr>
    </w:p>
    <w:p>
      <w:pPr>
        <w:ind w:left="1440" w:hanging="172"/>
        <w:spacing w:after="0"/>
        <w:tabs>
          <w:tab w:leader="none" w:pos="144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TERMS AND CONDITIONS OF OPTIONS</w:t>
      </w:r>
      <w:r>
        <w:rPr>
          <w:rFonts w:ascii="Arial" w:cs="Arial" w:eastAsia="Arial" w:hAnsi="Arial"/>
          <w:sz w:val="16"/>
          <w:szCs w:val="16"/>
          <w:b w:val="1"/>
          <w:bCs w:val="1"/>
          <w:color w:val="auto"/>
        </w:rPr>
        <w:t>.</w:t>
      </w:r>
    </w:p>
    <w:p>
      <w:pPr>
        <w:spacing w:after="0" w:line="133" w:lineRule="exact"/>
        <w:rPr>
          <w:sz w:val="20"/>
          <w:szCs w:val="20"/>
          <w:color w:val="auto"/>
        </w:rPr>
      </w:pPr>
    </w:p>
    <w:p>
      <w:pPr>
        <w:ind w:left="1260" w:right="739" w:firstLine="360"/>
        <w:spacing w:after="0" w:line="260" w:lineRule="auto"/>
        <w:rPr>
          <w:sz w:val="20"/>
          <w:szCs w:val="20"/>
          <w:color w:val="auto"/>
        </w:rPr>
      </w:pPr>
      <w:r>
        <w:rPr>
          <w:rFonts w:ascii="Arial" w:cs="Arial" w:eastAsia="Arial" w:hAnsi="Arial"/>
          <w:sz w:val="16"/>
          <w:szCs w:val="16"/>
          <w:color w:val="auto"/>
        </w:rPr>
        <w:t>Options granted to Employees and Directors pursuant to the Plan shall be evidenced by written Option Agreements in such form as the Administrator shall determine, subject to the following terms and conditions:</w:t>
      </w:r>
    </w:p>
    <w:p>
      <w:pPr>
        <w:spacing w:after="0" w:line="88" w:lineRule="exact"/>
        <w:rPr>
          <w:sz w:val="20"/>
          <w:szCs w:val="20"/>
          <w:color w:val="auto"/>
        </w:rPr>
      </w:pPr>
    </w:p>
    <w:p>
      <w:pPr>
        <w:ind w:left="1260" w:right="739" w:firstLine="368"/>
        <w:spacing w:after="0" w:line="260" w:lineRule="auto"/>
        <w:tabs>
          <w:tab w:leader="none" w:pos="187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Each Option shall state the number of Shares to which it pertains, which shall be subject to adjustment in accordance with Section 19.</w:t>
      </w:r>
    </w:p>
    <w:p>
      <w:pPr>
        <w:spacing w:after="0" w:line="87" w:lineRule="exact"/>
        <w:rPr>
          <w:rFonts w:ascii="Arial" w:cs="Arial" w:eastAsia="Arial" w:hAnsi="Arial"/>
          <w:sz w:val="16"/>
          <w:szCs w:val="16"/>
          <w:color w:val="auto"/>
        </w:rPr>
      </w:pPr>
    </w:p>
    <w:p>
      <w:pPr>
        <w:ind w:left="1260" w:right="739" w:firstLine="368"/>
        <w:spacing w:after="0" w:line="260" w:lineRule="auto"/>
        <w:tabs>
          <w:tab w:leader="none" w:pos="187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Option shall state the Exercise Price, determined by the Administrator, which shall not be less than the Fair Market Value of a Share on the date of grant, except as provided in Section 19.</w:t>
      </w:r>
    </w:p>
    <w:p>
      <w:pPr>
        <w:spacing w:after="0" w:line="87" w:lineRule="exact"/>
        <w:rPr>
          <w:rFonts w:ascii="Arial" w:cs="Arial" w:eastAsia="Arial" w:hAnsi="Arial"/>
          <w:sz w:val="16"/>
          <w:szCs w:val="16"/>
          <w:color w:val="auto"/>
        </w:rPr>
      </w:pPr>
    </w:p>
    <w:p>
      <w:pPr>
        <w:jc w:val="both"/>
        <w:ind w:left="1260" w:right="739" w:firstLine="368"/>
        <w:spacing w:after="0" w:line="248" w:lineRule="auto"/>
        <w:tabs>
          <w:tab w:leader="none" w:pos="1854"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Medium and Time of Payment</w:t>
      </w:r>
      <w:r>
        <w:rPr>
          <w:rFonts w:ascii="Arial" w:cs="Arial" w:eastAsia="Arial" w:hAnsi="Arial"/>
          <w:sz w:val="16"/>
          <w:szCs w:val="16"/>
          <w:color w:val="auto"/>
        </w:rPr>
        <w:t xml:space="preserve">. The Purchase Price shall be payable in full in United States dollars upon the exercise of the Option;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with the consent of the Administrator and in accordance with its rules and regulations, the Purchase Price may be paid by the surrender of Shares in good form for transfer, owned by the person exercising the Option and having a Fair Market Value on the date of exercise equal to the Purchase Price, or in any combination of cash and Shares, or in such acceptable form of payment as approved by the Administrator, so long as the total of the cash and the Fair Market Value of the Shares surrendered equals the Purchase Price. No Shares shall be issued until full payment has been made.</w:t>
      </w:r>
    </w:p>
    <w:p>
      <w:pPr>
        <w:spacing w:after="0" w:line="100" w:lineRule="exact"/>
        <w:rPr>
          <w:rFonts w:ascii="Arial" w:cs="Arial" w:eastAsia="Arial" w:hAnsi="Arial"/>
          <w:sz w:val="16"/>
          <w:szCs w:val="16"/>
          <w:color w:val="auto"/>
        </w:rPr>
      </w:pPr>
    </w:p>
    <w:p>
      <w:pPr>
        <w:jc w:val="both"/>
        <w:ind w:left="1260" w:right="739" w:firstLine="368"/>
        <w:spacing w:after="0" w:line="247" w:lineRule="auto"/>
        <w:tabs>
          <w:tab w:leader="none" w:pos="1863"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Term and Exercise of Options; Nontransferability of Options</w:t>
      </w:r>
      <w:r>
        <w:rPr>
          <w:rFonts w:ascii="Arial" w:cs="Arial" w:eastAsia="Arial" w:hAnsi="Arial"/>
          <w:sz w:val="16"/>
          <w:szCs w:val="16"/>
          <w:color w:val="auto"/>
        </w:rPr>
        <w:t xml:space="preserve">. Each Option shall state the date after which it shall cease to be exercisable. No Option shall be exercisable after the expiration of ten years from the date it is granted or such lesser period established by the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specified by the Administrator, the Company’s practice shall be that no Option shall be exercisable after the expiration of seven years from the date it is granted. Except as provided in Section 15(a) or in the event of a Participant’s death or Disability, an Option shall not become vested before the expiration of one year from the date the Option is granted. An Option shall, during a Participant’s lifetime, be exercisable only by the Participant. No Option or any right granted thereunder shall be transferable by the Participant by operation of law or otherwise, other than by will or the laws of descent and distribution. Notwithstanding the foregoing, (i) a Participant may designate a Beneficiary to succeed, after the Participant’s death, to all of the Participant’s Options outstanding on the date of death; (ii) a Nonstatutory Stock Option or any right granted thereunder may be transferable pursuant to a qualified domestic relations order as defined in the Code or Title I of the Employee Retirement Income Security Act; and (iii) any Participant may voluntarily transfer any Nonstatutory Stock Option to a Family Member as a gift or through a transfer to an entity domiciled in the United States in which more than 50% of the voting or beneficial interests are owned by Family Members (or the Participant) in exchange for an interest in that entity.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102" w:lineRule="exact"/>
        <w:rPr>
          <w:rFonts w:ascii="Arial" w:cs="Arial" w:eastAsia="Arial" w:hAnsi="Arial"/>
          <w:sz w:val="16"/>
          <w:szCs w:val="16"/>
          <w:color w:val="auto"/>
        </w:rPr>
      </w:pPr>
    </w:p>
    <w:p>
      <w:pPr>
        <w:jc w:val="both"/>
        <w:ind w:left="1260" w:right="739" w:firstLine="368"/>
        <w:spacing w:after="0" w:line="249" w:lineRule="auto"/>
        <w:tabs>
          <w:tab w:leader="none" w:pos="1863"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In the event that a Participant who is an Employee ceases to be employed by the Company or any of its Affiliates for any reason, such Participant (or in the case of death, such Participant’s designated Beneficiary) shall have the right (subject to the limitation that no Option may be exercised after its stated expiration date) to exercise the Option, to the extent that, at the date of termination of employment, the Option had vested pursuant to the terms of the Option Agreement with respect to which such Option was granted and had not previously been exercised, either:</w:t>
      </w:r>
    </w:p>
    <w:p>
      <w:pPr>
        <w:spacing w:after="0" w:line="97" w:lineRule="exact"/>
        <w:rPr>
          <w:rFonts w:ascii="Arial" w:cs="Arial" w:eastAsia="Arial" w:hAnsi="Arial"/>
          <w:sz w:val="16"/>
          <w:szCs w:val="16"/>
          <w:color w:val="auto"/>
        </w:rPr>
      </w:pPr>
    </w:p>
    <w:p>
      <w:pPr>
        <w:ind w:left="2180" w:hanging="191"/>
        <w:spacing w:after="0"/>
        <w:tabs>
          <w:tab w:leader="none" w:pos="21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within four months after such termination of employment; or</w:t>
      </w:r>
    </w:p>
    <w:p>
      <w:pPr>
        <w:spacing w:after="0" w:line="113" w:lineRule="exact"/>
        <w:rPr>
          <w:rFonts w:ascii="Arial" w:cs="Arial" w:eastAsia="Arial" w:hAnsi="Arial"/>
          <w:sz w:val="16"/>
          <w:szCs w:val="16"/>
          <w:color w:val="auto"/>
        </w:rPr>
      </w:pPr>
    </w:p>
    <w:p>
      <w:pPr>
        <w:ind w:left="2220" w:hanging="231"/>
        <w:spacing w:after="0"/>
        <w:tabs>
          <w:tab w:leader="none" w:pos="22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 the case of Retirement or death within one year after the date thereof; or</w:t>
      </w:r>
    </w:p>
    <w:p>
      <w:pPr>
        <w:spacing w:after="0" w:line="113" w:lineRule="exact"/>
        <w:rPr>
          <w:rFonts w:ascii="Arial" w:cs="Arial" w:eastAsia="Arial" w:hAnsi="Arial"/>
          <w:sz w:val="16"/>
          <w:szCs w:val="16"/>
          <w:color w:val="auto"/>
        </w:rPr>
      </w:pPr>
    </w:p>
    <w:p>
      <w:pPr>
        <w:ind w:left="1620" w:right="759" w:firstLine="368"/>
        <w:spacing w:after="0" w:line="260" w:lineRule="auto"/>
        <w:tabs>
          <w:tab w:leader="none" w:pos="2245" w:val="left"/>
        </w:tabs>
        <w:numPr>
          <w:ilvl w:val="1"/>
          <w:numId w:val="76"/>
        </w:numPr>
        <w:rPr>
          <w:rFonts w:ascii="Arial" w:cs="Arial" w:eastAsia="Arial" w:hAnsi="Arial"/>
          <w:sz w:val="16"/>
          <w:szCs w:val="16"/>
          <w:color w:val="auto"/>
        </w:rPr>
      </w:pPr>
      <w:r>
        <w:rPr>
          <w:rFonts w:ascii="Arial" w:cs="Arial" w:eastAsia="Arial" w:hAnsi="Arial"/>
          <w:sz w:val="16"/>
          <w:szCs w:val="16"/>
          <w:color w:val="auto"/>
        </w:rPr>
        <w:t>in the case of Disability, within one year from the date the Committee or its delegate determines that the Participant is Disabled; or</w:t>
      </w: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20" w:right="739" w:firstLine="368"/>
        <w:spacing w:after="0" w:line="250" w:lineRule="auto"/>
        <w:tabs>
          <w:tab w:leader="none" w:pos="2307"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such other terms established by the Committee in the Agreement or otherwise prior to termination.</w:t>
      </w:r>
    </w:p>
    <w:p>
      <w:pPr>
        <w:spacing w:after="0" w:line="295"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6"/>
          <w:szCs w:val="16"/>
          <w:color w:val="auto"/>
        </w:rPr>
        <w:t>However, in addition to the rights and obligations established in Section 16 below, if the employment of a Participant is terminated by the Company or an Affiliate by reason of Cause, such Option shall cease to be exercisable at the time of the Participant’s termination of employment. The independent members of the Board or the Independent Committee shall determine whether a Participant’s employment is terminated by reason of Cause. In making such determination, such body shall act fairly and shall give the Participant an opportunity to be heard and present evidence on his or her behalf. If a Participant’s employment terminates for reasons other than Cause, but Cause is discovered after the termination and is determined to have occurred by such body, all outstanding Options shall cease to be exercisable upon such determination.</w:t>
      </w:r>
    </w:p>
    <w:p>
      <w:pPr>
        <w:spacing w:after="0" w:line="100"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6"/>
          <w:szCs w:val="16"/>
          <w:color w:val="auto"/>
        </w:rPr>
        <w:t>For purposes of this Section, the employment relationship will be treated as continuing while the Participant is on military leave, sick leave (including short-term disability) or other bona fide leave of absence (to be determined in the sole discretion of the Administrator, in accordance with rules and regulations construing Code Sections 422(a)(2) and 409A). Notwithstanding the foregoing, in the case of an Incentive Stock Option, employment shall not be deemed to continue beyond three months after the Participant ceased active employment, unless the Participant’s reemployment rights are guaranteed by statute or by contract. In the event that an Incentive Stock Option is exercised after the period following termination of employment that is required for qualification under Code Section 422(b), such Option shall be treated as a Nonqualified Stock Option for all Plan purposes.</w:t>
      </w:r>
    </w:p>
    <w:p>
      <w:pPr>
        <w:spacing w:after="0" w:line="289" w:lineRule="exact"/>
        <w:rPr>
          <w:sz w:val="20"/>
          <w:szCs w:val="20"/>
          <w:color w:val="auto"/>
        </w:rPr>
      </w:pPr>
    </w:p>
    <w:p>
      <w:pPr>
        <w:jc w:val="both"/>
        <w:ind w:left="1260" w:right="739" w:firstLine="360"/>
        <w:spacing w:after="0" w:line="249" w:lineRule="auto"/>
        <w:rPr>
          <w:sz w:val="20"/>
          <w:szCs w:val="20"/>
          <w:color w:val="auto"/>
        </w:rPr>
      </w:pPr>
      <w:r>
        <w:rPr>
          <w:rFonts w:ascii="Arial" w:cs="Arial" w:eastAsia="Arial" w:hAnsi="Arial"/>
          <w:sz w:val="16"/>
          <w:szCs w:val="16"/>
          <w:color w:val="auto"/>
        </w:rPr>
        <w:t>In the event a Non-Employee Director terminates service as a Director, the former Director (or his or her designated Beneficiary in the event of the Non-Employee Director’s death) shall have the right (subject to the limitation that no Option may be exercised after its stated expiration date) to exercise the Option (to the extent vested pursuant to the terms of the Option Agreement and not previously exercised) within one year after such termination or on such other terms established by the Board in the Agreement or otherwise prior to termination of service.</w:t>
      </w:r>
    </w:p>
    <w:p>
      <w:pPr>
        <w:spacing w:after="0" w:line="97" w:lineRule="exact"/>
        <w:rPr>
          <w:sz w:val="20"/>
          <w:szCs w:val="20"/>
          <w:color w:val="auto"/>
        </w:rPr>
      </w:pPr>
    </w:p>
    <w:p>
      <w:pPr>
        <w:jc w:val="both"/>
        <w:ind w:left="1260" w:right="739" w:firstLine="368"/>
        <w:spacing w:after="0" w:line="251" w:lineRule="auto"/>
        <w:tabs>
          <w:tab w:leader="none" w:pos="1859"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Rights as a Shareholder</w:t>
      </w:r>
      <w:r>
        <w:rPr>
          <w:rFonts w:ascii="Arial" w:cs="Arial" w:eastAsia="Arial" w:hAnsi="Arial"/>
          <w:sz w:val="16"/>
          <w:szCs w:val="16"/>
          <w:color w:val="auto"/>
        </w:rPr>
        <w:t>. A Participant or a transferee of a Participant shall have no rights as a shareholder with respect to any Shares covered by his or her Option until the date of issuance of a stock certificate for such Shares. No adjustment shall be made for dividends, distributions or other rights for which the record date is prior to the date such stock certificate is issued, except as provided in Section 19.</w:t>
      </w:r>
    </w:p>
    <w:p>
      <w:pPr>
        <w:spacing w:after="0" w:line="94" w:lineRule="exact"/>
        <w:rPr>
          <w:rFonts w:ascii="Arial" w:cs="Arial" w:eastAsia="Arial" w:hAnsi="Arial"/>
          <w:sz w:val="16"/>
          <w:szCs w:val="16"/>
          <w:color w:val="auto"/>
        </w:rPr>
      </w:pPr>
    </w:p>
    <w:p>
      <w:pPr>
        <w:jc w:val="both"/>
        <w:ind w:left="1260" w:right="739" w:firstLine="368"/>
        <w:spacing w:after="0" w:line="249" w:lineRule="auto"/>
        <w:tabs>
          <w:tab w:leader="none" w:pos="189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Modification, Extension and Renewal of Options</w:t>
      </w:r>
      <w:r>
        <w:rPr>
          <w:rFonts w:ascii="Arial" w:cs="Arial" w:eastAsia="Arial" w:hAnsi="Arial"/>
          <w:sz w:val="16"/>
          <w:szCs w:val="16"/>
          <w:color w:val="auto"/>
        </w:rPr>
        <w:t>. Subject to the terms and conditions and within the limitations of the Plan, including the limitations of Section 22, the Administrator may modify, extend or renew outstanding Options granted to Employees and Directors under the Plan. Notwithstanding the foregoing, however, no modification of an Option shall, without the consent of the Participant, alter or impair any rights or obligations under any Option previously granted under the Plan or cause any Option to fail to be exempt from the requirements of Code Section 409A.</w:t>
      </w:r>
    </w:p>
    <w:p>
      <w:pPr>
        <w:spacing w:after="0" w:line="97" w:lineRule="exact"/>
        <w:rPr>
          <w:rFonts w:ascii="Arial" w:cs="Arial" w:eastAsia="Arial" w:hAnsi="Arial"/>
          <w:sz w:val="16"/>
          <w:szCs w:val="16"/>
          <w:color w:val="auto"/>
        </w:rPr>
      </w:pPr>
    </w:p>
    <w:p>
      <w:pPr>
        <w:jc w:val="both"/>
        <w:ind w:left="1260" w:right="739" w:firstLine="368"/>
        <w:spacing w:after="0" w:line="250" w:lineRule="auto"/>
        <w:tabs>
          <w:tab w:leader="none" w:pos="187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Limitation of Incentive Stock Option Awards</w:t>
      </w:r>
      <w:r>
        <w:rPr>
          <w:rFonts w:ascii="Arial" w:cs="Arial" w:eastAsia="Arial" w:hAnsi="Arial"/>
          <w:sz w:val="16"/>
          <w:szCs w:val="16"/>
          <w:color w:val="auto"/>
        </w:rPr>
        <w:t>. If and to the extent that the aggregate Fair Market Value (determined as of the date the Option is granted) of the Shares with respect to which any Incentive Stock Options are exercisable for the first time by a Participant during any calendar year under this Plan and all other plans maintained by the Company, its parent or its Subsidiaries exceeds $100,000, the excess (taking into account the order in which they were granted) shall be treated as Nonqualified Stock Options.</w:t>
      </w:r>
    </w:p>
    <w:p>
      <w:pPr>
        <w:spacing w:after="0" w:line="95" w:lineRule="exact"/>
        <w:rPr>
          <w:rFonts w:ascii="Arial" w:cs="Arial" w:eastAsia="Arial" w:hAnsi="Arial"/>
          <w:sz w:val="16"/>
          <w:szCs w:val="16"/>
          <w:color w:val="auto"/>
        </w:rPr>
      </w:pPr>
    </w:p>
    <w:p>
      <w:pPr>
        <w:ind w:left="1260" w:right="739" w:firstLine="368"/>
        <w:spacing w:after="0" w:line="260" w:lineRule="auto"/>
        <w:tabs>
          <w:tab w:leader="none" w:pos="182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 Reload Options</w:t>
      </w:r>
      <w:r>
        <w:rPr>
          <w:rFonts w:ascii="Arial" w:cs="Arial" w:eastAsia="Arial" w:hAnsi="Arial"/>
          <w:sz w:val="16"/>
          <w:szCs w:val="16"/>
          <w:color w:val="auto"/>
        </w:rPr>
        <w:t>. Options that provide for the automatic grant of another Option upon exercise of the original Option may not be granted under the Plan.</w:t>
      </w:r>
    </w:p>
    <w:p>
      <w:pPr>
        <w:spacing w:after="0" w:line="87" w:lineRule="exact"/>
        <w:rPr>
          <w:rFonts w:ascii="Arial" w:cs="Arial" w:eastAsia="Arial" w:hAnsi="Arial"/>
          <w:sz w:val="16"/>
          <w:szCs w:val="16"/>
          <w:color w:val="auto"/>
        </w:rPr>
      </w:pPr>
    </w:p>
    <w:p>
      <w:pPr>
        <w:jc w:val="both"/>
        <w:ind w:left="1260" w:right="739" w:firstLine="368"/>
        <w:spacing w:after="0" w:line="253" w:lineRule="auto"/>
        <w:tabs>
          <w:tab w:leader="none" w:pos="1822"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Other Provisions</w:t>
      </w:r>
      <w:r>
        <w:rPr>
          <w:rFonts w:ascii="Arial" w:cs="Arial" w:eastAsia="Arial" w:hAnsi="Arial"/>
          <w:sz w:val="16"/>
          <w:szCs w:val="16"/>
          <w:color w:val="auto"/>
        </w:rPr>
        <w:t>. The Option Agreement shall contain such other provisions that are consistent with the terms of the Plan, including, without limitation, restrictions upon the exercise of the Option, as the Administrator shall deem advisable.</w:t>
      </w:r>
    </w:p>
    <w:p>
      <w:pPr>
        <w:spacing w:after="0" w:line="168" w:lineRule="exact"/>
        <w:rPr>
          <w:sz w:val="20"/>
          <w:szCs w:val="20"/>
          <w:color w:val="auto"/>
        </w:rPr>
      </w:pPr>
    </w:p>
    <w:p>
      <w:pPr>
        <w:ind w:left="1440" w:hanging="172"/>
        <w:spacing w:after="0"/>
        <w:tabs>
          <w:tab w:leader="none" w:pos="14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APPRECIATION RIGHTS</w:t>
      </w:r>
      <w:r>
        <w:rPr>
          <w:rFonts w:ascii="Arial" w:cs="Arial" w:eastAsia="Arial" w:hAnsi="Arial"/>
          <w:sz w:val="16"/>
          <w:szCs w:val="16"/>
          <w:b w:val="1"/>
          <w:bCs w:val="1"/>
          <w:color w:val="auto"/>
        </w:rPr>
        <w:t>.</w:t>
      </w:r>
    </w:p>
    <w:p>
      <w:pPr>
        <w:spacing w:after="0" w:line="133" w:lineRule="exact"/>
        <w:rPr>
          <w:sz w:val="20"/>
          <w:szCs w:val="20"/>
          <w:color w:val="auto"/>
        </w:rPr>
      </w:pPr>
    </w:p>
    <w:p>
      <w:pPr>
        <w:ind w:left="1260" w:right="739" w:firstLine="360"/>
        <w:spacing w:after="0" w:line="260" w:lineRule="auto"/>
        <w:rPr>
          <w:sz w:val="20"/>
          <w:szCs w:val="20"/>
          <w:color w:val="auto"/>
        </w:rPr>
      </w:pPr>
      <w:r>
        <w:rPr>
          <w:rFonts w:ascii="Arial" w:cs="Arial" w:eastAsia="Arial" w:hAnsi="Arial"/>
          <w:sz w:val="16"/>
          <w:szCs w:val="16"/>
          <w:color w:val="auto"/>
        </w:rPr>
        <w:t>Stock Appreciation Rights granted to Participants pursuant to the Plan may be granted alone, in addition to or in conjunction with, Options.</w:t>
      </w:r>
    </w:p>
    <w:p>
      <w:pPr>
        <w:spacing w:after="0" w:line="88" w:lineRule="exact"/>
        <w:rPr>
          <w:sz w:val="20"/>
          <w:szCs w:val="20"/>
          <w:color w:val="auto"/>
        </w:rPr>
      </w:pPr>
    </w:p>
    <w:p>
      <w:pPr>
        <w:ind w:left="1260" w:right="739" w:firstLine="368"/>
        <w:spacing w:after="0" w:line="260" w:lineRule="auto"/>
        <w:tabs>
          <w:tab w:leader="none" w:pos="1863"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Each Stock Appreciation Right shall state the number of Shares or Share Equivalents to which it pertains, which shall be subject to adjustment in accordance with Section 19.</w:t>
      </w:r>
    </w:p>
    <w:p>
      <w:pPr>
        <w:spacing w:after="0" w:line="87" w:lineRule="exact"/>
        <w:rPr>
          <w:rFonts w:ascii="Arial" w:cs="Arial" w:eastAsia="Arial" w:hAnsi="Arial"/>
          <w:sz w:val="16"/>
          <w:szCs w:val="16"/>
          <w:color w:val="auto"/>
        </w:rPr>
      </w:pPr>
    </w:p>
    <w:p>
      <w:pPr>
        <w:jc w:val="both"/>
        <w:ind w:left="1260" w:right="739" w:firstLine="368"/>
        <w:spacing w:after="0" w:line="253" w:lineRule="auto"/>
        <w:tabs>
          <w:tab w:leader="none" w:pos="187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Calculation of Appreciation; Exercise Price</w:t>
      </w:r>
      <w:r>
        <w:rPr>
          <w:rFonts w:ascii="Arial" w:cs="Arial" w:eastAsia="Arial" w:hAnsi="Arial"/>
          <w:sz w:val="16"/>
          <w:szCs w:val="16"/>
          <w:color w:val="auto"/>
        </w:rPr>
        <w:t>. The appreciation distribution payable on the exercise of a Stock Appreciation Right will be equal to the excess of (i) the aggregate Fair Market Value (on the day before the date of exercise of the Stock Appreciation Right) of a number of Shares equal to the number of Shares or Share</w:t>
      </w:r>
    </w:p>
    <w:p>
      <w:pPr>
        <w:spacing w:after="0" w:line="26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6"/>
          <w:szCs w:val="16"/>
          <w:color w:val="auto"/>
        </w:rPr>
        <w:t>Equivalents in which the Participant is vested under such Stock Appreciation Right on such date, over (ii) the Exercise Price determined by the Administrator on the date of grant of the Stock Appreciation Right, which shall not be less than 100% of the Fair Market Value of a Share on the date of grant.</w:t>
      </w:r>
    </w:p>
    <w:p>
      <w:pPr>
        <w:spacing w:after="0" w:line="93" w:lineRule="exact"/>
        <w:rPr>
          <w:sz w:val="20"/>
          <w:szCs w:val="20"/>
          <w:color w:val="auto"/>
        </w:rPr>
      </w:pPr>
    </w:p>
    <w:p>
      <w:pPr>
        <w:jc w:val="both"/>
        <w:ind w:left="1260" w:right="739" w:firstLine="368"/>
        <w:spacing w:after="0" w:line="250" w:lineRule="auto"/>
        <w:tabs>
          <w:tab w:leader="none" w:pos="1867"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Term and Exercise of Stock Appreciation Rights</w:t>
      </w:r>
      <w:r>
        <w:rPr>
          <w:rFonts w:ascii="Arial" w:cs="Arial" w:eastAsia="Arial" w:hAnsi="Arial"/>
          <w:sz w:val="16"/>
          <w:szCs w:val="16"/>
          <w:color w:val="auto"/>
        </w:rPr>
        <w:t>. Each Stock Appreciation Right shall state the time or times when it may become exercisable. No Stock Appreciation Right shall be exercisable after the expiration of seven years from the date it is granted or such lesser period established by the Administrator. Except as provided in Section 15(a) or in the event of a Participant’s death or Disability, a Stock Appreciation Right shall not become vested before the expiration of one year from the date the Stock Appreciation Right is granted.</w:t>
      </w:r>
    </w:p>
    <w:p>
      <w:pPr>
        <w:spacing w:after="0" w:line="95" w:lineRule="exact"/>
        <w:rPr>
          <w:rFonts w:ascii="Arial" w:cs="Arial" w:eastAsia="Arial" w:hAnsi="Arial"/>
          <w:sz w:val="16"/>
          <w:szCs w:val="16"/>
          <w:color w:val="auto"/>
        </w:rPr>
      </w:pPr>
    </w:p>
    <w:p>
      <w:pPr>
        <w:jc w:val="both"/>
        <w:ind w:left="1260" w:right="739" w:firstLine="368"/>
        <w:spacing w:after="0" w:line="253" w:lineRule="auto"/>
        <w:tabs>
          <w:tab w:leader="none" w:pos="1863"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The appreciation distribution in respect of a Stock Appreciation Right may be paid in Common Stock or in cash, or any combination of the two, or in any other form of consideration as determined by the Administrator and contained in the Stock Appreciation Right Agreement.</w:t>
      </w:r>
    </w:p>
    <w:p>
      <w:pPr>
        <w:spacing w:after="0" w:line="93" w:lineRule="exact"/>
        <w:rPr>
          <w:rFonts w:ascii="Arial" w:cs="Arial" w:eastAsia="Arial" w:hAnsi="Arial"/>
          <w:sz w:val="16"/>
          <w:szCs w:val="16"/>
          <w:color w:val="auto"/>
        </w:rPr>
      </w:pPr>
    </w:p>
    <w:p>
      <w:pPr>
        <w:jc w:val="both"/>
        <w:ind w:left="1260" w:right="739" w:firstLine="368"/>
        <w:spacing w:after="0" w:line="248" w:lineRule="auto"/>
        <w:tabs>
          <w:tab w:leader="none" w:pos="1917"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Limitations on Transferability</w:t>
      </w:r>
      <w:r>
        <w:rPr>
          <w:rFonts w:ascii="Arial" w:cs="Arial" w:eastAsia="Arial" w:hAnsi="Arial"/>
          <w:sz w:val="16"/>
          <w:szCs w:val="16"/>
          <w:color w:val="auto"/>
        </w:rPr>
        <w:t>. A Stock Appreciation Right shall, during a Participant’s lifetime, be exercisable only by the Participant. No Stock Appreciation Right or any right granted thereunder shall be transferable by the Participant by operation of law or otherwise, other than by will or the laws of descent and distribution. Notwithstanding the foregoing, a Participant may designate a beneficiary to succeed, after the Participant’s death, to all of the Participant’s Stock Appreciation Rights outstanding on the date of termination of employment. Each Stock Appreciation Right Agreement shall set forth the extent to which the Participant shall have the right to exercise the Stock Appreciation Right following termination of the Participant’s employment or service with the Company and its Affiliates. Such provisions shall be determined in the sole discretion of the Administrator, need not be uniform among all Stock Appreciation Right Agreements entered into pursuant to the Plan and may reflect distinctions based on the reasons for termination of employment.</w:t>
      </w:r>
    </w:p>
    <w:p>
      <w:pPr>
        <w:spacing w:after="0" w:line="97" w:lineRule="exact"/>
        <w:rPr>
          <w:rFonts w:ascii="Arial" w:cs="Arial" w:eastAsia="Arial" w:hAnsi="Arial"/>
          <w:sz w:val="16"/>
          <w:szCs w:val="16"/>
          <w:color w:val="auto"/>
        </w:rPr>
      </w:pPr>
    </w:p>
    <w:p>
      <w:pPr>
        <w:jc w:val="both"/>
        <w:ind w:left="1260" w:right="739" w:firstLine="368"/>
        <w:spacing w:after="0" w:line="249" w:lineRule="auto"/>
        <w:tabs>
          <w:tab w:leader="none" w:pos="1831"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Subject to the limitation that no Stock Appreciation Right may be exercised after its stated expiration date, each Stock Appreciation Right Agreement shall set forth the extent to which the Participant shall have the right to exercise the Stock Appreciation Right, to the extent vested, following termination of the Participant’s employment of service with the Company and its Affiliates. Such provisions shall be determined in the sole discretion of the Administrator, need not be uniform among all Stock Appreciation Rights Agreements entered into pursuant to the Plan and may reflect distinctions based on the reasons for termination of employment.</w:t>
      </w:r>
    </w:p>
    <w:p>
      <w:pPr>
        <w:spacing w:after="0" w:line="97" w:lineRule="exact"/>
        <w:rPr>
          <w:rFonts w:ascii="Arial" w:cs="Arial" w:eastAsia="Arial" w:hAnsi="Arial"/>
          <w:sz w:val="16"/>
          <w:szCs w:val="16"/>
          <w:color w:val="auto"/>
        </w:rPr>
      </w:pPr>
    </w:p>
    <w:p>
      <w:pPr>
        <w:jc w:val="both"/>
        <w:ind w:left="1260" w:right="739" w:firstLine="368"/>
        <w:spacing w:after="0" w:line="251" w:lineRule="auto"/>
        <w:tabs>
          <w:tab w:leader="none" w:pos="1904"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Rights as a Shareholder</w:t>
      </w:r>
      <w:r>
        <w:rPr>
          <w:rFonts w:ascii="Arial" w:cs="Arial" w:eastAsia="Arial" w:hAnsi="Arial"/>
          <w:sz w:val="16"/>
          <w:szCs w:val="16"/>
          <w:color w:val="auto"/>
        </w:rPr>
        <w:t>. A Participant or a transferee of a Participant shall have no rights as a shareholder with respect to any Shares covered by his or her Stock Appreciation Right until the date of issuance of such Shares. Except as provided in Section 19, no adjustment shall be made for dividends, distributions or other rights for which the record date is prior to the date such Shares are issued.</w:t>
      </w:r>
    </w:p>
    <w:p>
      <w:pPr>
        <w:spacing w:after="0" w:line="94" w:lineRule="exact"/>
        <w:rPr>
          <w:rFonts w:ascii="Arial" w:cs="Arial" w:eastAsia="Arial" w:hAnsi="Arial"/>
          <w:sz w:val="16"/>
          <w:szCs w:val="16"/>
          <w:color w:val="auto"/>
        </w:rPr>
      </w:pPr>
    </w:p>
    <w:p>
      <w:pPr>
        <w:jc w:val="both"/>
        <w:ind w:left="1260" w:right="739" w:firstLine="368"/>
        <w:spacing w:after="0" w:line="251" w:lineRule="auto"/>
        <w:tabs>
          <w:tab w:leader="none" w:pos="1863"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Other Terms and Conditions</w:t>
      </w:r>
      <w:r>
        <w:rPr>
          <w:rFonts w:ascii="Arial" w:cs="Arial" w:eastAsia="Arial" w:hAnsi="Arial"/>
          <w:sz w:val="16"/>
          <w:szCs w:val="16"/>
          <w:color w:val="auto"/>
        </w:rPr>
        <w:t>. The Stock Appreciation Right Agreement may contain such other terms and conditions, including restrictions or conditions on the vesting of the Stock Appreciation Right or the conditions under which the Stock Appreciation Right may be forfeited, as may be determined by the Administrator that are consistent with the Plan.</w:t>
      </w:r>
    </w:p>
    <w:p>
      <w:pPr>
        <w:spacing w:after="0" w:line="169" w:lineRule="exact"/>
        <w:rPr>
          <w:rFonts w:ascii="Arial" w:cs="Arial" w:eastAsia="Arial" w:hAnsi="Arial"/>
          <w:sz w:val="16"/>
          <w:szCs w:val="16"/>
          <w:color w:val="auto"/>
        </w:rPr>
      </w:pPr>
    </w:p>
    <w:p>
      <w:pPr>
        <w:ind w:left="1440" w:hanging="172"/>
        <w:spacing w:after="0"/>
        <w:tabs>
          <w:tab w:leader="none" w:pos="144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47" w:lineRule="auto"/>
        <w:tabs>
          <w:tab w:leader="none" w:pos="1863"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xml:space="preserve">. Subject to the provisions of the Plan, the Administrator shall have sole and complete authority to determine the Employees and Directors to whom, and the time or times at which, grants of Restricted Stock will be made, the number of shares of Restricted Stock to be awarded, the price (if any) to be paid by the recipient of Restricted Stock, the time or times within which such Awards may be subject to forfeiture and all other terms and conditions of the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Section 15(b) or in the event of a Participant’s death or Disability, Restricted Stock shall have a vesting period of not less than one year. The Administrator may condition the grant of Restricted Stock upon the attainment of specified performance objectives established by the Administrator pursuant to Section 14 or such other factors as the Administrator may determine, in its sole discretion. In addition to the foregoing restrictions, except with respect to a maximum of 5% of the shares authorized for issuance under Section 6, (x) any Awards of Restricted Stock which vest on the basis of the Participant’s length of service with the Company or its subsidiaries shall not provide for vesting that is any more rapid than pro rata vesting over a three-year period, and (y) any Awards of Restricted Stock which provide for vesting upon the attainment of performance goals shall provide for a performance period of at least 12 months.</w:t>
      </w:r>
    </w:p>
    <w:p>
      <w:pPr>
        <w:spacing w:after="0" w:line="104" w:lineRule="exact"/>
        <w:rPr>
          <w:sz w:val="20"/>
          <w:szCs w:val="20"/>
          <w:color w:val="auto"/>
        </w:rPr>
      </w:pPr>
    </w:p>
    <w:p>
      <w:pPr>
        <w:jc w:val="both"/>
        <w:ind w:left="1260" w:right="739" w:firstLine="360"/>
        <w:spacing w:after="0" w:line="250" w:lineRule="auto"/>
        <w:rPr>
          <w:sz w:val="20"/>
          <w:szCs w:val="20"/>
          <w:color w:val="auto"/>
        </w:rPr>
      </w:pPr>
      <w:r>
        <w:rPr>
          <w:rFonts w:ascii="Arial" w:cs="Arial" w:eastAsia="Arial" w:hAnsi="Arial"/>
          <w:sz w:val="16"/>
          <w:szCs w:val="16"/>
          <w:color w:val="auto"/>
        </w:rPr>
        <w:t>The terms of each Restricted Stock Award shall be set forth in a Restricted Stock Agreement between the Company and the Participant, which Agreement shall contain such provisions as the Administrator determines to be necessary or appropriate to carry out the intent of the Plan. Each Participant receiving a Restricted Stock Award shall be issued a stock certificate in respect of such shares of Restricted Stock. Such certificate shall be registered in the name of such Participant and shall bear an appropriate legend referring to the terms, conditions</w:t>
      </w:r>
    </w:p>
    <w:p>
      <w:pPr>
        <w:spacing w:after="0" w:line="27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6"/>
          <w:szCs w:val="16"/>
          <w:color w:val="auto"/>
        </w:rPr>
        <w:t>and restrictions applicable to such Award. The Administrator shall require that stock certificates evidencing such shares be held by the Company until the restrictions lapse and that, as a condition of any Restricted Stock Award, the Participant shall deliver to the Company a stock power relating to the stock covered by such Award.</w:t>
      </w:r>
    </w:p>
    <w:p>
      <w:pPr>
        <w:spacing w:after="0" w:line="93" w:lineRule="exact"/>
        <w:rPr>
          <w:sz w:val="20"/>
          <w:szCs w:val="20"/>
          <w:color w:val="auto"/>
        </w:rPr>
      </w:pPr>
    </w:p>
    <w:p>
      <w:pPr>
        <w:ind w:left="1260" w:right="759" w:firstLine="368"/>
        <w:spacing w:after="0" w:line="260" w:lineRule="auto"/>
        <w:tabs>
          <w:tab w:leader="none" w:pos="1863"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shares of Restricted Stock awarded pursuant to this Section 9 shall be subject to the following restrictions and conditions:</w:t>
      </w:r>
    </w:p>
    <w:p>
      <w:pPr>
        <w:spacing w:after="0" w:line="87" w:lineRule="exact"/>
        <w:rPr>
          <w:rFonts w:ascii="Arial" w:cs="Arial" w:eastAsia="Arial" w:hAnsi="Arial"/>
          <w:sz w:val="16"/>
          <w:szCs w:val="16"/>
          <w:color w:val="auto"/>
        </w:rPr>
      </w:pPr>
    </w:p>
    <w:p>
      <w:pPr>
        <w:jc w:val="both"/>
        <w:ind w:left="1620" w:right="739" w:firstLine="368"/>
        <w:spacing w:after="0" w:line="248" w:lineRule="auto"/>
        <w:tabs>
          <w:tab w:leader="none" w:pos="2185" w:val="left"/>
        </w:tabs>
        <w:numPr>
          <w:ilvl w:val="2"/>
          <w:numId w:val="83"/>
        </w:numPr>
        <w:rPr>
          <w:rFonts w:ascii="Arial" w:cs="Arial" w:eastAsia="Arial" w:hAnsi="Arial"/>
          <w:sz w:val="16"/>
          <w:szCs w:val="16"/>
          <w:color w:val="auto"/>
        </w:rPr>
      </w:pPr>
      <w:r>
        <w:rPr>
          <w:rFonts w:ascii="Arial" w:cs="Arial" w:eastAsia="Arial" w:hAnsi="Arial"/>
          <w:sz w:val="16"/>
          <w:szCs w:val="16"/>
          <w:color w:val="auto"/>
        </w:rPr>
        <w:t xml:space="preserve">During a period set by the Administrator commencing with the date of such Award (the “Restriction Period”), the Participant shall not be permitted to sell, transfer, pledge, assign or encumber shares of Restricted Stock awarded under the Plan. Within these limits, the Administrator, in its sole discretion, may provide for the lapse of such restrictions in installments and may accelerate or waive such restrictions in whole or in part, based on service, performance or such other factors or criteria as the Administrator may determine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may not waive the one-year vesting restriction in the proviso of Section 9(a).</w:t>
      </w:r>
    </w:p>
    <w:p>
      <w:pPr>
        <w:spacing w:after="0" w:line="100" w:lineRule="exact"/>
        <w:rPr>
          <w:rFonts w:ascii="Arial" w:cs="Arial" w:eastAsia="Arial" w:hAnsi="Arial"/>
          <w:sz w:val="16"/>
          <w:szCs w:val="16"/>
          <w:color w:val="auto"/>
        </w:rPr>
      </w:pPr>
    </w:p>
    <w:p>
      <w:pPr>
        <w:jc w:val="both"/>
        <w:ind w:left="1620" w:right="739" w:firstLine="368"/>
        <w:spacing w:after="0" w:line="248" w:lineRule="auto"/>
        <w:tabs>
          <w:tab w:leader="none" w:pos="2227" w:val="left"/>
        </w:tabs>
        <w:numPr>
          <w:ilvl w:val="2"/>
          <w:numId w:val="83"/>
        </w:numPr>
        <w:rPr>
          <w:rFonts w:ascii="Arial" w:cs="Arial" w:eastAsia="Arial" w:hAnsi="Arial"/>
          <w:sz w:val="16"/>
          <w:szCs w:val="16"/>
          <w:color w:val="auto"/>
        </w:rPr>
      </w:pPr>
      <w:r>
        <w:rPr>
          <w:rFonts w:ascii="Arial" w:cs="Arial" w:eastAsia="Arial" w:hAnsi="Arial"/>
          <w:sz w:val="16"/>
          <w:szCs w:val="16"/>
          <w:color w:val="auto"/>
        </w:rPr>
        <w:t xml:space="preserve">Except as provided in this paragraph (ii) and paragraph (i) above, the Participant shall have, with respect to the shares of Restricted Stock, all of the rights of a shareholder of the Company, including the right to vote the shares and the right to receive any cash dividends;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shall provide that either (A) the payment of ordinary cash dividends shall be delayed unless and until the underlying Restricted Stock becomes vested or (B) such ordinary cash dividends shall be invested in additional shares of Restricted Stock (or Share Equivalents or Restricted Stock Units) to the extent available under Section 6, which shall be subject to the same restrictions as the underlying Restricted Stock. Stock dividends issued with respect to Restricted Stock shall be treated as additional shares of Restricted Stock that are subject to the same restrictions and other terms and conditions that apply to the shares with respect to which such dividends are issued.</w:t>
      </w:r>
    </w:p>
    <w:p>
      <w:pPr>
        <w:spacing w:after="0" w:line="97" w:lineRule="exact"/>
        <w:rPr>
          <w:rFonts w:ascii="Arial" w:cs="Arial" w:eastAsia="Arial" w:hAnsi="Arial"/>
          <w:sz w:val="16"/>
          <w:szCs w:val="16"/>
          <w:color w:val="auto"/>
        </w:rPr>
      </w:pPr>
    </w:p>
    <w:p>
      <w:pPr>
        <w:ind w:left="1620" w:right="759" w:firstLine="368"/>
        <w:spacing w:after="0" w:line="260" w:lineRule="auto"/>
        <w:tabs>
          <w:tab w:leader="none" w:pos="2255" w:val="left"/>
        </w:tabs>
        <w:numPr>
          <w:ilvl w:val="2"/>
          <w:numId w:val="83"/>
        </w:numPr>
        <w:rPr>
          <w:rFonts w:ascii="Arial" w:cs="Arial" w:eastAsia="Arial" w:hAnsi="Arial"/>
          <w:sz w:val="16"/>
          <w:szCs w:val="16"/>
          <w:color w:val="auto"/>
        </w:rPr>
      </w:pPr>
      <w:r>
        <w:rPr>
          <w:rFonts w:ascii="Arial" w:cs="Arial" w:eastAsia="Arial" w:hAnsi="Arial"/>
          <w:sz w:val="16"/>
          <w:szCs w:val="16"/>
          <w:color w:val="auto"/>
        </w:rPr>
        <w:t>The Administrator shall specify the conditions under which shares of Restricted Stock shall vest or be forfeited and such conditions shall be set forth in the Restricted Stock Agreement.</w:t>
      </w:r>
    </w:p>
    <w:p>
      <w:pPr>
        <w:spacing w:after="0" w:line="87" w:lineRule="exact"/>
        <w:rPr>
          <w:rFonts w:ascii="Arial" w:cs="Arial" w:eastAsia="Arial" w:hAnsi="Arial"/>
          <w:sz w:val="16"/>
          <w:szCs w:val="16"/>
          <w:color w:val="auto"/>
        </w:rPr>
      </w:pPr>
    </w:p>
    <w:p>
      <w:pPr>
        <w:jc w:val="both"/>
        <w:ind w:left="1620" w:right="739" w:firstLine="368"/>
        <w:spacing w:after="0" w:line="252" w:lineRule="auto"/>
        <w:tabs>
          <w:tab w:leader="none" w:pos="2266" w:val="left"/>
        </w:tabs>
        <w:numPr>
          <w:ilvl w:val="2"/>
          <w:numId w:val="83"/>
        </w:numPr>
        <w:rPr>
          <w:rFonts w:ascii="Arial" w:cs="Arial" w:eastAsia="Arial" w:hAnsi="Arial"/>
          <w:sz w:val="16"/>
          <w:szCs w:val="16"/>
          <w:color w:val="auto"/>
        </w:rPr>
      </w:pPr>
      <w:r>
        <w:rPr>
          <w:rFonts w:ascii="Arial" w:cs="Arial" w:eastAsia="Arial" w:hAnsi="Arial"/>
          <w:sz w:val="16"/>
          <w:szCs w:val="16"/>
          <w:color w:val="auto"/>
        </w:rPr>
        <w:t>If and when the Restriction Period applicable to shares of Restricted Stock expires without a prior forfeiture of the Restricted Stock, certificates for an appropriate number of unrestricted shares shall be delivered promptly to the Participant, and the certificates for the shares of Restricted Stock shall be cancelled.</w:t>
      </w:r>
    </w:p>
    <w:p>
      <w:pPr>
        <w:spacing w:after="0" w:line="359" w:lineRule="exact"/>
        <w:rPr>
          <w:rFonts w:ascii="Arial" w:cs="Arial" w:eastAsia="Arial" w:hAnsi="Arial"/>
          <w:sz w:val="16"/>
          <w:szCs w:val="16"/>
          <w:color w:val="auto"/>
        </w:rPr>
      </w:pPr>
    </w:p>
    <w:p>
      <w:pPr>
        <w:ind w:left="1540" w:hanging="272"/>
        <w:spacing w:after="0"/>
        <w:tabs>
          <w:tab w:leader="none" w:pos="154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 UNITS</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47" w:lineRule="auto"/>
        <w:tabs>
          <w:tab w:leader="none" w:pos="1863"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xml:space="preserve">. Subject to the provisions of the Plan, the Administrator shall have sole and complete authority to determine the Employees and Directors to whom, and the time or times at which, grants of Restricted Stock Units will be made, the number of Restricted Stock Units to be awarded, the price (if any) to be paid by the recipient of the Restricted Stock Units, the time or times within which such Restricted Stock Units may be subject to forfeiture and all other terms and conditions of the Restricted Stock Unit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set forth in Section 15(b) or in the event of a Participant’s death or Disability, Restricted Stock Units shall have a vesting period of not less than one year. The Administrator may condition the grant of Restricted Stock Unit Awards upon the attainment of specified performance objectives established by the Administrator pursuant to Section 14 or such other factors as the Administrator may determine, in its sole discretion. In addition to the foregoing restrictions, except with respect to a maximum of 5% of the shares authorized for issuance under Section 6, (x) any Restricted Stock Units which vest on the basis of the Participant’s length of service with the Company or its subsidiaries shall not provide for vesting that is any more rapid than pro rata vesting over a three-year period, and (y) any Restricted Stock Units which provide for vesting upon the attainment of performance goals shall provide for a performance period of at least 12 months.</w:t>
      </w:r>
    </w:p>
    <w:p>
      <w:pPr>
        <w:spacing w:after="0" w:line="104" w:lineRule="exact"/>
        <w:rPr>
          <w:sz w:val="20"/>
          <w:szCs w:val="20"/>
          <w:color w:val="auto"/>
        </w:rPr>
      </w:pPr>
    </w:p>
    <w:p>
      <w:pPr>
        <w:jc w:val="both"/>
        <w:ind w:left="1260" w:right="739" w:firstLine="360"/>
        <w:spacing w:after="0" w:line="249" w:lineRule="auto"/>
        <w:rPr>
          <w:sz w:val="20"/>
          <w:szCs w:val="20"/>
          <w:color w:val="auto"/>
        </w:rPr>
      </w:pPr>
      <w:r>
        <w:rPr>
          <w:rFonts w:ascii="Arial" w:cs="Arial" w:eastAsia="Arial" w:hAnsi="Arial"/>
          <w:sz w:val="16"/>
          <w:szCs w:val="16"/>
          <w:color w:val="auto"/>
        </w:rPr>
        <w:t>The terms of each Restricted Stock Unit Award shall be set forth in a Restricted Stock Unit Award Agreement between the Company and the Participant, which Agreement shall contain such provisions as the Administrator determines to be necessary or appropriate to carry out the intent of the Plan. With respect to a Restricted Stock Unit Award, no certificate for shares of stock shall be issued at the time the grant is made (nor shall any book entry be made in the records of the Company), and the Participant shall have no right to or interest in shares of stock of the Company as a result of the grant of Restricted Stock Units.</w:t>
      </w:r>
    </w:p>
    <w:p>
      <w:pPr>
        <w:spacing w:after="0" w:line="97" w:lineRule="exact"/>
        <w:rPr>
          <w:sz w:val="20"/>
          <w:szCs w:val="20"/>
          <w:color w:val="auto"/>
        </w:rPr>
      </w:pPr>
    </w:p>
    <w:p>
      <w:pPr>
        <w:ind w:left="1260" w:right="739" w:firstLine="368"/>
        <w:spacing w:after="0" w:line="260" w:lineRule="auto"/>
        <w:tabs>
          <w:tab w:leader="none" w:pos="187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Restricted Stock Units awarded pursuant to this Section 10 shall be subject to the following restrictions and conditions:</w:t>
      </w:r>
    </w:p>
    <w:p>
      <w:pPr>
        <w:spacing w:after="0" w:line="87" w:lineRule="exact"/>
        <w:rPr>
          <w:rFonts w:ascii="Arial" w:cs="Arial" w:eastAsia="Arial" w:hAnsi="Arial"/>
          <w:sz w:val="16"/>
          <w:szCs w:val="16"/>
          <w:color w:val="auto"/>
        </w:rPr>
      </w:pPr>
    </w:p>
    <w:p>
      <w:pPr>
        <w:jc w:val="both"/>
        <w:ind w:left="1620" w:right="739" w:firstLine="368"/>
        <w:spacing w:after="0" w:line="250" w:lineRule="auto"/>
        <w:tabs>
          <w:tab w:leader="none" w:pos="2175" w:val="left"/>
        </w:tabs>
        <w:numPr>
          <w:ilvl w:val="1"/>
          <w:numId w:val="85"/>
        </w:numPr>
        <w:rPr>
          <w:rFonts w:ascii="Arial" w:cs="Arial" w:eastAsia="Arial" w:hAnsi="Arial"/>
          <w:sz w:val="16"/>
          <w:szCs w:val="16"/>
          <w:color w:val="auto"/>
        </w:rPr>
      </w:pPr>
      <w:r>
        <w:rPr>
          <w:rFonts w:ascii="Arial" w:cs="Arial" w:eastAsia="Arial" w:hAnsi="Arial"/>
          <w:sz w:val="16"/>
          <w:szCs w:val="16"/>
          <w:color w:val="auto"/>
        </w:rPr>
        <w:t>At the time of grant of a Restricted Stock Unit Award, the Administrator may impose such restrictions or conditions on the vesting of the Restricted Stock Units, as the Administrator deems appropriate. Within these limits, the Administrator, in its sole discretion, may provide for the lapse of such restrictions in installments and may accelerate or waive such restrictions in whole or in part, based on service, performance,</w:t>
      </w:r>
    </w:p>
    <w:p>
      <w:pPr>
        <w:spacing w:after="0" w:line="200" w:lineRule="exact"/>
        <w:rPr>
          <w:sz w:val="20"/>
          <w:szCs w:val="20"/>
          <w:color w:val="auto"/>
        </w:rPr>
      </w:pPr>
    </w:p>
    <w:p>
      <w:pPr>
        <w:spacing w:after="0" w:line="26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620" w:right="739"/>
        <w:spacing w:after="0" w:line="250" w:lineRule="auto"/>
        <w:rPr>
          <w:sz w:val="20"/>
          <w:szCs w:val="20"/>
          <w:color w:val="auto"/>
        </w:rPr>
      </w:pPr>
      <w:r>
        <w:rPr>
          <w:rFonts w:ascii="Arial" w:cs="Arial" w:eastAsia="Arial" w:hAnsi="Arial"/>
          <w:sz w:val="16"/>
          <w:szCs w:val="16"/>
          <w:color w:val="auto"/>
        </w:rPr>
        <w:t xml:space="preserve">or such other factors or criteria as the Administrator may determine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may not waive the one-year vesting restriction in the proviso of Section 10(a). The foregoing notwithstanding, no action pursuant to the preceding sentence may alter the time of payment of the Restricted Stock Unit Award if such alteration would cause the Award to be subject to penalty under Code Section 409A.</w:t>
      </w:r>
    </w:p>
    <w:p>
      <w:pPr>
        <w:spacing w:after="0" w:line="287" w:lineRule="exact"/>
        <w:rPr>
          <w:sz w:val="20"/>
          <w:szCs w:val="20"/>
          <w:color w:val="auto"/>
        </w:rPr>
      </w:pPr>
    </w:p>
    <w:p>
      <w:pPr>
        <w:jc w:val="both"/>
        <w:ind w:left="1620" w:right="739" w:firstLine="368"/>
        <w:spacing w:after="0" w:line="248" w:lineRule="auto"/>
        <w:tabs>
          <w:tab w:leader="none" w:pos="2239" w:val="left"/>
        </w:tabs>
        <w:numPr>
          <w:ilvl w:val="2"/>
          <w:numId w:val="86"/>
        </w:numPr>
        <w:rPr>
          <w:rFonts w:ascii="Arial" w:cs="Arial" w:eastAsia="Arial" w:hAnsi="Arial"/>
          <w:sz w:val="16"/>
          <w:szCs w:val="16"/>
          <w:color w:val="auto"/>
        </w:rPr>
      </w:pPr>
      <w:r>
        <w:rPr>
          <w:rFonts w:ascii="Arial" w:cs="Arial" w:eastAsia="Arial" w:hAnsi="Arial"/>
          <w:sz w:val="16"/>
          <w:szCs w:val="16"/>
          <w:color w:val="auto"/>
        </w:rPr>
        <w:t>Dividend equivalents may be credited in respect of Restricted Stock Units, as the Administrator deems appropriate. Such dividend equivalents may be paid in cash (subject to the vesting schedule of the underlying Restricted Stock Units) or converted into additional Restricted Stock Units by dividing (1) the aggregate amount or value of the dividends paid with respect to that number of Shares equal to the number of Restricted Stock Units then credited by (2) the Fair Market Value per Share on the payment date for such dividend. The additional Restricted Stock Units credited by reason of such dividend equivalents will be subject to all of the terms and conditions (including the vesting schedule) of the underlying Restricted Stock Unit Award to which they relate.</w:t>
      </w:r>
    </w:p>
    <w:p>
      <w:pPr>
        <w:spacing w:after="0" w:line="99" w:lineRule="exact"/>
        <w:rPr>
          <w:rFonts w:ascii="Arial" w:cs="Arial" w:eastAsia="Arial" w:hAnsi="Arial"/>
          <w:sz w:val="16"/>
          <w:szCs w:val="16"/>
          <w:color w:val="auto"/>
        </w:rPr>
      </w:pPr>
    </w:p>
    <w:p>
      <w:pPr>
        <w:ind w:left="1620" w:right="739" w:firstLine="368"/>
        <w:spacing w:after="0" w:line="260" w:lineRule="auto"/>
        <w:tabs>
          <w:tab w:leader="none" w:pos="2260"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Administrator shall specify the conditions under which Restricted Stock Units shall vest or be forfeited and such conditions shall be set forth in the Restricted Stock Unit Agreement.</w:t>
      </w:r>
    </w:p>
    <w:p>
      <w:pPr>
        <w:spacing w:after="0" w:line="87" w:lineRule="exact"/>
        <w:rPr>
          <w:rFonts w:ascii="Arial" w:cs="Arial" w:eastAsia="Arial" w:hAnsi="Arial"/>
          <w:sz w:val="16"/>
          <w:szCs w:val="16"/>
          <w:color w:val="auto"/>
        </w:rPr>
      </w:pPr>
    </w:p>
    <w:p>
      <w:pPr>
        <w:jc w:val="both"/>
        <w:ind w:left="1260" w:right="739" w:firstLine="368"/>
        <w:spacing w:after="0" w:line="248" w:lineRule="auto"/>
        <w:tabs>
          <w:tab w:leader="none" w:pos="1854"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Deferral Election</w:t>
      </w:r>
      <w:r>
        <w:rPr>
          <w:rFonts w:ascii="Arial" w:cs="Arial" w:eastAsia="Arial" w:hAnsi="Arial"/>
          <w:sz w:val="16"/>
          <w:szCs w:val="16"/>
          <w:color w:val="auto"/>
        </w:rPr>
        <w:t>. Each recipient of a Restricted Stock Unit Award may be eligible, subject to Administrator approval, to elect to defer all or a percentage of any Shares he or she may be entitled to receive upon the lapse of any restrictions or vesting period to which the Award is subject. This election shall be made by giving notice in a manner and within the time prescribed by the Administrator and in compliance with the requirements of Code Section 409A. Each Participant must indicate the percentage (expressed in whole percentages) he or she elects to defer of any Shares he or she may be entitled to receive. If no notice is given, the Participant shall be deemed to have made no deferral election. Each deferral election filed with the Administrator shall become irrevocable on and after the prescribed deadline.</w:t>
      </w:r>
    </w:p>
    <w:p>
      <w:pPr>
        <w:spacing w:after="0" w:line="174" w:lineRule="exact"/>
        <w:rPr>
          <w:rFonts w:ascii="Arial" w:cs="Arial" w:eastAsia="Arial" w:hAnsi="Arial"/>
          <w:sz w:val="16"/>
          <w:szCs w:val="16"/>
          <w:color w:val="auto"/>
        </w:rPr>
      </w:pPr>
    </w:p>
    <w:p>
      <w:pPr>
        <w:ind w:left="1540" w:hanging="272"/>
        <w:spacing w:after="0"/>
        <w:tabs>
          <w:tab w:leader="none" w:pos="154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 SHARES</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48" w:lineRule="auto"/>
        <w:tabs>
          <w:tab w:leader="none" w:pos="1863"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xml:space="preserve">. Subject to the provisions of the Plan, the Administrator shall have sole and complete authority to determine the Employees and Directors to whom, and the time or times at which, grants of Performance Shares will be made, the number of Performance Shares to be awarded, the price (if any) to be paid by the recipient of the Performance Shares, the time or times within which such Performance Shares may be subject to forfeiture and all other terms and conditions of the Performance Share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set forth in Section 15(b) or in the event of a Participant’s death or Disability, Performance Shares shall have a vesting period of not less than one year. The Administrator may condition the grant of Performance Share Awards upon the attainment of specified performance objectives established by the Administrator pursuant to Section 14 or such other factors as the Administrator may determine, in its sole discretion.</w:t>
      </w:r>
    </w:p>
    <w:p>
      <w:pPr>
        <w:spacing w:after="0" w:line="99" w:lineRule="exact"/>
        <w:rPr>
          <w:sz w:val="20"/>
          <w:szCs w:val="20"/>
          <w:color w:val="auto"/>
        </w:rPr>
      </w:pPr>
    </w:p>
    <w:p>
      <w:pPr>
        <w:jc w:val="both"/>
        <w:ind w:left="1260" w:right="739" w:firstLine="360"/>
        <w:spacing w:after="0" w:line="249" w:lineRule="auto"/>
        <w:rPr>
          <w:sz w:val="20"/>
          <w:szCs w:val="20"/>
          <w:color w:val="auto"/>
        </w:rPr>
      </w:pPr>
      <w:r>
        <w:rPr>
          <w:rFonts w:ascii="Arial" w:cs="Arial" w:eastAsia="Arial" w:hAnsi="Arial"/>
          <w:sz w:val="16"/>
          <w:szCs w:val="16"/>
          <w:color w:val="auto"/>
        </w:rPr>
        <w:t>The terms of each Performance Share Award shall be set forth in a Performance Share Award Agreement between the Company and the Participant, which Agreement shall contain such provisions as the Administrator determines to be necessary or appropriate to carry out the intent of the Plan. With respect to a Performance Share Award, no certificate for shares of stock shall be issued at the time the grant is made (nor shall any book entry be made in the records of the Company), and the Participant shall have no right to or interest in shares of stock of the Company as a result of the grant of Performance Shares.</w:t>
      </w:r>
    </w:p>
    <w:p>
      <w:pPr>
        <w:spacing w:after="0" w:line="97" w:lineRule="exact"/>
        <w:rPr>
          <w:sz w:val="20"/>
          <w:szCs w:val="20"/>
          <w:color w:val="auto"/>
        </w:rPr>
      </w:pPr>
    </w:p>
    <w:p>
      <w:pPr>
        <w:ind w:left="1260" w:right="739" w:firstLine="368"/>
        <w:spacing w:after="0" w:line="260" w:lineRule="auto"/>
        <w:tabs>
          <w:tab w:leader="none" w:pos="189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Performance Shares awarded pursuant to this Section 11 shall be subject to the following restrictions and conditions:</w:t>
      </w:r>
    </w:p>
    <w:p>
      <w:pPr>
        <w:spacing w:after="0" w:line="87" w:lineRule="exact"/>
        <w:rPr>
          <w:rFonts w:ascii="Arial" w:cs="Arial" w:eastAsia="Arial" w:hAnsi="Arial"/>
          <w:sz w:val="16"/>
          <w:szCs w:val="16"/>
          <w:color w:val="auto"/>
        </w:rPr>
      </w:pPr>
    </w:p>
    <w:p>
      <w:pPr>
        <w:jc w:val="both"/>
        <w:ind w:left="1620" w:right="739" w:firstLine="368"/>
        <w:spacing w:after="0" w:line="247" w:lineRule="auto"/>
        <w:tabs>
          <w:tab w:leader="none" w:pos="2161"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At the time of grant of a Performance Share Award, the Administrator may set performance objectives in its discretion which, depending on the extent to which they are met, will determined the number of Performance Shares that will be paid out to the Participant. The time period during which the performance objectives must be met will be called the “Performance Period.” After the applicable Performance Period has ended, the recipient of the Performance Shares will be entitled to receive the number of Performance Shares earned by the Participant over the Performance Period, to be determined as a function of the extent to which the corresponding performance objectives have been achieved. After the grant of a Performance Share Award, the Administrator, in its sole discretion, may reduce or waive any performance objective for such Performance Share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Administrator may not waive the restriction in the proviso of Section 11(a) and further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performance objective may be waived or reduced for a Covered Employee and further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may alter the time of payment of the Performance Share Award if such alteration would cause the award to be subject to penalty under Code Section 409A.</w:t>
      </w:r>
    </w:p>
    <w:p>
      <w:pPr>
        <w:spacing w:after="0" w:line="293" w:lineRule="exact"/>
        <w:rPr>
          <w:rFonts w:ascii="Arial" w:cs="Arial" w:eastAsia="Arial" w:hAnsi="Arial"/>
          <w:sz w:val="16"/>
          <w:szCs w:val="16"/>
          <w:color w:val="auto"/>
        </w:rPr>
      </w:pPr>
    </w:p>
    <w:p>
      <w:pPr>
        <w:ind w:left="1620" w:right="739" w:firstLine="368"/>
        <w:spacing w:after="0" w:line="260" w:lineRule="auto"/>
        <w:tabs>
          <w:tab w:leader="none" w:pos="2238"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Dividend equivalents will not be credited in respect of any unearned Performance Share Award during the applicable Performance Period.</w:t>
      </w: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540" w:hanging="272"/>
        <w:spacing w:after="0"/>
        <w:tabs>
          <w:tab w:leader="none" w:pos="154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SHARE-BASED AWARDS</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50" w:lineRule="auto"/>
        <w:tabs>
          <w:tab w:leader="none" w:pos="1863"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Other Awards of Shares and other Awards that are valued in whole or in part by reference to, or are otherwise based on, Shares (“Other Share-Based Awards”), may be granted either alone or in addition to or in conjunction with other Awards under this Plan. Awards under this Section 12 may include (without limitation) Stock Rights, the grant of Shares conditioned upon some specified event, the payment of cash based upon the performance of the Shares or the grant of securities convertible into Shares.</w:t>
      </w:r>
    </w:p>
    <w:p>
      <w:pPr>
        <w:spacing w:after="0" w:line="95" w:lineRule="exact"/>
        <w:rPr>
          <w:sz w:val="20"/>
          <w:szCs w:val="20"/>
          <w:color w:val="auto"/>
        </w:rPr>
      </w:pPr>
    </w:p>
    <w:p>
      <w:pPr>
        <w:jc w:val="both"/>
        <w:ind w:left="1260" w:right="739" w:firstLine="360"/>
        <w:spacing w:after="0" w:line="247" w:lineRule="auto"/>
        <w:rPr>
          <w:sz w:val="20"/>
          <w:szCs w:val="20"/>
          <w:color w:val="auto"/>
        </w:rPr>
      </w:pPr>
      <w:r>
        <w:rPr>
          <w:rFonts w:ascii="Arial" w:cs="Arial" w:eastAsia="Arial" w:hAnsi="Arial"/>
          <w:sz w:val="16"/>
          <w:szCs w:val="16"/>
          <w:color w:val="auto"/>
        </w:rPr>
        <w:t xml:space="preserve">Subject to the provisions of the Plan, the Administrator shall have sole and complete authority to determine the Employees and Directors to whom and the time or times at which Other Share-Based Awards shall be made, the number of Shares or other securities, if any, to be granted pursuant to Other Share-Based Awards, and all other conditions of the Other Share-Based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in Section 15(b) or in the event of a Participant’s death or Disability, Other Share-Based Awards shall have a vesting period of not less than one year. The Administrator may condition the grant of an Other Share-Based Award upon the attainment of specified performance goals or such other factors as the Administrator shall determine, in its sole discretion. In granting an Other Share-Based Award, the Administrator may determine that the recipient of an Other Share-Based Award shall be entitled to receive, currently or on a deferred basis, interest or dividends or dividend equivalents with respect to the Shares or other securities covered by the Award, and the Administrator may provide that such amounts (if any) shall be deemed to have been reinvested in additional Shares or otherwise reinvested;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shall provide that either (A) the payment of ordinary cash dividends shall be delayed unless and until the underlying Award becomes vested or (B) such ordinary cash dividends shall be invested in additional Shares, Share Equivalents or Restricted Stock Units to the extent available under Section 6, which shall be subject to the same restrictions as the underlying Award. The terms of any Other Share-Based Award shall be set forth in an Other Share-Based Award Agreement between the Company and the Participant, which Agreement shall contain such provisions as the Administrator determines to be necessary or appropriate to carry out the intent of the Plan.</w:t>
      </w:r>
    </w:p>
    <w:p>
      <w:pPr>
        <w:spacing w:after="0" w:line="292" w:lineRule="exact"/>
        <w:rPr>
          <w:sz w:val="20"/>
          <w:szCs w:val="20"/>
          <w:color w:val="auto"/>
        </w:rPr>
      </w:pPr>
    </w:p>
    <w:p>
      <w:pPr>
        <w:ind w:left="1260" w:right="739" w:firstLine="368"/>
        <w:spacing w:after="0" w:line="260" w:lineRule="auto"/>
        <w:tabs>
          <w:tab w:leader="none" w:pos="1863"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Terms and Conditions</w:t>
      </w:r>
      <w:r>
        <w:rPr>
          <w:rFonts w:ascii="Arial" w:cs="Arial" w:eastAsia="Arial" w:hAnsi="Arial"/>
          <w:sz w:val="16"/>
          <w:szCs w:val="16"/>
          <w:color w:val="auto"/>
        </w:rPr>
        <w:t>. In addition to the terms and conditions specified in the Other Share-Based Award Agreement, Other Share-Based Awards shall be subject to the following:</w:t>
      </w:r>
    </w:p>
    <w:p>
      <w:pPr>
        <w:spacing w:after="0" w:line="87" w:lineRule="exact"/>
        <w:rPr>
          <w:rFonts w:ascii="Arial" w:cs="Arial" w:eastAsia="Arial" w:hAnsi="Arial"/>
          <w:sz w:val="16"/>
          <w:szCs w:val="16"/>
          <w:color w:val="auto"/>
        </w:rPr>
      </w:pPr>
    </w:p>
    <w:p>
      <w:pPr>
        <w:jc w:val="both"/>
        <w:ind w:left="1620" w:right="739" w:firstLine="368"/>
        <w:spacing w:after="0" w:line="253" w:lineRule="auto"/>
        <w:tabs>
          <w:tab w:leader="none" w:pos="2221" w:val="left"/>
        </w:tabs>
        <w:numPr>
          <w:ilvl w:val="2"/>
          <w:numId w:val="91"/>
        </w:numPr>
        <w:rPr>
          <w:rFonts w:ascii="Arial" w:cs="Arial" w:eastAsia="Arial" w:hAnsi="Arial"/>
          <w:sz w:val="16"/>
          <w:szCs w:val="16"/>
          <w:color w:val="auto"/>
        </w:rPr>
      </w:pPr>
      <w:r>
        <w:rPr>
          <w:rFonts w:ascii="Arial" w:cs="Arial" w:eastAsia="Arial" w:hAnsi="Arial"/>
          <w:sz w:val="16"/>
          <w:szCs w:val="16"/>
          <w:color w:val="auto"/>
        </w:rPr>
        <w:t>Any Other Share-Based Award may not be sold, assigned, transferred, pledged or otherwise encumbered prior to the date on which the Shares are issued or the Award becomes payable, or, if later, the date on which any applicable restriction, performance or deferral period lapses.</w:t>
      </w:r>
    </w:p>
    <w:p>
      <w:pPr>
        <w:spacing w:after="0" w:line="93" w:lineRule="exact"/>
        <w:rPr>
          <w:rFonts w:ascii="Arial" w:cs="Arial" w:eastAsia="Arial" w:hAnsi="Arial"/>
          <w:sz w:val="16"/>
          <w:szCs w:val="16"/>
          <w:color w:val="auto"/>
        </w:rPr>
      </w:pPr>
    </w:p>
    <w:p>
      <w:pPr>
        <w:jc w:val="both"/>
        <w:ind w:left="1620" w:right="739" w:firstLine="368"/>
        <w:spacing w:after="0" w:line="249" w:lineRule="auto"/>
        <w:tabs>
          <w:tab w:leader="none" w:pos="2229" w:val="left"/>
        </w:tabs>
        <w:numPr>
          <w:ilvl w:val="2"/>
          <w:numId w:val="91"/>
        </w:numPr>
        <w:rPr>
          <w:rFonts w:ascii="Arial" w:cs="Arial" w:eastAsia="Arial" w:hAnsi="Arial"/>
          <w:sz w:val="16"/>
          <w:szCs w:val="16"/>
          <w:color w:val="auto"/>
        </w:rPr>
      </w:pPr>
      <w:r>
        <w:rPr>
          <w:rFonts w:ascii="Arial" w:cs="Arial" w:eastAsia="Arial" w:hAnsi="Arial"/>
          <w:sz w:val="16"/>
          <w:szCs w:val="16"/>
          <w:color w:val="auto"/>
        </w:rPr>
        <w:t>The Other Share-Based Award Agreement shall contain provisions dealing with the disposition of such Award in the event of termination of the Employee’s employment or the Director’s service prior to the exercise, realization or payment of such Award, and, subject to the achievement of one-year minimum vesting (unless otherwise in connection with a Change-in-Control), the Administrator in its sole discretion may provide for payment of the Award in the event of the Participant’s Disability or death, with such provisions to take account of the specific nature and purpose of the Award.</w:t>
      </w:r>
    </w:p>
    <w:p>
      <w:pPr>
        <w:spacing w:after="0" w:line="171" w:lineRule="exact"/>
        <w:rPr>
          <w:rFonts w:ascii="Arial" w:cs="Arial" w:eastAsia="Arial" w:hAnsi="Arial"/>
          <w:sz w:val="16"/>
          <w:szCs w:val="16"/>
          <w:color w:val="auto"/>
        </w:rPr>
      </w:pPr>
    </w:p>
    <w:p>
      <w:pPr>
        <w:ind w:left="1540" w:hanging="272"/>
        <w:spacing w:after="0"/>
        <w:tabs>
          <w:tab w:leader="none" w:pos="154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PAYMENTS IN SHARES</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0" w:lineRule="auto"/>
        <w:rPr>
          <w:sz w:val="20"/>
          <w:szCs w:val="20"/>
          <w:color w:val="auto"/>
        </w:rPr>
      </w:pPr>
      <w:r>
        <w:rPr>
          <w:rFonts w:ascii="Arial" w:cs="Arial" w:eastAsia="Arial" w:hAnsi="Arial"/>
          <w:sz w:val="16"/>
          <w:szCs w:val="16"/>
          <w:color w:val="auto"/>
        </w:rPr>
        <w:t>Shares may be issued under this Plan to satisfy the payment of all or part of an award pursuant to the Company’s annual bonus plan. In addition, all or part of any Director’s fees may be paid in Shares or Share Equivalents issued under this Plan. Any Shares issued pursuant to this Section 13 shall reduce the number of Shares authorized under Section 6 but shall not be considered an Award for purposes of the maximum grant limitation in Section 5(b).</w:t>
      </w:r>
    </w:p>
    <w:p>
      <w:pPr>
        <w:spacing w:after="0" w:line="170" w:lineRule="exact"/>
        <w:rPr>
          <w:sz w:val="20"/>
          <w:szCs w:val="20"/>
          <w:color w:val="auto"/>
        </w:rPr>
      </w:pPr>
    </w:p>
    <w:p>
      <w:pPr>
        <w:ind w:left="1540" w:hanging="272"/>
        <w:spacing w:after="0"/>
        <w:tabs>
          <w:tab w:leader="none" w:pos="154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 OBJECTIVES</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53" w:lineRule="auto"/>
        <w:tabs>
          <w:tab w:leader="none" w:pos="1863"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Authority to Establish</w:t>
      </w:r>
      <w:r>
        <w:rPr>
          <w:rFonts w:ascii="Arial" w:cs="Arial" w:eastAsia="Arial" w:hAnsi="Arial"/>
          <w:sz w:val="16"/>
          <w:szCs w:val="16"/>
          <w:color w:val="auto"/>
        </w:rPr>
        <w:t xml:space="preserve">. The Administrator shall determine the terms and conditions of Awards at the date of grant or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performance objectives for each year, if any, shall be established by the Administrator not later than the latest date permissible under Code Section 162(m).</w:t>
      </w:r>
    </w:p>
    <w:p>
      <w:pPr>
        <w:spacing w:after="0" w:line="93" w:lineRule="exact"/>
        <w:rPr>
          <w:rFonts w:ascii="Arial" w:cs="Arial" w:eastAsia="Arial" w:hAnsi="Arial"/>
          <w:sz w:val="16"/>
          <w:szCs w:val="16"/>
          <w:color w:val="auto"/>
        </w:rPr>
      </w:pPr>
    </w:p>
    <w:p>
      <w:pPr>
        <w:jc w:val="both"/>
        <w:ind w:left="1260" w:right="739" w:firstLine="368"/>
        <w:spacing w:after="0" w:line="248" w:lineRule="auto"/>
        <w:tabs>
          <w:tab w:leader="none" w:pos="1863"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Criteria</w:t>
      </w:r>
      <w:r>
        <w:rPr>
          <w:rFonts w:ascii="Arial" w:cs="Arial" w:eastAsia="Arial" w:hAnsi="Arial"/>
          <w:sz w:val="16"/>
          <w:szCs w:val="16"/>
          <w:color w:val="auto"/>
        </w:rPr>
        <w:t>. To the extent that such Awards are paid to Employees the performance objectives to be used, if any, shall be expressed in terms of one or more of the following: total shareholder return; earnings per share; stock price; return on equity; net earnings; income from continuing operations; related return ratios; cash flow; net earnings growth; earnings before interest, taxes, depreciation and amortization (“EBITDA”); gross or operating margins; productivity ratios; expense targets; operating efficiency; market share; customer satisfaction; working capital targets (including, but not limited to days sales outstanding); return on assets; increase in revenues; decrease in expenses; increase in funds from operations (“FFO”); and increase in FFO per share. Awards may be based on performance against objectives for more than one Subsidiary or segment of the Company. For example, awards for a Participant employed by the Company may be based on overall corporate performance against</w:t>
      </w:r>
    </w:p>
    <w:p>
      <w:pPr>
        <w:spacing w:after="0" w:line="27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spacing w:after="0" w:line="248" w:lineRule="auto"/>
        <w:rPr>
          <w:sz w:val="20"/>
          <w:szCs w:val="20"/>
          <w:color w:val="auto"/>
        </w:rPr>
      </w:pPr>
      <w:r>
        <w:rPr>
          <w:rFonts w:ascii="Arial" w:cs="Arial" w:eastAsia="Arial" w:hAnsi="Arial"/>
          <w:sz w:val="16"/>
          <w:szCs w:val="16"/>
          <w:color w:val="auto"/>
        </w:rPr>
        <w:t>objectives, but awards for a Participant employed by a Subsidiary may be based on a combination of corporate, segment and Subsidiary performance against objectives. Performance objectives, if any, established by the Administrator may be (but need not be) different from year-to-year, and different performance objectives may be applicable to different Participants. Performance objectives may be determined on an absolute basis or relative to internal goals or relative to levels attained in prior years or related to other companies or indices or as ratios expressing relationships between two or more performance objectives. In addition, performance objectives may be based upon the attainment of specified levels of Company performance under one or more of the measures described above relative to the performance of other corporations.</w:t>
      </w:r>
    </w:p>
    <w:p>
      <w:pPr>
        <w:spacing w:after="0" w:line="100" w:lineRule="exact"/>
        <w:rPr>
          <w:sz w:val="20"/>
          <w:szCs w:val="20"/>
          <w:color w:val="auto"/>
        </w:rPr>
      </w:pPr>
    </w:p>
    <w:p>
      <w:pPr>
        <w:jc w:val="both"/>
        <w:ind w:left="1260" w:right="739" w:firstLine="368"/>
        <w:spacing w:after="0" w:line="248" w:lineRule="auto"/>
        <w:tabs>
          <w:tab w:leader="none" w:pos="1854"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The Committee shall specify the manner of adjustment of any performance objectives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corporate transaction. Any adjustment to performance objectives pursuant to this Section 14(c) shall be done in accordance with Code Section 162(m).</w:t>
      </w:r>
    </w:p>
    <w:p>
      <w:pPr>
        <w:spacing w:after="0" w:line="174" w:lineRule="exact"/>
        <w:rPr>
          <w:rFonts w:ascii="Arial" w:cs="Arial" w:eastAsia="Arial" w:hAnsi="Arial"/>
          <w:sz w:val="16"/>
          <w:szCs w:val="16"/>
          <w:color w:val="auto"/>
        </w:rPr>
      </w:pPr>
    </w:p>
    <w:p>
      <w:pPr>
        <w:ind w:left="1540" w:hanging="272"/>
        <w:spacing w:after="0"/>
        <w:tabs>
          <w:tab w:leader="none" w:pos="154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CHANGE-IN-CONTROL</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48" w:lineRule="auto"/>
        <w:tabs>
          <w:tab w:leader="none" w:pos="1863"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Effect of Change-in-Control on Options and Stock Appreciation Rights</w:t>
      </w:r>
      <w:r>
        <w:rPr>
          <w:rFonts w:ascii="Arial" w:cs="Arial" w:eastAsia="Arial" w:hAnsi="Arial"/>
          <w:sz w:val="16"/>
          <w:szCs w:val="16"/>
          <w:color w:val="auto"/>
        </w:rPr>
        <w:t>. Subject to the limitations set forth in Section 15(c), in the event of a Change-in-Control, the surviving, continuing, successor or purchasing Company or other business entity or parent thereof, as the case may be (the “Acquiror”) may, without the consent of any Participant, either assume or continue the Company’s rights and obligations under outstanding Options and Stock Appreciation Rights or substitute for outstanding Options and Stock Appreciation Rights substantially equivalent options covering the Acquiror’s stock. All Options and Stock Appreciation Rights assumed or continued by the Acquiror in connection with a Change-in-Control will become fully vested and exercisable if the Participant’s employment is terminated without Cause at any time during the 12-month period following the Change-in-Control.</w:t>
      </w:r>
    </w:p>
    <w:p>
      <w:pPr>
        <w:spacing w:after="0" w:line="100" w:lineRule="exact"/>
        <w:rPr>
          <w:sz w:val="20"/>
          <w:szCs w:val="20"/>
          <w:color w:val="auto"/>
        </w:rPr>
      </w:pPr>
    </w:p>
    <w:p>
      <w:pPr>
        <w:jc w:val="both"/>
        <w:ind w:left="1260" w:right="739" w:firstLine="360"/>
        <w:spacing w:after="0" w:line="247" w:lineRule="auto"/>
        <w:rPr>
          <w:sz w:val="20"/>
          <w:szCs w:val="20"/>
          <w:color w:val="auto"/>
        </w:rPr>
      </w:pPr>
      <w:r>
        <w:rPr>
          <w:rFonts w:ascii="Arial" w:cs="Arial" w:eastAsia="Arial" w:hAnsi="Arial"/>
          <w:sz w:val="16"/>
          <w:szCs w:val="16"/>
          <w:color w:val="auto"/>
        </w:rPr>
        <w:t>Any Option or Stock Appreciation Right granted one year or more prior to the Change-in-Control that is neither assumed nor continued by the Acquiror in connection with the Change-in-Control shall, contingent on the Change-in-Control, become fully vested and exercisable immediately prior to the Change-in-Control. Any Option or Stock Appreciation Right granted less than one year prior to the Change-in-Control that is neither assumed nor continued by the Acquiror in connection with the Change-in-Control shall, to the extent not previously vested and exercisable, immediately prior to the Change-in-Control become vested and exercisable as to the number of Shares subject to such Option or Stock Appreciation Right equal to (i) the number of Shares originally subject to such Option or Stock Appreciation Right, multiplied by (ii) the number of whole months between the Grant Date and the Change-in-Control, divided by (iii) the number of months between the Grant Date and the date on which all Shares originally subject to such Option or Stock Appreciation Right would have been fully vested and exercisable; and such Option or Stock Appreciation Right shall terminate with respect to all remaining Shares subject to such Option or Stock Appreciation Right.</w:t>
      </w:r>
    </w:p>
    <w:p>
      <w:pPr>
        <w:spacing w:after="0" w:line="105" w:lineRule="exact"/>
        <w:rPr>
          <w:sz w:val="20"/>
          <w:szCs w:val="20"/>
          <w:color w:val="auto"/>
        </w:rPr>
      </w:pPr>
    </w:p>
    <w:p>
      <w:pPr>
        <w:jc w:val="both"/>
        <w:ind w:left="1260" w:right="739" w:firstLine="368"/>
        <w:spacing w:after="0" w:line="247" w:lineRule="auto"/>
        <w:tabs>
          <w:tab w:leader="none" w:pos="190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Effect of Change-in-Control on Awards Other Than Options</w:t>
      </w:r>
      <w:r>
        <w:rPr>
          <w:rFonts w:ascii="Arial" w:cs="Arial" w:eastAsia="Arial" w:hAnsi="Arial"/>
          <w:sz w:val="16"/>
          <w:szCs w:val="16"/>
          <w:color w:val="auto"/>
        </w:rPr>
        <w:t>. Subject to the limitations set forth in Section 15(c), in the event of a Change-in-Control, the Acquiror may, without the consent of any Participant, either assume or continue the Company’s rights and obligations under outstanding Awards other than Options or substitute for such Awards substantially equivalent awards covering the Acquiror’s stock. All Awards other than Options assumed or continued by the Acquiror in connection with a Change-in-Control will become fully vested and all restrictions on such Awards will lapse if the Participant’s employment is terminated without Cause at any time during the 12-month period following the Change-in-Control. Any Award that is neither assumed nor continued by the Acquiror in connection with the Change-in-Control shall, upon the Change-in-Control, become fully vested and all restrictions shall be released immediately prior to the Change-in-Control, and all Restricted Unit Awards and Performance Share Awards shall become immediately payable. Notwithstanding anything in this Section 15(b) to the contrary, with respect to any Award of Restricted Stock Units or Performance Shares granted under this Plan that constitutes deferred compensation within the meaning of Section 409A of the Code, if the Change-in-Control does not constitute a “change in effective ownership or control” of the Company within the meaning of Section 409A of the Code, Restricted Stock Units and Performance Shares shall vest as provided in this Section 15(b), but shall be payable to the Participant in accordance with the payment provisions of the applicable Award Agreement.</w:t>
      </w:r>
    </w:p>
    <w:p>
      <w:pPr>
        <w:spacing w:after="0" w:line="292" w:lineRule="exact"/>
        <w:rPr>
          <w:rFonts w:ascii="Arial" w:cs="Arial" w:eastAsia="Arial" w:hAnsi="Arial"/>
          <w:sz w:val="16"/>
          <w:szCs w:val="16"/>
          <w:color w:val="auto"/>
        </w:rPr>
      </w:pPr>
    </w:p>
    <w:p>
      <w:pPr>
        <w:jc w:val="both"/>
        <w:ind w:left="1260" w:right="739" w:firstLine="368"/>
        <w:spacing w:after="0" w:line="253" w:lineRule="auto"/>
        <w:tabs>
          <w:tab w:leader="none" w:pos="185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Limitation on Acceleration</w:t>
      </w:r>
      <w:r>
        <w:rPr>
          <w:rFonts w:ascii="Arial" w:cs="Arial" w:eastAsia="Arial" w:hAnsi="Arial"/>
          <w:sz w:val="16"/>
          <w:szCs w:val="16"/>
          <w:color w:val="auto"/>
        </w:rPr>
        <w:t>. In connection with any acceleration of vesting or change in exercisability upon or after a Change-in-Control, if any amount or benefit to be paid or provided under an Award or under any other agreement between a Participant and Company would be an Excess Parachute Payment (including after taking</w:t>
      </w:r>
    </w:p>
    <w:p>
      <w:pPr>
        <w:spacing w:after="0" w:line="2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7" w:name="page88"/>
    <w:bookmarkEnd w:id="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spacing w:after="0" w:line="247" w:lineRule="auto"/>
        <w:rPr>
          <w:sz w:val="20"/>
          <w:szCs w:val="20"/>
          <w:color w:val="auto"/>
        </w:rPr>
      </w:pPr>
      <w:r>
        <w:rPr>
          <w:rFonts w:ascii="Arial" w:cs="Arial" w:eastAsia="Arial" w:hAnsi="Arial"/>
          <w:sz w:val="16"/>
          <w:szCs w:val="16"/>
          <w:color w:val="auto"/>
        </w:rPr>
        <w:t xml:space="preserve">into account the value, to the maximum extent permitted by Code Section 280G, of covenants by or restrictions on Participant following the Change-in-Control), then the payments and benefits to be paid or provided will be reduced to the minimum extent necessary (but in no event to less than zero) so that no portion of any such payment or benefit, as so reduced, constitutes an Excess Parachute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reduction will not be made if such reduction would result in a Participant’s receiving an After-Tax Amount less than 90% of the After-Tax Amount of the payments Participant would have received under such Awards or any other agreement without regard to this limitation. Whether requested by a Participant or the Company, the determination of whether any reduction in such payments or benefits is required pursuant to the preceding sentence, and the value to be assigned to any covenants by or restrictions on Participant, for purposes of determining the amount, if any, of the Excess Parachute Payment will be made at the expense of the Company by the Company’s independent accountants or benefits consultant. The fact that a Participant’s right to payments or benefits may be reduced by reason of the limitations contained in this paragraph will not of itself limit or otherwise affect any other rights of a Participant under any other agreement. In the event that any payment or benefit intended to be provided is required to be reduced pursuant to this paragraph, a Participant will be entitled to designate the payments and/or benefits to be so reduced in order to give effect to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any such payments and/or benefits constitute deferred compensation within the meaning of Section 409A, the following rules shall apply: first a pro rata reduction of (i) cash payments subject to Section 409A of the Code as deferred compensation and (ii) cash payments not subject to Section 409A of the Code, and second a pro rata cancellation of (x) equity-based compensation subject to Section 409A of the Code as deferred compensation and (y) equity-based compensation not subject to Section 409A of the Code. The Company will provide Participant with all information reasonably requested by Participant to permit Participant to make such designation. In the event that Participant fails to make such designation within ten business days after receiving notice from the Company of a reduction under this paragraph, the Company may effect such reduction in any manner it deems appropriate.</w:t>
      </w:r>
    </w:p>
    <w:p>
      <w:pPr>
        <w:spacing w:after="0" w:line="365" w:lineRule="exact"/>
        <w:rPr>
          <w:sz w:val="20"/>
          <w:szCs w:val="20"/>
          <w:color w:val="auto"/>
        </w:rPr>
      </w:pPr>
    </w:p>
    <w:p>
      <w:pPr>
        <w:ind w:left="1540" w:hanging="272"/>
        <w:spacing w:after="0"/>
        <w:tabs>
          <w:tab w:leader="none" w:pos="154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FORFEITURE FOR CAUSE</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Notwithstanding any other provision of this Plan to the contrary, if the independent members of the Board or the Independent Committee determines that a Participant has engaged in conduct which constitutes Cause, the following provisions shall apply:</w:t>
      </w:r>
    </w:p>
    <w:p>
      <w:pPr>
        <w:spacing w:after="0" w:line="93" w:lineRule="exact"/>
        <w:rPr>
          <w:sz w:val="20"/>
          <w:szCs w:val="20"/>
          <w:color w:val="auto"/>
        </w:rPr>
      </w:pPr>
    </w:p>
    <w:p>
      <w:pPr>
        <w:jc w:val="both"/>
        <w:ind w:left="1260" w:right="739" w:firstLine="368"/>
        <w:spacing w:after="0" w:line="250" w:lineRule="auto"/>
        <w:tabs>
          <w:tab w:leader="none" w:pos="18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 lapsed shall immediately and automatically be forfeited, all of the rights of the Participant to such shares or share equivalents shall immediately terminate, and any Restricted Stock shall be returned to the Company.</w:t>
      </w:r>
    </w:p>
    <w:p>
      <w:pPr>
        <w:spacing w:after="0" w:line="95" w:lineRule="exact"/>
        <w:rPr>
          <w:rFonts w:ascii="Arial" w:cs="Arial" w:eastAsia="Arial" w:hAnsi="Arial"/>
          <w:sz w:val="16"/>
          <w:szCs w:val="16"/>
          <w:color w:val="auto"/>
        </w:rPr>
      </w:pPr>
    </w:p>
    <w:p>
      <w:pPr>
        <w:jc w:val="both"/>
        <w:ind w:left="1260" w:right="739" w:firstLine="368"/>
        <w:spacing w:after="0" w:line="249" w:lineRule="auto"/>
        <w:tabs>
          <w:tab w:leader="none" w:pos="186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lapse of restrictions on or vesting of Restricted Stock, Restricted Stock Units or Performance Shares that have vested or upon which the restrictions have lapsed within the 36-month period immediately prior to the date it is determined that the Participant engaged in conduct constituting Cause (the “Determination Date”) shall be rescinded and all outstanding Awards shall be canceled. The Participant shall deliver to the Company the Shares delivered upon vesting or lapse of restrictions if such vesting or lapse of restrictions has been rescinded and the Shares retained by the Participant.</w:t>
      </w:r>
    </w:p>
    <w:p>
      <w:pPr>
        <w:spacing w:after="0" w:line="97" w:lineRule="exact"/>
        <w:rPr>
          <w:rFonts w:ascii="Arial" w:cs="Arial" w:eastAsia="Arial" w:hAnsi="Arial"/>
          <w:sz w:val="16"/>
          <w:szCs w:val="16"/>
          <w:color w:val="auto"/>
        </w:rPr>
      </w:pPr>
    </w:p>
    <w:p>
      <w:pPr>
        <w:jc w:val="both"/>
        <w:ind w:left="1260" w:right="739" w:firstLine="368"/>
        <w:spacing w:after="0" w:line="253" w:lineRule="auto"/>
        <w:tabs>
          <w:tab w:leader="none" w:pos="187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independent members of the Board or the Independent Committee may, to the extent permitted by applicable law, rescind any Awards made to the Participant within the 36-month period immediately prior to the Determination Date.</w:t>
      </w:r>
    </w:p>
    <w:p>
      <w:pPr>
        <w:spacing w:after="0" w:line="93" w:lineRule="exact"/>
        <w:rPr>
          <w:rFonts w:ascii="Arial" w:cs="Arial" w:eastAsia="Arial" w:hAnsi="Arial"/>
          <w:sz w:val="16"/>
          <w:szCs w:val="16"/>
          <w:color w:val="auto"/>
        </w:rPr>
      </w:pPr>
    </w:p>
    <w:p>
      <w:pPr>
        <w:jc w:val="both"/>
        <w:ind w:left="1260" w:right="739" w:firstLine="368"/>
        <w:spacing w:after="0" w:line="251" w:lineRule="auto"/>
        <w:tabs>
          <w:tab w:leader="none" w:pos="187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in the case of any such sale or other disposition during the 36-month period immediately prior to the Determination Date.</w:t>
      </w:r>
    </w:p>
    <w:p>
      <w:pPr>
        <w:spacing w:after="0" w:line="95" w:lineRule="exact"/>
        <w:rPr>
          <w:sz w:val="20"/>
          <w:szCs w:val="20"/>
          <w:color w:val="auto"/>
        </w:rPr>
      </w:pPr>
    </w:p>
    <w:p>
      <w:pPr>
        <w:jc w:val="both"/>
        <w:ind w:left="1260" w:right="739" w:firstLine="360"/>
        <w:spacing w:after="0" w:line="260" w:lineRule="auto"/>
        <w:rPr>
          <w:sz w:val="20"/>
          <w:szCs w:val="20"/>
          <w:color w:val="auto"/>
        </w:rPr>
      </w:pPr>
      <w:r>
        <w:rPr>
          <w:rFonts w:ascii="Arial" w:cs="Arial" w:eastAsia="Arial" w:hAnsi="Arial"/>
          <w:sz w:val="16"/>
          <w:szCs w:val="16"/>
          <w:color w:val="auto"/>
        </w:rPr>
        <w:t>The independent members of the Board or the Independent Committee shall determine in such body’s sole discretion whether the Participant has engaged in conduct that constitutes Cause.</w:t>
      </w:r>
    </w:p>
    <w:p>
      <w:pPr>
        <w:spacing w:after="0" w:line="88" w:lineRule="exact"/>
        <w:rPr>
          <w:sz w:val="20"/>
          <w:szCs w:val="20"/>
          <w:color w:val="auto"/>
        </w:rPr>
      </w:pPr>
    </w:p>
    <w:p>
      <w:pPr>
        <w:jc w:val="both"/>
        <w:ind w:left="1260" w:right="739" w:firstLine="360"/>
        <w:spacing w:after="0" w:line="251" w:lineRule="auto"/>
        <w:rPr>
          <w:sz w:val="20"/>
          <w:szCs w:val="20"/>
          <w:color w:val="auto"/>
        </w:rPr>
      </w:pPr>
      <w:r>
        <w:rPr>
          <w:rFonts w:ascii="Arial" w:cs="Arial" w:eastAsia="Arial" w:hAnsi="Arial"/>
          <w:sz w:val="16"/>
          <w:szCs w:val="16"/>
          <w:color w:val="auto"/>
        </w:rPr>
        <w:t>Any provision of this Section 16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16.</w:t>
      </w:r>
    </w:p>
    <w:p>
      <w:pPr>
        <w:spacing w:after="0" w:line="169" w:lineRule="exact"/>
        <w:rPr>
          <w:sz w:val="20"/>
          <w:szCs w:val="20"/>
          <w:color w:val="auto"/>
        </w:rPr>
      </w:pPr>
    </w:p>
    <w:p>
      <w:pPr>
        <w:ind w:left="1540" w:hanging="272"/>
        <w:spacing w:after="0"/>
        <w:tabs>
          <w:tab w:leader="none" w:pos="154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RECOUPMENT</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u w:val="single" w:color="auto"/>
          <w:color w:val="auto"/>
        </w:rPr>
        <w:t>Dodd-Frank Clawback</w:t>
      </w:r>
      <w:r>
        <w:rPr>
          <w:rFonts w:ascii="Arial" w:cs="Arial" w:eastAsia="Arial" w:hAnsi="Arial"/>
          <w:sz w:val="16"/>
          <w:szCs w:val="16"/>
          <w:color w:val="auto"/>
        </w:rPr>
        <w:t>. The Committee shall have full authority to implement any policies and procedures necessary to comply with Section 10D of the Exchange Act and any rules promulgated thereunder. Without limiting the foregoing, the Committee may provide in award agreements or with respect to any Award granted hereunder</w:t>
      </w:r>
    </w:p>
    <w:p>
      <w:pPr>
        <w:spacing w:after="0" w:line="25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8" w:name="page89"/>
    <w:bookmarkEnd w:id="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spacing w:after="0" w:line="250" w:lineRule="auto"/>
        <w:rPr>
          <w:sz w:val="20"/>
          <w:szCs w:val="20"/>
          <w:color w:val="auto"/>
        </w:rPr>
      </w:pPr>
      <w:r>
        <w:rPr>
          <w:rFonts w:ascii="Arial" w:cs="Arial" w:eastAsia="Arial" w:hAnsi="Arial"/>
          <w:sz w:val="16"/>
          <w:szCs w:val="16"/>
          <w:color w:val="auto"/>
        </w:rPr>
        <w:t>that, in event of a financial restatement that reduces amount of previously awarded incentive compensation that would not have been earned had results been properly reported, outstanding awards will be cancelled and Company may clawback (i.e., recapture) realized Option/Stock Appreciation Right gains and realized value for vested Restricted Stock or Restricted Stock Units or earned Performance Shares or Other Share-Based Awards within 12 months preceding financial restatement.</w:t>
      </w:r>
    </w:p>
    <w:p>
      <w:pPr>
        <w:spacing w:after="0" w:line="95"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u w:val="single" w:color="auto"/>
          <w:color w:val="auto"/>
        </w:rPr>
        <w:t>Recoupment in the Event of Restatement</w:t>
      </w:r>
      <w:r>
        <w:rPr>
          <w:rFonts w:ascii="Arial" w:cs="Arial" w:eastAsia="Arial" w:hAnsi="Arial"/>
          <w:sz w:val="16"/>
          <w:szCs w:val="16"/>
          <w:color w:val="auto"/>
        </w:rPr>
        <w:t>. Notwithstanding any other provision of this Plan to the contrary, if the Company’s financial statements are the subject of a restatement due to misconduct, fraud or malfeasance, then the following shall apply:</w:t>
      </w:r>
    </w:p>
    <w:p>
      <w:pPr>
        <w:spacing w:after="0" w:line="93" w:lineRule="exact"/>
        <w:rPr>
          <w:sz w:val="20"/>
          <w:szCs w:val="20"/>
          <w:color w:val="auto"/>
        </w:rPr>
      </w:pPr>
    </w:p>
    <w:p>
      <w:pPr>
        <w:jc w:val="both"/>
        <w:ind w:left="1260" w:right="739" w:firstLine="368"/>
        <w:spacing w:after="0" w:line="248" w:lineRule="auto"/>
        <w:tabs>
          <w:tab w:leader="none" w:pos="188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the extent permitted by governing law, the independent members of the Board or the Independent Committee may, in its discretion, (i) rescind any Excess Equity Award or portion thereof made to an Executive Officer within the 36-month period immediately prior to the date such material restatement is first publicly disclosed and (ii) in the event that an Executive Officer has sold or otherwise disposed of some or all of the Shares subject to the Excess Equity Award, recover any gains made from the sale or other disposition of such Shares that was effected during the 36-month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pacing w:after="0" w:line="99" w:lineRule="exact"/>
        <w:rPr>
          <w:rFonts w:ascii="Arial" w:cs="Arial" w:eastAsia="Arial" w:hAnsi="Arial"/>
          <w:sz w:val="16"/>
          <w:szCs w:val="16"/>
          <w:color w:val="auto"/>
        </w:rPr>
      </w:pPr>
    </w:p>
    <w:p>
      <w:pPr>
        <w:jc w:val="both"/>
        <w:ind w:left="1260" w:right="739" w:firstLine="368"/>
        <w:spacing w:after="0" w:line="250" w:lineRule="auto"/>
        <w:tabs>
          <w:tab w:leader="none" w:pos="187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addition to the foregoing, the independent members of the Board or the Independent Committee may, in its discretion, require that an Executive Officer pay the Company, in cash and upon demand, Option Proceeds resulting from the sale or other disposition of Shares issued or issuable upon the exercise of an Option if the sale or disposition was effected during the 36-month period immediately prior to the date such material restatement is first publicly disclosed.</w:t>
      </w:r>
    </w:p>
    <w:p>
      <w:pPr>
        <w:spacing w:after="0" w:line="95" w:lineRule="exact"/>
        <w:rPr>
          <w:sz w:val="20"/>
          <w:szCs w:val="20"/>
          <w:color w:val="auto"/>
        </w:rPr>
      </w:pPr>
    </w:p>
    <w:p>
      <w:pPr>
        <w:jc w:val="both"/>
        <w:ind w:left="1260" w:right="739" w:firstLine="360"/>
        <w:spacing w:after="0" w:line="251" w:lineRule="auto"/>
        <w:rPr>
          <w:sz w:val="20"/>
          <w:szCs w:val="20"/>
          <w:color w:val="auto"/>
        </w:rPr>
      </w:pPr>
      <w:r>
        <w:rPr>
          <w:rFonts w:ascii="Arial" w:cs="Arial" w:eastAsia="Arial" w:hAnsi="Arial"/>
          <w:sz w:val="16"/>
          <w:szCs w:val="16"/>
          <w:color w:val="auto"/>
        </w:rPr>
        <w:t>Any provision of this Section 17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17.</w:t>
      </w:r>
    </w:p>
    <w:p>
      <w:pPr>
        <w:spacing w:after="0" w:line="169" w:lineRule="exact"/>
        <w:rPr>
          <w:sz w:val="20"/>
          <w:szCs w:val="20"/>
          <w:color w:val="auto"/>
        </w:rPr>
      </w:pPr>
    </w:p>
    <w:p>
      <w:pPr>
        <w:ind w:left="1540" w:hanging="272"/>
        <w:spacing w:after="0"/>
        <w:tabs>
          <w:tab w:leader="none" w:pos="154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 OF PLAN</w:t>
      </w:r>
      <w:r>
        <w:rPr>
          <w:rFonts w:ascii="Arial" w:cs="Arial" w:eastAsia="Arial" w:hAnsi="Arial"/>
          <w:sz w:val="16"/>
          <w:szCs w:val="16"/>
          <w:b w:val="1"/>
          <w:bCs w:val="1"/>
          <w:color w:val="auto"/>
        </w:rPr>
        <w:t>.</w:t>
      </w:r>
    </w:p>
    <w:p>
      <w:pPr>
        <w:spacing w:after="0" w:line="13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Awards may be granted pursuant to the Plan until the termination of the Plan on January 10, 2022.</w:t>
      </w:r>
    </w:p>
    <w:p>
      <w:pPr>
        <w:spacing w:after="0" w:line="188" w:lineRule="exact"/>
        <w:rPr>
          <w:sz w:val="20"/>
          <w:szCs w:val="20"/>
          <w:color w:val="auto"/>
        </w:rPr>
      </w:pPr>
    </w:p>
    <w:p>
      <w:pPr>
        <w:ind w:left="1540" w:hanging="272"/>
        <w:spacing w:after="0"/>
        <w:tabs>
          <w:tab w:leader="none" w:pos="154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RECAPITALIZATION</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6"/>
          <w:szCs w:val="16"/>
          <w:color w:val="auto"/>
        </w:rPr>
        <w:t>Subject to any required action by the shareholders, the number of Shares covered by this Plan as provided in Section 6, the maximum grant limitation in Section 5(b), the number of Shares or Share Equivalents covered by or referenced in each outstanding Award, and the Exercise Price of each outstanding Option or Stock Appreciation Right and any price required to be paid for Restricted Stock or Other Share-Based Award shall be proportionately adjusted for any increase or decrease in the number of issued Shares resulting from a subdivision or consolidation of Shares, the payment of a stock dividend (but only of Common Stock) or any other increase or decrease in the number of such Shares effected without receipt of consideration by the Company or the declaration of a dividend payable in cash that has a material effect on the price of issued Shares.</w:t>
      </w:r>
    </w:p>
    <w:p>
      <w:pPr>
        <w:spacing w:after="0" w:line="100" w:lineRule="exact"/>
        <w:rPr>
          <w:sz w:val="20"/>
          <w:szCs w:val="20"/>
          <w:color w:val="auto"/>
        </w:rPr>
      </w:pPr>
    </w:p>
    <w:p>
      <w:pPr>
        <w:jc w:val="both"/>
        <w:ind w:left="1260" w:right="739" w:firstLine="360"/>
        <w:spacing w:after="0" w:line="249" w:lineRule="auto"/>
        <w:rPr>
          <w:sz w:val="20"/>
          <w:szCs w:val="20"/>
          <w:color w:val="auto"/>
        </w:rPr>
      </w:pPr>
      <w:r>
        <w:rPr>
          <w:rFonts w:ascii="Arial" w:cs="Arial" w:eastAsia="Arial" w:hAnsi="Arial"/>
          <w:sz w:val="16"/>
          <w:szCs w:val="16"/>
          <w:color w:val="auto"/>
        </w:rPr>
        <w:t>Subject to any required action by the shareholders, if the Company shall be a party to any merger, consolidation or other reorganization, each outstanding Award shall pertain and apply to the securities to which a holder of the number of Shares or Share Equivalents subject to the Award would have been entitled. In the event of a change in the Common Stock as presently constituted, which is limited to a change of all of its authorized shares with par value into the same number of shares with a different par value or without par value, the shares resulting from any such change shall be deemed to be the Common Stock within the meaning of the Plan.</w:t>
      </w:r>
    </w:p>
    <w:p>
      <w:pPr>
        <w:spacing w:after="0" w:line="97" w:lineRule="exact"/>
        <w:rPr>
          <w:sz w:val="20"/>
          <w:szCs w:val="20"/>
          <w:color w:val="auto"/>
        </w:rPr>
      </w:pPr>
    </w:p>
    <w:p>
      <w:pPr>
        <w:jc w:val="both"/>
        <w:ind w:left="1260" w:right="739" w:firstLine="360"/>
        <w:spacing w:after="0" w:line="250" w:lineRule="auto"/>
        <w:rPr>
          <w:sz w:val="20"/>
          <w:szCs w:val="20"/>
          <w:color w:val="auto"/>
        </w:rPr>
      </w:pPr>
      <w:r>
        <w:rPr>
          <w:rFonts w:ascii="Arial" w:cs="Arial" w:eastAsia="Arial" w:hAnsi="Arial"/>
          <w:sz w:val="16"/>
          <w:szCs w:val="16"/>
          <w:color w:val="auto"/>
        </w:rPr>
        <w:t>To the extent that the foregoing adjustments relate to stock or securities of the Company, such adjustments shall be made by the Administrator, whose determination in that respect shall be final, binding and conclusive, provided that each Incentive Stock Option granted pursuant to this Plan shall not be adjusted in a manner that causes the Option to fail to continue to qualify as an incentive stock option within the meaning of Code Section 422 or subject the Option to the requirements of Code Section 409A.</w:t>
      </w:r>
    </w:p>
    <w:p>
      <w:pPr>
        <w:spacing w:after="0" w:line="95" w:lineRule="exact"/>
        <w:rPr>
          <w:sz w:val="20"/>
          <w:szCs w:val="20"/>
          <w:color w:val="auto"/>
        </w:rPr>
      </w:pPr>
    </w:p>
    <w:p>
      <w:pPr>
        <w:jc w:val="both"/>
        <w:ind w:left="1260" w:right="739" w:firstLine="360"/>
        <w:spacing w:after="0" w:line="249" w:lineRule="auto"/>
        <w:rPr>
          <w:sz w:val="20"/>
          <w:szCs w:val="20"/>
          <w:color w:val="auto"/>
        </w:rPr>
      </w:pPr>
      <w:r>
        <w:rPr>
          <w:rFonts w:ascii="Arial" w:cs="Arial" w:eastAsia="Arial" w:hAnsi="Arial"/>
          <w:sz w:val="16"/>
          <w:szCs w:val="16"/>
          <w:color w:val="auto"/>
        </w:rPr>
        <w:t>Except as expressly provided in this Section 19, a Participant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the number or price of Shares subject to the Award.</w:t>
      </w:r>
    </w:p>
    <w:p>
      <w:pPr>
        <w:spacing w:after="0" w:line="2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The grant of an Award pursuant to the Plan shall not affect in any way the right or power of the Company to make adjustments, reclassifications, reorganizations or changes in its capital or business structure or to merge or consolidate or to dissolve, liquidate, sell or transfer all or any part of its business assets.</w:t>
      </w:r>
    </w:p>
    <w:p>
      <w:pPr>
        <w:spacing w:after="0" w:line="168" w:lineRule="exact"/>
        <w:rPr>
          <w:sz w:val="20"/>
          <w:szCs w:val="20"/>
          <w:color w:val="auto"/>
        </w:rPr>
      </w:pPr>
    </w:p>
    <w:p>
      <w:pPr>
        <w:ind w:left="1540" w:hanging="272"/>
        <w:spacing w:after="0"/>
        <w:tabs>
          <w:tab w:leader="none" w:pos="154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LAW REQUIREMENTS AND LIMITATION OF RIGHTS</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50" w:lineRule="auto"/>
        <w:tabs>
          <w:tab w:leader="none" w:pos="1890"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No Shares shall be issued pursuant to the Plan unless and until the Company has determined that: (i) it and the Participant have taken all actions required to register the Shares under the Securities Act of 1933 or perfect an exemption from registration; (ii) any applicable listing requirement of any stock exchange on which the Common Stock is listed has been satisfied; and (iii) any other applicable provision of state or federal law has been satisfied.</w:t>
      </w:r>
    </w:p>
    <w:p>
      <w:pPr>
        <w:spacing w:after="0" w:line="95" w:lineRule="exact"/>
        <w:rPr>
          <w:rFonts w:ascii="Arial" w:cs="Arial" w:eastAsia="Arial" w:hAnsi="Arial"/>
          <w:sz w:val="16"/>
          <w:szCs w:val="16"/>
          <w:color w:val="auto"/>
        </w:rPr>
      </w:pPr>
    </w:p>
    <w:p>
      <w:pPr>
        <w:jc w:val="both"/>
        <w:ind w:left="1260" w:right="739" w:firstLine="368"/>
        <w:spacing w:after="0" w:line="249" w:lineRule="auto"/>
        <w:tabs>
          <w:tab w:leader="none" w:pos="1863"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Employment Rights</w:t>
      </w:r>
      <w:r>
        <w:rPr>
          <w:rFonts w:ascii="Arial" w:cs="Arial" w:eastAsia="Arial" w:hAnsi="Arial"/>
          <w:sz w:val="16"/>
          <w:szCs w:val="16"/>
          <w:color w:val="auto"/>
        </w:rPr>
        <w:t>. Neither the Plan nor any Award granted under the Plan shall be deemed to give any individual a right to remain employed by the Company or an Affiliate or to remain a Director. The Company and its Affiliates reserve the right to terminate the employment of any employee at any time, with or without cause or for no cause, subject only to a written employment contract (if any), and the Board reserves the right to terminate a Director’s membership on the Board for cause in accordance with the Company’s Restated Certificate of Incorporation.</w:t>
      </w:r>
    </w:p>
    <w:p>
      <w:pPr>
        <w:spacing w:after="0" w:line="97" w:lineRule="exact"/>
        <w:rPr>
          <w:rFonts w:ascii="Arial" w:cs="Arial" w:eastAsia="Arial" w:hAnsi="Arial"/>
          <w:sz w:val="16"/>
          <w:szCs w:val="16"/>
          <w:color w:val="auto"/>
        </w:rPr>
      </w:pPr>
    </w:p>
    <w:p>
      <w:pPr>
        <w:jc w:val="both"/>
        <w:ind w:left="1260" w:right="739" w:firstLine="368"/>
        <w:spacing w:after="0" w:line="250" w:lineRule="auto"/>
        <w:tabs>
          <w:tab w:leader="none" w:pos="1908"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Shareholders’ Rights</w:t>
      </w:r>
      <w:r>
        <w:rPr>
          <w:rFonts w:ascii="Arial" w:cs="Arial" w:eastAsia="Arial" w:hAnsi="Arial"/>
          <w:sz w:val="16"/>
          <w:szCs w:val="16"/>
          <w:color w:val="auto"/>
        </w:rPr>
        <w:t>. Except as provided by the Administrator in accordance with Section 12, a Participant shall have no dividend rights, voting rights or other rights as a shareholder with respect to any Shares covered by his or her Award prior to the issuance of a stock certificate for such Shares. No adjustment shall be made for cash dividends or other rights for which the record date is prior to the date when such certificate is issued.</w:t>
      </w:r>
    </w:p>
    <w:p>
      <w:pPr>
        <w:spacing w:after="0" w:line="286" w:lineRule="exact"/>
        <w:rPr>
          <w:rFonts w:ascii="Arial" w:cs="Arial" w:eastAsia="Arial" w:hAnsi="Arial"/>
          <w:sz w:val="16"/>
          <w:szCs w:val="16"/>
          <w:color w:val="auto"/>
        </w:rPr>
      </w:pPr>
    </w:p>
    <w:p>
      <w:pPr>
        <w:jc w:val="both"/>
        <w:ind w:left="1260" w:right="739" w:firstLine="368"/>
        <w:spacing w:after="0" w:line="251" w:lineRule="auto"/>
        <w:tabs>
          <w:tab w:leader="none" w:pos="1877"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Creditors’ Rights</w:t>
      </w:r>
      <w:r>
        <w:rPr>
          <w:rFonts w:ascii="Arial" w:cs="Arial" w:eastAsia="Arial" w:hAnsi="Arial"/>
          <w:sz w:val="16"/>
          <w:szCs w:val="16"/>
          <w:color w:val="auto"/>
        </w:rPr>
        <w:t>. A holder of an Other Share-Based Award shall have no rights other than those of a general creditor of the Company. An Other Share-Based Award shall represent an unfunded and unsecured obligation of the Company, subject to the terms and conditions of the applicable Other Share-Based Award Agreement. An Other Share-Based Award shall not be deemed to create a trust for the benefit of any individual.</w:t>
      </w:r>
    </w:p>
    <w:p>
      <w:pPr>
        <w:spacing w:after="0" w:line="169" w:lineRule="exact"/>
        <w:rPr>
          <w:rFonts w:ascii="Arial" w:cs="Arial" w:eastAsia="Arial" w:hAnsi="Arial"/>
          <w:sz w:val="16"/>
          <w:szCs w:val="16"/>
          <w:color w:val="auto"/>
        </w:rPr>
      </w:pPr>
    </w:p>
    <w:p>
      <w:pPr>
        <w:ind w:left="1540" w:hanging="272"/>
        <w:spacing w:after="0"/>
        <w:tabs>
          <w:tab w:leader="none" w:pos="154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BENEFICIARY DESIGNATION</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6"/>
          <w:szCs w:val="16"/>
          <w:color w:val="auto"/>
        </w:rPr>
        <w:t>Participants and their Beneficiaries may designate on the prescribed form one or more Beneficiaries to whom distribution shall be made of any Award outstanding at the time of the Participant’s or Beneficiary’s death. A Participant or Beneficiary may change such designation at any time by filing the prescribed form with the Administrator. If a Beneficiary has not been designated or if no designated Beneficiary survives the Participant or Beneficiary, distribution will be made to the residuary beneficiary under the terms of the Participant’s or Beneficiary’s last will and testament or, in the absence of a last will and testament, to the Participant’s or Beneficiary’s estate as Beneficiary.</w:t>
      </w:r>
    </w:p>
    <w:p>
      <w:pPr>
        <w:spacing w:after="0" w:line="175" w:lineRule="exact"/>
        <w:rPr>
          <w:sz w:val="20"/>
          <w:szCs w:val="20"/>
          <w:color w:val="auto"/>
        </w:rPr>
      </w:pPr>
    </w:p>
    <w:p>
      <w:pPr>
        <w:ind w:left="1540" w:hanging="272"/>
        <w:spacing w:after="0"/>
        <w:tabs>
          <w:tab w:leader="none" w:pos="154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OF THE PLAN</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The Board may suspend or discontinue the Plan or revise or amend it with respect to any Shares at the time not subject to Awards except that, without approval of the shareholders of the Company, no such revision or amendment shall:</w:t>
      </w:r>
    </w:p>
    <w:p>
      <w:pPr>
        <w:spacing w:after="0" w:line="93" w:lineRule="exact"/>
        <w:rPr>
          <w:sz w:val="20"/>
          <w:szCs w:val="20"/>
          <w:color w:val="auto"/>
        </w:rPr>
      </w:pPr>
    </w:p>
    <w:p>
      <w:pPr>
        <w:ind w:left="1880" w:hanging="252"/>
        <w:spacing w:after="0"/>
        <w:tabs>
          <w:tab w:leader="none" w:pos="18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Increase the number of Shares subject to the Plan;</w:t>
      </w:r>
    </w:p>
    <w:p>
      <w:pPr>
        <w:spacing w:after="0" w:line="113" w:lineRule="exact"/>
        <w:rPr>
          <w:rFonts w:ascii="Arial" w:cs="Arial" w:eastAsia="Arial" w:hAnsi="Arial"/>
          <w:sz w:val="16"/>
          <w:szCs w:val="16"/>
          <w:color w:val="auto"/>
        </w:rPr>
      </w:pPr>
    </w:p>
    <w:p>
      <w:pPr>
        <w:ind w:left="1880" w:hanging="252"/>
        <w:spacing w:after="0"/>
        <w:tabs>
          <w:tab w:leader="none" w:pos="18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Change the designation in Section 5 of the class of Employees eligible to receive Awards;</w:t>
      </w:r>
    </w:p>
    <w:p>
      <w:pPr>
        <w:spacing w:after="0" w:line="113" w:lineRule="exact"/>
        <w:rPr>
          <w:rFonts w:ascii="Arial" w:cs="Arial" w:eastAsia="Arial" w:hAnsi="Arial"/>
          <w:sz w:val="16"/>
          <w:szCs w:val="16"/>
          <w:color w:val="auto"/>
        </w:rPr>
      </w:pPr>
    </w:p>
    <w:p>
      <w:pPr>
        <w:ind w:left="1860" w:hanging="232"/>
        <w:spacing w:after="0"/>
        <w:tabs>
          <w:tab w:leader="none" w:pos="18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Decrease the price at which Incentive Stock Options may be granted;</w:t>
      </w:r>
    </w:p>
    <w:p>
      <w:pPr>
        <w:spacing w:after="0" w:line="113" w:lineRule="exact"/>
        <w:rPr>
          <w:rFonts w:ascii="Arial" w:cs="Arial" w:eastAsia="Arial" w:hAnsi="Arial"/>
          <w:sz w:val="16"/>
          <w:szCs w:val="16"/>
          <w:color w:val="auto"/>
        </w:rPr>
      </w:pPr>
    </w:p>
    <w:p>
      <w:pPr>
        <w:ind w:left="1880" w:hanging="252"/>
        <w:spacing w:after="0"/>
        <w:tabs>
          <w:tab w:leader="none" w:pos="18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Remove the administration of the Plan from the Administrator;</w:t>
      </w:r>
    </w:p>
    <w:p>
      <w:pPr>
        <w:spacing w:after="0" w:line="113" w:lineRule="exact"/>
        <w:rPr>
          <w:rFonts w:ascii="Arial" w:cs="Arial" w:eastAsia="Arial" w:hAnsi="Arial"/>
          <w:sz w:val="16"/>
          <w:szCs w:val="16"/>
          <w:color w:val="auto"/>
        </w:rPr>
      </w:pPr>
    </w:p>
    <w:p>
      <w:pPr>
        <w:ind w:left="1880" w:hanging="252"/>
        <w:spacing w:after="0"/>
        <w:tabs>
          <w:tab w:leader="none" w:pos="18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Amend Section 23; or</w:t>
      </w:r>
    </w:p>
    <w:p>
      <w:pPr>
        <w:spacing w:after="0" w:line="113" w:lineRule="exact"/>
        <w:rPr>
          <w:rFonts w:ascii="Arial" w:cs="Arial" w:eastAsia="Arial" w:hAnsi="Arial"/>
          <w:sz w:val="16"/>
          <w:szCs w:val="16"/>
          <w:color w:val="auto"/>
        </w:rPr>
      </w:pPr>
    </w:p>
    <w:p>
      <w:pPr>
        <w:ind w:left="1820" w:hanging="192"/>
        <w:spacing w:after="0"/>
        <w:tabs>
          <w:tab w:leader="none" w:pos="18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Amend this Section 22 to defeat its purpose.</w:t>
      </w:r>
    </w:p>
    <w:p>
      <w:pPr>
        <w:spacing w:after="0" w:line="113"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Notwithstanding anything to the contrary in the Plan, the Committee may grant Awards with such terms, or create sub-plans, as may be necessary for the purpose of qualifying for preferred tax treatment under non-U.S. tax laws or complying with local rules and regulations.</w:t>
      </w:r>
    </w:p>
    <w:p>
      <w:pPr>
        <w:spacing w:after="0" w:line="168" w:lineRule="exact"/>
        <w:rPr>
          <w:sz w:val="20"/>
          <w:szCs w:val="20"/>
          <w:color w:val="auto"/>
        </w:rPr>
      </w:pPr>
    </w:p>
    <w:p>
      <w:pPr>
        <w:ind w:left="1540" w:hanging="272"/>
        <w:spacing w:after="0"/>
        <w:tabs>
          <w:tab w:leader="none" w:pos="154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AUTHORITY TO REPRICE</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6"/>
          <w:szCs w:val="16"/>
          <w:color w:val="auto"/>
        </w:rPr>
        <w:t>Without the consent of the shareholders of the Company, except as provided in Section 19, the Administrator shall have no authority to effect (i) the repricing of any outstanding Options or Stock Appreciation Rights under the Plan, (ii) the cancellation of any outstanding Options or Stock Appreciation Rights under the Plan and the grant in</w:t>
      </w:r>
    </w:p>
    <w:p>
      <w:pPr>
        <w:spacing w:after="0" w:line="2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60" w:right="739"/>
        <w:spacing w:after="0" w:line="251" w:lineRule="auto"/>
        <w:rPr>
          <w:sz w:val="20"/>
          <w:szCs w:val="20"/>
          <w:color w:val="auto"/>
        </w:rPr>
      </w:pPr>
      <w:r>
        <w:rPr>
          <w:rFonts w:ascii="Arial" w:cs="Arial" w:eastAsia="Arial" w:hAnsi="Arial"/>
          <w:sz w:val="16"/>
          <w:szCs w:val="16"/>
          <w:color w:val="auto"/>
        </w:rPr>
        <w:t>substitution therefor of new Options or Stock Appreciation Rights, or of new Restricted Stock or Restricted Stock Units or Other Stock-Based Awards, in any case covering the same or different numbers of shares of Common Stock that has the effect of an indirect repricing, or (iii) cashing out Options or Stock Appreciation Rights that have an Exercise Price greater than the then-Fair Market Value of the Shares.</w:t>
      </w:r>
    </w:p>
    <w:p>
      <w:pPr>
        <w:spacing w:after="0" w:line="169" w:lineRule="exact"/>
        <w:rPr>
          <w:sz w:val="20"/>
          <w:szCs w:val="20"/>
          <w:color w:val="auto"/>
        </w:rPr>
      </w:pPr>
    </w:p>
    <w:p>
      <w:pPr>
        <w:ind w:left="1540" w:hanging="272"/>
        <w:spacing w:after="0"/>
        <w:tabs>
          <w:tab w:leader="none" w:pos="154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OBLIGATION TO EXERCISE OPTION</w:t>
      </w:r>
      <w:r>
        <w:rPr>
          <w:rFonts w:ascii="Arial" w:cs="Arial" w:eastAsia="Arial" w:hAnsi="Arial"/>
          <w:sz w:val="16"/>
          <w:szCs w:val="16"/>
          <w:b w:val="1"/>
          <w:bCs w:val="1"/>
          <w:color w:val="auto"/>
        </w:rPr>
        <w:t>.</w:t>
      </w:r>
    </w:p>
    <w:p>
      <w:pPr>
        <w:spacing w:after="0" w:line="13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granting of an Option shall impose no obligation upon the Participant to exercise such Option.</w:t>
      </w:r>
    </w:p>
    <w:p>
      <w:pPr>
        <w:spacing w:after="0" w:line="188" w:lineRule="exact"/>
        <w:rPr>
          <w:sz w:val="20"/>
          <w:szCs w:val="20"/>
          <w:color w:val="auto"/>
        </w:rPr>
      </w:pPr>
    </w:p>
    <w:p>
      <w:pPr>
        <w:ind w:left="1540" w:hanging="272"/>
        <w:spacing w:after="0"/>
        <w:tabs>
          <w:tab w:leader="none" w:pos="154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APPROVAL OF SHAREHOLDERS</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1" w:lineRule="auto"/>
        <w:rPr>
          <w:sz w:val="20"/>
          <w:szCs w:val="20"/>
          <w:color w:val="auto"/>
        </w:rPr>
      </w:pPr>
      <w:r>
        <w:rPr>
          <w:rFonts w:ascii="Arial" w:cs="Arial" w:eastAsia="Arial" w:hAnsi="Arial"/>
          <w:sz w:val="16"/>
          <w:szCs w:val="16"/>
          <w:color w:val="auto"/>
        </w:rPr>
        <w:t>This Plan and any amendments requiring shareholder approval pursuant to Section 22 shall be subject to approval by affirmative vote of the shareholders of the Company. Such vote shall be taken at the first annual meeting of shareholders following the adoption of the Plan or of any such amendments, or any adjournment of such meeting.</w:t>
      </w:r>
    </w:p>
    <w:p>
      <w:pPr>
        <w:spacing w:after="0" w:line="169" w:lineRule="exact"/>
        <w:rPr>
          <w:sz w:val="20"/>
          <w:szCs w:val="20"/>
          <w:color w:val="auto"/>
        </w:rPr>
      </w:pPr>
    </w:p>
    <w:p>
      <w:pPr>
        <w:ind w:left="1540" w:hanging="272"/>
        <w:spacing w:after="0"/>
        <w:tabs>
          <w:tab w:leader="none" w:pos="154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b w:val="1"/>
          <w:bCs w:val="1"/>
          <w:color w:val="auto"/>
        </w:rPr>
        <w:t>.</w:t>
      </w:r>
    </w:p>
    <w:p>
      <w:pPr>
        <w:spacing w:after="0" w:line="133" w:lineRule="exact"/>
        <w:rPr>
          <w:rFonts w:ascii="Arial" w:cs="Arial" w:eastAsia="Arial" w:hAnsi="Arial"/>
          <w:sz w:val="16"/>
          <w:szCs w:val="16"/>
          <w:b w:val="1"/>
          <w:bCs w:val="1"/>
          <w:color w:val="auto"/>
        </w:rPr>
      </w:pPr>
    </w:p>
    <w:p>
      <w:pPr>
        <w:jc w:val="both"/>
        <w:ind w:left="1260" w:right="739" w:firstLine="368"/>
        <w:spacing w:after="0" w:line="251" w:lineRule="auto"/>
        <w:tabs>
          <w:tab w:leader="none" w:pos="1877"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To the extent required by applicable law, the person exercising any Option granted under the Plan or the recipient of any payment or distribution under the Plan shall make arrangements satisfactory to the Company for the satisfaction of any applicable withholding tax obligations. The Company shall not be required to make such payment or distribution until such obligations are satisfied.</w:t>
      </w:r>
    </w:p>
    <w:p>
      <w:pPr>
        <w:spacing w:after="0" w:line="94" w:lineRule="exact"/>
        <w:rPr>
          <w:rFonts w:ascii="Arial" w:cs="Arial" w:eastAsia="Arial" w:hAnsi="Arial"/>
          <w:sz w:val="16"/>
          <w:szCs w:val="16"/>
          <w:color w:val="auto"/>
        </w:rPr>
      </w:pPr>
    </w:p>
    <w:p>
      <w:pPr>
        <w:jc w:val="both"/>
        <w:ind w:left="1260" w:right="739" w:firstLine="368"/>
        <w:spacing w:after="0" w:line="248" w:lineRule="auto"/>
        <w:tabs>
          <w:tab w:leader="none" w:pos="1877"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Other Awards</w:t>
      </w:r>
      <w:r>
        <w:rPr>
          <w:rFonts w:ascii="Arial" w:cs="Arial" w:eastAsia="Arial" w:hAnsi="Arial"/>
          <w:sz w:val="16"/>
          <w:szCs w:val="16"/>
          <w:color w:val="auto"/>
        </w:rPr>
        <w:t>. The Administrator may permit a Participant who exercises Nonqualified Stock Options or who vests in Restricted Stock Awards, Restricted Stock Unit Awards, Performance Share Awards or, as applicable, Stock Appreciation Rights and Other Share-Based Awards, to satisfy all or part of his or her statutory minimum withholding tax obligations by having the Company withhold a portion of the Shares that otherwise would be issued to him or her under such Awards. Such Shares shall be valued at the Fair Market Value on the day preceding the day when taxes otherwise would be withheld in cash. The payment of withholding taxes by surrendering Shares to the Company, if permitted by the Administrator, shall be subject to such restrictions as the Administrator may impose, including any restrictions required by rules of the Securities and Exchange Commission.</w:t>
      </w:r>
    </w:p>
    <w:p>
      <w:pPr>
        <w:spacing w:after="0" w:line="363" w:lineRule="exact"/>
        <w:rPr>
          <w:rFonts w:ascii="Arial" w:cs="Arial" w:eastAsia="Arial" w:hAnsi="Arial"/>
          <w:sz w:val="16"/>
          <w:szCs w:val="16"/>
          <w:color w:val="auto"/>
        </w:rPr>
      </w:pPr>
    </w:p>
    <w:p>
      <w:pPr>
        <w:ind w:left="1540" w:hanging="272"/>
        <w:spacing w:after="0"/>
        <w:tabs>
          <w:tab w:leader="none" w:pos="154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w:t>
      </w:r>
    </w:p>
    <w:p>
      <w:pPr>
        <w:spacing w:after="0" w:line="133" w:lineRule="exact"/>
        <w:rPr>
          <w:sz w:val="20"/>
          <w:szCs w:val="20"/>
          <w:color w:val="auto"/>
        </w:rPr>
      </w:pPr>
    </w:p>
    <w:p>
      <w:pPr>
        <w:jc w:val="both"/>
        <w:ind w:left="1260" w:right="739" w:firstLine="360"/>
        <w:spacing w:after="0" w:line="250" w:lineRule="auto"/>
        <w:rPr>
          <w:sz w:val="20"/>
          <w:szCs w:val="20"/>
          <w:color w:val="auto"/>
        </w:rPr>
      </w:pPr>
      <w:r>
        <w:rPr>
          <w:rFonts w:ascii="Arial" w:cs="Arial" w:eastAsia="Arial" w:hAnsi="Arial"/>
          <w:sz w:val="16"/>
          <w:szCs w:val="16"/>
          <w:color w:val="auto"/>
        </w:rPr>
        <w:t>The Plan shall be binding upon the Company, its successors and assigns, and any parent Company of the Company’s successors or assigns. Notwithstanding that the Plan may be binding upon a successor or assign by operation of law, the Company shall require any successor or assign to expressly assume and agree to be bound by the Plan in the same manner and to the same extent that the Company would be if no succession or assignment had taken place.</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6540" w:type="dxa"/>
            <w:vAlign w:val="bottom"/>
            <w:gridSpan w:val="3"/>
          </w:tcPr>
          <w:p>
            <w:pPr>
              <w:spacing w:after="0"/>
              <w:rPr>
                <w:sz w:val="20"/>
                <w:szCs w:val="20"/>
                <w:color w:val="auto"/>
              </w:rPr>
            </w:pPr>
            <w:r>
              <w:rPr>
                <w:rFonts w:ascii="Arial" w:cs="Arial" w:eastAsia="Arial" w:hAnsi="Arial"/>
                <w:sz w:val="16"/>
                <w:szCs w:val="16"/>
                <w:b w:val="1"/>
                <w:bCs w:val="1"/>
                <w:color w:val="auto"/>
              </w:rPr>
              <w:t>28. EXECUTION.</w:t>
            </w:r>
          </w:p>
        </w:tc>
        <w:tc>
          <w:tcPr>
            <w:tcW w:w="166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06"/>
        </w:trPr>
        <w:tc>
          <w:tcPr>
            <w:tcW w:w="280" w:type="dxa"/>
            <w:vAlign w:val="bottom"/>
          </w:tcPr>
          <w:p>
            <w:pPr>
              <w:spacing w:after="0"/>
              <w:rPr>
                <w:sz w:val="24"/>
                <w:szCs w:val="24"/>
                <w:color w:val="auto"/>
              </w:rPr>
            </w:pPr>
          </w:p>
        </w:tc>
        <w:tc>
          <w:tcPr>
            <w:tcW w:w="6260" w:type="dxa"/>
            <w:vAlign w:val="bottom"/>
            <w:gridSpan w:val="2"/>
          </w:tcPr>
          <w:p>
            <w:pPr>
              <w:ind w:left="80"/>
              <w:spacing w:after="0"/>
              <w:rPr>
                <w:sz w:val="20"/>
                <w:szCs w:val="20"/>
                <w:color w:val="auto"/>
              </w:rPr>
            </w:pPr>
            <w:r>
              <w:rPr>
                <w:rFonts w:ascii="Arial" w:cs="Arial" w:eastAsia="Arial" w:hAnsi="Arial"/>
                <w:sz w:val="16"/>
                <w:szCs w:val="16"/>
                <w:color w:val="auto"/>
              </w:rPr>
              <w:t>To record the adoption of the Plan as amended and restated on [</w:t>
            </w:r>
          </w:p>
        </w:tc>
        <w:tc>
          <w:tcPr>
            <w:tcW w:w="1660" w:type="dxa"/>
            <w:vAlign w:val="bottom"/>
          </w:tcPr>
          <w:p>
            <w:pPr>
              <w:ind w:left="180"/>
              <w:spacing w:after="0"/>
              <w:rPr>
                <w:sz w:val="20"/>
                <w:szCs w:val="20"/>
                <w:color w:val="auto"/>
              </w:rPr>
            </w:pPr>
            <w:r>
              <w:rPr>
                <w:rFonts w:ascii="Arial" w:cs="Arial" w:eastAsia="Arial" w:hAnsi="Arial"/>
                <w:sz w:val="16"/>
                <w:szCs w:val="16"/>
                <w:color w:val="auto"/>
              </w:rPr>
              <w:t>], the Company has</w:t>
            </w:r>
          </w:p>
        </w:tc>
      </w:tr>
      <w:tr>
        <w:trPr>
          <w:trHeight w:val="195"/>
        </w:trPr>
        <w:tc>
          <w:tcPr>
            <w:tcW w:w="6540" w:type="dxa"/>
            <w:vAlign w:val="bottom"/>
            <w:gridSpan w:val="3"/>
          </w:tcPr>
          <w:p>
            <w:pPr>
              <w:spacing w:after="0"/>
              <w:rPr>
                <w:sz w:val="20"/>
                <w:szCs w:val="20"/>
                <w:color w:val="auto"/>
              </w:rPr>
            </w:pPr>
            <w:r>
              <w:rPr>
                <w:rFonts w:ascii="Arial" w:cs="Arial" w:eastAsia="Arial" w:hAnsi="Arial"/>
                <w:sz w:val="16"/>
                <w:szCs w:val="16"/>
                <w:color w:val="auto"/>
              </w:rPr>
              <w:t>caused its authorized officer to execute the same.</w:t>
            </w:r>
          </w:p>
        </w:tc>
        <w:tc>
          <w:tcPr>
            <w:tcW w:w="1660" w:type="dxa"/>
            <w:vAlign w:val="bottom"/>
          </w:tcPr>
          <w:p>
            <w:pPr>
              <w:spacing w:after="0"/>
              <w:rPr>
                <w:sz w:val="16"/>
                <w:szCs w:val="16"/>
                <w:color w:val="auto"/>
              </w:rPr>
            </w:pPr>
          </w:p>
        </w:tc>
      </w:tr>
      <w:tr>
        <w:trPr>
          <w:trHeight w:val="297"/>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320" w:type="dxa"/>
            <w:vAlign w:val="bottom"/>
          </w:tcPr>
          <w:p>
            <w:pPr>
              <w:ind w:left="2380"/>
              <w:spacing w:after="0"/>
              <w:rPr>
                <w:sz w:val="20"/>
                <w:szCs w:val="20"/>
                <w:color w:val="auto"/>
              </w:rPr>
            </w:pPr>
            <w:r>
              <w:rPr>
                <w:rFonts w:ascii="Arial" w:cs="Arial" w:eastAsia="Arial" w:hAnsi="Arial"/>
                <w:sz w:val="16"/>
                <w:szCs w:val="16"/>
                <w:b w:val="1"/>
                <w:bCs w:val="1"/>
                <w:color w:val="auto"/>
              </w:rPr>
              <w:t>ABM INDUSTRIES INCORPORATED</w:t>
            </w:r>
          </w:p>
        </w:tc>
        <w:tc>
          <w:tcPr>
            <w:tcW w:w="1660" w:type="dxa"/>
            <w:vAlign w:val="bottom"/>
          </w:tcPr>
          <w:p>
            <w:pPr>
              <w:spacing w:after="0"/>
              <w:rPr>
                <w:sz w:val="24"/>
                <w:szCs w:val="24"/>
                <w:color w:val="auto"/>
              </w:rPr>
            </w:pPr>
          </w:p>
        </w:tc>
      </w:tr>
    </w:tbl>
    <w:p>
      <w:pPr>
        <w:spacing w:after="0" w:line="102"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683450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834505" cy="84772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4505" cy="847725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2" w:name="page93"/>
    <w:bookmarkEnd w:id="9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834505" cy="66078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4505" cy="6607810"/>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lvl w:ilvl="1">
      <w:lvlJc w:val="left"/>
      <w:lvlText w:val="(%2)"/>
      <w:numFmt w:val="decimal"/>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1)"/>
      <w:numFmt w:val="decimal"/>
      <w:start w:val="2"/>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1)"/>
      <w:numFmt w:val="decimal"/>
      <w:start w:val="1"/>
    </w:lvl>
  </w:abstractNum>
  <w:abstractNum w:abstractNumId="28">
    <w:nsid w:val="6590700B"/>
    <w:multiLevelType w:val="hybridMultilevel"/>
    <w:lvl w:ilvl="0">
      <w:lvlJc w:val="left"/>
      <w:lvlText w:val="(%1)"/>
      <w:numFmt w:val="decimal"/>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1."/>
      <w:numFmt w:val="decimal"/>
      <w:start w:val="600"/>
    </w:lvl>
  </w:abstractNum>
  <w:abstractNum w:abstractNumId="32">
    <w:nsid w:val="799D0247"/>
    <w:multiLevelType w:val="hybridMultilevel"/>
    <w:lvl w:ilvl="0">
      <w:lvlJc w:val="left"/>
      <w:lvlText w:val="%1"/>
      <w:numFmt w:val="decimal"/>
      <w:start w:val="600"/>
    </w:lvl>
  </w:abstractNum>
  <w:abstractNum w:abstractNumId="33">
    <w:nsid w:val="6B94764"/>
    <w:multiLevelType w:val="hybridMultilevel"/>
    <w:lvl w:ilvl="0">
      <w:lvlJc w:val="left"/>
      <w:lvlText w:val="(%1)"/>
      <w:numFmt w:val="decimal"/>
      <w:start w:val="1"/>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1)"/>
      <w:numFmt w:val="decimal"/>
      <w:start w:val="1"/>
    </w:lvl>
  </w:abstractNum>
  <w:abstractNum w:abstractNumId="39">
    <w:nsid w:val="540A471C"/>
    <w:multiLevelType w:val="hybridMultilevel"/>
    <w:lvl w:ilvl="0">
      <w:lvlJc w:val="left"/>
      <w:lvlText w:val="(%1)"/>
      <w:numFmt w:val="decimal"/>
      <w:start w:val="2"/>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1)"/>
      <w:numFmt w:val="decimal"/>
      <w:start w:val="1"/>
    </w:lvl>
  </w:abstractNum>
  <w:abstractNum w:abstractNumId="42">
    <w:nsid w:val="613EFDC5"/>
    <w:multiLevelType w:val="hybridMultilevel"/>
    <w:lvl w:ilvl="0">
      <w:lvlJc w:val="left"/>
      <w:lvlText w:val="(%1)"/>
      <w:numFmt w:val="decimal"/>
      <w:start w:val="1"/>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lvl w:ilvl="1">
      <w:lvlJc w:val="left"/>
      <w:lvlText w:val="(%2)"/>
      <w:numFmt w:val="lowerRoman"/>
      <w:start w:val="2"/>
    </w:lvl>
  </w:abstractNum>
  <w:abstractNum w:abstractNumId="48">
    <w:nsid w:val="1A32234B"/>
    <w:multiLevelType w:val="hybridMultilevel"/>
    <w:lvl w:ilvl="0">
      <w:lvlJc w:val="left"/>
      <w:lvlText w:val="%1)"/>
      <w:numFmt w:val="decimal"/>
      <w:start w:val="65"/>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1)"/>
      <w:numFmt w:val="decimal"/>
      <w:start w:val="5"/>
    </w:lvl>
  </w:abstractNum>
  <w:abstractNum w:abstractNumId="51">
    <w:nsid w:val="4962813B"/>
    <w:multiLevelType w:val="hybridMultilevel"/>
    <w:lvl w:ilvl="0">
      <w:lvlJc w:val="left"/>
      <w:lvlText w:val="(%1)"/>
      <w:numFmt w:val="decimal"/>
      <w:start w:val="1"/>
    </w:lvl>
  </w:abstractNum>
  <w:abstractNum w:abstractNumId="52">
    <w:nsid w:val="60B6DF70"/>
    <w:multiLevelType w:val="hybridMultilevel"/>
    <w:lvl w:ilvl="0">
      <w:lvlJc w:val="left"/>
      <w:lvlText w:val="(%1)"/>
      <w:numFmt w:val="decimal"/>
      <w:start w:val="1"/>
    </w:lvl>
  </w:abstractNum>
  <w:abstractNum w:abstractNumId="53">
    <w:nsid w:val="6A5EE64"/>
    <w:multiLevelType w:val="hybridMultilevel"/>
    <w:lvl w:ilvl="0">
      <w:lvlJc w:val="left"/>
      <w:lvlText w:val="(%1)"/>
      <w:numFmt w:val="decimal"/>
      <w:start w:val="1"/>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1)"/>
      <w:numFmt w:val="decimal"/>
      <w:start w:val="5"/>
    </w:lvl>
  </w:abstractNum>
  <w:abstractNum w:abstractNumId="62">
    <w:nsid w:val="94211F2"/>
    <w:multiLevelType w:val="hybridMultilevel"/>
    <w:lvl w:ilvl="0">
      <w:lvlJc w:val="left"/>
      <w:lvlText w:val="(%1)"/>
      <w:numFmt w:val="lowerLetter"/>
      <w:start w:val="1"/>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5">
    <w:nsid w:val="4C04A8AF"/>
    <w:multiLevelType w:val="hybridMultilevel"/>
    <w:lvl w:ilvl="0">
      <w:lvlJc w:val="left"/>
      <w:lvlText w:val="(%1)"/>
      <w:numFmt w:val="lowerLetter"/>
      <w:start w:val="10"/>
    </w:lvl>
  </w:abstractNum>
  <w:abstractNum w:abstractNumId="66">
    <w:nsid w:val="1716703B"/>
    <w:multiLevelType w:val="hybridMultilevel"/>
    <w:lvl w:ilvl="0">
      <w:lvlJc w:val="left"/>
      <w:lvlText w:val="(%1)"/>
      <w:numFmt w:val="lowerLetter"/>
      <w:start w:val="27"/>
    </w:lvl>
  </w:abstractNum>
  <w:abstractNum w:abstractNumId="67">
    <w:nsid w:val="14E17E33"/>
    <w:multiLevelType w:val="hybridMultilevel"/>
    <w:lvl w:ilvl="0">
      <w:lvlJc w:val="left"/>
      <w:lvlText w:val="(%1)"/>
      <w:numFmt w:val="lowerLetter"/>
      <w:start w:val="30"/>
    </w:lvl>
  </w:abstractNum>
  <w:abstractNum w:abstractNumId="68">
    <w:nsid w:val="3222E7CD"/>
    <w:multiLevelType w:val="hybridMultilevel"/>
    <w:lvl w:ilvl="0">
      <w:lvlJc w:val="left"/>
      <w:lvlText w:val="%1."/>
      <w:numFmt w:val="decimal"/>
      <w:start w:val="3"/>
    </w:lvl>
  </w:abstractNum>
  <w:abstractNum w:abstractNumId="69">
    <w:nsid w:val="74DE0EE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0">
    <w:nsid w:val="68EBC550"/>
    <w:multiLevelType w:val="hybridMultilevel"/>
    <w:lvl w:ilvl="0">
      <w:lvlJc w:val="left"/>
      <w:lvlText w:val="%1."/>
      <w:numFmt w:val="decimal"/>
      <w:start w:val="5"/>
    </w:lvl>
  </w:abstractNum>
  <w:abstractNum w:abstractNumId="71">
    <w:nsid w:val="2DF6D648"/>
    <w:multiLevelType w:val="hybridMultilevel"/>
    <w:lvl w:ilvl="0">
      <w:lvlJc w:val="left"/>
      <w:lvlText w:val="%1"/>
      <w:numFmt w:val="lowerLetter"/>
      <w:start w:val="1"/>
    </w:lvl>
    <w:lvl w:ilvl="1">
      <w:lvlJc w:val="left"/>
      <w:lvlText w:val="(%2)"/>
      <w:numFmt w:val="lowerLetter"/>
      <w:start w:val="1"/>
    </w:lvl>
  </w:abstractNum>
  <w:abstractNum w:abstractNumId="72">
    <w:nsid w:val="46B7D447"/>
    <w:multiLevelType w:val="hybridMultilevel"/>
    <w:lvl w:ilvl="0">
      <w:lvlJc w:val="left"/>
      <w:lvlText w:val="(%1)"/>
      <w:numFmt w:val="lowerLetter"/>
      <w:start w:val="35"/>
    </w:lvl>
    <w:lvl w:ilvl="1">
      <w:lvlJc w:val="left"/>
      <w:lvlText w:val="%2"/>
      <w:numFmt w:val="lowerLetter"/>
      <w:start w:val="1"/>
    </w:lvl>
  </w:abstractNum>
  <w:abstractNum w:abstractNumId="73">
    <w:nsid w:val="4A2AC315"/>
    <w:multiLevelType w:val="hybridMultilevel"/>
    <w:lvl w:ilvl="0">
      <w:lvlJc w:val="left"/>
      <w:lvlText w:val="%1."/>
      <w:numFmt w:val="decimal"/>
      <w:start w:val="6"/>
    </w:lvl>
  </w:abstractNum>
  <w:abstractNum w:abstractNumId="74">
    <w:nsid w:val="39EE015C"/>
    <w:multiLevelType w:val="hybridMultilevel"/>
    <w:lvl w:ilvl="0">
      <w:lvlJc w:val="left"/>
      <w:lvlText w:val="%1."/>
      <w:numFmt w:val="decimal"/>
      <w:start w:val="7"/>
    </w:lvl>
  </w:abstractNum>
  <w:abstractNum w:abstractNumId="75">
    <w:nsid w:val="57FC4FBB"/>
    <w:multiLevelType w:val="hybridMultilevel"/>
    <w:lvl w:ilvl="0">
      <w:lvlJc w:val="left"/>
      <w:lvlText w:val="(%1)"/>
      <w:numFmt w:val="lowerLetter"/>
      <w:start w:val="1"/>
    </w:lvl>
    <w:lvl w:ilvl="1">
      <w:lvlJc w:val="left"/>
      <w:lvlText w:val="(%2)"/>
      <w:numFmt w:val="lowerRoman"/>
      <w:start w:val="1"/>
    </w:lvl>
  </w:abstractNum>
  <w:abstractNum w:abstractNumId="76">
    <w:nsid w:val="CC1016F"/>
    <w:multiLevelType w:val="hybridMultilevel"/>
    <w:lvl w:ilvl="0">
      <w:lvlJc w:val="left"/>
      <w:lvlText w:val="(%1)"/>
      <w:numFmt w:val="lowerRoman"/>
      <w:start w:val="4"/>
    </w:lvl>
  </w:abstractNum>
  <w:abstractNum w:abstractNumId="77">
    <w:nsid w:val="43F18422"/>
    <w:multiLevelType w:val="hybridMultilevel"/>
    <w:lvl w:ilvl="0">
      <w:lvlJc w:val="left"/>
      <w:lvlText w:val="(%1)"/>
      <w:numFmt w:val="lowerLetter"/>
      <w:start w:val="6"/>
    </w:lvl>
  </w:abstractNum>
  <w:abstractNum w:abstractNumId="78">
    <w:nsid w:val="60EF0119"/>
    <w:multiLevelType w:val="hybridMultilevel"/>
    <w:lvl w:ilvl="0">
      <w:lvlJc w:val="left"/>
      <w:lvlText w:val="%1."/>
      <w:numFmt w:val="decimal"/>
      <w:start w:val="8"/>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decimal"/>
      <w:start w:val="1"/>
    </w:lvl>
    <w:lvl w:ilvl="1">
      <w:lvlJc w:val="left"/>
      <w:lvlText w:val="(%2)"/>
      <w:numFmt w:val="lowerLetter"/>
      <w:start w:val="3"/>
    </w:lvl>
  </w:abstractNum>
  <w:abstractNum w:abstractNumId="81">
    <w:nsid w:val="49DA307D"/>
    <w:multiLevelType w:val="hybridMultilevel"/>
    <w:lvl w:ilvl="0">
      <w:lvlJc w:val="left"/>
      <w:lvlText w:val="%1."/>
      <w:numFmt w:val="decimal"/>
      <w:start w:val="9"/>
    </w:lvl>
    <w:lvl w:ilvl="1">
      <w:lvlJc w:val="left"/>
      <w:lvlText w:val="(%2)"/>
      <w:numFmt w:val="lowerLetter"/>
      <w:start w:val="1"/>
    </w:lvl>
  </w:abstractNum>
  <w:abstractNum w:abstractNumId="82">
    <w:nsid w:val="7055A5F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5FB8370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4">
    <w:nsid w:val="50801EE1"/>
    <w:multiLevelType w:val="hybridMultilevel"/>
    <w:lvl w:ilvl="0">
      <w:lvlJc w:val="left"/>
      <w:lvlText w:val="(%1)"/>
      <w:numFmt w:val="lowerLetter"/>
      <w:start w:val="2"/>
    </w:lvl>
    <w:lvl w:ilvl="1">
      <w:lvlJc w:val="left"/>
      <w:lvlText w:val="(%2)"/>
      <w:numFmt w:val="lowerLetter"/>
      <w:start w:val="9"/>
    </w:lvl>
  </w:abstractNum>
  <w:abstractNum w:abstractNumId="85">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6">
    <w:nsid w:val="5FB8011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7">
    <w:nsid w:val="6AA78F7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8">
    <w:nsid w:val="7672BD23"/>
    <w:multiLevelType w:val="hybridMultilevel"/>
    <w:lvl w:ilvl="0">
      <w:lvlJc w:val="left"/>
      <w:lvlText w:val="(%1)"/>
      <w:numFmt w:val="lowerLetter"/>
      <w:start w:val="2"/>
    </w:lvl>
    <w:lvl w:ilvl="1">
      <w:lvlJc w:val="left"/>
      <w:lvlText w:val="(%2)"/>
      <w:numFmt w:val="lowerRoman"/>
      <w:start w:val="1"/>
    </w:lvl>
  </w:abstractNum>
  <w:abstractNum w:abstractNumId="89">
    <w:nsid w:val="6FC75AF8"/>
    <w:multiLevelType w:val="hybridMultilevel"/>
    <w:lvl w:ilvl="0">
      <w:lvlJc w:val="left"/>
      <w:lvlText w:val="%1."/>
      <w:numFmt w:val="decimal"/>
      <w:start w:val="12"/>
    </w:lvl>
    <w:lvl w:ilvl="1">
      <w:lvlJc w:val="left"/>
      <w:lvlText w:val="(%2)"/>
      <w:numFmt w:val="lowerLetter"/>
      <w:start w:val="1"/>
    </w:lvl>
  </w:abstractNum>
  <w:abstractNum w:abstractNumId="90">
    <w:nsid w:val="6A5F702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1">
    <w:nsid w:val="7D5E18F8"/>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92">
    <w:nsid w:val="5F3534A4"/>
    <w:multiLevelType w:val="hybridMultilevel"/>
    <w:lvl w:ilvl="0">
      <w:lvlJc w:val="left"/>
      <w:lvlText w:val="%1."/>
      <w:numFmt w:val="decimal"/>
      <w:start w:val="14"/>
    </w:lvl>
    <w:lvl w:ilvl="1">
      <w:lvlJc w:val="left"/>
      <w:lvlText w:val="(%2)"/>
      <w:numFmt w:val="lowerLetter"/>
      <w:start w:val="1"/>
    </w:lvl>
  </w:abstractNum>
  <w:abstractNum w:abstractNumId="93">
    <w:nsid w:val="73A1821B"/>
    <w:multiLevelType w:val="hybridMultilevel"/>
    <w:lvl w:ilvl="0">
      <w:lvlJc w:val="left"/>
      <w:lvlText w:val="%1"/>
      <w:numFmt w:val="decimal"/>
      <w:start w:val="1"/>
    </w:lvl>
    <w:lvl w:ilvl="1">
      <w:lvlJc w:val="left"/>
      <w:lvlText w:val="(%2)"/>
      <w:numFmt w:val="lowerLetter"/>
      <w:start w:val="3"/>
    </w:lvl>
  </w:abstractNum>
  <w:abstractNum w:abstractNumId="94">
    <w:nsid w:val="7DE67713"/>
    <w:multiLevelType w:val="hybridMultilevel"/>
    <w:lvl w:ilvl="0">
      <w:lvlJc w:val="left"/>
      <w:lvlText w:val="%1."/>
      <w:numFmt w:val="decimal"/>
      <w:start w:val="15"/>
    </w:lvl>
    <w:lvl w:ilvl="1">
      <w:lvlJc w:val="left"/>
      <w:lvlText w:val="(%2)"/>
      <w:numFmt w:val="lowerLetter"/>
      <w:start w:val="1"/>
    </w:lvl>
  </w:abstractNum>
  <w:abstractNum w:abstractNumId="95">
    <w:nsid w:val="555C55B5"/>
    <w:multiLevelType w:val="hybridMultilevel"/>
    <w:lvl w:ilvl="0">
      <w:lvlJc w:val="left"/>
      <w:lvlText w:val="(%1)"/>
      <w:numFmt w:val="lowerLetter"/>
      <w:start w:val="2"/>
    </w:lvl>
  </w:abstractNum>
  <w:abstractNum w:abstractNumId="96">
    <w:nsid w:val="3FA62ACA"/>
    <w:multiLevelType w:val="hybridMultilevel"/>
    <w:lvl w:ilvl="0">
      <w:lvlJc w:val="left"/>
      <w:lvlText w:val="%1."/>
      <w:numFmt w:val="decimal"/>
      <w:start w:val="16"/>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decimal"/>
      <w:start w:val="17"/>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decimal"/>
      <w:start w:val="18"/>
    </w:lvl>
  </w:abstractNum>
  <w:abstractNum w:abstractNumId="101">
    <w:nsid w:val="53299938"/>
    <w:multiLevelType w:val="hybridMultilevel"/>
    <w:lvl w:ilvl="0">
      <w:lvlJc w:val="left"/>
      <w:lvlText w:val="%1."/>
      <w:numFmt w:val="decimal"/>
      <w:start w:val="19"/>
    </w:lvl>
  </w:abstractNum>
  <w:abstractNum w:abstractNumId="102">
    <w:nsid w:val="1FBFE8E0"/>
    <w:multiLevelType w:val="hybridMultilevel"/>
    <w:lvl w:ilvl="0">
      <w:lvlJc w:val="left"/>
      <w:lvlText w:val="%1."/>
      <w:numFmt w:val="decimal"/>
      <w:start w:val="20"/>
    </w:lvl>
    <w:lvl w:ilvl="1">
      <w:lvlJc w:val="left"/>
      <w:lvlText w:val="(%2)"/>
      <w:numFmt w:val="lowerLetter"/>
      <w:start w:val="1"/>
    </w:lvl>
  </w:abstractNum>
  <w:abstractNum w:abstractNumId="103">
    <w:nsid w:val="5092CA79"/>
    <w:multiLevelType w:val="hybridMultilevel"/>
    <w:lvl w:ilvl="0">
      <w:lvlJc w:val="left"/>
      <w:lvlText w:val="%1."/>
      <w:numFmt w:val="decimal"/>
      <w:start w:val="22"/>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decimal"/>
      <w:start w:val="23"/>
    </w:lvl>
  </w:abstractNum>
  <w:abstractNum w:abstractNumId="106">
    <w:nsid w:val="288F1A34"/>
    <w:multiLevelType w:val="hybridMultilevel"/>
    <w:lvl w:ilvl="0">
      <w:lvlJc w:val="left"/>
      <w:lvlText w:val="%1."/>
      <w:numFmt w:val="decimal"/>
      <w:start w:val="24"/>
    </w:lvl>
  </w:abstractNum>
  <w:abstractNum w:abstractNumId="107">
    <w:nsid w:val="2A155DBC"/>
    <w:multiLevelType w:val="hybridMultilevel"/>
    <w:lvl w:ilvl="0">
      <w:lvlJc w:val="left"/>
      <w:lvlText w:val="%1."/>
      <w:numFmt w:val="decimal"/>
      <w:start w:val="25"/>
    </w:lvl>
  </w:abstractNum>
  <w:abstractNum w:abstractNumId="108">
    <w:nsid w:val="1D9F6E5F"/>
    <w:multiLevelType w:val="hybridMultilevel"/>
    <w:lvl w:ilvl="0">
      <w:lvlJc w:val="left"/>
      <w:lvlText w:val="%1."/>
      <w:numFmt w:val="decimal"/>
      <w:start w:val="2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2019-12-05T22:57:45Z</dcterms:created>
  <dcterms:modified xsi:type="dcterms:W3CDTF">2019-12-05T22:57:45Z</dcterms:modified>
</cp:coreProperties>
</file>