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42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421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JACOBSEN RENE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20" w:type="dxa"/>
            <w:vAlign w:val="bottom"/>
            <w:tcBorders>
              <w:top w:val="single" w:sz="8" w:color="0000EE"/>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03/08/2016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551 FIFTH AVENUE SUITE 300</w:t>
            </w: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10176</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6"/>
        <w:spacing w:after="0"/>
        <w:rPr>
          <w:sz w:val="20"/>
          <w:szCs w:val="20"/>
          <w:color w:val="auto"/>
        </w:rPr>
      </w:pPr>
      <w:r>
        <w:rPr>
          <w:rFonts w:ascii="Arial" w:cs="Arial" w:eastAsia="Arial" w:hAnsi="Arial"/>
          <w:sz w:val="18"/>
          <w:szCs w:val="18"/>
          <w:color w:val="0000FF"/>
        </w:rPr>
        <w:t>Pres - Business &amp; Industry</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624"/>
              <w:spacing w:after="0"/>
              <w:rPr>
                <w:sz w:val="20"/>
                <w:szCs w:val="20"/>
                <w:color w:val="auto"/>
              </w:rPr>
            </w:pPr>
            <w:r>
              <w:rPr>
                <w:rFonts w:ascii="Arial" w:cs="Arial" w:eastAsia="Arial" w:hAnsi="Arial"/>
                <w:sz w:val="18"/>
                <w:szCs w:val="18"/>
                <w:color w:val="0000FF"/>
              </w:rPr>
              <w:t>10,803</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09/06/2020</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5,984</w:t>
            </w:r>
          </w:p>
        </w:tc>
        <w:tc>
          <w:tcPr>
            <w:tcW w:w="8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25.3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Includes 7,598 RSUs and DERs related to the RSUs, adjusted to reflect the cumulative effect of fractional shares, 1,400 performance shares earned but not vested with respect to performance shares granted on 1/14/2014 and 452 performance shares earned but not vested with respect to performance shares granted on 1/15/2015, and DERs related thereto.</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Employee stock option grant under the 2006 Equity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25% exercisable on 9/6/2014 and 25% on the anniversary date of each of the following 3 years.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03/17/2016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69091" TargetMode="External"/><Relationship Id="rId12"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2019-12-23T21:42:07Z</dcterms:created>
  <dcterms:modified xsi:type="dcterms:W3CDTF">2019-12-23T21:42:07Z</dcterms:modified>
</cp:coreProperties>
</file>