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212529"/>
        </w:rPr>
        <w:t xml:space="preserve">At the Annual Meeting of Stockholders of ABM Industries Incorporated (the “Company” or “ABM”) held on March 25, 2026, the Company’s stockholders </w:t>
      </w:r>
      <w:r>
        <w:rPr>
          <w:rFonts w:ascii="Times New Roman" w:cs="Times New Roman" w:eastAsia="Times New Roman" w:hAnsi="Times New Roman"/>
          <w:sz w:val="17"/>
          <w:szCs w:val="17"/>
          <w:color w:val="000000"/>
        </w:rPr>
        <w:t>voted on the matters outlined in ABM’s Definitive Proxy Statement filed with the U.S. Securities and Exchange Commission on February 13, 2026.</w:t>
      </w:r>
    </w:p>
    <w:p>
      <w:pPr>
        <w:spacing w:after="0" w:line="140" w:lineRule="exact"/>
        <w:rPr>
          <w:sz w:val="20"/>
          <w:szCs w:val="20"/>
          <w:color w:val="auto"/>
        </w:rPr>
      </w:pPr>
    </w:p>
    <w:p>
      <w:pPr>
        <w:jc w:val="both"/>
        <w:ind w:left="680" w:right="120" w:hanging="551"/>
        <w:spacing w:after="0" w:line="261"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persons were elected to serve as directors of ABM by a vote of ABM’s stockholders, each to serve for a term ending at the ABM annual meeting of stockholders in the year 2027 and until his or her successor is duly elected and qualified: Quincy L. Allen, LeighAnne G. Baker, Carol A. Clements, Donald F. Colleran, James D. DeVries, Art A. Garcia, Thomas M. Gartland, Jill M. Golder, Barry A. Hytinen, Sudhakar Kesavan, Scott Salmirs and Winifred M. Webb.</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0"/>
                <w:szCs w:val="20"/>
                <w:color w:val="auto"/>
              </w:rPr>
            </w:pPr>
          </w:p>
        </w:tc>
        <w:tc>
          <w:tcPr>
            <w:tcW w:w="2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Quincy L. Allen</w:t>
            </w:r>
          </w:p>
        </w:tc>
        <w:tc>
          <w:tcPr>
            <w:tcW w:w="220" w:type="dxa"/>
            <w:vAlign w:val="bottom"/>
          </w:tcPr>
          <w:p>
            <w:pPr>
              <w:spacing w:after="0"/>
              <w:rPr>
                <w:sz w:val="16"/>
                <w:szCs w:val="16"/>
                <w:color w:val="auto"/>
              </w:rPr>
            </w:pPr>
          </w:p>
        </w:tc>
        <w:tc>
          <w:tcPr>
            <w:tcW w:w="2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50,319,257</w:t>
            </w:r>
          </w:p>
        </w:tc>
        <w:tc>
          <w:tcPr>
            <w:tcW w:w="2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377,274</w:t>
            </w:r>
          </w:p>
        </w:tc>
        <w:tc>
          <w:tcPr>
            <w:tcW w:w="220" w:type="dxa"/>
            <w:vAlign w:val="bottom"/>
          </w:tcPr>
          <w:p>
            <w:pPr>
              <w:spacing w:after="0"/>
              <w:rPr>
                <w:sz w:val="16"/>
                <w:szCs w:val="16"/>
                <w:color w:val="auto"/>
              </w:rPr>
            </w:pPr>
          </w:p>
        </w:tc>
        <w:tc>
          <w:tcPr>
            <w:tcW w:w="1720" w:type="dxa"/>
            <w:vAlign w:val="bottom"/>
          </w:tcPr>
          <w:p>
            <w:pPr>
              <w:jc w:val="right"/>
              <w:ind w:right="530"/>
              <w:spacing w:after="0" w:line="191" w:lineRule="exact"/>
              <w:rPr>
                <w:sz w:val="20"/>
                <w:szCs w:val="20"/>
                <w:color w:val="auto"/>
              </w:rPr>
            </w:pPr>
            <w:r>
              <w:rPr>
                <w:rFonts w:ascii="Times New Roman" w:cs="Times New Roman" w:eastAsia="Times New Roman" w:hAnsi="Times New Roman"/>
                <w:sz w:val="18"/>
                <w:szCs w:val="18"/>
                <w:color w:val="auto"/>
              </w:rPr>
              <w:t>14,441</w:t>
            </w:r>
          </w:p>
        </w:tc>
        <w:tc>
          <w:tcPr>
            <w:tcW w:w="100" w:type="dxa"/>
            <w:vAlign w:val="bottom"/>
          </w:tcPr>
          <w:p>
            <w:pPr>
              <w:spacing w:after="0"/>
              <w:rPr>
                <w:sz w:val="16"/>
                <w:szCs w:val="16"/>
                <w:color w:val="auto"/>
              </w:rPr>
            </w:pPr>
          </w:p>
        </w:tc>
        <w:tc>
          <w:tcPr>
            <w:tcW w:w="260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LeighAnne G. Baker</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50,556,729</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141,544</w:t>
            </w:r>
          </w:p>
        </w:tc>
        <w:tc>
          <w:tcPr>
            <w:tcW w:w="19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12,699</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Carol A. Clements</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50,642,405</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54,975</w:t>
            </w:r>
          </w:p>
        </w:tc>
        <w:tc>
          <w:tcPr>
            <w:tcW w:w="19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13,592</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Donald F. Colleran</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50,623,625</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71,907</w:t>
            </w:r>
          </w:p>
        </w:tc>
        <w:tc>
          <w:tcPr>
            <w:tcW w:w="19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15,440</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James D. DeVries</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50,452,351</w:t>
            </w:r>
          </w:p>
        </w:tc>
        <w:tc>
          <w:tcPr>
            <w:tcW w:w="16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244,104</w:t>
            </w:r>
          </w:p>
        </w:tc>
        <w:tc>
          <w:tcPr>
            <w:tcW w:w="19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14,517</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Art A. Garcia</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46,431,962</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4,262,340</w:t>
            </w:r>
          </w:p>
        </w:tc>
        <w:tc>
          <w:tcPr>
            <w:tcW w:w="19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16,670</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Thomas M. Gartland</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50,375,053</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321,994</w:t>
            </w:r>
          </w:p>
        </w:tc>
        <w:tc>
          <w:tcPr>
            <w:tcW w:w="19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13,925</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50,579,651</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105,404</w:t>
            </w:r>
          </w:p>
        </w:tc>
        <w:tc>
          <w:tcPr>
            <w:tcW w:w="19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25,917</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Barry A. Hytinen</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50,648,006</w:t>
            </w:r>
          </w:p>
        </w:tc>
        <w:tc>
          <w:tcPr>
            <w:tcW w:w="16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47,948</w:t>
            </w:r>
          </w:p>
        </w:tc>
        <w:tc>
          <w:tcPr>
            <w:tcW w:w="19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15,018</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Sudhakar Kesavan</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49,932,580</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756,210</w:t>
            </w:r>
          </w:p>
        </w:tc>
        <w:tc>
          <w:tcPr>
            <w:tcW w:w="19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22,182</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Scott Salmirs</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50,632,069</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64,907</w:t>
            </w:r>
          </w:p>
        </w:tc>
        <w:tc>
          <w:tcPr>
            <w:tcW w:w="19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13,996</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Winifred M. Webb</w:t>
            </w:r>
          </w:p>
        </w:tc>
        <w:tc>
          <w:tcPr>
            <w:tcW w:w="2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49,721,579</w:t>
            </w:r>
          </w:p>
        </w:tc>
        <w:tc>
          <w:tcPr>
            <w:tcW w:w="16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976,779</w:t>
            </w:r>
          </w:p>
        </w:tc>
        <w:tc>
          <w:tcPr>
            <w:tcW w:w="19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12,614</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4,169,359</w:t>
            </w:r>
          </w:p>
        </w:tc>
      </w:tr>
    </w:tbl>
    <w:p>
      <w:pPr>
        <w:spacing w:after="0" w:line="198" w:lineRule="exact"/>
        <w:rPr>
          <w:sz w:val="20"/>
          <w:szCs w:val="20"/>
          <w:color w:val="auto"/>
        </w:rPr>
      </w:pPr>
    </w:p>
    <w:p>
      <w:pPr>
        <w:ind w:left="680" w:hanging="55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on an advisory basis, ABM’s executive compensation.</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6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460" w:type="dxa"/>
            <w:vAlign w:val="bottom"/>
          </w:tcPr>
          <w:p>
            <w:pPr>
              <w:spacing w:after="0"/>
              <w:rPr>
                <w:sz w:val="20"/>
                <w:szCs w:val="20"/>
                <w:color w:val="auto"/>
              </w:rPr>
            </w:pPr>
          </w:p>
        </w:tc>
        <w:tc>
          <w:tcPr>
            <w:tcW w:w="2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48,442,064</w:t>
            </w:r>
          </w:p>
        </w:tc>
        <w:tc>
          <w:tcPr>
            <w:tcW w:w="460" w:type="dxa"/>
            <w:vAlign w:val="bottom"/>
          </w:tcPr>
          <w:p>
            <w:pPr>
              <w:spacing w:after="0"/>
              <w:rPr>
                <w:sz w:val="19"/>
                <w:szCs w:val="19"/>
                <w:color w:val="auto"/>
              </w:rPr>
            </w:pPr>
          </w:p>
        </w:tc>
        <w:tc>
          <w:tcPr>
            <w:tcW w:w="30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2,231,511</w:t>
            </w:r>
          </w:p>
        </w:tc>
        <w:tc>
          <w:tcPr>
            <w:tcW w:w="460" w:type="dxa"/>
            <w:vAlign w:val="bottom"/>
          </w:tcPr>
          <w:p>
            <w:pPr>
              <w:spacing w:after="0"/>
              <w:rPr>
                <w:sz w:val="19"/>
                <w:szCs w:val="19"/>
                <w:color w:val="auto"/>
              </w:rPr>
            </w:pPr>
          </w:p>
        </w:tc>
        <w:tc>
          <w:tcPr>
            <w:tcW w:w="26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37,397</w:t>
            </w:r>
          </w:p>
        </w:tc>
        <w:tc>
          <w:tcPr>
            <w:tcW w:w="28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4,169,359</w:t>
            </w:r>
          </w:p>
        </w:tc>
      </w:tr>
    </w:tbl>
    <w:p>
      <w:pPr>
        <w:spacing w:after="0" w:line="193" w:lineRule="exact"/>
        <w:rPr>
          <w:sz w:val="20"/>
          <w:szCs w:val="20"/>
          <w:color w:val="auto"/>
        </w:rPr>
      </w:pPr>
    </w:p>
    <w:p>
      <w:pPr>
        <w:ind w:left="680" w:hanging="55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KPMG LLP as ABM’s independent registered public accounting firm for fiscal year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w:t>
            </w:r>
          </w:p>
        </w:tc>
        <w:tc>
          <w:tcPr>
            <w:tcW w:w="480" w:type="dxa"/>
            <w:vAlign w:val="bottom"/>
          </w:tcPr>
          <w:p>
            <w:pPr>
              <w:spacing w:after="0"/>
              <w:rPr>
                <w:sz w:val="20"/>
                <w:szCs w:val="20"/>
                <w:color w:val="auto"/>
              </w:rPr>
            </w:pP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60" w:type="dxa"/>
            <w:vAlign w:val="bottom"/>
          </w:tcPr>
          <w:p>
            <w:pPr>
              <w:spacing w:after="0"/>
              <w:rPr>
                <w:sz w:val="20"/>
                <w:szCs w:val="20"/>
                <w:color w:val="auto"/>
              </w:rPr>
            </w:pPr>
          </w:p>
        </w:tc>
        <w:tc>
          <w:tcPr>
            <w:tcW w:w="44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8"/>
        </w:trPr>
        <w:tc>
          <w:tcPr>
            <w:tcW w:w="1360" w:type="dxa"/>
            <w:vAlign w:val="bottom"/>
          </w:tcPr>
          <w:p>
            <w:pPr>
              <w:spacing w:after="0"/>
              <w:rPr>
                <w:sz w:val="19"/>
                <w:szCs w:val="19"/>
                <w:color w:val="auto"/>
              </w:rPr>
            </w:pPr>
          </w:p>
        </w:tc>
        <w:tc>
          <w:tcPr>
            <w:tcW w:w="1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52,415,179</w:t>
            </w:r>
          </w:p>
        </w:tc>
        <w:tc>
          <w:tcPr>
            <w:tcW w:w="480" w:type="dxa"/>
            <w:vAlign w:val="bottom"/>
          </w:tcPr>
          <w:p>
            <w:pPr>
              <w:spacing w:after="0"/>
              <w:rPr>
                <w:sz w:val="19"/>
                <w:szCs w:val="19"/>
                <w:color w:val="auto"/>
              </w:rPr>
            </w:pPr>
          </w:p>
        </w:tc>
        <w:tc>
          <w:tcPr>
            <w:tcW w:w="3040" w:type="dxa"/>
            <w:vAlign w:val="bottom"/>
            <w:tcBorders>
              <w:top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2,426,546</w:t>
            </w:r>
          </w:p>
        </w:tc>
        <w:tc>
          <w:tcPr>
            <w:tcW w:w="460" w:type="dxa"/>
            <w:vAlign w:val="bottom"/>
          </w:tcPr>
          <w:p>
            <w:pPr>
              <w:spacing w:after="0"/>
              <w:rPr>
                <w:sz w:val="19"/>
                <w:szCs w:val="19"/>
                <w:color w:val="auto"/>
              </w:rPr>
            </w:pPr>
          </w:p>
        </w:tc>
        <w:tc>
          <w:tcPr>
            <w:tcW w:w="3080" w:type="dxa"/>
            <w:vAlign w:val="bottom"/>
            <w:tcBorders>
              <w:top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38,606</w:t>
            </w:r>
          </w:p>
        </w:tc>
        <w:tc>
          <w:tcPr>
            <w:tcW w:w="1360" w:type="dxa"/>
            <w:vAlign w:val="bottom"/>
          </w:tcPr>
          <w:p>
            <w:pPr>
              <w:spacing w:after="0"/>
              <w:rPr>
                <w:sz w:val="19"/>
                <w:szCs w:val="19"/>
                <w:color w:val="auto"/>
              </w:rPr>
            </w:pPr>
          </w:p>
        </w:tc>
      </w:tr>
      <w:tr>
        <w:trPr>
          <w:trHeight w:val="1838"/>
        </w:trPr>
        <w:tc>
          <w:tcPr>
            <w:tcW w:w="1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March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2026-03-25T11:35:49Z</dcterms:created>
  <dcterms:modified xsi:type="dcterms:W3CDTF">2026-03-25T11:35:49Z</dcterms:modified>
</cp:coreProperties>
</file>