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3"/>
            <w:vMerge w:val="restart"/>
          </w:tcPr>
          <w:p>
            <w:pPr>
              <w:spacing w:after="0"/>
              <w:rPr>
                <w:rFonts w:ascii="Arial" w:cs="Arial" w:eastAsia="Arial" w:hAnsi="Arial"/>
                <w:sz w:val="22"/>
                <w:szCs w:val="22"/>
                <w:color w:val="0000EE"/>
                <w:w w:val="89"/>
              </w:rPr>
            </w:pPr>
            <w:hyperlink r:id="rId12">
              <w:r>
                <w:rPr>
                  <w:rFonts w:ascii="Arial" w:cs="Arial" w:eastAsia="Arial" w:hAnsi="Arial"/>
                  <w:sz w:val="22"/>
                  <w:szCs w:val="22"/>
                  <w:color w:val="0000EE"/>
                  <w:w w:val="89"/>
                </w:rPr>
                <w:t>Ferguson Phil</w:t>
              </w:r>
            </w:hyperlink>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9"/>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ABM INDUSTRIES INC /DE/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ABM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gridSpan w:val="3"/>
            <w:vMerge w:val="continue"/>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8"/>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8"/>
            <w:vMerge w:val="continue"/>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ONE LIBERTY PLAZA</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01/10/2017</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vMerge w:val="restart"/>
          </w:tcPr>
          <w:p>
            <w:pPr>
              <w:spacing w:after="0"/>
              <w:rPr>
                <w:sz w:val="20"/>
                <w:szCs w:val="20"/>
                <w:color w:val="auto"/>
              </w:rPr>
            </w:pPr>
            <w:r>
              <w:rPr>
                <w:rFonts w:ascii="Arial" w:cs="Arial" w:eastAsia="Arial" w:hAnsi="Arial"/>
                <w:sz w:val="18"/>
                <w:szCs w:val="18"/>
                <w:color w:val="0000FF"/>
              </w:rPr>
              <w:t>7TH FLOOR</w:t>
            </w: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10"/>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10006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120" w:type="dxa"/>
            <w:vAlign w:val="bottom"/>
            <w:tcBorders>
              <w:bottom w:val="single" w:sz="8" w:color="2C2C2C"/>
            </w:tcBorders>
            <w:gridSpan w:val="3"/>
          </w:tcPr>
          <w:p>
            <w:pPr>
              <w:spacing w:after="0"/>
              <w:rPr>
                <w:sz w:val="11"/>
                <w:szCs w:val="11"/>
                <w:color w:val="auto"/>
              </w:rPr>
            </w:pPr>
          </w:p>
        </w:tc>
        <w:tc>
          <w:tcPr>
            <w:tcW w:w="122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20"/>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5"/>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00" w:type="dxa"/>
            <w:vAlign w:val="bottom"/>
          </w:tcPr>
          <w:p>
            <w:pPr>
              <w:spacing w:after="0"/>
              <w:rPr>
                <w:sz w:val="15"/>
                <w:szCs w:val="15"/>
                <w:color w:val="auto"/>
              </w:rPr>
            </w:pPr>
          </w:p>
        </w:tc>
        <w:tc>
          <w:tcPr>
            <w:tcW w:w="1960" w:type="dxa"/>
            <w:vAlign w:val="bottom"/>
            <w:gridSpan w:val="7"/>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60" w:type="dxa"/>
            <w:vAlign w:val="bottom"/>
            <w:gridSpan w:val="5"/>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100" w:type="dxa"/>
            <w:vAlign w:val="bottom"/>
          </w:tcPr>
          <w:p>
            <w:pPr>
              <w:spacing w:after="0"/>
              <w:rPr>
                <w:sz w:val="11"/>
                <w:szCs w:val="11"/>
                <w:color w:val="auto"/>
              </w:rPr>
            </w:pPr>
          </w:p>
        </w:tc>
        <w:tc>
          <w:tcPr>
            <w:tcW w:w="2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1"/>
                <w:szCs w:val="11"/>
                <w:color w:val="auto"/>
              </w:rPr>
            </w:pPr>
          </w:p>
        </w:tc>
        <w:tc>
          <w:tcPr>
            <w:tcW w:w="5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ind w:left="880"/>
              <w:spacing w:after="0"/>
              <w:rPr>
                <w:sz w:val="20"/>
                <w:szCs w:val="20"/>
                <w:color w:val="auto"/>
              </w:rPr>
            </w:pPr>
            <w:r>
              <w:rPr>
                <w:rFonts w:ascii="Arial" w:cs="Arial" w:eastAsia="Arial" w:hAnsi="Arial"/>
                <w:sz w:val="18"/>
                <w:szCs w:val="18"/>
                <w:color w:val="0000FF"/>
              </w:rPr>
              <w:t>01/10/2017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3"/>
          </w:tcPr>
          <w:p>
            <w:pPr>
              <w:ind w:left="140"/>
              <w:spacing w:after="0"/>
              <w:rPr>
                <w:sz w:val="20"/>
                <w:szCs w:val="20"/>
                <w:color w:val="auto"/>
              </w:rPr>
            </w:pPr>
            <w:r>
              <w:rPr>
                <w:rFonts w:ascii="Arial" w:cs="Arial" w:eastAsia="Arial" w:hAnsi="Arial"/>
                <w:sz w:val="18"/>
                <w:szCs w:val="18"/>
                <w:color w:val="0000FF"/>
              </w:rPr>
              <w:t>2,779</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30,450</w:t>
            </w:r>
            <w:r>
              <w:rPr>
                <w:rFonts w:ascii="Arial" w:cs="Arial" w:eastAsia="Arial" w:hAnsi="Arial"/>
                <w:sz w:val="22"/>
                <w:szCs w:val="22"/>
                <w:color w:val="008000"/>
                <w:vertAlign w:val="superscript"/>
              </w:rPr>
              <w:t>(2)</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9"/>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80" w:type="dxa"/>
            <w:vAlign w:val="bottom"/>
            <w:gridSpan w:val="17"/>
          </w:tcPr>
          <w:p>
            <w:pPr>
              <w:jc w:val="center"/>
              <w:ind w:left="27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4"/>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8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gridSpan w:val="4"/>
          </w:tcPr>
          <w:p>
            <w:pPr>
              <w:ind w:left="10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60" w:type="dxa"/>
            <w:vAlign w:val="bottom"/>
            <w:gridSpan w:val="4"/>
          </w:tcPr>
          <w:p>
            <w:pPr>
              <w:ind w:left="100"/>
              <w:spacing w:after="0"/>
              <w:rPr>
                <w:sz w:val="20"/>
                <w:szCs w:val="20"/>
                <w:color w:val="auto"/>
              </w:rPr>
            </w:pPr>
            <w:r>
              <w:rPr>
                <w:rFonts w:ascii="Arial" w:cs="Arial" w:eastAsia="Arial" w:hAnsi="Arial"/>
                <w:sz w:val="12"/>
                <w:szCs w:val="12"/>
                <w:b w:val="1"/>
                <w:bCs w:val="1"/>
                <w:color w:val="auto"/>
              </w:rPr>
              <w:t>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Annual grant of restricted stock units (RSUs) to non-employee directors granted under the 2006 Equity Incentive Plan, representing a contingent right to receive shares of common stock. RSUs vest ratably over three years on each of the first, second and third anniversaries of the grant date. Dividend equivalent rights will accrue.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9,323 unvested RSUs and DERs relating to the RSUs, adjusted to reflect the cumulative effect of fractional shares.</w:t>
      </w:r>
    </w:p>
    <w:p>
      <w:pPr>
        <w:spacing w:after="0" w:line="4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01/12/2017</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19713"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2019-12-23T21:46:07Z</dcterms:created>
  <dcterms:modified xsi:type="dcterms:W3CDTF">2019-12-23T21:46:07Z</dcterms:modified>
</cp:coreProperties>
</file>